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p>
      <w:pPr>
        <w:tabs>
          <w:tab w:pos="6043" w:val="left" w:leader="none"/>
        </w:tabs>
        <w:spacing w:before="14"/>
        <w:ind w:left="23" w:right="0" w:firstLine="0"/>
        <w:jc w:val="center"/>
        <w:rPr>
          <w:rFonts w:ascii="宋体" w:hAnsi="宋体" w:cs="宋体" w:eastAsia="宋体" w:hint="default"/>
          <w:sz w:val="28"/>
          <w:szCs w:val="28"/>
        </w:rPr>
      </w:pPr>
      <w:r>
        <w:rPr/>
        <w:pict>
          <v:group style="position:absolute;margin-left:55.200001pt;margin-top:-49.928452pt;width:484.95pt;height:.1pt;mso-position-horizontal-relative:page;mso-position-vertical-relative:paragraph;z-index:0" coordorigin="1104,-999" coordsize="9699,2">
            <v:shape style="position:absolute;left:1104;top:-999;width:9699;height:2" coordorigin="1104,-999" coordsize="9699,0" path="m1104,-999l10802,-999e" filled="false" stroked="true" strokeweight=".72pt" strokecolor="#000000">
              <v:path arrowok="t"/>
            </v:shape>
            <w10:wrap type="none"/>
          </v:group>
        </w:pict>
      </w:r>
      <w:r>
        <w:rPr>
          <w:rFonts w:ascii="宋体" w:hAnsi="宋体" w:cs="宋体" w:eastAsia="宋体" w:hint="default"/>
          <w:spacing w:val="-1"/>
          <w:sz w:val="28"/>
          <w:szCs w:val="28"/>
        </w:rPr>
        <w:t>证券代码：</w:t>
      </w:r>
      <w:r>
        <w:rPr>
          <w:rFonts w:ascii="Times New Roman" w:hAnsi="Times New Roman" w:cs="Times New Roman" w:eastAsia="Times New Roman" w:hint="default"/>
          <w:spacing w:val="-1"/>
          <w:sz w:val="28"/>
          <w:szCs w:val="28"/>
        </w:rPr>
        <w:t>002177</w:t>
        <w:tab/>
      </w:r>
      <w:r>
        <w:rPr>
          <w:rFonts w:ascii="宋体" w:hAnsi="宋体" w:cs="宋体" w:eastAsia="宋体" w:hint="default"/>
          <w:spacing w:val="-1"/>
          <w:sz w:val="28"/>
          <w:szCs w:val="28"/>
        </w:rPr>
        <w:t>证券简称：御银股份</w:t>
      </w: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3"/>
          <w:szCs w:val="33"/>
        </w:rPr>
      </w:pPr>
    </w:p>
    <w:p>
      <w:pPr>
        <w:spacing w:before="0"/>
        <w:ind w:left="23" w:right="24" w:firstLine="0"/>
        <w:jc w:val="center"/>
        <w:rPr>
          <w:rFonts w:ascii="宋体" w:hAnsi="宋体" w:cs="宋体" w:eastAsia="宋体" w:hint="default"/>
          <w:sz w:val="52"/>
          <w:szCs w:val="52"/>
        </w:rPr>
      </w:pPr>
      <w:r>
        <w:rPr>
          <w:rFonts w:ascii="宋体" w:hAnsi="宋体" w:cs="宋体" w:eastAsia="宋体" w:hint="default"/>
          <w:b/>
          <w:bCs/>
          <w:sz w:val="52"/>
          <w:szCs w:val="52"/>
        </w:rPr>
        <w:t>广州御银科技股份有限公司</w:t>
      </w:r>
      <w:r>
        <w:rPr>
          <w:rFonts w:ascii="宋体" w:hAnsi="宋体" w:cs="宋体" w:eastAsia="宋体" w:hint="default"/>
          <w:sz w:val="52"/>
          <w:szCs w:val="52"/>
        </w:rPr>
      </w:r>
    </w:p>
    <w:p>
      <w:pPr>
        <w:spacing w:before="395"/>
        <w:ind w:left="23" w:right="24" w:firstLine="0"/>
        <w:jc w:val="center"/>
        <w:rPr>
          <w:rFonts w:ascii="宋体" w:hAnsi="宋体" w:cs="宋体" w:eastAsia="宋体" w:hint="default"/>
          <w:sz w:val="52"/>
          <w:szCs w:val="52"/>
        </w:rPr>
      </w:pPr>
      <w:r>
        <w:rPr>
          <w:rFonts w:ascii="Times New Roman" w:hAnsi="Times New Roman" w:cs="Times New Roman" w:eastAsia="Times New Roman" w:hint="default"/>
          <w:b/>
          <w:bCs/>
          <w:sz w:val="52"/>
          <w:szCs w:val="52"/>
        </w:rPr>
        <w:t>2012</w:t>
      </w:r>
      <w:r>
        <w:rPr>
          <w:rFonts w:ascii="Times New Roman" w:hAnsi="Times New Roman" w:cs="Times New Roman" w:eastAsia="Times New Roman" w:hint="default"/>
          <w:b/>
          <w:bCs/>
          <w:spacing w:val="-1"/>
          <w:sz w:val="52"/>
          <w:szCs w:val="52"/>
        </w:rPr>
        <w:t> </w:t>
      </w:r>
      <w:r>
        <w:rPr>
          <w:rFonts w:ascii="宋体" w:hAnsi="宋体" w:cs="宋体" w:eastAsia="宋体" w:hint="default"/>
          <w:b/>
          <w:bCs/>
          <w:sz w:val="52"/>
          <w:szCs w:val="52"/>
        </w:rPr>
        <w:t>年度报告</w:t>
      </w:r>
      <w:r>
        <w:rPr>
          <w:rFonts w:ascii="宋体" w:hAnsi="宋体" w:cs="宋体" w:eastAsia="宋体" w:hint="default"/>
          <w:sz w:val="52"/>
          <w:szCs w:val="52"/>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3"/>
          <w:szCs w:val="13"/>
        </w:rPr>
      </w:pPr>
    </w:p>
    <w:p>
      <w:pPr>
        <w:spacing w:line="1644" w:lineRule="exact"/>
        <w:ind w:left="3645" w:right="0" w:firstLine="0"/>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1685597" cy="104413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685597" cy="1044130"/>
                    </a:xfrm>
                    <a:prstGeom prst="rect">
                      <a:avLst/>
                    </a:prstGeom>
                  </pic:spPr>
                </pic:pic>
              </a:graphicData>
            </a:graphic>
          </wp:inline>
        </w:drawing>
      </w:r>
      <w:r>
        <w:rPr>
          <w:rFonts w:ascii="宋体" w:hAnsi="宋体" w:cs="宋体" w:eastAsia="宋体" w:hint="default"/>
          <w:position w:val="-32"/>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before="0"/>
        <w:ind w:left="0" w:right="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144"/>
        <w:jc w:val="left"/>
        <w:rPr>
          <w:b w:val="0"/>
          <w:bCs w:val="0"/>
        </w:rPr>
      </w:pPr>
      <w:bookmarkStart w:name="_TOC_250010"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6" w:lineRule="auto" w:before="162"/>
        <w:ind w:left="152" w:right="1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公司负责人杨文江、主管会计工作负责人陈国军及会计机构负责人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陈国军声明：保证年度报告中财务报告的真实、准确、完整。</w:t>
      </w:r>
      <w:r>
        <w:rPr>
          <w:rFonts w:ascii="宋体" w:hAnsi="宋体" w:cs="宋体" w:eastAsia="宋体" w:hint="default"/>
          <w:sz w:val="28"/>
          <w:szCs w:val="28"/>
        </w:rPr>
      </w:r>
    </w:p>
    <w:p>
      <w:pPr>
        <w:spacing w:line="472" w:lineRule="auto" w:before="148"/>
        <w:ind w:left="714" w:right="144"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2012 </w:t>
      </w:r>
      <w:r>
        <w:rPr>
          <w:rFonts w:ascii="宋体" w:hAnsi="宋体" w:cs="宋体" w:eastAsia="宋体" w:hint="default"/>
          <w:b/>
          <w:bCs/>
          <w:sz w:val="28"/>
          <w:szCs w:val="28"/>
        </w:rPr>
        <w:t>年</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月</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2" w:right="0" w:firstLine="0"/>
        <w:jc w:val="left"/>
        <w:rPr>
          <w:rFonts w:ascii="Times New Roman" w:hAnsi="Times New Roman" w:cs="Times New Roman" w:eastAsia="Times New Roman" w:hint="default"/>
          <w:sz w:val="28"/>
          <w:szCs w:val="28"/>
        </w:rPr>
      </w:pPr>
      <w:r>
        <w:rPr>
          <w:rFonts w:ascii="宋体" w:hAnsi="宋体" w:cs="宋体" w:eastAsia="宋体" w:hint="default"/>
          <w:b/>
          <w:bCs/>
          <w:w w:val="99"/>
          <w:sz w:val="28"/>
          <w:szCs w:val="28"/>
        </w:rPr>
        <w:t>司总</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本为基数，向全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25"/>
          <w:sz w:val="28"/>
          <w:szCs w:val="28"/>
        </w:rPr>
        <w:t> </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6"/>
          <w:sz w:val="28"/>
          <w:szCs w:val="28"/>
        </w:rPr>
        <w:t> </w:t>
      </w:r>
      <w:r>
        <w:rPr>
          <w:rFonts w:ascii="宋体" w:hAnsi="宋体" w:cs="宋体" w:eastAsia="宋体" w:hint="default"/>
          <w:b/>
          <w:bCs/>
          <w:w w:val="99"/>
          <w:sz w:val="28"/>
          <w:szCs w:val="28"/>
        </w:rPr>
        <w:t>股派</w:t>
      </w:r>
      <w:r>
        <w:rPr>
          <w:rFonts w:ascii="宋体" w:hAnsi="宋体" w:cs="宋体" w:eastAsia="宋体" w:hint="default"/>
          <w:b/>
          <w:bCs/>
          <w:spacing w:val="2"/>
          <w:w w:val="99"/>
          <w:sz w:val="28"/>
          <w:szCs w:val="28"/>
        </w:rPr>
        <w:t>发</w:t>
      </w:r>
      <w:r>
        <w:rPr>
          <w:rFonts w:ascii="宋体" w:hAnsi="宋体" w:cs="宋体" w:eastAsia="宋体" w:hint="default"/>
          <w:b/>
          <w:bCs/>
          <w:w w:val="99"/>
          <w:sz w:val="28"/>
          <w:szCs w:val="28"/>
        </w:rPr>
        <w:t>现金红利</w:t>
      </w:r>
      <w:r>
        <w:rPr>
          <w:rFonts w:ascii="宋体" w:hAnsi="宋体" w:cs="宋体" w:eastAsia="宋体" w:hint="default"/>
          <w:b/>
          <w:bCs/>
          <w:spacing w:val="-26"/>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w w:val="100"/>
          <w:sz w:val="28"/>
          <w:szCs w:val="28"/>
        </w:rPr>
        <w:t>1</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2"/>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25"/>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w w:val="100"/>
          <w:sz w:val="28"/>
          <w:szCs w:val="28"/>
        </w:rPr>
      </w:r>
    </w:p>
    <w:p>
      <w:pPr>
        <w:spacing w:before="236"/>
        <w:ind w:left="152" w:right="144" w:firstLine="0"/>
        <w:jc w:val="left"/>
        <w:rPr>
          <w:rFonts w:ascii="宋体" w:hAnsi="宋体" w:cs="宋体" w:eastAsia="宋体" w:hint="default"/>
          <w:sz w:val="28"/>
          <w:szCs w:val="28"/>
        </w:rPr>
      </w:pPr>
      <w:r>
        <w:rPr>
          <w:rFonts w:ascii="宋体" w:hAnsi="宋体" w:cs="宋体" w:eastAsia="宋体" w:hint="default"/>
          <w:b/>
          <w:bCs/>
          <w:w w:val="99"/>
          <w:sz w:val="28"/>
          <w:szCs w:val="28"/>
        </w:rPr>
        <w:t>股（</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本公积</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向全体股东每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股转增</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100"/>
          <w:sz w:val="28"/>
          <w:szCs w:val="28"/>
        </w:rPr>
        <w:t>3</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0"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0" w:right="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9783" w:val="right" w:leader="dot"/>
            </w:tabs>
            <w:spacing w:line="240" w:lineRule="auto" w:before="235"/>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333"/>
            <w:ind w:right="0"/>
            <w:jc w:val="left"/>
            <w:rPr>
              <w:rFonts w:ascii="Times New Roman" w:hAnsi="Times New Roman" w:cs="Times New Roman" w:eastAsia="Times New Roman" w:hint="default"/>
              <w:b w:val="0"/>
              <w:bCs w:val="0"/>
            </w:rPr>
          </w:pPr>
          <w:hyperlink w:history="true" w:anchor="_TOC_250009">
            <w:r>
              <w:rPr/>
              <w:t>第二节</w:t>
            </w:r>
            <w:r>
              <w:rPr>
                <w:spacing w:val="1"/>
              </w:rPr>
              <w:t> </w:t>
            </w:r>
            <w:r>
              <w:rPr/>
              <w:t>公司简介</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before="330"/>
            <w:ind w:right="0"/>
            <w:jc w:val="left"/>
            <w:rPr>
              <w:rFonts w:ascii="Times New Roman" w:hAnsi="Times New Roman" w:cs="Times New Roman" w:eastAsia="Times New Roman" w:hint="default"/>
              <w:b w:val="0"/>
              <w:bCs w:val="0"/>
            </w:rPr>
          </w:pPr>
          <w:hyperlink w:history="true" w:anchor="_TOC_250008">
            <w:r>
              <w:rPr/>
              <w:t>第三节</w:t>
            </w:r>
            <w:r>
              <w:rPr>
                <w:spacing w:val="1"/>
              </w:rPr>
              <w:t> </w:t>
            </w:r>
            <w:r>
              <w:rPr/>
              <w:t>会计数据和财务指标摘要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
              </w:rPr>
              <w:t> </w:t>
            </w:r>
            <w:r>
              <w:rPr/>
              <w:t>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
              </w:rPr>
              <w:t> </w:t>
            </w:r>
            <w:r>
              <w:rPr/>
              <w:t>重要事项</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9783" w:val="right" w:leader="dot"/>
            </w:tabs>
            <w:spacing w:line="240" w:lineRule="auto" w:before="330"/>
            <w:ind w:right="0"/>
            <w:jc w:val="left"/>
            <w:rPr>
              <w:rFonts w:ascii="Times New Roman" w:hAnsi="Times New Roman" w:cs="Times New Roman" w:eastAsia="Times New Roman" w:hint="default"/>
              <w:b w:val="0"/>
              <w:bCs w:val="0"/>
            </w:rPr>
          </w:pPr>
          <w:hyperlink w:history="true" w:anchor="_TOC_250005">
            <w:r>
              <w:rPr/>
              <w:t>第六节</w:t>
            </w:r>
            <w:r>
              <w:rPr>
                <w:spacing w:val="1"/>
              </w:rPr>
              <w:t> </w:t>
            </w:r>
            <w:r>
              <w:rPr/>
              <w:t>股份变动及股东情况</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
              </w:rPr>
              <w:t> </w:t>
            </w:r>
            <w:r>
              <w:rPr/>
              <w:t>董事、监事、高级管理人员和员工情况</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3" w:val="right" w:leader="dot"/>
            </w:tabs>
            <w:spacing w:line="240" w:lineRule="auto" w:before="333"/>
            <w:ind w:right="0"/>
            <w:jc w:val="left"/>
            <w:rPr>
              <w:rFonts w:ascii="Times New Roman" w:hAnsi="Times New Roman" w:cs="Times New Roman" w:eastAsia="Times New Roman" w:hint="default"/>
              <w:b w:val="0"/>
              <w:bCs w:val="0"/>
            </w:rPr>
          </w:pPr>
          <w:hyperlink w:history="true" w:anchor="_TOC_250003">
            <w:r>
              <w:rPr/>
              <w:t>第八节</w:t>
            </w:r>
            <w:r>
              <w:rPr>
                <w:spacing w:val="1"/>
              </w:rPr>
              <w:t> </w:t>
            </w:r>
            <w:r>
              <w:rPr/>
              <w:t>公司治理</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3" w:val="right" w:leader="dot"/>
            </w:tabs>
            <w:spacing w:line="240" w:lineRule="auto" w:before="330"/>
            <w:ind w:right="0"/>
            <w:jc w:val="left"/>
            <w:rPr>
              <w:rFonts w:ascii="Times New Roman" w:hAnsi="Times New Roman" w:cs="Times New Roman" w:eastAsia="Times New Roman" w:hint="default"/>
              <w:b w:val="0"/>
              <w:bCs w:val="0"/>
            </w:rPr>
          </w:pPr>
          <w:hyperlink w:history="true" w:anchor="_TOC_250002">
            <w:r>
              <w:rPr/>
              <w:t>第九节</w:t>
            </w:r>
            <w:r>
              <w:rPr>
                <w:spacing w:val="1"/>
              </w:rPr>
              <w:t> </w:t>
            </w:r>
            <w:r>
              <w:rPr/>
              <w:t>内部控制</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
              </w:rPr>
              <w:t> </w:t>
            </w:r>
            <w:r>
              <w:rPr/>
              <w:t>财务报告</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
              </w:rPr>
              <w:t> </w:t>
            </w:r>
            <w:r>
              <w:rPr/>
              <w:t>备查文件目录</w:t>
            </w:r>
            <w:r>
              <w:rPr>
                <w:rFonts w:ascii="Times New Roman" w:hAnsi="Times New Roman" w:cs="Times New Roman" w:eastAsia="Times New Roman" w:hint="default"/>
              </w:rPr>
              <w:tab/>
              <w:t>144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980"/>
        </w:sectPr>
      </w:pPr>
    </w:p>
    <w:p>
      <w:pPr>
        <w:spacing w:before="945"/>
        <w:ind w:left="0" w:right="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23"/>
        <w:gridCol w:w="712"/>
        <w:gridCol w:w="6724"/>
      </w:tblGrid>
      <w:tr>
        <w:trPr>
          <w:trHeight w:val="403" w:hRule="exact"/>
        </w:trPr>
        <w:tc>
          <w:tcPr>
            <w:tcW w:w="2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2123" w:type="dxa"/>
            <w:tcBorders>
              <w:top w:val="single" w:sz="4" w:space="0" w:color="000000"/>
              <w:left w:val="single" w:sz="4" w:space="0" w:color="000000"/>
              <w:bottom w:val="single" w:sz="4" w:space="0" w:color="000000"/>
              <w:right w:val="single" w:sz="13" w:space="0" w:color="D2D2D2"/>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24" w:type="dxa"/>
            <w:tcBorders>
              <w:top w:val="single" w:sz="4" w:space="0" w:color="000000"/>
              <w:left w:val="single" w:sz="10" w:space="0" w:color="D2D2D2"/>
              <w:bottom w:val="single" w:sz="4" w:space="0" w:color="000000"/>
              <w:right w:val="single" w:sz="4" w:space="0" w:color="000000"/>
            </w:tcBorders>
            <w:shd w:val="clear" w:color="auto" w:fill="CCE8CC"/>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p>
        </w:tc>
      </w:tr>
      <w:tr>
        <w:trPr>
          <w:trHeight w:val="403" w:hRule="exact"/>
        </w:trPr>
        <w:tc>
          <w:tcPr>
            <w:tcW w:w="2123" w:type="dxa"/>
            <w:tcBorders>
              <w:top w:val="single" w:sz="4" w:space="0" w:color="000000"/>
              <w:left w:val="single" w:sz="4" w:space="0" w:color="000000"/>
              <w:bottom w:val="single" w:sz="4" w:space="0" w:color="000000"/>
              <w:right w:val="single" w:sz="13" w:space="0" w:color="D2D2D2"/>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御银有限</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24" w:type="dxa"/>
            <w:tcBorders>
              <w:top w:val="single" w:sz="4" w:space="0" w:color="000000"/>
              <w:left w:val="single" w:sz="10" w:space="0" w:color="D2D2D2"/>
              <w:bottom w:val="single" w:sz="4" w:space="0" w:color="000000"/>
              <w:right w:val="single" w:sz="4" w:space="0" w:color="000000"/>
            </w:tcBorders>
            <w:shd w:val="clear" w:color="auto" w:fill="CCE8CC"/>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广州御银科技有限公司，公司改组为股份有限公司前的主体</w:t>
            </w:r>
          </w:p>
        </w:tc>
      </w:tr>
      <w:tr>
        <w:trPr>
          <w:trHeight w:val="401" w:hRule="exact"/>
        </w:trPr>
        <w:tc>
          <w:tcPr>
            <w:tcW w:w="2123" w:type="dxa"/>
            <w:tcBorders>
              <w:top w:val="single" w:sz="4" w:space="0" w:color="000000"/>
              <w:left w:val="single" w:sz="4" w:space="0" w:color="000000"/>
              <w:bottom w:val="single" w:sz="4" w:space="0" w:color="000000"/>
              <w:right w:val="single" w:sz="13" w:space="0" w:color="D2D2D2"/>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24" w:type="dxa"/>
            <w:tcBorders>
              <w:top w:val="single" w:sz="4" w:space="0" w:color="000000"/>
              <w:left w:val="single" w:sz="10" w:space="0" w:color="D2D2D2"/>
              <w:bottom w:val="single" w:sz="4" w:space="0" w:color="000000"/>
              <w:right w:val="single" w:sz="4" w:space="0" w:color="000000"/>
            </w:tcBorders>
            <w:shd w:val="clear" w:color="auto" w:fill="CCE8CC"/>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中华人民共和国法定货币人民币元</w:t>
            </w:r>
          </w:p>
        </w:tc>
      </w:tr>
      <w:tr>
        <w:trPr>
          <w:trHeight w:val="403" w:hRule="exact"/>
        </w:trPr>
        <w:tc>
          <w:tcPr>
            <w:tcW w:w="2123" w:type="dxa"/>
            <w:tcBorders>
              <w:top w:val="single" w:sz="4" w:space="0" w:color="000000"/>
              <w:left w:val="single" w:sz="4" w:space="0" w:color="000000"/>
              <w:bottom w:val="single" w:sz="4" w:space="0" w:color="000000"/>
              <w:right w:val="single" w:sz="13" w:space="0" w:color="D2D2D2"/>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广州御新</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24" w:type="dxa"/>
            <w:tcBorders>
              <w:top w:val="single" w:sz="4" w:space="0" w:color="000000"/>
              <w:left w:val="single" w:sz="10" w:space="0" w:color="D2D2D2"/>
              <w:bottom w:val="single" w:sz="4" w:space="0" w:color="000000"/>
              <w:right w:val="single" w:sz="4" w:space="0" w:color="000000"/>
            </w:tcBorders>
            <w:shd w:val="clear" w:color="auto" w:fill="CCE8CC"/>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广州御新软件有限公司，公司下属全资子公司，持有其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161" w:hRule="exact"/>
        </w:trPr>
        <w:tc>
          <w:tcPr>
            <w:tcW w:w="2123" w:type="dxa"/>
            <w:vMerge w:val="restart"/>
            <w:tcBorders>
              <w:top w:val="single" w:sz="4" w:space="0" w:color="000000"/>
              <w:left w:val="single" w:sz="4" w:space="0" w:color="000000"/>
              <w:right w:val="single" w:sz="9" w:space="0" w:color="D2D2D2"/>
            </w:tcBorders>
            <w:shd w:val="clear" w:color="auto" w:fill="CCE8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御银自动柜员机</w:t>
            </w:r>
          </w:p>
        </w:tc>
        <w:tc>
          <w:tcPr>
            <w:tcW w:w="71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24" w:type="dxa"/>
            <w:vMerge w:val="restart"/>
            <w:tcBorders>
              <w:top w:val="single" w:sz="4" w:space="0" w:color="000000"/>
              <w:left w:val="single" w:sz="10" w:space="0" w:color="D2D2D2"/>
              <w:right w:val="single" w:sz="4" w:space="0" w:color="000000"/>
            </w:tcBorders>
            <w:shd w:val="clear" w:color="auto" w:fill="CCE8CC"/>
          </w:tcPr>
          <w:p>
            <w:pPr>
              <w:pStyle w:val="TableParagraph"/>
              <w:spacing w:line="300" w:lineRule="auto" w:before="49"/>
              <w:ind w:left="15"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广州毅盟电子科技发展有限公司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广州御银自动柜员机技术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，公司下属全资子公司，通过广州御新持有其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392" w:hRule="exact"/>
        </w:trPr>
        <w:tc>
          <w:tcPr>
            <w:tcW w:w="2123" w:type="dxa"/>
            <w:vMerge/>
            <w:tcBorders>
              <w:left w:val="single" w:sz="4" w:space="0" w:color="000000"/>
              <w:right w:val="single" w:sz="9" w:space="0" w:color="D2D2D2"/>
            </w:tcBorders>
            <w:shd w:val="clear" w:color="auto" w:fill="CCE8CC"/>
          </w:tcPr>
          <w:p>
            <w:pPr/>
          </w:p>
        </w:tc>
        <w:tc>
          <w:tcPr>
            <w:tcW w:w="7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6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24" w:type="dxa"/>
            <w:vMerge/>
            <w:tcBorders>
              <w:left w:val="single" w:sz="10" w:space="0" w:color="D2D2D2"/>
              <w:right w:val="single" w:sz="4" w:space="0" w:color="000000"/>
            </w:tcBorders>
            <w:shd w:val="clear" w:color="auto" w:fill="CCE8CC"/>
          </w:tcPr>
          <w:p>
            <w:pPr/>
          </w:p>
        </w:tc>
      </w:tr>
      <w:tr>
        <w:trPr>
          <w:trHeight w:val="161" w:hRule="exact"/>
        </w:trPr>
        <w:tc>
          <w:tcPr>
            <w:tcW w:w="2123" w:type="dxa"/>
            <w:vMerge/>
            <w:tcBorders>
              <w:left w:val="single" w:sz="4" w:space="0" w:color="000000"/>
              <w:bottom w:val="single" w:sz="4" w:space="0" w:color="000000"/>
              <w:right w:val="single" w:sz="9" w:space="0" w:color="D2D2D2"/>
            </w:tcBorders>
            <w:shd w:val="clear" w:color="auto" w:fill="CCE8CC"/>
          </w:tcPr>
          <w:p>
            <w:pPr/>
          </w:p>
        </w:tc>
        <w:tc>
          <w:tcPr>
            <w:tcW w:w="71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24" w:type="dxa"/>
            <w:vMerge/>
            <w:tcBorders>
              <w:left w:val="single" w:sz="10" w:space="0" w:color="D2D2D2"/>
              <w:bottom w:val="single" w:sz="4" w:space="0" w:color="000000"/>
              <w:right w:val="single" w:sz="4" w:space="0" w:color="000000"/>
            </w:tcBorders>
            <w:shd w:val="clear" w:color="auto" w:fill="CCE8CC"/>
          </w:tcPr>
          <w:p>
            <w:pPr/>
          </w:p>
        </w:tc>
      </w:tr>
      <w:tr>
        <w:trPr>
          <w:trHeight w:val="403" w:hRule="exact"/>
        </w:trPr>
        <w:tc>
          <w:tcPr>
            <w:tcW w:w="2123" w:type="dxa"/>
            <w:tcBorders>
              <w:top w:val="single" w:sz="4" w:space="0" w:color="000000"/>
              <w:left w:val="single" w:sz="4" w:space="0" w:color="000000"/>
              <w:bottom w:val="single" w:sz="4" w:space="0" w:color="000000"/>
              <w:right w:val="single" w:sz="13" w:space="0" w:color="D2D2D2"/>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安徽御银</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24" w:type="dxa"/>
            <w:tcBorders>
              <w:top w:val="single" w:sz="4" w:space="0" w:color="000000"/>
              <w:left w:val="single" w:sz="10" w:space="0" w:color="D2D2D2"/>
              <w:bottom w:val="single" w:sz="4" w:space="0" w:color="000000"/>
              <w:right w:val="single" w:sz="4" w:space="0" w:color="000000"/>
            </w:tcBorders>
            <w:shd w:val="clear" w:color="auto" w:fill="CCE8CC"/>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安徽御银电子科技有限公司，公司下属全资子公司，持有其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161" w:hRule="exact"/>
        </w:trPr>
        <w:tc>
          <w:tcPr>
            <w:tcW w:w="2123" w:type="dxa"/>
            <w:vMerge w:val="restart"/>
            <w:tcBorders>
              <w:top w:val="single" w:sz="4" w:space="0" w:color="000000"/>
              <w:left w:val="single" w:sz="4" w:space="0" w:color="000000"/>
              <w:right w:val="single" w:sz="9" w:space="0" w:color="D2D2D2"/>
            </w:tcBorders>
            <w:shd w:val="clear" w:color="auto" w:fill="CCE8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御银金融</w:t>
            </w:r>
          </w:p>
        </w:tc>
        <w:tc>
          <w:tcPr>
            <w:tcW w:w="71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24" w:type="dxa"/>
            <w:vMerge w:val="restart"/>
            <w:tcBorders>
              <w:top w:val="single" w:sz="4" w:space="0" w:color="000000"/>
              <w:left w:val="single" w:sz="10" w:space="0" w:color="D2D2D2"/>
              <w:right w:val="single" w:sz="4" w:space="0" w:color="000000"/>
            </w:tcBorders>
            <w:shd w:val="clear" w:color="auto" w:fill="CCE8CC"/>
          </w:tcPr>
          <w:p>
            <w:pPr>
              <w:pStyle w:val="TableParagraph"/>
              <w:spacing w:line="300" w:lineRule="auto" w:before="49"/>
              <w:ind w:left="15" w:right="11"/>
              <w:jc w:val="left"/>
              <w:rPr>
                <w:rFonts w:ascii="宋体" w:hAnsi="宋体" w:cs="宋体" w:eastAsia="宋体" w:hint="default"/>
                <w:sz w:val="18"/>
                <w:szCs w:val="18"/>
              </w:rPr>
            </w:pPr>
            <w:r>
              <w:rPr>
                <w:rFonts w:ascii="宋体" w:hAnsi="宋体" w:cs="宋体" w:eastAsia="宋体" w:hint="default"/>
                <w:sz w:val="18"/>
                <w:szCs w:val="18"/>
              </w:rPr>
              <w:t>广州御银金融服务有限公司，公司下属全资子公司，直接持有其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股权，通过广州 御新持有其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股权，公司合共持有其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391" w:hRule="exact"/>
        </w:trPr>
        <w:tc>
          <w:tcPr>
            <w:tcW w:w="2123" w:type="dxa"/>
            <w:vMerge/>
            <w:tcBorders>
              <w:left w:val="single" w:sz="4" w:space="0" w:color="000000"/>
              <w:right w:val="single" w:sz="9" w:space="0" w:color="D2D2D2"/>
            </w:tcBorders>
            <w:shd w:val="clear" w:color="auto" w:fill="CCE8CC"/>
          </w:tcPr>
          <w:p>
            <w:pPr/>
          </w:p>
        </w:tc>
        <w:tc>
          <w:tcPr>
            <w:tcW w:w="7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6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24" w:type="dxa"/>
            <w:vMerge/>
            <w:tcBorders>
              <w:left w:val="single" w:sz="10" w:space="0" w:color="D2D2D2"/>
              <w:right w:val="single" w:sz="4" w:space="0" w:color="000000"/>
            </w:tcBorders>
            <w:shd w:val="clear" w:color="auto" w:fill="CCE8CC"/>
          </w:tcPr>
          <w:p>
            <w:pPr/>
          </w:p>
        </w:tc>
      </w:tr>
      <w:tr>
        <w:trPr>
          <w:trHeight w:val="161" w:hRule="exact"/>
        </w:trPr>
        <w:tc>
          <w:tcPr>
            <w:tcW w:w="2123" w:type="dxa"/>
            <w:vMerge/>
            <w:tcBorders>
              <w:left w:val="single" w:sz="4" w:space="0" w:color="000000"/>
              <w:bottom w:val="single" w:sz="4" w:space="0" w:color="000000"/>
              <w:right w:val="single" w:sz="9" w:space="0" w:color="D2D2D2"/>
            </w:tcBorders>
            <w:shd w:val="clear" w:color="auto" w:fill="CCE8CC"/>
          </w:tcPr>
          <w:p>
            <w:pPr/>
          </w:p>
        </w:tc>
        <w:tc>
          <w:tcPr>
            <w:tcW w:w="71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24" w:type="dxa"/>
            <w:vMerge/>
            <w:tcBorders>
              <w:left w:val="single" w:sz="10" w:space="0" w:color="D2D2D2"/>
              <w:bottom w:val="single" w:sz="4" w:space="0" w:color="000000"/>
              <w:right w:val="single" w:sz="4" w:space="0" w:color="000000"/>
            </w:tcBorders>
            <w:shd w:val="clear" w:color="auto" w:fill="CCE8CC"/>
          </w:tcPr>
          <w:p>
            <w:pPr/>
          </w:p>
        </w:tc>
      </w:tr>
      <w:tr>
        <w:trPr>
          <w:trHeight w:val="403" w:hRule="exact"/>
        </w:trPr>
        <w:tc>
          <w:tcPr>
            <w:tcW w:w="2123" w:type="dxa"/>
            <w:tcBorders>
              <w:top w:val="single" w:sz="4" w:space="0" w:color="000000"/>
              <w:left w:val="single" w:sz="4" w:space="0" w:color="000000"/>
              <w:bottom w:val="single" w:sz="4" w:space="0" w:color="000000"/>
              <w:right w:val="single" w:sz="13" w:space="0" w:color="D2D2D2"/>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御银国际</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24" w:type="dxa"/>
            <w:tcBorders>
              <w:top w:val="single" w:sz="4" w:space="0" w:color="000000"/>
              <w:left w:val="single" w:sz="10" w:space="0" w:color="D2D2D2"/>
              <w:bottom w:val="single" w:sz="4" w:space="0" w:color="000000"/>
              <w:right w:val="single" w:sz="4" w:space="0" w:color="000000"/>
            </w:tcBorders>
            <w:shd w:val="clear" w:color="auto" w:fill="CCE8CC"/>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御银（中国）科技国际有限公司，公司下属全资子公司，持有其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1" w:hRule="exact"/>
        </w:trPr>
        <w:tc>
          <w:tcPr>
            <w:tcW w:w="2123" w:type="dxa"/>
            <w:tcBorders>
              <w:top w:val="single" w:sz="4" w:space="0" w:color="000000"/>
              <w:left w:val="single" w:sz="4" w:space="0" w:color="000000"/>
              <w:bottom w:val="single" w:sz="4" w:space="0" w:color="000000"/>
              <w:right w:val="single" w:sz="13" w:space="0" w:color="D2D2D2"/>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先端科技</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24" w:type="dxa"/>
            <w:tcBorders>
              <w:top w:val="single" w:sz="4" w:space="0" w:color="000000"/>
              <w:left w:val="single" w:sz="10" w:space="0" w:color="D2D2D2"/>
              <w:bottom w:val="single" w:sz="4" w:space="0" w:color="000000"/>
              <w:right w:val="single" w:sz="4" w:space="0" w:color="000000"/>
            </w:tcBorders>
            <w:shd w:val="clear" w:color="auto" w:fill="CCE8CC"/>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广州御银先端电子科技有限公司，公司下属全资子公司，持有其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3" w:hRule="exact"/>
        </w:trPr>
        <w:tc>
          <w:tcPr>
            <w:tcW w:w="2123" w:type="dxa"/>
            <w:tcBorders>
              <w:top w:val="single" w:sz="4" w:space="0" w:color="000000"/>
              <w:left w:val="single" w:sz="4" w:space="0" w:color="000000"/>
              <w:bottom w:val="single" w:sz="4" w:space="0" w:color="000000"/>
              <w:right w:val="single" w:sz="13" w:space="0" w:color="D2D2D2"/>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御银香港</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24" w:type="dxa"/>
            <w:tcBorders>
              <w:top w:val="single" w:sz="4" w:space="0" w:color="000000"/>
              <w:left w:val="single" w:sz="10" w:space="0" w:color="D2D2D2"/>
              <w:bottom w:val="single" w:sz="4" w:space="0" w:color="000000"/>
              <w:right w:val="single" w:sz="4" w:space="0" w:color="000000"/>
            </w:tcBorders>
            <w:shd w:val="clear" w:color="auto" w:fill="CCE8CC"/>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御银科技（香港）有限公司，公司下属全资子公司，通过御银国际持有其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1" w:hRule="exact"/>
        </w:trPr>
        <w:tc>
          <w:tcPr>
            <w:tcW w:w="2123" w:type="dxa"/>
            <w:tcBorders>
              <w:top w:val="single" w:sz="4" w:space="0" w:color="000000"/>
              <w:left w:val="single" w:sz="4" w:space="0" w:color="000000"/>
              <w:bottom w:val="single" w:sz="4" w:space="0" w:color="000000"/>
              <w:right w:val="single" w:sz="13" w:space="0" w:color="D2D2D2"/>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青年御银</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24" w:type="dxa"/>
            <w:tcBorders>
              <w:top w:val="single" w:sz="4" w:space="0" w:color="000000"/>
              <w:left w:val="single" w:sz="10" w:space="0" w:color="D2D2D2"/>
              <w:bottom w:val="single" w:sz="4" w:space="0" w:color="000000"/>
              <w:right w:val="single" w:sz="4" w:space="0" w:color="000000"/>
            </w:tcBorders>
            <w:shd w:val="clear" w:color="auto" w:fill="CCE8CC"/>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北京青年御银科技有限责任公司，公司下属全资子公司，持有其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161" w:hRule="exact"/>
        </w:trPr>
        <w:tc>
          <w:tcPr>
            <w:tcW w:w="2123" w:type="dxa"/>
            <w:vMerge w:val="restart"/>
            <w:tcBorders>
              <w:top w:val="single" w:sz="4" w:space="0" w:color="000000"/>
              <w:left w:val="single" w:sz="4" w:space="0" w:color="000000"/>
              <w:right w:val="single" w:sz="9" w:space="0" w:color="D2D2D2"/>
            </w:tcBorders>
            <w:shd w:val="clear" w:color="auto" w:fill="CCE8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深圳信威</w:t>
            </w:r>
          </w:p>
        </w:tc>
        <w:tc>
          <w:tcPr>
            <w:tcW w:w="71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24" w:type="dxa"/>
            <w:vMerge w:val="restart"/>
            <w:tcBorders>
              <w:top w:val="single" w:sz="4" w:space="0" w:color="000000"/>
              <w:left w:val="single" w:sz="10" w:space="0" w:color="D2D2D2"/>
              <w:right w:val="single" w:sz="4" w:space="0" w:color="000000"/>
            </w:tcBorders>
            <w:shd w:val="clear" w:color="auto" w:fill="CCE8CC"/>
          </w:tcPr>
          <w:p>
            <w:pPr>
              <w:pStyle w:val="TableParagraph"/>
              <w:spacing w:line="300" w:lineRule="auto" w:before="49"/>
              <w:ind w:left="15" w:right="14"/>
              <w:jc w:val="left"/>
              <w:rPr>
                <w:rFonts w:ascii="宋体" w:hAnsi="宋体" w:cs="宋体" w:eastAsia="宋体" w:hint="default"/>
                <w:sz w:val="18"/>
                <w:szCs w:val="18"/>
              </w:rPr>
            </w:pPr>
            <w:r>
              <w:rPr>
                <w:rFonts w:ascii="宋体" w:hAnsi="宋体" w:cs="宋体" w:eastAsia="宋体" w:hint="default"/>
                <w:sz w:val="18"/>
                <w:szCs w:val="18"/>
              </w:rPr>
              <w:t>深圳市信威电子有限公司，参股公司，持有其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宋体" w:hAnsi="宋体" w:cs="宋体" w:eastAsia="宋体" w:hint="default"/>
                <w:sz w:val="18"/>
                <w:szCs w:val="18"/>
              </w:rPr>
              <w:t>股权由深圳市信威电子有限公司赎 回</w:t>
            </w:r>
          </w:p>
        </w:tc>
      </w:tr>
      <w:tr>
        <w:trPr>
          <w:trHeight w:val="394" w:hRule="exact"/>
        </w:trPr>
        <w:tc>
          <w:tcPr>
            <w:tcW w:w="2123" w:type="dxa"/>
            <w:vMerge/>
            <w:tcBorders>
              <w:left w:val="single" w:sz="4" w:space="0" w:color="000000"/>
              <w:right w:val="single" w:sz="9" w:space="0" w:color="D2D2D2"/>
            </w:tcBorders>
            <w:shd w:val="clear" w:color="auto" w:fill="CCE8CC"/>
          </w:tcPr>
          <w:p>
            <w:pPr/>
          </w:p>
        </w:tc>
        <w:tc>
          <w:tcPr>
            <w:tcW w:w="7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6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24" w:type="dxa"/>
            <w:vMerge/>
            <w:tcBorders>
              <w:left w:val="single" w:sz="10" w:space="0" w:color="D2D2D2"/>
              <w:right w:val="single" w:sz="4" w:space="0" w:color="000000"/>
            </w:tcBorders>
            <w:shd w:val="clear" w:color="auto" w:fill="CCE8CC"/>
          </w:tcPr>
          <w:p>
            <w:pPr/>
          </w:p>
        </w:tc>
      </w:tr>
      <w:tr>
        <w:trPr>
          <w:trHeight w:val="161" w:hRule="exact"/>
        </w:trPr>
        <w:tc>
          <w:tcPr>
            <w:tcW w:w="2123" w:type="dxa"/>
            <w:vMerge/>
            <w:tcBorders>
              <w:left w:val="single" w:sz="4" w:space="0" w:color="000000"/>
              <w:bottom w:val="single" w:sz="4" w:space="0" w:color="000000"/>
              <w:right w:val="single" w:sz="9" w:space="0" w:color="D2D2D2"/>
            </w:tcBorders>
            <w:shd w:val="clear" w:color="auto" w:fill="CCE8CC"/>
          </w:tcPr>
          <w:p>
            <w:pPr/>
          </w:p>
        </w:tc>
        <w:tc>
          <w:tcPr>
            <w:tcW w:w="71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24" w:type="dxa"/>
            <w:vMerge/>
            <w:tcBorders>
              <w:left w:val="single" w:sz="10" w:space="0" w:color="D2D2D2"/>
              <w:bottom w:val="single" w:sz="4" w:space="0" w:color="000000"/>
              <w:right w:val="single" w:sz="4" w:space="0" w:color="000000"/>
            </w:tcBorders>
            <w:shd w:val="clear" w:color="auto" w:fill="CCE8CC"/>
          </w:tcPr>
          <w:p>
            <w:pPr/>
          </w:p>
        </w:tc>
      </w:tr>
      <w:tr>
        <w:trPr>
          <w:trHeight w:val="161" w:hRule="exact"/>
        </w:trPr>
        <w:tc>
          <w:tcPr>
            <w:tcW w:w="2123" w:type="dxa"/>
            <w:vMerge w:val="restart"/>
            <w:tcBorders>
              <w:top w:val="single" w:sz="4" w:space="0" w:color="000000"/>
              <w:left w:val="single" w:sz="4" w:space="0" w:color="000000"/>
              <w:right w:val="single" w:sz="9" w:space="0" w:color="D2D2D2"/>
            </w:tcBorders>
            <w:shd w:val="clear" w:color="auto" w:fill="CCE8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星河生物</w:t>
            </w:r>
          </w:p>
        </w:tc>
        <w:tc>
          <w:tcPr>
            <w:tcW w:w="71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24" w:type="dxa"/>
            <w:vMerge w:val="restart"/>
            <w:tcBorders>
              <w:top w:val="single" w:sz="4" w:space="0" w:color="000000"/>
              <w:left w:val="single" w:sz="10" w:space="0" w:color="D2D2D2"/>
              <w:right w:val="single" w:sz="4" w:space="0" w:color="000000"/>
            </w:tcBorders>
            <w:shd w:val="clear" w:color="auto" w:fill="CCE8CC"/>
          </w:tcPr>
          <w:p>
            <w:pPr>
              <w:pStyle w:val="TableParagraph"/>
              <w:spacing w:line="300" w:lineRule="auto" w:before="49"/>
              <w:ind w:left="15"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广东菇木真生物科技股份有限公司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广东星河生物科技股份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，参股公司，截止报告期末，通过广州御新持有其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5.89%</w:t>
            </w:r>
            <w:r>
              <w:rPr>
                <w:rFonts w:ascii="宋体" w:hAnsi="宋体" w:cs="宋体" w:eastAsia="宋体" w:hint="default"/>
                <w:sz w:val="18"/>
                <w:szCs w:val="18"/>
              </w:rPr>
              <w:t>股权</w:t>
            </w:r>
          </w:p>
        </w:tc>
      </w:tr>
      <w:tr>
        <w:trPr>
          <w:trHeight w:val="391" w:hRule="exact"/>
        </w:trPr>
        <w:tc>
          <w:tcPr>
            <w:tcW w:w="2123" w:type="dxa"/>
            <w:vMerge/>
            <w:tcBorders>
              <w:left w:val="single" w:sz="4" w:space="0" w:color="000000"/>
              <w:right w:val="single" w:sz="9" w:space="0" w:color="D2D2D2"/>
            </w:tcBorders>
            <w:shd w:val="clear" w:color="auto" w:fill="CCE8CC"/>
          </w:tcPr>
          <w:p>
            <w:pPr/>
          </w:p>
        </w:tc>
        <w:tc>
          <w:tcPr>
            <w:tcW w:w="7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6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24" w:type="dxa"/>
            <w:vMerge/>
            <w:tcBorders>
              <w:left w:val="single" w:sz="10" w:space="0" w:color="D2D2D2"/>
              <w:right w:val="single" w:sz="4" w:space="0" w:color="000000"/>
            </w:tcBorders>
            <w:shd w:val="clear" w:color="auto" w:fill="CCE8CC"/>
          </w:tcPr>
          <w:p>
            <w:pPr/>
          </w:p>
        </w:tc>
      </w:tr>
      <w:tr>
        <w:trPr>
          <w:trHeight w:val="161" w:hRule="exact"/>
        </w:trPr>
        <w:tc>
          <w:tcPr>
            <w:tcW w:w="2123" w:type="dxa"/>
            <w:vMerge/>
            <w:tcBorders>
              <w:left w:val="single" w:sz="4" w:space="0" w:color="000000"/>
              <w:bottom w:val="single" w:sz="4" w:space="0" w:color="000000"/>
              <w:right w:val="single" w:sz="9" w:space="0" w:color="D2D2D2"/>
            </w:tcBorders>
            <w:shd w:val="clear" w:color="auto" w:fill="CCE8CC"/>
          </w:tcPr>
          <w:p>
            <w:pPr/>
          </w:p>
        </w:tc>
        <w:tc>
          <w:tcPr>
            <w:tcW w:w="71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24" w:type="dxa"/>
            <w:vMerge/>
            <w:tcBorders>
              <w:left w:val="single" w:sz="10" w:space="0" w:color="D2D2D2"/>
              <w:bottom w:val="single" w:sz="4" w:space="0" w:color="000000"/>
              <w:right w:val="single" w:sz="4" w:space="0" w:color="000000"/>
            </w:tcBorders>
            <w:shd w:val="clear" w:color="auto" w:fill="CCE8CC"/>
          </w:tcPr>
          <w:p>
            <w:pPr/>
          </w:p>
        </w:tc>
      </w:tr>
      <w:tr>
        <w:trPr>
          <w:trHeight w:val="403" w:hRule="exact"/>
        </w:trPr>
        <w:tc>
          <w:tcPr>
            <w:tcW w:w="2123" w:type="dxa"/>
            <w:tcBorders>
              <w:top w:val="single" w:sz="4" w:space="0" w:color="000000"/>
              <w:left w:val="single" w:sz="4" w:space="0" w:color="000000"/>
              <w:bottom w:val="single" w:sz="4" w:space="0" w:color="000000"/>
              <w:right w:val="single" w:sz="13" w:space="0" w:color="D2D2D2"/>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上海博科</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24" w:type="dxa"/>
            <w:tcBorders>
              <w:top w:val="single" w:sz="4" w:space="0" w:color="000000"/>
              <w:left w:val="single" w:sz="10" w:space="0" w:color="D2D2D2"/>
              <w:bottom w:val="single" w:sz="4" w:space="0" w:color="000000"/>
              <w:right w:val="single" w:sz="4" w:space="0" w:color="000000"/>
            </w:tcBorders>
            <w:shd w:val="clear" w:color="auto" w:fill="CCE8CC"/>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上海博科资讯股份有限公司，参股公司，通过广州御新持有其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1.556%</w:t>
            </w:r>
            <w:r>
              <w:rPr>
                <w:rFonts w:ascii="宋体" w:hAnsi="宋体" w:cs="宋体" w:eastAsia="宋体" w:hint="default"/>
                <w:sz w:val="18"/>
                <w:szCs w:val="18"/>
              </w:rPr>
              <w:t>股权</w:t>
            </w:r>
          </w:p>
        </w:tc>
      </w:tr>
      <w:tr>
        <w:trPr>
          <w:trHeight w:val="401" w:hRule="exact"/>
        </w:trPr>
        <w:tc>
          <w:tcPr>
            <w:tcW w:w="2123" w:type="dxa"/>
            <w:tcBorders>
              <w:top w:val="single" w:sz="4" w:space="0" w:color="000000"/>
              <w:left w:val="single" w:sz="4" w:space="0" w:color="000000"/>
              <w:bottom w:val="single" w:sz="4" w:space="0" w:color="000000"/>
              <w:right w:val="single" w:sz="13" w:space="0" w:color="D2D2D2"/>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花都村镇银行</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24" w:type="dxa"/>
            <w:tcBorders>
              <w:top w:val="single" w:sz="4" w:space="0" w:color="000000"/>
              <w:left w:val="single" w:sz="10" w:space="0" w:color="D2D2D2"/>
              <w:bottom w:val="single" w:sz="4" w:space="0" w:color="000000"/>
              <w:right w:val="single" w:sz="4" w:space="0" w:color="000000"/>
            </w:tcBorders>
            <w:shd w:val="clear" w:color="auto" w:fill="CCE8CC"/>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广州花都稠州村镇银行股份有限公司，参股公司，持有其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股权</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0"/>
        <w:ind w:left="0" w:right="0"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1"/>
        <w:rPr>
          <w:rFonts w:ascii="宋体" w:hAnsi="宋体" w:cs="宋体" w:eastAsia="宋体" w:hint="default"/>
          <w:b/>
          <w:bCs/>
          <w:sz w:val="26"/>
          <w:szCs w:val="26"/>
        </w:rPr>
      </w:pPr>
    </w:p>
    <w:p>
      <w:pPr>
        <w:spacing w:line="398" w:lineRule="auto" w:before="0"/>
        <w:ind w:left="152" w:right="151" w:firstLine="1130"/>
        <w:jc w:val="both"/>
        <w:rPr>
          <w:rFonts w:ascii="宋体" w:hAnsi="宋体" w:cs="宋体" w:eastAsia="宋体" w:hint="default"/>
          <w:sz w:val="28"/>
          <w:szCs w:val="28"/>
        </w:rPr>
      </w:pPr>
      <w:r>
        <w:rPr>
          <w:rFonts w:ascii="宋体" w:hAnsi="宋体" w:cs="宋体" w:eastAsia="宋体" w:hint="default"/>
          <w:b/>
          <w:bCs/>
          <w:spacing w:val="2"/>
          <w:sz w:val="28"/>
          <w:szCs w:val="28"/>
        </w:rPr>
        <w:t>可能存在国家政策、行业竞争、市场等风险，有关风险因素内容与对</w:t>
      </w:r>
      <w:r>
        <w:rPr>
          <w:rFonts w:ascii="宋体" w:hAnsi="宋体" w:cs="宋体" w:eastAsia="宋体" w:hint="default"/>
          <w:b/>
          <w:bCs/>
          <w:w w:val="99"/>
          <w:sz w:val="28"/>
          <w:szCs w:val="28"/>
        </w:rPr>
        <w:t> </w:t>
      </w:r>
      <w:r>
        <w:rPr>
          <w:rFonts w:ascii="宋体" w:hAnsi="宋体" w:cs="宋体" w:eastAsia="宋体" w:hint="default"/>
          <w:b/>
          <w:bCs/>
          <w:spacing w:val="2"/>
          <w:sz w:val="28"/>
          <w:szCs w:val="28"/>
        </w:rPr>
        <w:t>策措施已在本报告中第四节</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董事会报告</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部分予以描述。敬请广大投资者注意</w:t>
      </w:r>
      <w:r>
        <w:rPr>
          <w:rFonts w:ascii="宋体" w:hAnsi="宋体" w:cs="宋体" w:eastAsia="宋体" w:hint="default"/>
          <w:b/>
          <w:bCs/>
          <w:spacing w:val="2"/>
          <w:w w:val="99"/>
          <w:sz w:val="28"/>
          <w:szCs w:val="28"/>
        </w:rPr>
        <w:t> </w:t>
      </w:r>
      <w:r>
        <w:rPr>
          <w:rFonts w:ascii="宋体" w:hAnsi="宋体" w:cs="宋体" w:eastAsia="宋体" w:hint="default"/>
          <w:b/>
          <w:bCs/>
          <w:sz w:val="28"/>
          <w:szCs w:val="28"/>
        </w:rPr>
        <w:t>投资风险。</w:t>
      </w:r>
      <w:r>
        <w:rPr>
          <w:rFonts w:ascii="宋体" w:hAnsi="宋体" w:cs="宋体" w:eastAsia="宋体" w:hint="default"/>
          <w:sz w:val="28"/>
          <w:szCs w:val="28"/>
        </w:rPr>
      </w:r>
    </w:p>
    <w:p>
      <w:pPr>
        <w:spacing w:after="0" w:line="398" w:lineRule="auto"/>
        <w:jc w:val="both"/>
        <w:rPr>
          <w:rFonts w:ascii="宋体" w:hAnsi="宋体" w:cs="宋体" w:eastAsia="宋体" w:hint="default"/>
          <w:sz w:val="28"/>
          <w:szCs w:val="2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r>
        <w:rPr/>
        <w:pict>
          <v:shape style="position:absolute;margin-left:137.883011pt;margin-top:269.78598pt;width:396pt;height:19.6pt;mso-position-horizontal-relative:page;mso-position-vertical-relative:page;z-index:-831232" type="#_x0000_t202" filled="false" stroked="false">
            <v:textbox inset="0,0,0,0">
              <w:txbxContent>
                <w:p>
                  <w:pPr>
                    <w:pStyle w:val="BodyText"/>
                    <w:spacing w:line="240" w:lineRule="auto" w:before="49"/>
                    <w:ind w:left="0" w:right="0"/>
                    <w:jc w:val="left"/>
                  </w:pPr>
                  <w:r>
                    <w:rPr/>
                    <w:t>（如有）</w:t>
                  </w: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1"/>
        <w:spacing w:line="240" w:lineRule="auto"/>
        <w:ind w:left="1" w:right="0"/>
        <w:jc w:val="center"/>
        <w:rPr>
          <w:b w:val="0"/>
          <w:bCs w:val="0"/>
        </w:rPr>
      </w:pPr>
      <w:bookmarkStart w:name="_TOC_250009" w:id="2"/>
      <w:r>
        <w:rPr/>
        <w:t>第二节</w:t>
      </w:r>
      <w:r>
        <w:rPr>
          <w:spacing w:val="-2"/>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44"/>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0"/>
        <w:gridCol w:w="2976"/>
        <w:gridCol w:w="2137"/>
        <w:gridCol w:w="2187"/>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shd w:val="clear" w:color="auto" w:fill="CCE8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御银股份</w:t>
            </w: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7" w:type="dxa"/>
            <w:tcBorders>
              <w:top w:val="single" w:sz="4" w:space="0" w:color="000000"/>
              <w:left w:val="single" w:sz="12" w:space="0" w:color="D2D2D2"/>
              <w:bottom w:val="single" w:sz="4" w:space="0" w:color="000000"/>
              <w:right w:val="single" w:sz="4" w:space="0" w:color="000000"/>
            </w:tcBorders>
            <w:shd w:val="clear" w:color="auto" w:fill="CCE8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002177</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9" w:type="dxa"/>
            <w:gridSpan w:val="3"/>
            <w:tcBorders>
              <w:top w:val="single" w:sz="4" w:space="0" w:color="000000"/>
              <w:left w:val="single" w:sz="9" w:space="0" w:color="D2D2D2"/>
              <w:bottom w:val="single" w:sz="4" w:space="0" w:color="000000"/>
              <w:right w:val="single" w:sz="4" w:space="0" w:color="000000"/>
            </w:tcBorders>
            <w:shd w:val="clear" w:color="auto" w:fill="CCE8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御银股份</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9" w:type="dxa"/>
            <w:gridSpan w:val="3"/>
            <w:tcBorders>
              <w:top w:val="single" w:sz="4" w:space="0" w:color="000000"/>
              <w:left w:val="single" w:sz="9" w:space="0" w:color="D2D2D2"/>
              <w:bottom w:val="single" w:sz="4" w:space="0" w:color="000000"/>
              <w:right w:val="single" w:sz="4" w:space="0" w:color="000000"/>
            </w:tcBorders>
            <w:shd w:val="clear" w:color="auto" w:fill="CCE8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Guangzhou Kingteller Technology</w:t>
            </w:r>
            <w:r>
              <w:rPr>
                <w:rFonts w:ascii="Times New Roman"/>
                <w:spacing w:val="-27"/>
                <w:sz w:val="18"/>
              </w:rPr>
              <w:t> </w:t>
            </w:r>
            <w:r>
              <w:rPr>
                <w:rFonts w:ascii="Times New Roman"/>
                <w:sz w:val="18"/>
              </w:rPr>
              <w:t>Co.,Ltd.</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99" w:type="dxa"/>
            <w:gridSpan w:val="3"/>
            <w:tcBorders>
              <w:top w:val="single" w:sz="4" w:space="0" w:color="000000"/>
              <w:left w:val="single" w:sz="9" w:space="0" w:color="D2D2D2"/>
              <w:bottom w:val="single" w:sz="4" w:space="0" w:color="000000"/>
              <w:right w:val="single" w:sz="4" w:space="0" w:color="000000"/>
            </w:tcBorders>
            <w:shd w:val="clear" w:color="auto" w:fill="CCE8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KINGTELLER</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9" w:type="dxa"/>
            <w:gridSpan w:val="3"/>
            <w:tcBorders>
              <w:top w:val="single" w:sz="4" w:space="0" w:color="000000"/>
              <w:left w:val="single" w:sz="9" w:space="0" w:color="D2D2D2"/>
              <w:bottom w:val="single" w:sz="4" w:space="0" w:color="000000"/>
              <w:right w:val="single" w:sz="4" w:space="0" w:color="000000"/>
            </w:tcBorders>
            <w:shd w:val="clear" w:color="auto" w:fill="CCE8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杨文江</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9" w:type="dxa"/>
            <w:gridSpan w:val="3"/>
            <w:tcBorders>
              <w:top w:val="single" w:sz="4" w:space="0" w:color="000000"/>
              <w:left w:val="single" w:sz="9" w:space="0" w:color="D2D2D2"/>
              <w:bottom w:val="single" w:sz="4" w:space="0" w:color="000000"/>
              <w:right w:val="single" w:sz="4" w:space="0" w:color="000000"/>
            </w:tcBorders>
            <w:shd w:val="clear" w:color="auto" w:fill="CCE8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广东省广州市五山路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248 </w:t>
            </w:r>
            <w:r>
              <w:rPr>
                <w:rFonts w:ascii="宋体" w:hAnsi="宋体" w:cs="宋体" w:eastAsia="宋体" w:hint="default"/>
                <w:sz w:val="18"/>
                <w:szCs w:val="18"/>
              </w:rPr>
              <w:t>号金山大厦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宋体" w:hAnsi="宋体" w:cs="宋体" w:eastAsia="宋体" w:hint="default"/>
                <w:sz w:val="18"/>
                <w:szCs w:val="18"/>
              </w:rPr>
              <w:t>、</w:t>
            </w:r>
            <w:r>
              <w:rPr>
                <w:rFonts w:ascii="Times New Roman" w:hAnsi="Times New Roman" w:cs="Times New Roman" w:eastAsia="Times New Roman" w:hint="default"/>
                <w:sz w:val="18"/>
                <w:szCs w:val="18"/>
              </w:rPr>
              <w:t>10 </w:t>
            </w:r>
            <w:r>
              <w:rPr>
                <w:rFonts w:ascii="宋体" w:hAnsi="宋体" w:cs="宋体" w:eastAsia="宋体" w:hint="default"/>
                <w:sz w:val="18"/>
                <w:szCs w:val="18"/>
              </w:rPr>
              <w:t>房</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9" w:type="dxa"/>
            <w:gridSpan w:val="3"/>
            <w:tcBorders>
              <w:top w:val="single" w:sz="4" w:space="0" w:color="000000"/>
              <w:left w:val="single" w:sz="9" w:space="0" w:color="D2D2D2"/>
              <w:bottom w:val="single" w:sz="4" w:space="0" w:color="000000"/>
              <w:right w:val="single" w:sz="4" w:space="0" w:color="000000"/>
            </w:tcBorders>
            <w:shd w:val="clear" w:color="auto" w:fill="CCE8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510640</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9" w:type="dxa"/>
            <w:gridSpan w:val="3"/>
            <w:tcBorders>
              <w:top w:val="single" w:sz="4" w:space="0" w:color="000000"/>
              <w:left w:val="single" w:sz="9" w:space="0" w:color="D2D2D2"/>
              <w:bottom w:val="single" w:sz="4" w:space="0" w:color="000000"/>
              <w:right w:val="single" w:sz="4" w:space="0" w:color="000000"/>
            </w:tcBorders>
            <w:shd w:val="clear" w:color="auto" w:fill="CCE8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广东省广州市五山路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248 </w:t>
            </w:r>
            <w:r>
              <w:rPr>
                <w:rFonts w:ascii="宋体" w:hAnsi="宋体" w:cs="宋体" w:eastAsia="宋体" w:hint="default"/>
                <w:sz w:val="18"/>
                <w:szCs w:val="18"/>
              </w:rPr>
              <w:t>号金山大厦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楼</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9" w:type="dxa"/>
            <w:gridSpan w:val="3"/>
            <w:tcBorders>
              <w:top w:val="single" w:sz="4" w:space="0" w:color="000000"/>
              <w:left w:val="single" w:sz="9" w:space="0" w:color="D2D2D2"/>
              <w:bottom w:val="single" w:sz="4" w:space="0" w:color="000000"/>
              <w:right w:val="single" w:sz="4" w:space="0" w:color="000000"/>
            </w:tcBorders>
            <w:shd w:val="clear" w:color="auto" w:fill="CCE8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510640</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9" w:type="dxa"/>
            <w:gridSpan w:val="3"/>
            <w:tcBorders>
              <w:top w:val="single" w:sz="4" w:space="0" w:color="000000"/>
              <w:left w:val="single" w:sz="9" w:space="0" w:color="D2D2D2"/>
              <w:bottom w:val="single" w:sz="4" w:space="0" w:color="000000"/>
              <w:right w:val="single" w:sz="4" w:space="0" w:color="000000"/>
            </w:tcBorders>
            <w:shd w:val="clear" w:color="auto" w:fill="CCE8CC"/>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http://www.kingteller.com.cn</w:t>
              </w:r>
            </w:hyperlink>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9" w:type="dxa"/>
            <w:gridSpan w:val="3"/>
            <w:tcBorders>
              <w:top w:val="single" w:sz="4" w:space="0" w:color="000000"/>
              <w:left w:val="single" w:sz="9" w:space="0" w:color="D2D2D2"/>
              <w:bottom w:val="single" w:sz="4" w:space="0" w:color="000000"/>
              <w:right w:val="single" w:sz="4" w:space="0" w:color="000000"/>
            </w:tcBorders>
            <w:shd w:val="clear" w:color="auto" w:fill="CCE8CC"/>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zqb@kingteller.com.cn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44"/>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80"/>
        <w:gridCol w:w="3614"/>
        <w:gridCol w:w="2755"/>
      </w:tblGrid>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2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8"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80" w:type="dxa"/>
            <w:tcBorders>
              <w:top w:val="single" w:sz="4" w:space="0" w:color="000000"/>
              <w:left w:val="single" w:sz="4" w:space="0" w:color="000000"/>
              <w:bottom w:val="single" w:sz="4" w:space="0" w:color="000000"/>
              <w:right w:val="single" w:sz="10" w:space="0" w:color="CCE8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614" w:type="dxa"/>
            <w:tcBorders>
              <w:top w:val="single" w:sz="4" w:space="0" w:color="000000"/>
              <w:left w:val="single" w:sz="12" w:space="0" w:color="D2D2D2"/>
              <w:bottom w:val="single" w:sz="4" w:space="0" w:color="000000"/>
              <w:right w:val="single" w:sz="4" w:space="0" w:color="000000"/>
            </w:tcBorders>
            <w:shd w:val="clear" w:color="auto" w:fill="CCE8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谭 </w:t>
            </w:r>
            <w:r>
              <w:rPr>
                <w:rFonts w:ascii="宋体" w:hAnsi="宋体" w:cs="宋体" w:eastAsia="宋体" w:hint="default"/>
                <w:spacing w:val="2"/>
                <w:sz w:val="18"/>
                <w:szCs w:val="18"/>
              </w:rPr>
              <w:t> </w:t>
            </w:r>
            <w:r>
              <w:rPr>
                <w:rFonts w:ascii="宋体" w:hAnsi="宋体" w:cs="宋体" w:eastAsia="宋体" w:hint="default"/>
                <w:sz w:val="18"/>
                <w:szCs w:val="18"/>
              </w:rPr>
              <w:t>骅</w:t>
            </w:r>
          </w:p>
        </w:tc>
        <w:tc>
          <w:tcPr>
            <w:tcW w:w="2755"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3" w:hRule="exact"/>
        </w:trPr>
        <w:tc>
          <w:tcPr>
            <w:tcW w:w="3180" w:type="dxa"/>
            <w:tcBorders>
              <w:top w:val="single" w:sz="4" w:space="0" w:color="000000"/>
              <w:left w:val="single" w:sz="4" w:space="0" w:color="000000"/>
              <w:bottom w:val="single" w:sz="4" w:space="0" w:color="000000"/>
              <w:right w:val="single" w:sz="10" w:space="0" w:color="CCE8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614" w:type="dxa"/>
            <w:tcBorders>
              <w:top w:val="single" w:sz="4" w:space="0" w:color="000000"/>
              <w:left w:val="single" w:sz="12" w:space="0" w:color="D2D2D2"/>
              <w:bottom w:val="single" w:sz="4" w:space="0" w:color="000000"/>
              <w:right w:val="single" w:sz="4" w:space="0" w:color="000000"/>
            </w:tcBorders>
            <w:shd w:val="clear" w:color="auto" w:fill="CCE8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广东省广州市五山路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248 </w:t>
            </w:r>
            <w:r>
              <w:rPr>
                <w:rFonts w:ascii="宋体" w:hAnsi="宋体" w:cs="宋体" w:eastAsia="宋体" w:hint="default"/>
                <w:sz w:val="18"/>
                <w:szCs w:val="18"/>
              </w:rPr>
              <w:t>号金山大厦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楼</w:t>
            </w:r>
          </w:p>
        </w:tc>
        <w:tc>
          <w:tcPr>
            <w:tcW w:w="2755"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1" w:hRule="exact"/>
        </w:trPr>
        <w:tc>
          <w:tcPr>
            <w:tcW w:w="3180" w:type="dxa"/>
            <w:tcBorders>
              <w:top w:val="single" w:sz="4" w:space="0" w:color="000000"/>
              <w:left w:val="single" w:sz="4" w:space="0" w:color="000000"/>
              <w:bottom w:val="single" w:sz="4" w:space="0" w:color="000000"/>
              <w:right w:val="single" w:sz="10" w:space="0" w:color="CCE8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614" w:type="dxa"/>
            <w:tcBorders>
              <w:top w:val="single" w:sz="4" w:space="0" w:color="000000"/>
              <w:left w:val="single" w:sz="12" w:space="0" w:color="D2D2D2"/>
              <w:bottom w:val="single" w:sz="4" w:space="0" w:color="000000"/>
              <w:right w:val="single" w:sz="4" w:space="0" w:color="000000"/>
            </w:tcBorders>
            <w:shd w:val="clear" w:color="auto" w:fill="CCE8CC"/>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020-38468722</w:t>
            </w:r>
          </w:p>
        </w:tc>
        <w:tc>
          <w:tcPr>
            <w:tcW w:w="2755"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3" w:hRule="exact"/>
        </w:trPr>
        <w:tc>
          <w:tcPr>
            <w:tcW w:w="3180" w:type="dxa"/>
            <w:tcBorders>
              <w:top w:val="single" w:sz="4" w:space="0" w:color="000000"/>
              <w:left w:val="single" w:sz="4" w:space="0" w:color="000000"/>
              <w:bottom w:val="single" w:sz="4" w:space="0" w:color="000000"/>
              <w:right w:val="single" w:sz="10" w:space="0" w:color="CCE8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614" w:type="dxa"/>
            <w:tcBorders>
              <w:top w:val="single" w:sz="4" w:space="0" w:color="000000"/>
              <w:left w:val="single" w:sz="12" w:space="0" w:color="D2D2D2"/>
              <w:bottom w:val="single" w:sz="4" w:space="0" w:color="000000"/>
              <w:right w:val="single" w:sz="4" w:space="0" w:color="000000"/>
            </w:tcBorders>
            <w:shd w:val="clear" w:color="auto" w:fill="CCE8CC"/>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020-85588349</w:t>
            </w:r>
          </w:p>
        </w:tc>
        <w:tc>
          <w:tcPr>
            <w:tcW w:w="2755"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1" w:hRule="exact"/>
        </w:trPr>
        <w:tc>
          <w:tcPr>
            <w:tcW w:w="3180" w:type="dxa"/>
            <w:tcBorders>
              <w:top w:val="single" w:sz="4" w:space="0" w:color="000000"/>
              <w:left w:val="single" w:sz="4" w:space="0" w:color="000000"/>
              <w:bottom w:val="single" w:sz="4" w:space="0" w:color="000000"/>
              <w:right w:val="single" w:sz="10" w:space="0" w:color="CCE8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614" w:type="dxa"/>
            <w:tcBorders>
              <w:top w:val="single" w:sz="4" w:space="0" w:color="000000"/>
              <w:left w:val="single" w:sz="12" w:space="0" w:color="D2D2D2"/>
              <w:bottom w:val="single" w:sz="4" w:space="0" w:color="000000"/>
              <w:right w:val="single" w:sz="4" w:space="0" w:color="000000"/>
            </w:tcBorders>
            <w:shd w:val="clear" w:color="auto" w:fill="CCE8CC"/>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11">
              <w:r>
                <w:rPr>
                  <w:rFonts w:ascii="Times New Roman"/>
                  <w:sz w:val="18"/>
                </w:rPr>
                <w:t>tanhua@kingteller.com.cn</w:t>
              </w:r>
            </w:hyperlink>
          </w:p>
        </w:tc>
        <w:tc>
          <w:tcPr>
            <w:tcW w:w="2755" w:type="dxa"/>
            <w:tcBorders>
              <w:top w:val="single" w:sz="4" w:space="0" w:color="000000"/>
              <w:left w:val="single" w:sz="4" w:space="0" w:color="000000"/>
              <w:bottom w:val="single" w:sz="4" w:space="0" w:color="000000"/>
              <w:right w:val="single" w:sz="4" w:space="0" w:color="000000"/>
            </w:tcBorders>
            <w:shd w:val="clear" w:color="auto" w:fill="CCE8CC"/>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right="144"/>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8"/>
        <w:gridCol w:w="5842"/>
      </w:tblGrid>
      <w:tr>
        <w:trPr>
          <w:trHeight w:val="404"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r>
      <w:tr>
        <w:trPr>
          <w:trHeight w:val="401"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http://</w:t>
            </w:r>
            <w:r>
              <w:rPr>
                <w:rFonts w:ascii="Times New Roman"/>
                <w:spacing w:val="-24"/>
                <w:sz w:val="18"/>
              </w:rPr>
              <w:t> </w:t>
            </w:r>
            <w:hyperlink r:id="rId12">
              <w:r>
                <w:rPr>
                  <w:rFonts w:ascii="Times New Roman"/>
                  <w:sz w:val="18"/>
                </w:rPr>
                <w:t>www.cninfo.com.cn</w:t>
              </w:r>
            </w:hyperlink>
          </w:p>
        </w:tc>
      </w:tr>
      <w:tr>
        <w:trPr>
          <w:trHeight w:val="403"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144"/>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265"/>
        <w:gridCol w:w="2127"/>
        <w:gridCol w:w="1985"/>
        <w:gridCol w:w="1416"/>
        <w:gridCol w:w="1561"/>
        <w:gridCol w:w="1203"/>
      </w:tblGrid>
      <w:tr>
        <w:trPr>
          <w:trHeight w:val="161"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43" w:right="71" w:hanging="269"/>
              <w:jc w:val="left"/>
              <w:rPr>
                <w:rFonts w:ascii="宋体" w:hAnsi="宋体" w:cs="宋体" w:eastAsia="宋体" w:hint="default"/>
                <w:sz w:val="18"/>
                <w:szCs w:val="18"/>
              </w:rPr>
            </w:pPr>
            <w:r>
              <w:rPr>
                <w:rFonts w:ascii="宋体" w:hAnsi="宋体" w:cs="宋体" w:eastAsia="宋体" w:hint="default"/>
                <w:sz w:val="18"/>
                <w:szCs w:val="18"/>
              </w:rPr>
              <w:t>企业法人营业执 照注册号</w:t>
            </w:r>
          </w:p>
        </w:tc>
        <w:tc>
          <w:tcPr>
            <w:tcW w:w="15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416" w:type="dxa"/>
            <w:vMerge/>
            <w:tcBorders>
              <w:left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税务登记号码</w:t>
            </w:r>
          </w:p>
        </w:tc>
        <w:tc>
          <w:tcPr>
            <w:tcW w:w="12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21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广州市工商行政管理局</w:t>
            </w:r>
          </w:p>
        </w:tc>
        <w:tc>
          <w:tcPr>
            <w:tcW w:w="141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4401011108228</w:t>
            </w:r>
          </w:p>
        </w:tc>
        <w:tc>
          <w:tcPr>
            <w:tcW w:w="156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1"/>
              <w:ind w:right="112"/>
              <w:jc w:val="center"/>
              <w:rPr>
                <w:rFonts w:ascii="Times New Roman" w:hAnsi="Times New Roman" w:cs="Times New Roman" w:eastAsia="Times New Roman" w:hint="default"/>
                <w:sz w:val="18"/>
                <w:szCs w:val="18"/>
              </w:rPr>
            </w:pPr>
            <w:r>
              <w:rPr>
                <w:rFonts w:ascii="Times New Roman"/>
                <w:sz w:val="18"/>
              </w:rPr>
              <w:t>44010672680151X</w:t>
            </w:r>
          </w:p>
        </w:tc>
        <w:tc>
          <w:tcPr>
            <w:tcW w:w="120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72680151-X</w:t>
            </w:r>
          </w:p>
        </w:tc>
      </w:tr>
      <w:tr>
        <w:trPr>
          <w:trHeight w:val="401"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21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广州市工商行政管理局</w:t>
            </w:r>
          </w:p>
        </w:tc>
        <w:tc>
          <w:tcPr>
            <w:tcW w:w="141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440101000034373</w:t>
            </w:r>
          </w:p>
        </w:tc>
        <w:tc>
          <w:tcPr>
            <w:tcW w:w="156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1"/>
              <w:ind w:right="112"/>
              <w:jc w:val="center"/>
              <w:rPr>
                <w:rFonts w:ascii="Times New Roman" w:hAnsi="Times New Roman" w:cs="Times New Roman" w:eastAsia="Times New Roman" w:hint="default"/>
                <w:sz w:val="18"/>
                <w:szCs w:val="18"/>
              </w:rPr>
            </w:pPr>
            <w:r>
              <w:rPr>
                <w:rFonts w:ascii="Times New Roman"/>
                <w:sz w:val="18"/>
              </w:rPr>
              <w:t>44010672680151X</w:t>
            </w:r>
          </w:p>
        </w:tc>
        <w:tc>
          <w:tcPr>
            <w:tcW w:w="120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72680151-X</w:t>
            </w:r>
          </w:p>
        </w:tc>
      </w:tr>
      <w:tr>
        <w:trPr>
          <w:trHeight w:val="403" w:hRule="exact"/>
        </w:trPr>
        <w:tc>
          <w:tcPr>
            <w:tcW w:w="3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6165" w:type="dxa"/>
            <w:gridSpan w:val="4"/>
            <w:tcBorders>
              <w:top w:val="single" w:sz="4" w:space="0" w:color="000000"/>
              <w:left w:val="single" w:sz="13" w:space="0" w:color="D2D2D2"/>
              <w:bottom w:val="single" w:sz="4" w:space="0" w:color="000000"/>
              <w:right w:val="single" w:sz="4" w:space="0" w:color="000000"/>
            </w:tcBorders>
            <w:shd w:val="clear" w:color="auto" w:fill="CCE8CC"/>
          </w:tcPr>
          <w:p>
            <w:pPr>
              <w:pStyle w:val="TableParagraph"/>
              <w:spacing w:line="240" w:lineRule="auto" w:before="49"/>
              <w:ind w:left="-152" w:right="0"/>
              <w:jc w:val="left"/>
              <w:rPr>
                <w:rFonts w:ascii="宋体" w:hAnsi="宋体" w:cs="宋体" w:eastAsia="宋体" w:hint="default"/>
                <w:sz w:val="18"/>
                <w:szCs w:val="18"/>
              </w:rPr>
            </w:pPr>
            <w:r>
              <w:rPr>
                <w:rFonts w:ascii="宋体" w:hAnsi="宋体" w:cs="宋体" w:eastAsia="宋体" w:hint="default"/>
                <w:spacing w:val="-5"/>
                <w:sz w:val="18"/>
                <w:szCs w:val="18"/>
              </w:rPr>
              <w:t>）无变更</w:t>
            </w:r>
          </w:p>
        </w:tc>
      </w:tr>
      <w:tr>
        <w:trPr>
          <w:trHeight w:val="401" w:hRule="exact"/>
        </w:trPr>
        <w:tc>
          <w:tcPr>
            <w:tcW w:w="3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165" w:type="dxa"/>
            <w:gridSpan w:val="4"/>
            <w:tcBorders>
              <w:top w:val="single" w:sz="4" w:space="0" w:color="000000"/>
              <w:left w:val="single" w:sz="13" w:space="0" w:color="D2D2D2"/>
              <w:bottom w:val="single" w:sz="4" w:space="0" w:color="000000"/>
              <w:right w:val="single" w:sz="4" w:space="0" w:color="000000"/>
            </w:tcBorders>
            <w:shd w:val="clear" w:color="auto" w:fill="CCE8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144"/>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4"/>
        <w:jc w:val="left"/>
      </w:pPr>
      <w:r>
        <w:rPr/>
        <w:t>公司聘请的会计师事务所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3"/>
        <w:gridCol w:w="6907"/>
      </w:tblGrid>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陈雄溢、漆红燕</w:t>
            </w:r>
          </w:p>
        </w:tc>
      </w:tr>
    </w:tbl>
    <w:p>
      <w:pPr>
        <w:pStyle w:val="BodyText"/>
        <w:spacing w:line="240" w:lineRule="auto" w:before="49"/>
        <w:ind w:right="144"/>
        <w:jc w:val="left"/>
      </w:pPr>
      <w:r>
        <w:rPr/>
        <w:t>公司聘请的报告期内履行持续督导职责的保荐机构</w:t>
      </w:r>
    </w:p>
    <w:p>
      <w:pPr>
        <w:pStyle w:val="BodyText"/>
        <w:spacing w:line="240" w:lineRule="auto" w:before="115"/>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4"/>
        <w:gridCol w:w="2269"/>
        <w:gridCol w:w="1985"/>
        <w:gridCol w:w="3332"/>
      </w:tblGrid>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保荐代表人姓名</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337" w:hRule="exact"/>
        </w:trPr>
        <w:tc>
          <w:tcPr>
            <w:tcW w:w="198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26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深圳市红岭中路</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号国信</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证券大厦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98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戴锋、李震</w:t>
            </w:r>
          </w:p>
        </w:tc>
        <w:tc>
          <w:tcPr>
            <w:tcW w:w="333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保荐机构的持续督导期为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p>
          <w:p>
            <w:pPr>
              <w:pStyle w:val="TableParagraph"/>
              <w:spacing w:line="309" w:lineRule="auto" w:before="60"/>
              <w:ind w:left="23" w:right="18"/>
              <w:jc w:val="both"/>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日，由于公司的募集</w:t>
            </w:r>
            <w:r>
              <w:rPr>
                <w:rFonts w:ascii="宋体" w:hAnsi="宋体" w:cs="宋体" w:eastAsia="宋体" w:hint="default"/>
                <w:sz w:val="18"/>
                <w:szCs w:val="18"/>
              </w:rPr>
              <w:t> 资金尚未使用完，对募集资金使用的延长</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持续督导时间，直至资金使用完毕止。</w:t>
            </w:r>
          </w:p>
        </w:tc>
      </w:tr>
    </w:tbl>
    <w:p>
      <w:pPr>
        <w:pStyle w:val="BodyText"/>
        <w:spacing w:line="240" w:lineRule="auto" w:before="49"/>
        <w:ind w:right="144"/>
        <w:jc w:val="left"/>
      </w:pPr>
      <w:r>
        <w:rPr/>
        <w:t>公司聘请的报告期内履行持续督导职责的财务顾问</w:t>
      </w:r>
    </w:p>
    <w:p>
      <w:pPr>
        <w:pStyle w:val="BodyText"/>
        <w:spacing w:line="240" w:lineRule="auto" w:before="117"/>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44"/>
        <w:jc w:val="left"/>
        <w:rPr>
          <w:b w:val="0"/>
          <w:bCs w:val="0"/>
        </w:rPr>
      </w:pPr>
      <w:bookmarkStart w:name="_TOC_250008" w:id="3"/>
      <w:r>
        <w:rPr/>
        <w:t>第三节</w:t>
      </w:r>
      <w:r>
        <w:rPr>
          <w:spacing w:val="-6"/>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44"/>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4"/>
        <w:jc w:val="left"/>
      </w:pPr>
      <w:r>
        <w:rPr/>
        <w:t>公司是否因会计政策变更及会计差错更正等追溯调整或重述以前年度会计数据</w:t>
      </w:r>
    </w:p>
    <w:p>
      <w:pPr>
        <w:pStyle w:val="BodyText"/>
        <w:spacing w:line="240" w:lineRule="auto" w:before="117"/>
        <w:ind w:right="14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4"/>
        <w:gridCol w:w="1660"/>
        <w:gridCol w:w="1649"/>
        <w:gridCol w:w="1949"/>
        <w:gridCol w:w="1347"/>
      </w:tblGrid>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749,911,314.16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741,457,812.06</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468,199,458.05</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124,053,846.73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178,809,583.01</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-30.62%</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94,047,869.79</w:t>
            </w:r>
          </w:p>
        </w:tc>
      </w:tr>
      <w:tr>
        <w:trPr>
          <w:trHeight w:val="71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6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124,386,236.29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177,441,465.47</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-29.9%</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95,165,367.60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229,018,047.56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50,486,330.80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353.62%</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36,947,898.55</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0.31</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-32.26%</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0.16</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0.31</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-32.26%</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0.16</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9.25%</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14.07%</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9.17%</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本年末比上年末增减</w:t>
            </w:r>
            <w:r>
              <w:rPr>
                <w:rFonts w:ascii="Times New Roman" w:hAnsi="Times New Roman" w:cs="Times New Roman" w:eastAsia="Times New Roman" w:hint="default"/>
                <w:spacing w:val="-1"/>
                <w:sz w:val="18"/>
                <w:szCs w:val="18"/>
              </w:rPr>
              <w:t>(%)</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6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1,750,107,449.69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1,707,401,634.51</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1,491,325,077.70</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z w:val="18"/>
                <w:szCs w:val="18"/>
              </w:rPr>
              <w:t>归属于上市公司股东的净资产（归属 </w:t>
            </w:r>
            <w:r>
              <w:rPr>
                <w:rFonts w:ascii="宋体" w:hAnsi="宋体" w:cs="宋体" w:eastAsia="宋体" w:hint="default"/>
                <w:spacing w:val="-6"/>
                <w:sz w:val="18"/>
                <w:szCs w:val="18"/>
              </w:rPr>
              <w:t>于上市公司股东的所有者权益）（元）</w:t>
            </w:r>
          </w:p>
        </w:tc>
        <w:tc>
          <w:tcPr>
            <w:tcW w:w="16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1,376,090,038.87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1,314,404,264.35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4.69%</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1,240,775,872.91</w:t>
            </w:r>
          </w:p>
        </w:tc>
      </w:tr>
    </w:tbl>
    <w:p>
      <w:pPr>
        <w:spacing w:line="240" w:lineRule="auto" w:before="1"/>
        <w:rPr>
          <w:rFonts w:ascii="宋体" w:hAnsi="宋体" w:cs="宋体" w:eastAsia="宋体" w:hint="default"/>
          <w:sz w:val="18"/>
          <w:szCs w:val="18"/>
        </w:rPr>
      </w:pPr>
    </w:p>
    <w:p>
      <w:pPr>
        <w:pStyle w:val="Heading2"/>
        <w:spacing w:line="240" w:lineRule="auto" w:before="26"/>
        <w:ind w:right="144"/>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4"/>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44"/>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44"/>
        <w:jc w:val="left"/>
        <w:rPr>
          <w:b w:val="0"/>
          <w:bCs w:val="0"/>
        </w:rPr>
      </w:pP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4"/>
        <w:jc w:val="left"/>
        <w:rPr>
          <w:b w:val="0"/>
          <w:bCs w:val="0"/>
        </w:rPr>
      </w:pPr>
      <w:r>
        <w:rPr/>
        <w:t>三、非经常性损益项目及金额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819"/>
        <w:gridCol w:w="1277"/>
        <w:gridCol w:w="1276"/>
        <w:gridCol w:w="1276"/>
        <w:gridCol w:w="922"/>
      </w:tblGrid>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6" w:right="0"/>
              <w:jc w:val="left"/>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shape style="position:absolute;margin-left:174.828003pt;margin-top:72.47998pt;width:185.25pt;height:19.6pt;mso-position-horizontal-relative:page;mso-position-vertical-relative:page;z-index:-831208" type="#_x0000_t202" filled="false" stroked="false">
            <v:textbox inset="0,0,0,0">
              <w:txbxContent>
                <w:p>
                  <w:pPr>
                    <w:pStyle w:val="BodyText"/>
                    <w:spacing w:line="240" w:lineRule="auto" w:before="49"/>
                    <w:ind w:left="0" w:right="0"/>
                    <w:jc w:val="left"/>
                  </w:pPr>
                  <w:r>
                    <w:rPr/>
                    <w:t>计提资产减值准备的冲销部分）</w:t>
                  </w:r>
                </w:p>
              </w:txbxContent>
            </v:textbox>
            <w10:wrap type="none"/>
          </v:shape>
        </w:pict>
      </w:r>
      <w:r>
        <w:rPr/>
        <w:pict>
          <v:group style="position:absolute;margin-left:299.109985pt;margin-top:72.47998pt;width:61pt;height:19.6pt;mso-position-horizontal-relative:page;mso-position-vertical-relative:page;z-index:-831184" coordorigin="5982,1450" coordsize="1220,392">
            <v:shape style="position:absolute;left:5982;top:1450;width:1220;height:392" coordorigin="5982,1450" coordsize="1220,392" path="m5982,1841l7201,1841,7201,1450,5982,1450,5982,1841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4819"/>
        <w:gridCol w:w="108"/>
        <w:gridCol w:w="1168"/>
        <w:gridCol w:w="1275"/>
        <w:gridCol w:w="1278"/>
        <w:gridCol w:w="921"/>
      </w:tblGrid>
      <w:tr>
        <w:trPr>
          <w:trHeight w:val="402" w:hRule="exact"/>
        </w:trPr>
        <w:tc>
          <w:tcPr>
            <w:tcW w:w="481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w:t>
            </w:r>
          </w:p>
        </w:tc>
        <w:tc>
          <w:tcPr>
            <w:tcW w:w="108" w:type="dxa"/>
            <w:tcBorders>
              <w:top w:val="single" w:sz="4" w:space="0" w:color="000000"/>
              <w:left w:val="single" w:sz="13" w:space="0" w:color="FFFFFF"/>
              <w:bottom w:val="single" w:sz="4" w:space="0" w:color="000000"/>
              <w:right w:val="nil" w:sz="6" w:space="0" w:color="auto"/>
            </w:tcBorders>
          </w:tcPr>
          <w:p>
            <w:pPr/>
          </w:p>
        </w:tc>
        <w:tc>
          <w:tcPr>
            <w:tcW w:w="1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-10,486,344.64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-2,297,013.86</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2,174.88</w:t>
            </w:r>
          </w:p>
        </w:tc>
        <w:tc>
          <w:tcPr>
            <w:tcW w:w="921"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714"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106"/>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 统一标准定额或定量享受的政府补助除外）</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6,480,000.00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2,484,000.00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2,154,921.00</w:t>
            </w:r>
          </w:p>
        </w:tc>
        <w:tc>
          <w:tcPr>
            <w:tcW w:w="921"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195,961.14</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921"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1338"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05"/>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 易性金融资产、交易性金融负债产生的公允价值变动损益， 以及处置交易性金融资产、交易性金融负债和可供出售金融 资产取得的投资收益</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6,993,851.24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4,057,376.71</w:t>
            </w:r>
          </w:p>
        </w:tc>
        <w:tc>
          <w:tcPr>
            <w:tcW w:w="1278" w:type="dxa"/>
            <w:tcBorders>
              <w:top w:val="single" w:sz="4" w:space="0" w:color="000000"/>
              <w:left w:val="single" w:sz="4" w:space="0" w:color="000000"/>
              <w:bottom w:val="single" w:sz="4" w:space="0" w:color="000000"/>
              <w:right w:val="single" w:sz="4" w:space="0" w:color="000000"/>
            </w:tcBorders>
          </w:tcPr>
          <w:p>
            <w:pPr/>
          </w:p>
        </w:tc>
        <w:tc>
          <w:tcPr>
            <w:tcW w:w="921"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4" w:right="0"/>
              <w:jc w:val="left"/>
              <w:rPr>
                <w:rFonts w:ascii="Times New Roman" w:hAnsi="Times New Roman" w:cs="Times New Roman" w:eastAsia="Times New Roman" w:hint="default"/>
                <w:sz w:val="18"/>
                <w:szCs w:val="18"/>
              </w:rPr>
            </w:pPr>
            <w:r>
              <w:rPr>
                <w:rFonts w:ascii="Times New Roman"/>
                <w:sz w:val="18"/>
              </w:rPr>
              <w:t>-3,360,118.12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-2,578,116.82</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-3,387,104.71</w:t>
            </w:r>
          </w:p>
        </w:tc>
        <w:tc>
          <w:tcPr>
            <w:tcW w:w="921"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1" w:right="0"/>
              <w:jc w:val="left"/>
              <w:rPr>
                <w:rFonts w:ascii="Times New Roman" w:hAnsi="Times New Roman" w:cs="Times New Roman" w:eastAsia="Times New Roman" w:hint="default"/>
                <w:sz w:val="18"/>
                <w:szCs w:val="18"/>
              </w:rPr>
            </w:pPr>
            <w:r>
              <w:rPr>
                <w:rFonts w:ascii="Times New Roman"/>
                <w:sz w:val="18"/>
              </w:rPr>
              <w:t>155,739.18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298,128.49</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-112,511.02</w:t>
            </w:r>
          </w:p>
        </w:tc>
        <w:tc>
          <w:tcPr>
            <w:tcW w:w="921"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3"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-332,389.56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1,368,117.54</w:t>
            </w:r>
          </w:p>
        </w:tc>
        <w:tc>
          <w:tcPr>
            <w:tcW w:w="127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-1,117,497.81</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3" w:right="24"/>
        <w:jc w:val="center"/>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44"/>
        <w:jc w:val="left"/>
        <w:rPr>
          <w:b w:val="0"/>
          <w:bCs w:val="0"/>
        </w:rPr>
      </w:pPr>
      <w:r>
        <w:rPr/>
        <w:t>一、概述</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48" w:firstLine="360"/>
        <w:jc w:val="both"/>
      </w:pPr>
      <w:r>
        <w:rPr>
          <w:rFonts w:ascii="Times New Roman" w:hAnsi="Times New Roman" w:cs="Times New Roman" w:eastAsia="Times New Roman" w:hint="default"/>
          <w:spacing w:val="-2"/>
        </w:rPr>
        <w:t>2012</w:t>
      </w:r>
      <w:r>
        <w:rPr>
          <w:spacing w:val="-2"/>
        </w:rPr>
        <w:t>年，全球经济复苏放缓，国内经济面临通货膨胀和经济增长缓慢的双重压力，在这样的宏观环境下，公司董事会和</w:t>
      </w:r>
      <w:r>
        <w:rPr/>
        <w:t> </w:t>
      </w:r>
      <w:r>
        <w:rPr>
          <w:spacing w:val="-2"/>
        </w:rPr>
        <w:t>管理层紧紧围绕公司战略发展规划，加强企业内部管理，积极实施产品业务结构调整，加快技术改造创新，加大市场客户开</w:t>
      </w:r>
      <w:r>
        <w:rPr>
          <w:spacing w:val="-64"/>
        </w:rPr>
        <w:t> </w:t>
      </w:r>
      <w:r>
        <w:rPr>
          <w:spacing w:val="-64"/>
        </w:rPr>
      </w:r>
      <w:r>
        <w:rPr>
          <w:spacing w:val="4"/>
        </w:rPr>
        <w:t>发力度，进一步提升产品市场占有率，努力克服国内外环境复杂变化带来的不利因素。报告期内，公司实现营业总收入</w:t>
      </w:r>
      <w:r>
        <w:rPr>
          <w:spacing w:val="-51"/>
        </w:rPr>
        <w:t> </w:t>
      </w:r>
      <w:r>
        <w:rPr>
          <w:spacing w:val="-51"/>
        </w:rPr>
      </w:r>
      <w:r>
        <w:rPr>
          <w:rFonts w:ascii="Times New Roman" w:hAnsi="Times New Roman" w:cs="Times New Roman" w:eastAsia="Times New Roman" w:hint="default"/>
          <w:spacing w:val="-1"/>
        </w:rPr>
        <w:t>74,991.13</w:t>
      </w:r>
      <w:r>
        <w:rPr>
          <w:spacing w:val="-1"/>
        </w:rPr>
        <w:t>万元，比上年同期增长</w:t>
      </w:r>
      <w:r>
        <w:rPr>
          <w:rFonts w:ascii="Times New Roman" w:hAnsi="Times New Roman" w:cs="Times New Roman" w:eastAsia="Times New Roman" w:hint="default"/>
          <w:spacing w:val="-1"/>
        </w:rPr>
        <w:t>1.14%</w:t>
      </w:r>
      <w:r>
        <w:rPr>
          <w:spacing w:val="-1"/>
        </w:rPr>
        <w:t>；实现利润总额</w:t>
      </w:r>
      <w:r>
        <w:rPr>
          <w:rFonts w:ascii="Times New Roman" w:hAnsi="Times New Roman" w:cs="Times New Roman" w:eastAsia="Times New Roman" w:hint="default"/>
          <w:spacing w:val="-1"/>
        </w:rPr>
        <w:t>13,401.00</w:t>
      </w:r>
      <w:r>
        <w:rPr>
          <w:spacing w:val="-1"/>
        </w:rPr>
        <w:t>万元，比上年同期下降</w:t>
      </w:r>
      <w:r>
        <w:rPr>
          <w:rFonts w:ascii="Times New Roman" w:hAnsi="Times New Roman" w:cs="Times New Roman" w:eastAsia="Times New Roman" w:hint="default"/>
          <w:spacing w:val="-1"/>
        </w:rPr>
        <w:t>32.86%</w:t>
      </w:r>
      <w:r>
        <w:rPr>
          <w:spacing w:val="-1"/>
        </w:rPr>
        <w:t>；归属上市公司股东的净利润</w:t>
      </w:r>
      <w:r>
        <w:rPr>
          <w:spacing w:val="-50"/>
        </w:rPr>
        <w:t> </w:t>
      </w:r>
      <w:r>
        <w:rPr>
          <w:spacing w:val="-50"/>
        </w:rPr>
      </w:r>
      <w:r>
        <w:rPr/>
        <w:t>为</w:t>
      </w:r>
      <w:r>
        <w:rPr>
          <w:rFonts w:ascii="Times New Roman" w:hAnsi="Times New Roman" w:cs="Times New Roman" w:eastAsia="Times New Roman" w:hint="default"/>
        </w:rPr>
        <w:t>12,405.38</w:t>
      </w:r>
      <w:r>
        <w:rPr/>
        <w:t>万元，比上年同期下降</w:t>
      </w:r>
      <w:r>
        <w:rPr>
          <w:rFonts w:ascii="Times New Roman" w:hAnsi="Times New Roman" w:cs="Times New Roman" w:eastAsia="Times New Roman" w:hint="default"/>
        </w:rPr>
        <w:t>30.62%</w:t>
      </w:r>
      <w:r>
        <w:rPr/>
        <w:t>。</w:t>
      </w:r>
    </w:p>
    <w:p>
      <w:pPr>
        <w:pStyle w:val="BodyText"/>
        <w:spacing w:line="309" w:lineRule="auto" w:before="5"/>
        <w:ind w:right="150" w:firstLine="360"/>
        <w:jc w:val="both"/>
      </w:pPr>
      <w:r>
        <w:rPr/>
        <w:t>在研发投入方面，经过多年的累积，公司基本掌握了</w:t>
      </w:r>
      <w:r>
        <w:rPr>
          <w:rFonts w:ascii="Times New Roman" w:hAnsi="Times New Roman" w:cs="Times New Roman" w:eastAsia="Times New Roman" w:hint="default"/>
        </w:rPr>
        <w:t>ATM</w:t>
      </w:r>
      <w:r>
        <w:rPr/>
        <w:t>设备研发的先进核心技术，</w:t>
      </w:r>
      <w:r>
        <w:rPr>
          <w:rFonts w:ascii="Times New Roman" w:hAnsi="Times New Roman" w:cs="Times New Roman" w:eastAsia="Times New Roman" w:hint="default"/>
        </w:rPr>
        <w:t>2012</w:t>
      </w:r>
      <w:r>
        <w:rPr/>
        <w:t>年成功研发了</w:t>
      </w:r>
      <w:r>
        <w:rPr>
          <w:rFonts w:ascii="Times New Roman" w:hAnsi="Times New Roman" w:cs="Times New Roman" w:eastAsia="Times New Roman" w:hint="default"/>
        </w:rPr>
        <w:t>K3</w:t>
      </w:r>
      <w:r>
        <w:rPr/>
        <w:t>系列口袋式 </w:t>
      </w:r>
      <w:r>
        <w:rPr>
          <w:spacing w:val="-2"/>
        </w:rPr>
        <w:t>存取款一体机、具有冠字号码识别功能的一体机，从而提高了公司整体核心竞争力，为公司的长足高速发展奠定了坚实的基</w:t>
      </w:r>
      <w:r>
        <w:rPr>
          <w:spacing w:val="-63"/>
        </w:rPr>
        <w:t> </w:t>
      </w:r>
      <w:r>
        <w:rPr>
          <w:spacing w:val="-63"/>
        </w:rPr>
      </w:r>
      <w:r>
        <w:rPr/>
        <w:t>础。</w:t>
      </w:r>
    </w:p>
    <w:p>
      <w:pPr>
        <w:pStyle w:val="BodyText"/>
        <w:spacing w:line="316" w:lineRule="auto" w:before="24"/>
        <w:ind w:right="150" w:firstLine="360"/>
        <w:jc w:val="both"/>
      </w:pPr>
      <w:r>
        <w:rPr>
          <w:spacing w:val="-2"/>
        </w:rPr>
        <w:t>在后台服务系统建设方面，公司为了进一步深化客户服务工作及云技术的本土化应用，研发了客户服务管理云平台，改</w:t>
      </w:r>
      <w:r>
        <w:rPr/>
        <w:t> </w:t>
      </w:r>
      <w:r>
        <w:rPr>
          <w:spacing w:val="-2"/>
        </w:rPr>
        <w:t>平台实现报障信息处理零延时，管理人员和执行人员通过无线网络实现了实时信息互动，达到故障信息和维护工程师资源集</w:t>
      </w:r>
      <w:r>
        <w:rPr>
          <w:spacing w:val="-64"/>
        </w:rPr>
        <w:t> </w:t>
      </w:r>
      <w:r>
        <w:rPr>
          <w:spacing w:val="-64"/>
        </w:rPr>
      </w:r>
      <w:r>
        <w:rPr/>
        <w:t>中管理和资源调动的效果，从而达到了客服服务效率，降低了客服服务成本。</w:t>
      </w:r>
    </w:p>
    <w:p>
      <w:pPr>
        <w:pStyle w:val="BodyText"/>
        <w:spacing w:line="316" w:lineRule="auto" w:before="19"/>
        <w:ind w:right="155" w:firstLine="360"/>
        <w:jc w:val="both"/>
      </w:pPr>
      <w:r>
        <w:rPr>
          <w:spacing w:val="-2"/>
        </w:rPr>
        <w:t>在市场开发与营销网络建设方面，报告期内公司取得建行、邮储的批量采购合同，在各地农信社、农商行、城商行、村</w:t>
      </w:r>
      <w:r>
        <w:rPr/>
        <w:t> 镇银行等各中小型银行也取得了良好的成绩，且海外市场也取得了重大进展，为进一步提升市场占有率鉴定了基础。</w:t>
      </w:r>
    </w:p>
    <w:p>
      <w:pPr>
        <w:pStyle w:val="BodyText"/>
        <w:spacing w:line="300" w:lineRule="auto" w:before="19"/>
        <w:ind w:right="156" w:firstLine="360"/>
        <w:jc w:val="both"/>
      </w:pPr>
      <w:r>
        <w:rPr/>
        <w:t>此外，公司取得了</w:t>
      </w:r>
      <w:r>
        <w:rPr>
          <w:rFonts w:ascii="Times New Roman" w:hAnsi="Times New Roman" w:cs="Times New Roman" w:eastAsia="Times New Roman" w:hint="default"/>
        </w:rPr>
        <w:t>2</w:t>
      </w:r>
      <w:r>
        <w:rPr/>
        <w:t>项发明专利、</w:t>
      </w:r>
      <w:r>
        <w:rPr>
          <w:rFonts w:ascii="Times New Roman" w:hAnsi="Times New Roman" w:cs="Times New Roman" w:eastAsia="Times New Roman" w:hint="default"/>
        </w:rPr>
        <w:t>12</w:t>
      </w:r>
      <w:r>
        <w:rPr/>
        <w:t>项实用新型专利、</w:t>
      </w:r>
      <w:r>
        <w:rPr>
          <w:rFonts w:ascii="Times New Roman" w:hAnsi="Times New Roman" w:cs="Times New Roman" w:eastAsia="Times New Roman" w:hint="default"/>
        </w:rPr>
        <w:t>2</w:t>
      </w:r>
      <w:r>
        <w:rPr/>
        <w:t>项软件产品登记证书、</w:t>
      </w:r>
      <w:r>
        <w:rPr>
          <w:rFonts w:ascii="Times New Roman" w:hAnsi="Times New Roman" w:cs="Times New Roman" w:eastAsia="Times New Roman" w:hint="default"/>
        </w:rPr>
        <w:t>6</w:t>
      </w:r>
      <w:r>
        <w:rPr/>
        <w:t>项计算机软件著作权登记证书；公司已 经连续五年获得</w:t>
      </w:r>
      <w:r>
        <w:rPr>
          <w:rFonts w:ascii="Times New Roman" w:hAnsi="Times New Roman" w:cs="Times New Roman" w:eastAsia="Times New Roman" w:hint="default"/>
        </w:rPr>
        <w:t>“</w:t>
      </w:r>
      <w:r>
        <w:rPr/>
        <w:t>广东省诚信示范企业</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0"/>
          <w:szCs w:val="20"/>
        </w:rPr>
      </w:pPr>
    </w:p>
    <w:p>
      <w:pPr>
        <w:pStyle w:val="Heading2"/>
        <w:spacing w:line="240" w:lineRule="auto"/>
        <w:ind w:right="144"/>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4"/>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61" w:firstLine="360"/>
        <w:jc w:val="both"/>
      </w:pPr>
      <w:r>
        <w:rPr/>
        <w:t>公司的主要产品为</w:t>
      </w:r>
      <w:r>
        <w:rPr>
          <w:rFonts w:ascii="Times New Roman" w:hAnsi="Times New Roman" w:cs="Times New Roman" w:eastAsia="Times New Roman" w:hint="default"/>
        </w:rPr>
        <w:t>ATM</w:t>
      </w:r>
      <w:r>
        <w:rPr/>
        <w:t>自助设备，主要是提供给银行类金融机构用于为其客户提供自助式金融服务，目前公司的主营 业务由</w:t>
      </w:r>
      <w:r>
        <w:rPr>
          <w:rFonts w:ascii="Times New Roman" w:hAnsi="Times New Roman" w:cs="Times New Roman" w:eastAsia="Times New Roman" w:hint="default"/>
        </w:rPr>
        <w:t>ATM</w:t>
      </w:r>
      <w:r>
        <w:rPr/>
        <w:t>产品销售和</w:t>
      </w:r>
      <w:r>
        <w:rPr>
          <w:rFonts w:ascii="Times New Roman" w:hAnsi="Times New Roman" w:cs="Times New Roman" w:eastAsia="Times New Roman" w:hint="default"/>
        </w:rPr>
        <w:t>ATM</w:t>
      </w:r>
      <w:r>
        <w:rPr/>
        <w:t>合作运营服务两部分组成：</w:t>
      </w:r>
    </w:p>
    <w:p>
      <w:pPr>
        <w:pStyle w:val="BodyText"/>
        <w:spacing w:line="240" w:lineRule="auto" w:before="13"/>
        <w:ind w:left="513" w:right="144"/>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ATM</w:t>
      </w:r>
      <w:r>
        <w:rPr/>
        <w:t>设备及相关系统软件的研发、制造、销售，公司主要产品为</w:t>
      </w:r>
      <w:r>
        <w:rPr>
          <w:rFonts w:ascii="Times New Roman" w:hAnsi="Times New Roman" w:cs="Times New Roman" w:eastAsia="Times New Roman" w:hint="default"/>
        </w:rPr>
        <w:t>KingTeller</w:t>
      </w:r>
      <w:r>
        <w:rPr/>
        <w:t>系列自动柜员机；</w:t>
      </w:r>
    </w:p>
    <w:p>
      <w:pPr>
        <w:pStyle w:val="BodyText"/>
        <w:spacing w:line="307" w:lineRule="auto" w:before="63"/>
        <w:ind w:right="146" w:firstLine="360"/>
        <w:jc w:val="both"/>
      </w:pPr>
      <w:r>
        <w:rPr>
          <w:rFonts w:ascii="Times New Roman" w:hAnsi="Times New Roman" w:cs="Times New Roman" w:eastAsia="Times New Roman" w:hint="default"/>
        </w:rPr>
        <w:t>2</w:t>
      </w:r>
      <w:r>
        <w:rPr/>
        <w:t>、为银行类金融机构提供</w:t>
      </w:r>
      <w:r>
        <w:rPr>
          <w:rFonts w:ascii="Times New Roman" w:hAnsi="Times New Roman" w:cs="Times New Roman" w:eastAsia="Times New Roman" w:hint="default"/>
        </w:rPr>
        <w:t>ATM</w:t>
      </w:r>
      <w:r>
        <w:rPr/>
        <w:t>运营服务，即公司与银行类金融机构合作建设</w:t>
      </w:r>
      <w:r>
        <w:rPr>
          <w:rFonts w:ascii="Times New Roman" w:hAnsi="Times New Roman" w:cs="Times New Roman" w:eastAsia="Times New Roman" w:hint="default"/>
        </w:rPr>
        <w:t>ATM</w:t>
      </w:r>
      <w:r>
        <w:rPr/>
        <w:t>终端，公司负责提供</w:t>
      </w:r>
      <w:r>
        <w:rPr>
          <w:rFonts w:ascii="Times New Roman" w:hAnsi="Times New Roman" w:cs="Times New Roman" w:eastAsia="Times New Roman" w:hint="default"/>
        </w:rPr>
        <w:t>ATM</w:t>
      </w:r>
      <w:r>
        <w:rPr/>
        <w:t>设备、网 点选址、设备维护、技术支持等服务，银行类金融机构负责将</w:t>
      </w:r>
      <w:r>
        <w:rPr>
          <w:rFonts w:ascii="Times New Roman" w:hAnsi="Times New Roman" w:cs="Times New Roman" w:eastAsia="Times New Roman" w:hint="default"/>
        </w:rPr>
        <w:t>ATM</w:t>
      </w:r>
      <w:r>
        <w:rPr/>
        <w:t>网点向中国银监会或其授权机构报备、提供加钞和清算</w:t>
      </w:r>
      <w:r>
        <w:rPr>
          <w:spacing w:val="-41"/>
        </w:rPr>
        <w:t> </w:t>
      </w:r>
      <w:r>
        <w:rPr>
          <w:spacing w:val="-41"/>
        </w:rPr>
      </w:r>
      <w:r>
        <w:rPr>
          <w:spacing w:val="-2"/>
        </w:rPr>
        <w:t>等，合作银行在收取跨行交易的代理手续费后，按照合作协议约定的比例将公司应收取的服务费支付给公司，公司的运营服</w:t>
      </w:r>
      <w:r>
        <w:rPr>
          <w:spacing w:val="-63"/>
        </w:rPr>
        <w:t> </w:t>
      </w:r>
      <w:r>
        <w:rPr>
          <w:spacing w:val="-63"/>
        </w:rPr>
      </w:r>
      <w:r>
        <w:rPr/>
        <w:t>务根据合作条件、收款方式、收入确认等方面的差异可分为</w:t>
      </w:r>
      <w:r>
        <w:rPr>
          <w:rFonts w:ascii="Times New Roman" w:hAnsi="Times New Roman" w:cs="Times New Roman" w:eastAsia="Times New Roman" w:hint="default"/>
        </w:rPr>
        <w:t>ATM</w:t>
      </w:r>
      <w:r>
        <w:rPr/>
        <w:t>合作运营服务和</w:t>
      </w:r>
      <w:r>
        <w:rPr>
          <w:rFonts w:ascii="Times New Roman" w:hAnsi="Times New Roman" w:cs="Times New Roman" w:eastAsia="Times New Roman" w:hint="default"/>
        </w:rPr>
        <w:t>ATM</w:t>
      </w:r>
      <w:r>
        <w:rPr/>
        <w:t>融资租赁两种模式。</w:t>
      </w:r>
    </w:p>
    <w:p>
      <w:pPr>
        <w:pStyle w:val="Heading5"/>
        <w:spacing w:line="240" w:lineRule="auto" w:before="48"/>
        <w:ind w:left="152" w:right="144"/>
        <w:jc w:val="left"/>
        <w:rPr>
          <w:b w:val="0"/>
          <w:bCs w:val="0"/>
        </w:rPr>
      </w:pPr>
      <w:r>
        <w:rPr/>
        <w:t>公司回顾总结前期披露的发展战略和经营计划在报告期内的进展情况</w:t>
      </w:r>
      <w:r>
        <w:rPr>
          <w:b w:val="0"/>
          <w:bCs w:val="0"/>
        </w:rPr>
      </w:r>
    </w:p>
    <w:p>
      <w:pPr>
        <w:pStyle w:val="BodyText"/>
        <w:spacing w:line="304" w:lineRule="auto" w:before="117"/>
        <w:ind w:right="151" w:firstLine="360"/>
        <w:jc w:val="both"/>
      </w:pPr>
      <w:r>
        <w:rPr>
          <w:rFonts w:ascii="Times New Roman" w:hAnsi="Times New Roman" w:cs="Times New Roman" w:eastAsia="Times New Roman" w:hint="default"/>
          <w:spacing w:val="-2"/>
        </w:rPr>
        <w:t>2012</w:t>
      </w:r>
      <w:r>
        <w:rPr>
          <w:spacing w:val="-2"/>
        </w:rPr>
        <w:t>年公司坚持技术领先战略、质量保障战略、市场扩张战略的战略指导思想，从而实现“国内一流企业、国际知名品</w:t>
      </w:r>
      <w:r>
        <w:rPr/>
        <w:t> 牌”长期战略目标，树立全球性的强势品牌。报告期内，公司加大了对</w:t>
      </w:r>
      <w:r>
        <w:rPr>
          <w:rFonts w:ascii="Times New Roman" w:hAnsi="Times New Roman" w:cs="Times New Roman" w:eastAsia="Times New Roman" w:hint="default"/>
        </w:rPr>
        <w:t>ATM</w:t>
      </w:r>
      <w:r>
        <w:rPr/>
        <w:t>产品销售力度，取得了良好的成绩，且海外市 场也取得了重大突破，受中国及全球经济环境不稳定的影响，</w:t>
      </w:r>
      <w:r>
        <w:rPr>
          <w:rFonts w:ascii="Times New Roman" w:hAnsi="Times New Roman" w:cs="Times New Roman" w:eastAsia="Times New Roman" w:hint="default"/>
        </w:rPr>
        <w:t>ATM</w:t>
      </w:r>
      <w:r>
        <w:rPr/>
        <w:t>合作运营业务及融资租赁业务业绩有所下滑，随着已过 免费维护期的销售机器不断增加，维护收入也得到大幅增长；在研发方面，成功研发了</w:t>
      </w:r>
      <w:r>
        <w:rPr>
          <w:rFonts w:ascii="Times New Roman" w:hAnsi="Times New Roman" w:cs="Times New Roman" w:eastAsia="Times New Roman" w:hint="default"/>
        </w:rPr>
        <w:t>K3</w:t>
      </w:r>
      <w:r>
        <w:rPr/>
        <w:t>系列口袋式存取款一体机、具有 </w:t>
      </w:r>
      <w:r>
        <w:rPr>
          <w:spacing w:val="-2"/>
        </w:rPr>
        <w:t>冠字号码识别功能的一体机，进一步提升了公司核心竞争力；同时研发了客户服务管理云平台，利用云计算、物联网等最新</w:t>
      </w:r>
      <w:r>
        <w:rPr>
          <w:spacing w:val="-64"/>
        </w:rPr>
        <w:t> </w:t>
      </w:r>
      <w:r>
        <w:rPr>
          <w:spacing w:val="-64"/>
        </w:rPr>
      </w:r>
      <w:r>
        <w:rPr/>
        <w:t>网络技术实现远程即时维护和服务，大大节省了维修成本、提升了服务质量。</w:t>
      </w:r>
    </w:p>
    <w:p>
      <w:pPr>
        <w:pStyle w:val="BodyText"/>
        <w:spacing w:line="240" w:lineRule="auto" w:before="68"/>
        <w:ind w:right="144"/>
        <w:jc w:val="left"/>
      </w:pPr>
      <w:r>
        <w:rPr/>
        <w:t>公司实际经营业绩较曾公开披露过的本年度盈利预测低于或高于</w:t>
      </w:r>
      <w:r>
        <w:rPr>
          <w:spacing w:val="-43"/>
        </w:rPr>
        <w:t> </w:t>
      </w:r>
      <w:r>
        <w:rPr>
          <w:rFonts w:ascii="Times New Roman" w:hAnsi="Times New Roman" w:cs="Times New Roman" w:eastAsia="Times New Roman" w:hint="default"/>
        </w:rPr>
        <w:t>20%</w:t>
      </w:r>
      <w:r>
        <w:rPr/>
        <w:t>以上的差异原因</w:t>
      </w:r>
    </w:p>
    <w:p>
      <w:pPr>
        <w:pStyle w:val="BodyText"/>
        <w:spacing w:line="240" w:lineRule="auto" w:before="103"/>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4"/>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44"/>
        <w:jc w:val="left"/>
      </w:pPr>
      <w:r>
        <w:rPr/>
        <w:t>说明</w:t>
      </w:r>
    </w:p>
    <w:p>
      <w:pPr>
        <w:pStyle w:val="BodyText"/>
        <w:spacing w:line="240" w:lineRule="auto" w:before="115"/>
        <w:ind w:left="513" w:right="0"/>
        <w:jc w:val="left"/>
      </w:pPr>
      <w:r>
        <w:rPr>
          <w:rFonts w:ascii="Times New Roman" w:hAnsi="Times New Roman" w:cs="Times New Roman" w:eastAsia="Times New Roman" w:hint="default"/>
        </w:rPr>
        <w:t>2012</w:t>
      </w:r>
      <w:r>
        <w:rPr/>
        <w:t>年度公司实现主营业务收入</w:t>
      </w:r>
      <w:r>
        <w:rPr>
          <w:rFonts w:ascii="Times New Roman" w:hAnsi="Times New Roman" w:cs="Times New Roman" w:eastAsia="Times New Roman" w:hint="default"/>
        </w:rPr>
        <w:t>73,932.04</w:t>
      </w:r>
      <w:r>
        <w:rPr/>
        <w:t>万元，比上年同期增长</w:t>
      </w:r>
      <w:r>
        <w:rPr>
          <w:rFonts w:ascii="Times New Roman" w:hAnsi="Times New Roman" w:cs="Times New Roman" w:eastAsia="Times New Roman" w:hint="default"/>
        </w:rPr>
        <w:t>0.35%</w:t>
      </w:r>
      <w:r>
        <w:rPr/>
        <w:t>，其中实现</w:t>
      </w:r>
      <w:r>
        <w:rPr>
          <w:rFonts w:ascii="Times New Roman" w:hAnsi="Times New Roman" w:cs="Times New Roman" w:eastAsia="Times New Roman" w:hint="default"/>
        </w:rPr>
        <w:t>ATM</w:t>
      </w:r>
      <w:r>
        <w:rPr/>
        <w:t>销售收入</w:t>
      </w:r>
      <w:r>
        <w:rPr>
          <w:rFonts w:ascii="Times New Roman" w:hAnsi="Times New Roman" w:cs="Times New Roman" w:eastAsia="Times New Roman" w:hint="default"/>
        </w:rPr>
        <w:t>46,575.69</w:t>
      </w:r>
      <w:r>
        <w:rPr/>
        <w:t>万元，比上年</w:t>
      </w:r>
    </w:p>
    <w:p>
      <w:pPr>
        <w:pStyle w:val="BodyText"/>
        <w:spacing w:line="300" w:lineRule="auto" w:before="63"/>
        <w:ind w:right="144"/>
        <w:jc w:val="left"/>
      </w:pPr>
      <w:r>
        <w:rPr/>
        <w:t>同期增长</w:t>
      </w:r>
      <w:r>
        <w:rPr>
          <w:rFonts w:ascii="Times New Roman" w:hAnsi="Times New Roman" w:cs="Times New Roman" w:eastAsia="Times New Roman" w:hint="default"/>
        </w:rPr>
        <w:t>31.49%</w:t>
      </w:r>
      <w:r>
        <w:rPr/>
        <w:t>，主要原因是公司加大了市场开拓力度，中国建设银行股份有限公司和中国邮政集团公司的销量大幅增长 </w:t>
      </w:r>
      <w:r>
        <w:rPr>
          <w:spacing w:val="-1"/>
        </w:rPr>
        <w:t>所致；实现</w:t>
      </w:r>
      <w:r>
        <w:rPr>
          <w:rFonts w:ascii="Times New Roman" w:hAnsi="Times New Roman" w:cs="Times New Roman" w:eastAsia="Times New Roman" w:hint="default"/>
          <w:spacing w:val="-1"/>
        </w:rPr>
        <w:t>ATM</w:t>
      </w:r>
      <w:r>
        <w:rPr>
          <w:spacing w:val="-1"/>
        </w:rPr>
        <w:t>融资租赁收入</w:t>
      </w:r>
      <w:r>
        <w:rPr>
          <w:rFonts w:ascii="Times New Roman" w:hAnsi="Times New Roman" w:cs="Times New Roman" w:eastAsia="Times New Roman" w:hint="default"/>
          <w:spacing w:val="-1"/>
        </w:rPr>
        <w:t>9,116.75</w:t>
      </w:r>
      <w:r>
        <w:rPr>
          <w:spacing w:val="-1"/>
        </w:rPr>
        <w:t>万元，比上年同期减少</w:t>
      </w:r>
      <w:r>
        <w:rPr>
          <w:rFonts w:ascii="Times New Roman" w:hAnsi="Times New Roman" w:cs="Times New Roman" w:eastAsia="Times New Roman" w:hint="default"/>
          <w:spacing w:val="-1"/>
        </w:rPr>
        <w:t>54.32%</w:t>
      </w:r>
      <w:r>
        <w:rPr>
          <w:spacing w:val="-1"/>
        </w:rPr>
        <w:t>，主要原因是由于国内及全球经济环境的不稳定、公司</w:t>
      </w:r>
      <w:r>
        <w:rPr>
          <w:spacing w:val="-83"/>
        </w:rPr>
        <w:t> </w:t>
      </w:r>
      <w:r>
        <w:rPr>
          <w:spacing w:val="-83"/>
        </w:rPr>
      </w:r>
      <w:r>
        <w:rPr/>
        <w:t>各项运营成本增加等因素，公司主动放缓部分</w:t>
      </w:r>
      <w:r>
        <w:rPr>
          <w:rFonts w:ascii="Times New Roman" w:hAnsi="Times New Roman" w:cs="Times New Roman" w:eastAsia="Times New Roman" w:hint="default"/>
        </w:rPr>
        <w:t>ATM</w:t>
      </w:r>
      <w:r>
        <w:rPr/>
        <w:t>网点的投入所致。</w:t>
      </w:r>
    </w:p>
    <w:p>
      <w:pPr>
        <w:pStyle w:val="BodyText"/>
        <w:spacing w:line="240" w:lineRule="auto" w:before="13"/>
        <w:ind w:left="424" w:right="144"/>
        <w:jc w:val="left"/>
      </w:pPr>
      <w:r>
        <w:rPr/>
        <w:t>行业分类</w:t>
      </w:r>
    </w:p>
    <w:p>
      <w:pPr>
        <w:pStyle w:val="BodyText"/>
        <w:spacing w:line="240" w:lineRule="auto" w:before="76"/>
        <w:ind w:left="0" w:right="518"/>
        <w:jc w:val="right"/>
      </w:pPr>
      <w:r>
        <w:rPr/>
        <w:t>单位：元</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1858"/>
        <w:gridCol w:w="1419"/>
        <w:gridCol w:w="1416"/>
        <w:gridCol w:w="1227"/>
        <w:gridCol w:w="1467"/>
        <w:gridCol w:w="1174"/>
        <w:gridCol w:w="1080"/>
      </w:tblGrid>
      <w:tr>
        <w:trPr>
          <w:trHeight w:val="322" w:hRule="exact"/>
        </w:trPr>
        <w:tc>
          <w:tcPr>
            <w:tcW w:w="18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6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6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636" w:hRule="exact"/>
        </w:trPr>
        <w:tc>
          <w:tcPr>
            <w:tcW w:w="1858"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73" w:right="156" w:hanging="15"/>
              <w:jc w:val="left"/>
              <w:rPr>
                <w:rFonts w:ascii="宋体" w:hAnsi="宋体" w:cs="宋体" w:eastAsia="宋体" w:hint="default"/>
                <w:sz w:val="18"/>
                <w:szCs w:val="18"/>
              </w:rPr>
            </w:pPr>
            <w:r>
              <w:rPr>
                <w:rFonts w:ascii="宋体" w:hAnsi="宋体" w:cs="宋体" w:eastAsia="宋体" w:hint="default"/>
                <w:sz w:val="18"/>
                <w:szCs w:val="18"/>
              </w:rPr>
              <w:t>占营业收入 比重（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48" w:right="127" w:hanging="15"/>
              <w:jc w:val="left"/>
              <w:rPr>
                <w:rFonts w:ascii="宋体" w:hAnsi="宋体" w:cs="宋体" w:eastAsia="宋体" w:hint="default"/>
                <w:sz w:val="18"/>
                <w:szCs w:val="18"/>
              </w:rPr>
            </w:pPr>
            <w:r>
              <w:rPr>
                <w:rFonts w:ascii="宋体" w:hAnsi="宋体" w:cs="宋体" w:eastAsia="宋体" w:hint="default"/>
                <w:sz w:val="18"/>
                <w:szCs w:val="18"/>
              </w:rPr>
              <w:t>占营业收入 比重（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80" w:type="dxa"/>
            <w:vMerge/>
            <w:tcBorders>
              <w:left w:val="single" w:sz="4" w:space="0" w:color="000000"/>
              <w:bottom w:val="single" w:sz="4" w:space="0" w:color="000000"/>
              <w:right w:val="single" w:sz="4" w:space="0" w:color="000000"/>
            </w:tcBorders>
            <w:shd w:val="clear" w:color="auto" w:fill="D2D2D2"/>
          </w:tcPr>
          <w:p>
            <w:pPr/>
          </w:p>
        </w:tc>
      </w:tr>
      <w:tr>
        <w:trPr>
          <w:trHeight w:val="476"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93"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74" w:right="0"/>
              <w:jc w:val="center"/>
              <w:rPr>
                <w:rFonts w:ascii="Times New Roman" w:hAnsi="Times New Roman" w:cs="Times New Roman" w:eastAsia="Times New Roman" w:hint="default"/>
                <w:sz w:val="18"/>
                <w:szCs w:val="18"/>
              </w:rPr>
            </w:pPr>
            <w:r>
              <w:rPr>
                <w:rFonts w:ascii="Times New Roman"/>
                <w:sz w:val="18"/>
              </w:rPr>
              <w:t>739,320,354.60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85" w:right="0"/>
              <w:jc w:val="left"/>
              <w:rPr>
                <w:rFonts w:ascii="Times New Roman" w:hAnsi="Times New Roman" w:cs="Times New Roman" w:eastAsia="Times New Roman" w:hint="default"/>
                <w:sz w:val="18"/>
                <w:szCs w:val="18"/>
              </w:rPr>
            </w:pPr>
            <w:r>
              <w:rPr>
                <w:rFonts w:ascii="Times New Roman"/>
                <w:sz w:val="18"/>
              </w:rPr>
              <w:t>100.00%</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28" w:right="0"/>
              <w:jc w:val="center"/>
              <w:rPr>
                <w:rFonts w:ascii="Times New Roman" w:hAnsi="Times New Roman" w:cs="Times New Roman" w:eastAsia="Times New Roman" w:hint="default"/>
                <w:sz w:val="18"/>
                <w:szCs w:val="18"/>
              </w:rPr>
            </w:pPr>
            <w:r>
              <w:rPr>
                <w:rFonts w:ascii="Times New Roman"/>
                <w:sz w:val="18"/>
              </w:rPr>
              <w:t>736,720,370.48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1" w:right="0"/>
              <w:jc w:val="lef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04" w:right="0"/>
              <w:jc w:val="left"/>
              <w:rPr>
                <w:rFonts w:ascii="Times New Roman" w:hAnsi="Times New Roman" w:cs="Times New Roman" w:eastAsia="Times New Roman" w:hint="default"/>
                <w:sz w:val="18"/>
                <w:szCs w:val="18"/>
              </w:rPr>
            </w:pPr>
            <w:r>
              <w:rPr>
                <w:rFonts w:ascii="Times New Roman"/>
                <w:sz w:val="18"/>
              </w:rPr>
              <w:t>0.35%</w:t>
            </w:r>
          </w:p>
        </w:tc>
      </w:tr>
    </w:tbl>
    <w:p>
      <w:pPr>
        <w:pStyle w:val="BodyText"/>
        <w:spacing w:line="240" w:lineRule="auto" w:before="8"/>
        <w:ind w:right="144"/>
        <w:jc w:val="left"/>
      </w:pPr>
      <w:r>
        <w:rPr/>
        <w:t>产品分类</w:t>
      </w:r>
    </w:p>
    <w:p>
      <w:pPr>
        <w:pStyle w:val="BodyText"/>
        <w:spacing w:line="240" w:lineRule="auto" w:before="76"/>
        <w:ind w:left="0" w:right="338"/>
        <w:jc w:val="right"/>
      </w:pPr>
      <w:r>
        <w:rPr/>
        <w:t>单位：元</w:t>
      </w:r>
    </w:p>
    <w:p>
      <w:pPr>
        <w:spacing w:line="240" w:lineRule="auto" w:before="3"/>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1899"/>
        <w:gridCol w:w="1421"/>
        <w:gridCol w:w="1541"/>
        <w:gridCol w:w="1080"/>
        <w:gridCol w:w="1539"/>
        <w:gridCol w:w="1080"/>
        <w:gridCol w:w="1080"/>
      </w:tblGrid>
      <w:tr>
        <w:trPr>
          <w:trHeight w:val="322" w:hRule="exact"/>
        </w:trPr>
        <w:tc>
          <w:tcPr>
            <w:tcW w:w="18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4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946" w:hRule="exact"/>
        </w:trPr>
        <w:tc>
          <w:tcPr>
            <w:tcW w:w="1899" w:type="dxa"/>
            <w:vMerge/>
            <w:tcBorders>
              <w:left w:val="single" w:sz="4" w:space="0" w:color="000000"/>
              <w:bottom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shd w:val="clear" w:color="auto" w:fill="D2D2D2"/>
          </w:tcPr>
          <w:p>
            <w:pP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75" w:right="173"/>
              <w:jc w:val="center"/>
              <w:rPr>
                <w:rFonts w:ascii="宋体" w:hAnsi="宋体" w:cs="宋体" w:eastAsia="宋体" w:hint="default"/>
                <w:sz w:val="18"/>
                <w:szCs w:val="18"/>
              </w:rPr>
            </w:pPr>
            <w:r>
              <w:rPr>
                <w:rFonts w:ascii="宋体" w:hAnsi="宋体" w:cs="宋体" w:eastAsia="宋体" w:hint="default"/>
                <w:sz w:val="18"/>
                <w:szCs w:val="18"/>
              </w:rPr>
              <w:t>占营业收 入比重</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77" w:right="170"/>
              <w:jc w:val="center"/>
              <w:rPr>
                <w:rFonts w:ascii="宋体" w:hAnsi="宋体" w:cs="宋体" w:eastAsia="宋体" w:hint="default"/>
                <w:sz w:val="18"/>
                <w:szCs w:val="18"/>
              </w:rPr>
            </w:pPr>
            <w:r>
              <w:rPr>
                <w:rFonts w:ascii="宋体" w:hAnsi="宋体" w:cs="宋体" w:eastAsia="宋体" w:hint="default"/>
                <w:sz w:val="18"/>
                <w:szCs w:val="18"/>
              </w:rPr>
              <w:t>占营业收 入比重</w:t>
            </w:r>
          </w:p>
          <w:p>
            <w:pPr>
              <w:pStyle w:val="TableParagraph"/>
              <w:spacing w:line="240" w:lineRule="auto" w:before="19"/>
              <w:ind w:left="4"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8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7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销售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465,756,929.32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56" w:right="0"/>
              <w:jc w:val="left"/>
              <w:rPr>
                <w:rFonts w:ascii="Times New Roman" w:hAnsi="Times New Roman" w:cs="Times New Roman" w:eastAsia="Times New Roman" w:hint="default"/>
                <w:sz w:val="18"/>
                <w:szCs w:val="18"/>
              </w:rPr>
            </w:pPr>
            <w:r>
              <w:rPr>
                <w:rFonts w:ascii="Times New Roman"/>
                <w:sz w:val="18"/>
              </w:rPr>
              <w:t>63.00%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354,205,999.66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 w:right="0"/>
              <w:jc w:val="center"/>
              <w:rPr>
                <w:rFonts w:ascii="Times New Roman" w:hAnsi="Times New Roman" w:cs="Times New Roman" w:eastAsia="Times New Roman" w:hint="default"/>
                <w:sz w:val="18"/>
                <w:szCs w:val="18"/>
              </w:rPr>
            </w:pPr>
            <w:r>
              <w:rPr>
                <w:rFonts w:ascii="Times New Roman"/>
                <w:sz w:val="18"/>
              </w:rPr>
              <w:t>48.08%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 w:right="0"/>
              <w:jc w:val="center"/>
              <w:rPr>
                <w:rFonts w:ascii="Times New Roman" w:hAnsi="Times New Roman" w:cs="Times New Roman" w:eastAsia="Times New Roman" w:hint="default"/>
                <w:sz w:val="18"/>
                <w:szCs w:val="18"/>
              </w:rPr>
            </w:pPr>
            <w:r>
              <w:rPr>
                <w:rFonts w:ascii="Times New Roman"/>
                <w:sz w:val="18"/>
              </w:rPr>
              <w:t>31.49%</w:t>
            </w:r>
          </w:p>
        </w:tc>
      </w:tr>
      <w:tr>
        <w:trPr>
          <w:trHeight w:val="47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合作运营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162,445,968.21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56" w:right="0"/>
              <w:jc w:val="left"/>
              <w:rPr>
                <w:rFonts w:ascii="Times New Roman" w:hAnsi="Times New Roman" w:cs="Times New Roman" w:eastAsia="Times New Roman" w:hint="default"/>
                <w:sz w:val="18"/>
                <w:szCs w:val="18"/>
              </w:rPr>
            </w:pPr>
            <w:r>
              <w:rPr>
                <w:rFonts w:ascii="Times New Roman"/>
                <w:sz w:val="18"/>
              </w:rPr>
              <w:t>21.97%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167,370,888.61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 w:right="0"/>
              <w:jc w:val="center"/>
              <w:rPr>
                <w:rFonts w:ascii="Times New Roman" w:hAnsi="Times New Roman" w:cs="Times New Roman" w:eastAsia="Times New Roman" w:hint="default"/>
                <w:sz w:val="18"/>
                <w:szCs w:val="18"/>
              </w:rPr>
            </w:pPr>
            <w:r>
              <w:rPr>
                <w:rFonts w:ascii="Times New Roman"/>
                <w:sz w:val="18"/>
              </w:rPr>
              <w:t>22.72%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-2.94%</w:t>
            </w:r>
          </w:p>
        </w:tc>
      </w:tr>
      <w:tr>
        <w:trPr>
          <w:trHeight w:val="475"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融资租赁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91,167,475.10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56" w:right="0"/>
              <w:jc w:val="left"/>
              <w:rPr>
                <w:rFonts w:ascii="Times New Roman" w:hAnsi="Times New Roman" w:cs="Times New Roman" w:eastAsia="Times New Roman" w:hint="default"/>
                <w:sz w:val="18"/>
                <w:szCs w:val="18"/>
              </w:rPr>
            </w:pPr>
            <w:r>
              <w:rPr>
                <w:rFonts w:ascii="Times New Roman"/>
                <w:sz w:val="18"/>
              </w:rPr>
              <w:t>12.33%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199,574,598.36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 w:right="0"/>
              <w:jc w:val="center"/>
              <w:rPr>
                <w:rFonts w:ascii="Times New Roman" w:hAnsi="Times New Roman" w:cs="Times New Roman" w:eastAsia="Times New Roman" w:hint="default"/>
                <w:sz w:val="18"/>
                <w:szCs w:val="18"/>
              </w:rPr>
            </w:pPr>
            <w:r>
              <w:rPr>
                <w:rFonts w:ascii="Times New Roman"/>
                <w:sz w:val="18"/>
              </w:rPr>
              <w:t>27.09%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7" w:right="0"/>
              <w:jc w:val="center"/>
              <w:rPr>
                <w:rFonts w:ascii="Times New Roman" w:hAnsi="Times New Roman" w:cs="Times New Roman" w:eastAsia="Times New Roman" w:hint="default"/>
                <w:sz w:val="18"/>
                <w:szCs w:val="18"/>
              </w:rPr>
            </w:pPr>
            <w:r>
              <w:rPr>
                <w:rFonts w:ascii="Times New Roman"/>
                <w:sz w:val="18"/>
              </w:rPr>
              <w:t>-54.32%</w:t>
            </w:r>
          </w:p>
        </w:tc>
      </w:tr>
      <w:tr>
        <w:trPr>
          <w:trHeight w:val="476" w:hRule="exac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技术、金融服务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19,949,981.97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02" w:right="0"/>
              <w:jc w:val="left"/>
              <w:rPr>
                <w:rFonts w:ascii="Times New Roman" w:hAnsi="Times New Roman" w:cs="Times New Roman" w:eastAsia="Times New Roman" w:hint="default"/>
                <w:sz w:val="18"/>
                <w:szCs w:val="18"/>
              </w:rPr>
            </w:pPr>
            <w:r>
              <w:rPr>
                <w:rFonts w:ascii="Times New Roman"/>
                <w:sz w:val="18"/>
              </w:rPr>
              <w:t>2.70%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15,568,883.85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 w:right="0"/>
              <w:jc w:val="center"/>
              <w:rPr>
                <w:rFonts w:ascii="Times New Roman" w:hAnsi="Times New Roman" w:cs="Times New Roman" w:eastAsia="Times New Roman" w:hint="default"/>
                <w:sz w:val="18"/>
                <w:szCs w:val="18"/>
              </w:rPr>
            </w:pPr>
            <w:r>
              <w:rPr>
                <w:rFonts w:ascii="Times New Roman"/>
                <w:sz w:val="18"/>
              </w:rPr>
              <w:t>2.11%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 w:right="0"/>
              <w:jc w:val="center"/>
              <w:rPr>
                <w:rFonts w:ascii="Times New Roman" w:hAnsi="Times New Roman" w:cs="Times New Roman" w:eastAsia="Times New Roman" w:hint="default"/>
                <w:sz w:val="18"/>
                <w:szCs w:val="18"/>
              </w:rPr>
            </w:pPr>
            <w:r>
              <w:rPr>
                <w:rFonts w:ascii="Times New Roman"/>
                <w:sz w:val="18"/>
              </w:rPr>
              <w:t>28.14%</w:t>
            </w:r>
          </w:p>
        </w:tc>
      </w:tr>
    </w:tbl>
    <w:p>
      <w:pPr>
        <w:spacing w:line="240" w:lineRule="auto" w:before="2"/>
        <w:rPr>
          <w:rFonts w:ascii="宋体" w:hAnsi="宋体" w:cs="宋体" w:eastAsia="宋体" w:hint="default"/>
          <w:sz w:val="24"/>
          <w:szCs w:val="24"/>
        </w:rPr>
      </w:pPr>
    </w:p>
    <w:p>
      <w:pPr>
        <w:pStyle w:val="BodyText"/>
        <w:spacing w:line="240" w:lineRule="auto" w:before="44"/>
        <w:ind w:right="144"/>
        <w:jc w:val="left"/>
      </w:pPr>
      <w:r>
        <w:rPr/>
        <w:t>公司实物销售收入是否大于劳务收入</w:t>
      </w:r>
    </w:p>
    <w:p>
      <w:pPr>
        <w:pStyle w:val="BodyText"/>
        <w:spacing w:line="240" w:lineRule="auto" w:before="115"/>
        <w:ind w:right="14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26"/>
        <w:gridCol w:w="1891"/>
        <w:gridCol w:w="1926"/>
        <w:gridCol w:w="1913"/>
        <w:gridCol w:w="1916"/>
      </w:tblGrid>
      <w:tr>
        <w:trPr>
          <w:trHeight w:val="401" w:hRule="exact"/>
        </w:trPr>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1926" w:type="dxa"/>
            <w:vMerge w:val="restart"/>
            <w:tcBorders>
              <w:top w:val="single" w:sz="4" w:space="0" w:color="000000"/>
              <w:left w:val="single" w:sz="4" w:space="0" w:color="000000"/>
              <w:right w:val="single" w:sz="10" w:space="0" w:color="D2D2D2"/>
            </w:tcBorders>
            <w:shd w:val="clear" w:color="auto" w:fill="CCE8CC"/>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w:t>
            </w:r>
          </w:p>
        </w:tc>
      </w:tr>
      <w:tr>
        <w:trPr>
          <w:trHeight w:val="401" w:hRule="exact"/>
        </w:trPr>
        <w:tc>
          <w:tcPr>
            <w:tcW w:w="1926" w:type="dxa"/>
            <w:vMerge/>
            <w:tcBorders>
              <w:left w:val="single" w:sz="4" w:space="0" w:color="000000"/>
              <w:bottom w:val="single" w:sz="4" w:space="0" w:color="000000"/>
              <w:right w:val="single" w:sz="10" w:space="0" w:color="D2D2D2"/>
            </w:tcBorders>
            <w:shd w:val="clear" w:color="auto" w:fill="CCE8CC"/>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w:t>
            </w:r>
          </w:p>
        </w:tc>
      </w:tr>
    </w:tbl>
    <w:p>
      <w:pPr>
        <w:pStyle w:val="BodyText"/>
        <w:spacing w:line="240" w:lineRule="auto" w:before="49"/>
        <w:ind w:right="144"/>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38" w:lineRule="auto" w:before="103"/>
        <w:ind w:left="513" w:right="14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报告期内公司共销售</w:t>
      </w:r>
      <w:r>
        <w:rPr>
          <w:rFonts w:ascii="Times New Roman" w:hAnsi="Times New Roman" w:cs="Times New Roman" w:eastAsia="Times New Roman" w:hint="default"/>
          <w:spacing w:val="-1"/>
        </w:rPr>
        <w:t>5,905</w:t>
      </w:r>
      <w:r>
        <w:rPr>
          <w:spacing w:val="-1"/>
        </w:rPr>
        <w:t>台</w:t>
      </w:r>
      <w:r>
        <w:rPr>
          <w:rFonts w:ascii="Times New Roman" w:hAnsi="Times New Roman" w:cs="Times New Roman" w:eastAsia="Times New Roman" w:hint="default"/>
          <w:spacing w:val="-1"/>
        </w:rPr>
        <w:t>ATM</w:t>
      </w:r>
      <w:r>
        <w:rPr>
          <w:spacing w:val="-1"/>
        </w:rPr>
        <w:t>设备，比上年同期</w:t>
      </w:r>
      <w:r>
        <w:rPr>
          <w:rFonts w:ascii="Times New Roman" w:hAnsi="Times New Roman" w:cs="Times New Roman" w:eastAsia="Times New Roman" w:hint="default"/>
          <w:spacing w:val="-1"/>
        </w:rPr>
        <w:t>3,827</w:t>
      </w:r>
      <w:r>
        <w:rPr>
          <w:spacing w:val="-1"/>
        </w:rPr>
        <w:t>台增长了</w:t>
      </w:r>
      <w:r>
        <w:rPr>
          <w:rFonts w:ascii="Times New Roman" w:hAnsi="Times New Roman" w:cs="Times New Roman" w:eastAsia="Times New Roman" w:hint="default"/>
          <w:spacing w:val="-1"/>
        </w:rPr>
        <w:t>54.30%</w:t>
      </w:r>
      <w:r>
        <w:rPr>
          <w:spacing w:val="-1"/>
        </w:rPr>
        <w:t>，主要原因是公司加大了市场开拓力度，中国</w:t>
      </w:r>
    </w:p>
    <w:p>
      <w:pPr>
        <w:pStyle w:val="BodyText"/>
        <w:spacing w:line="217" w:lineRule="exact"/>
        <w:ind w:right="144"/>
        <w:jc w:val="left"/>
      </w:pPr>
      <w:r>
        <w:rPr/>
        <w:t>建设银行股份有限公司和中国邮政集团公司的销量大幅增长所致。</w:t>
      </w:r>
    </w:p>
    <w:p>
      <w:pPr>
        <w:pStyle w:val="BodyText"/>
        <w:spacing w:line="240" w:lineRule="auto" w:before="117"/>
        <w:ind w:right="144"/>
        <w:jc w:val="left"/>
      </w:pPr>
      <w:r>
        <w:rPr/>
        <w:t>公司重大的在手订单情况</w:t>
      </w:r>
    </w:p>
    <w:p>
      <w:pPr>
        <w:pStyle w:val="BodyText"/>
        <w:spacing w:line="338" w:lineRule="auto" w:before="117"/>
        <w:ind w:left="513" w:right="148"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5"/>
        </w:rPr>
        <w:t>报告期内，公司收到中国电子进出口总公司关于</w:t>
      </w:r>
      <w:r>
        <w:rPr>
          <w:rFonts w:ascii="Times New Roman" w:hAnsi="Times New Roman" w:cs="Times New Roman" w:eastAsia="Times New Roman" w:hint="default"/>
          <w:spacing w:val="-5"/>
        </w:rPr>
        <w:t>2012</w:t>
      </w:r>
      <w:r>
        <w:rPr>
          <w:spacing w:val="-5"/>
        </w:rPr>
        <w:t>年度中国邮政集团公司金融设备招标项目《中标通知书》。根据《中</w:t>
      </w:r>
    </w:p>
    <w:p>
      <w:pPr>
        <w:pStyle w:val="BodyText"/>
        <w:spacing w:line="230" w:lineRule="exact"/>
        <w:ind w:right="0"/>
        <w:jc w:val="left"/>
      </w:pPr>
      <w:r>
        <w:rPr/>
        <w:t>标通知书》的内容，中国邮政向公司采购金融设备总金额为人民币</w:t>
      </w:r>
      <w:r>
        <w:rPr>
          <w:rFonts w:ascii="Times New Roman" w:hAnsi="Times New Roman" w:cs="Times New Roman" w:eastAsia="Times New Roman" w:hint="default"/>
        </w:rPr>
        <w:t>11</w:t>
      </w:r>
      <w:r>
        <w:rPr/>
        <w:t>，</w:t>
      </w:r>
      <w:r>
        <w:rPr>
          <w:rFonts w:ascii="Times New Roman" w:hAnsi="Times New Roman" w:cs="Times New Roman" w:eastAsia="Times New Roman" w:hint="default"/>
        </w:rPr>
        <w:t>528.40</w:t>
      </w:r>
      <w:r>
        <w:rPr/>
        <w:t>万元。具体的设备型号、成交数量及各省的分</w:t>
      </w:r>
    </w:p>
    <w:p>
      <w:pPr>
        <w:pStyle w:val="BodyText"/>
        <w:spacing w:line="300" w:lineRule="auto" w:before="63"/>
        <w:ind w:right="159"/>
        <w:jc w:val="left"/>
      </w:pPr>
      <w:r>
        <w:rPr/>
        <w:t>配数量在签署合同时通知。详见公司于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日在《证券时报》、《中国证券报》、《上海证券报》及巨潮资讯网上 刊登的</w:t>
      </w:r>
      <w:r>
        <w:rPr>
          <w:rFonts w:ascii="Times New Roman" w:hAnsi="Times New Roman" w:cs="Times New Roman" w:eastAsia="Times New Roman" w:hint="default"/>
        </w:rPr>
        <w:t>2012-024</w:t>
      </w:r>
      <w:r>
        <w:rPr/>
        <w:t>号《中标通知公告》，目前公司与中国邮政各省市分行签订的具体采购合同履行情况正常。</w:t>
      </w:r>
    </w:p>
    <w:p>
      <w:pPr>
        <w:spacing w:after="0" w:line="30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191" w:firstLine="420"/>
        <w:jc w:val="both"/>
      </w:pPr>
      <w:r>
        <w:rPr/>
        <w:t>公司与客户签订框架式销售合同，并按照客户的订单指令安排生产计划。报告期内，公司订单增长的主要原因是加大 新老客户的开发力度，为公司销售收入的持续增长提供了保证。</w:t>
      </w:r>
    </w:p>
    <w:p>
      <w:pPr>
        <w:pStyle w:val="BodyText"/>
        <w:spacing w:line="316" w:lineRule="auto" w:before="17"/>
        <w:ind w:right="148" w:firstLine="367"/>
        <w:jc w:val="both"/>
      </w:pPr>
      <w:r>
        <w:rPr/>
        <w:t>由于公司获取订单的时间比较分散，而会计核算实现销售收入的原则是以公司确认</w:t>
      </w:r>
      <w:r>
        <w:rPr>
          <w:rFonts w:ascii="宋体" w:hAnsi="宋体" w:cs="宋体" w:eastAsia="宋体" w:hint="default"/>
        </w:rPr>
        <w:t>ATM</w:t>
      </w:r>
      <w:r>
        <w:rPr/>
        <w:t>上线验收为准，因此公司订单存 </w:t>
      </w:r>
      <w:r>
        <w:rPr>
          <w:spacing w:val="-5"/>
        </w:rPr>
        <w:t>在跨期确认收入的情况。截至</w:t>
      </w:r>
      <w:r>
        <w:rPr>
          <w:rFonts w:ascii="宋体" w:hAnsi="宋体" w:cs="宋体" w:eastAsia="宋体" w:hint="default"/>
          <w:spacing w:val="-5"/>
        </w:rPr>
        <w:t>2012</w:t>
      </w:r>
      <w:r>
        <w:rPr>
          <w:spacing w:val="-5"/>
        </w:rPr>
        <w:t>年底，结转到以后年度执行的包括中国建设银行、邮政总局等客户下达的订单金额约</w:t>
      </w:r>
      <w:r>
        <w:rPr>
          <w:rFonts w:ascii="宋体" w:hAnsi="宋体" w:cs="宋体" w:eastAsia="宋体" w:hint="default"/>
          <w:spacing w:val="-5"/>
        </w:rPr>
        <w:t>10,000</w:t>
      </w:r>
      <w:r>
        <w:rPr>
          <w:rFonts w:ascii="宋体" w:hAnsi="宋体" w:cs="宋体" w:eastAsia="宋体" w:hint="default"/>
          <w:spacing w:val="-53"/>
        </w:rPr>
        <w:t> </w:t>
      </w:r>
      <w:r>
        <w:rPr>
          <w:rFonts w:ascii="宋体" w:hAnsi="宋体" w:cs="宋体" w:eastAsia="宋体" w:hint="default"/>
          <w:spacing w:val="-53"/>
        </w:rPr>
      </w:r>
      <w:r>
        <w:rPr/>
        <w:t>万元。</w:t>
      </w:r>
    </w:p>
    <w:p>
      <w:pPr>
        <w:pStyle w:val="BodyText"/>
        <w:spacing w:line="240" w:lineRule="auto" w:before="59"/>
        <w:ind w:right="144"/>
        <w:jc w:val="left"/>
      </w:pPr>
      <w:r>
        <w:rPr/>
        <w:t>公司报告期内产品或服务发生重大变化或调整有关情况</w:t>
      </w:r>
    </w:p>
    <w:p>
      <w:pPr>
        <w:pStyle w:val="BodyText"/>
        <w:spacing w:line="340" w:lineRule="auto" w:before="115"/>
        <w:ind w:right="7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公司主要销售客户情况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3"/>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322,529,304.33</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43%</w:t>
            </w:r>
          </w:p>
        </w:tc>
      </w:tr>
    </w:tbl>
    <w:p>
      <w:pPr>
        <w:pStyle w:val="BodyText"/>
        <w:spacing w:line="240" w:lineRule="auto" w:before="49"/>
        <w:ind w:right="144"/>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1"/>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80"/>
        <w:gridCol w:w="3300"/>
        <w:gridCol w:w="2333"/>
        <w:gridCol w:w="3145"/>
      </w:tblGrid>
      <w:tr>
        <w:trPr>
          <w:trHeight w:val="401"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00" w:type="dxa"/>
            <w:tcBorders>
              <w:top w:val="single" w:sz="4" w:space="0" w:color="000000"/>
              <w:left w:val="single" w:sz="10" w:space="0" w:color="D2D2D2"/>
              <w:bottom w:val="single" w:sz="4" w:space="0" w:color="000000"/>
              <w:right w:val="single" w:sz="4" w:space="0" w:color="000000"/>
            </w:tcBorders>
            <w:shd w:val="clear" w:color="auto" w:fill="CCE8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2333"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94,069,090.36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12.54%</w:t>
            </w:r>
          </w:p>
        </w:tc>
      </w:tr>
      <w:tr>
        <w:trPr>
          <w:trHeight w:val="401"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00" w:type="dxa"/>
            <w:tcBorders>
              <w:top w:val="single" w:sz="4" w:space="0" w:color="000000"/>
              <w:left w:val="single" w:sz="10" w:space="0" w:color="D2D2D2"/>
              <w:bottom w:val="single" w:sz="4" w:space="0" w:color="000000"/>
              <w:right w:val="single" w:sz="4" w:space="0" w:color="000000"/>
            </w:tcBorders>
            <w:shd w:val="clear" w:color="auto" w:fill="CCE8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中国邮政储蓄银行有限责任公司深圳分行</w:t>
            </w:r>
          </w:p>
        </w:tc>
        <w:tc>
          <w:tcPr>
            <w:tcW w:w="2333"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73,037,737.68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9.74%</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00" w:type="dxa"/>
            <w:tcBorders>
              <w:top w:val="single" w:sz="4" w:space="0" w:color="000000"/>
              <w:left w:val="single" w:sz="10" w:space="0" w:color="D2D2D2"/>
              <w:bottom w:val="single" w:sz="4" w:space="0" w:color="000000"/>
              <w:right w:val="single" w:sz="4" w:space="0" w:color="000000"/>
            </w:tcBorders>
            <w:shd w:val="clear" w:color="auto" w:fill="CCE8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天津滨河创新科技有限公司</w:t>
            </w:r>
          </w:p>
        </w:tc>
        <w:tc>
          <w:tcPr>
            <w:tcW w:w="2333"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71,307,692.27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9.51%</w:t>
            </w:r>
          </w:p>
        </w:tc>
      </w:tr>
      <w:tr>
        <w:trPr>
          <w:trHeight w:val="401"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00" w:type="dxa"/>
            <w:tcBorders>
              <w:top w:val="single" w:sz="4" w:space="0" w:color="000000"/>
              <w:left w:val="single" w:sz="10" w:space="0" w:color="D2D2D2"/>
              <w:bottom w:val="single" w:sz="4" w:space="0" w:color="000000"/>
              <w:right w:val="single" w:sz="4" w:space="0" w:color="000000"/>
            </w:tcBorders>
            <w:shd w:val="clear" w:color="auto" w:fill="CCE8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广东省东莞市邮政局</w:t>
            </w:r>
          </w:p>
        </w:tc>
        <w:tc>
          <w:tcPr>
            <w:tcW w:w="2333"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45,097,091.55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6.01%</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00" w:type="dxa"/>
            <w:tcBorders>
              <w:top w:val="single" w:sz="4" w:space="0" w:color="000000"/>
              <w:left w:val="single" w:sz="10" w:space="0" w:color="D2D2D2"/>
              <w:bottom w:val="single" w:sz="4" w:space="0" w:color="000000"/>
              <w:right w:val="single" w:sz="4" w:space="0" w:color="000000"/>
            </w:tcBorders>
            <w:shd w:val="clear" w:color="auto" w:fill="CCE8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中国邮政集团公司</w:t>
            </w:r>
          </w:p>
        </w:tc>
        <w:tc>
          <w:tcPr>
            <w:tcW w:w="2333"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39,017,692.47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w:t>
            </w:r>
          </w:p>
        </w:tc>
      </w:tr>
      <w:tr>
        <w:trPr>
          <w:trHeight w:val="401"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322,529,304.33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44"/>
        <w:jc w:val="left"/>
      </w:pPr>
      <w:r>
        <w:rPr/>
        <w:t>行业分类</w:t>
      </w:r>
    </w:p>
    <w:p>
      <w:pPr>
        <w:pStyle w:val="BodyText"/>
        <w:spacing w:line="240" w:lineRule="auto" w:before="117"/>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1"/>
        <w:gridCol w:w="1035"/>
        <w:gridCol w:w="1368"/>
        <w:gridCol w:w="1366"/>
        <w:gridCol w:w="1368"/>
        <w:gridCol w:w="1366"/>
        <w:gridCol w:w="1368"/>
      </w:tblGrid>
      <w:tr>
        <w:trPr>
          <w:trHeight w:val="402" w:hRule="exact"/>
        </w:trPr>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0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035"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70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03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3"/>
              <w:ind w:left="197" w:right="0"/>
              <w:jc w:val="left"/>
              <w:rPr>
                <w:rFonts w:ascii="Times New Roman" w:hAnsi="Times New Roman" w:cs="Times New Roman" w:eastAsia="Times New Roman" w:hint="default"/>
                <w:sz w:val="18"/>
                <w:szCs w:val="18"/>
              </w:rPr>
            </w:pPr>
            <w:r>
              <w:rPr>
                <w:rFonts w:ascii="Times New Roman"/>
                <w:sz w:val="18"/>
              </w:rPr>
              <w:t>397,878,432.81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349,982,661.01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0" w:right="0"/>
              <w:jc w:val="left"/>
              <w:rPr>
                <w:rFonts w:ascii="Times New Roman" w:hAnsi="Times New Roman" w:cs="Times New Roman" w:eastAsia="Times New Roman" w:hint="default"/>
                <w:sz w:val="18"/>
                <w:szCs w:val="18"/>
              </w:rPr>
            </w:pPr>
            <w:r>
              <w:rPr>
                <w:rFonts w:ascii="Times New Roman"/>
                <w:sz w:val="18"/>
              </w:rPr>
              <w:t>13.69%</w:t>
            </w:r>
          </w:p>
        </w:tc>
      </w:tr>
    </w:tbl>
    <w:p>
      <w:pPr>
        <w:pStyle w:val="BodyText"/>
        <w:spacing w:line="240" w:lineRule="auto" w:before="49"/>
        <w:ind w:right="144"/>
        <w:jc w:val="left"/>
      </w:pPr>
      <w:r>
        <w:rPr/>
        <w:t>产品分类</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035"/>
        <w:gridCol w:w="1368"/>
        <w:gridCol w:w="1366"/>
        <w:gridCol w:w="1368"/>
        <w:gridCol w:w="1366"/>
        <w:gridCol w:w="1368"/>
      </w:tblGrid>
      <w:tr>
        <w:trPr>
          <w:trHeight w:val="403"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0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035"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w:t>
            </w:r>
          </w:p>
        </w:tc>
        <w:tc>
          <w:tcPr>
            <w:tcW w:w="103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259,440,959.49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65.21%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166,713,903.52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1" w:right="0"/>
              <w:jc w:val="left"/>
              <w:rPr>
                <w:rFonts w:ascii="Times New Roman" w:hAnsi="Times New Roman" w:cs="Times New Roman" w:eastAsia="Times New Roman" w:hint="default"/>
                <w:sz w:val="18"/>
                <w:szCs w:val="18"/>
              </w:rPr>
            </w:pPr>
            <w:r>
              <w:rPr>
                <w:rFonts w:ascii="Times New Roman"/>
                <w:sz w:val="18"/>
              </w:rPr>
              <w:t>47.63%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55.62%</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合作运营</w:t>
            </w:r>
          </w:p>
        </w:tc>
        <w:tc>
          <w:tcPr>
            <w:tcW w:w="103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94,179,191.94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23.67%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84,716,035.06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1" w:right="0"/>
              <w:jc w:val="left"/>
              <w:rPr>
                <w:rFonts w:ascii="Times New Roman" w:hAnsi="Times New Roman" w:cs="Times New Roman" w:eastAsia="Times New Roman" w:hint="default"/>
                <w:sz w:val="18"/>
                <w:szCs w:val="18"/>
              </w:rPr>
            </w:pPr>
            <w:r>
              <w:rPr>
                <w:rFonts w:ascii="Times New Roman"/>
                <w:sz w:val="18"/>
              </w:rPr>
              <w:t>24.21%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5" w:right="0"/>
              <w:jc w:val="left"/>
              <w:rPr>
                <w:rFonts w:ascii="Times New Roman" w:hAnsi="Times New Roman" w:cs="Times New Roman" w:eastAsia="Times New Roman" w:hint="default"/>
                <w:sz w:val="18"/>
                <w:szCs w:val="18"/>
              </w:rPr>
            </w:pPr>
            <w:r>
              <w:rPr>
                <w:rFonts w:ascii="Times New Roman"/>
                <w:sz w:val="18"/>
              </w:rPr>
              <w:t>11.17%</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融资租赁</w:t>
            </w:r>
          </w:p>
        </w:tc>
        <w:tc>
          <w:tcPr>
            <w:tcW w:w="103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40,299,511.58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10.13%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95,295,800.11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1" w:right="0"/>
              <w:jc w:val="left"/>
              <w:rPr>
                <w:rFonts w:ascii="Times New Roman" w:hAnsi="Times New Roman" w:cs="Times New Roman" w:eastAsia="Times New Roman" w:hint="default"/>
                <w:sz w:val="18"/>
                <w:szCs w:val="18"/>
              </w:rPr>
            </w:pPr>
            <w:r>
              <w:rPr>
                <w:rFonts w:ascii="Times New Roman"/>
                <w:sz w:val="18"/>
              </w:rPr>
              <w:t>27.23%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-57.71%</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技术、金融服务</w:t>
            </w:r>
          </w:p>
        </w:tc>
        <w:tc>
          <w:tcPr>
            <w:tcW w:w="103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3,958,769.80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6" w:right="0"/>
              <w:jc w:val="left"/>
              <w:rPr>
                <w:rFonts w:ascii="Times New Roman" w:hAnsi="Times New Roman" w:cs="Times New Roman" w:eastAsia="Times New Roman" w:hint="default"/>
                <w:sz w:val="18"/>
                <w:szCs w:val="18"/>
              </w:rPr>
            </w:pPr>
            <w:r>
              <w:rPr>
                <w:rFonts w:ascii="Times New Roman"/>
                <w:sz w:val="18"/>
              </w:rPr>
              <w:t>0.99%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3,256,922.32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6" w:right="0"/>
              <w:jc w:val="left"/>
              <w:rPr>
                <w:rFonts w:ascii="Times New Roman" w:hAnsi="Times New Roman" w:cs="Times New Roman" w:eastAsia="Times New Roman" w:hint="default"/>
                <w:sz w:val="18"/>
                <w:szCs w:val="18"/>
              </w:rPr>
            </w:pPr>
            <w:r>
              <w:rPr>
                <w:rFonts w:ascii="Times New Roman"/>
                <w:sz w:val="18"/>
              </w:rPr>
              <w:t>0.93%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0" w:right="0"/>
              <w:jc w:val="left"/>
              <w:rPr>
                <w:rFonts w:ascii="Times New Roman" w:hAnsi="Times New Roman" w:cs="Times New Roman" w:eastAsia="Times New Roman" w:hint="default"/>
                <w:sz w:val="18"/>
                <w:szCs w:val="18"/>
              </w:rPr>
            </w:pPr>
            <w:r>
              <w:rPr>
                <w:rFonts w:ascii="Times New Roman"/>
                <w:sz w:val="18"/>
              </w:rPr>
              <w:t>21.55%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44"/>
        <w:jc w:val="left"/>
      </w:pPr>
      <w:r>
        <w:rPr/>
        <w:t>说明</w:t>
      </w:r>
    </w:p>
    <w:p>
      <w:pPr>
        <w:pStyle w:val="BodyText"/>
        <w:spacing w:line="240" w:lineRule="auto" w:before="117"/>
        <w:ind w:left="460" w:right="144"/>
        <w:jc w:val="left"/>
      </w:pPr>
      <w:r>
        <w:rPr/>
        <w:t>成本构成</w:t>
      </w:r>
    </w:p>
    <w:p>
      <w:pPr>
        <w:spacing w:line="240" w:lineRule="auto" w:before="3"/>
        <w:rPr>
          <w:rFonts w:ascii="宋体" w:hAnsi="宋体" w:cs="宋体" w:eastAsia="宋体" w:hint="default"/>
          <w:sz w:val="5"/>
          <w:szCs w:val="5"/>
        </w:rPr>
      </w:pPr>
    </w:p>
    <w:tbl>
      <w:tblPr>
        <w:tblW w:w="0" w:type="auto"/>
        <w:jc w:val="left"/>
        <w:tblInd w:w="431" w:type="dxa"/>
        <w:tblLayout w:type="fixed"/>
        <w:tblCellMar>
          <w:top w:w="0" w:type="dxa"/>
          <w:left w:w="0" w:type="dxa"/>
          <w:bottom w:w="0" w:type="dxa"/>
          <w:right w:w="0" w:type="dxa"/>
        </w:tblCellMar>
        <w:tblLook w:val="01E0"/>
      </w:tblPr>
      <w:tblGrid>
        <w:gridCol w:w="1913"/>
        <w:gridCol w:w="1916"/>
        <w:gridCol w:w="1913"/>
        <w:gridCol w:w="1916"/>
      </w:tblGrid>
      <w:tr>
        <w:trPr>
          <w:trHeight w:val="44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成本要素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564"/>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3"/>
              <w:jc w:val="center"/>
              <w:rPr>
                <w:rFonts w:ascii="宋体" w:hAnsi="宋体" w:cs="宋体" w:eastAsia="宋体" w:hint="default"/>
                <w:sz w:val="18"/>
                <w:szCs w:val="18"/>
              </w:rPr>
            </w:pPr>
            <w:r>
              <w:rPr>
                <w:rFonts w:ascii="宋体" w:hAnsi="宋体" w:cs="宋体" w:eastAsia="宋体" w:hint="default"/>
                <w:sz w:val="18"/>
                <w:szCs w:val="18"/>
              </w:rPr>
              <w:t>变动</w:t>
            </w:r>
          </w:p>
        </w:tc>
      </w:tr>
      <w:tr>
        <w:trPr>
          <w:trHeight w:val="44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直接材料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 w:right="0"/>
              <w:jc w:val="center"/>
              <w:rPr>
                <w:rFonts w:ascii="宋体" w:hAnsi="宋体" w:cs="宋体" w:eastAsia="宋体" w:hint="default"/>
                <w:sz w:val="18"/>
                <w:szCs w:val="18"/>
              </w:rPr>
            </w:pPr>
            <w:r>
              <w:rPr>
                <w:rFonts w:ascii="宋体"/>
                <w:sz w:val="18"/>
              </w:rPr>
              <w:t>90.47%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sz w:val="18"/>
              </w:rPr>
              <w:t>90.85%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sz w:val="18"/>
              </w:rPr>
              <w:t>-0.38%</w:t>
            </w:r>
          </w:p>
        </w:tc>
      </w:tr>
      <w:tr>
        <w:trPr>
          <w:trHeight w:val="44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宋体" w:hAnsi="宋体" w:cs="宋体" w:eastAsia="宋体" w:hint="default"/>
                <w:sz w:val="18"/>
                <w:szCs w:val="18"/>
              </w:rPr>
            </w:pPr>
            <w:r>
              <w:rPr>
                <w:rFonts w:ascii="宋体" w:hAnsi="宋体" w:cs="宋体" w:eastAsia="宋体" w:hint="default"/>
                <w:sz w:val="18"/>
                <w:szCs w:val="18"/>
              </w:rPr>
              <w:t>直接人工及制造费用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sz w:val="18"/>
              </w:rPr>
              <w:t>9.53%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18"/>
                <w:szCs w:val="18"/>
              </w:rPr>
            </w:pPr>
            <w:r>
              <w:rPr>
                <w:rFonts w:ascii="宋体"/>
                <w:sz w:val="18"/>
              </w:rPr>
              <w:t>9.15%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sz w:val="18"/>
              </w:rPr>
              <w:t>0.38%</w:t>
            </w:r>
          </w:p>
        </w:tc>
      </w:tr>
      <w:tr>
        <w:trPr>
          <w:trHeight w:val="44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633"/>
              <w:jc w:val="right"/>
              <w:rPr>
                <w:rFonts w:ascii="宋体" w:hAnsi="宋体" w:cs="宋体" w:eastAsia="宋体" w:hint="default"/>
                <w:sz w:val="18"/>
                <w:szCs w:val="18"/>
              </w:rPr>
            </w:pPr>
            <w:r>
              <w:rPr>
                <w:rFonts w:ascii="宋体"/>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24"/>
          <w:szCs w:val="24"/>
        </w:rPr>
      </w:pPr>
    </w:p>
    <w:p>
      <w:pPr>
        <w:pStyle w:val="BodyText"/>
        <w:spacing w:line="240" w:lineRule="auto" w:before="44"/>
        <w:ind w:right="144"/>
        <w:jc w:val="left"/>
      </w:pPr>
      <w:r>
        <w:rPr/>
        <w:t>公司主要供应商情况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3"/>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224,038,869.53</w:t>
            </w:r>
          </w:p>
        </w:tc>
      </w:tr>
      <w:tr>
        <w:trPr>
          <w:trHeight w:val="403" w:hRule="exact"/>
        </w:trPr>
        <w:tc>
          <w:tcPr>
            <w:tcW w:w="4257"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60.31%</w:t>
            </w:r>
          </w:p>
        </w:tc>
      </w:tr>
    </w:tbl>
    <w:p>
      <w:pPr>
        <w:pStyle w:val="BodyText"/>
        <w:spacing w:line="240" w:lineRule="auto" w:before="49"/>
        <w:ind w:right="144"/>
        <w:jc w:val="left"/>
      </w:pPr>
      <w:r>
        <w:rPr/>
        <w:pict>
          <v:shape style="position:absolute;margin-left:263.570007pt;margin-top:-20.188284pt;width:270.2pt;height:19.7pt;mso-position-horizontal-relative:page;mso-position-vertical-relative:paragraph;z-index:-831160"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71.010010pt;margin-top:-20.188284pt;width:262.75pt;height:19.7pt;mso-position-horizontal-relative:page;mso-position-vertical-relative:paragraph;z-index:-831136" coordorigin="5420,-404" coordsize="5255,394">
            <v:shape style="position:absolute;left:5420;top:-404;width:5255;height:394" coordorigin="5420,-404" coordsize="5255,394" path="m5420,-10l10675,-10,10675,-404,5420,-404,5420,-10xe" filled="true" fillcolor="#ffffff" stroked="false">
              <v:path arrowok="t"/>
              <v:fill type="solid"/>
            </v:shape>
            <w10:wrap type="none"/>
          </v:group>
        </w:pict>
      </w: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1"/>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68"/>
        <w:gridCol w:w="2333"/>
        <w:gridCol w:w="3145"/>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13" w:space="0" w:color="D2D2D2"/>
              <w:bottom w:val="single" w:sz="4" w:space="0" w:color="000000"/>
              <w:right w:val="single" w:sz="4" w:space="0" w:color="000000"/>
            </w:tcBorders>
            <w:shd w:val="clear" w:color="auto" w:fill="CCE8CC"/>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FUJITSU FRONTECH</w:t>
            </w:r>
            <w:r>
              <w:rPr>
                <w:rFonts w:ascii="Times New Roman"/>
                <w:spacing w:val="-7"/>
                <w:sz w:val="18"/>
              </w:rPr>
              <w:t> </w:t>
            </w:r>
            <w:r>
              <w:rPr>
                <w:rFonts w:ascii="Times New Roman"/>
                <w:sz w:val="18"/>
              </w:rPr>
              <w:t>LIMITED</w:t>
            </w:r>
          </w:p>
        </w:tc>
        <w:tc>
          <w:tcPr>
            <w:tcW w:w="2333"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140,121,912.27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37.72%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13" w:space="0" w:color="D2D2D2"/>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广州鑫粤金属制造实业有限公司</w:t>
            </w:r>
          </w:p>
        </w:tc>
        <w:tc>
          <w:tcPr>
            <w:tcW w:w="2333"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27,030,238.37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13" w:space="0" w:color="D2D2D2"/>
              <w:bottom w:val="single" w:sz="4" w:space="0" w:color="000000"/>
              <w:right w:val="single" w:sz="4" w:space="0" w:color="000000"/>
            </w:tcBorders>
            <w:shd w:val="clear" w:color="auto" w:fill="CCE8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广州基准机械电子科技有限公司</w:t>
            </w:r>
          </w:p>
        </w:tc>
        <w:tc>
          <w:tcPr>
            <w:tcW w:w="2333"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21,057,423.20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13" w:space="0" w:color="D2D2D2"/>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广州兴银信息技术有限公司</w:t>
            </w:r>
          </w:p>
        </w:tc>
        <w:tc>
          <w:tcPr>
            <w:tcW w:w="2333"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16,317,116.52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13" w:space="0" w:color="D2D2D2"/>
              <w:bottom w:val="single" w:sz="4" w:space="0" w:color="000000"/>
              <w:right w:val="single" w:sz="4" w:space="0" w:color="000000"/>
            </w:tcBorders>
            <w:shd w:val="clear" w:color="auto" w:fill="CCE8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东莞嘉丰机电设备有限公司</w:t>
            </w:r>
          </w:p>
        </w:tc>
        <w:tc>
          <w:tcPr>
            <w:tcW w:w="2333"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19,512,179.17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224,038,869.53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60.31%</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98"/>
        <w:jc w:val="right"/>
      </w:pPr>
      <w:r>
        <w:rPr/>
        <w:t>单位：元</w:t>
      </w:r>
    </w:p>
    <w:p>
      <w:pPr>
        <w:spacing w:line="240" w:lineRule="auto" w:before="4"/>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400"/>
        <w:gridCol w:w="1592"/>
        <w:gridCol w:w="1702"/>
        <w:gridCol w:w="2127"/>
        <w:gridCol w:w="2835"/>
      </w:tblGrid>
      <w:tr>
        <w:trPr>
          <w:trHeight w:val="564" w:hRule="exact"/>
        </w:trPr>
        <w:tc>
          <w:tcPr>
            <w:tcW w:w="1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78" w:right="0"/>
              <w:jc w:val="left"/>
              <w:rPr>
                <w:rFonts w:ascii="宋体" w:hAnsi="宋体" w:cs="宋体" w:eastAsia="宋体" w:hint="default"/>
                <w:sz w:val="18"/>
                <w:szCs w:val="18"/>
              </w:rPr>
            </w:pPr>
            <w:r>
              <w:rPr>
                <w:rFonts w:ascii="宋体" w:hAnsi="宋体" w:cs="宋体" w:eastAsia="宋体" w:hint="default"/>
                <w:sz w:val="18"/>
                <w:szCs w:val="18"/>
              </w:rPr>
              <w:t>费用项目</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1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65"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07"/>
              <w:jc w:val="right"/>
              <w:rPr>
                <w:rFonts w:ascii="宋体" w:hAnsi="宋体" w:cs="宋体" w:eastAsia="宋体" w:hint="default"/>
                <w:sz w:val="18"/>
                <w:szCs w:val="18"/>
              </w:rPr>
            </w:pPr>
            <w:r>
              <w:rPr>
                <w:rFonts w:ascii="宋体" w:hAnsi="宋体" w:cs="宋体" w:eastAsia="宋体" w:hint="default"/>
                <w:sz w:val="18"/>
                <w:szCs w:val="18"/>
              </w:rPr>
              <w:t>本年比上年增减幅度</w:t>
            </w:r>
            <w:r>
              <w:rPr>
                <w:rFonts w:ascii="宋体" w:hAnsi="宋体" w:cs="宋体" w:eastAsia="宋体" w:hint="default"/>
                <w:sz w:val="18"/>
                <w:szCs w:val="18"/>
              </w:rPr>
              <w:t>(%)</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50"/>
              <w:jc w:val="righ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年度营业收入的比例</w:t>
            </w:r>
            <w:r>
              <w:rPr>
                <w:rFonts w:ascii="宋体" w:hAnsi="宋体" w:cs="宋体" w:eastAsia="宋体" w:hint="default"/>
                <w:sz w:val="18"/>
                <w:szCs w:val="18"/>
              </w:rPr>
              <w:t>(%)</w:t>
            </w:r>
          </w:p>
        </w:tc>
      </w:tr>
      <w:tr>
        <w:trPr>
          <w:trHeight w:val="634"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87,172,618.05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19" w:right="0"/>
              <w:jc w:val="left"/>
              <w:rPr>
                <w:rFonts w:ascii="宋体" w:hAnsi="宋体" w:cs="宋体" w:eastAsia="宋体" w:hint="default"/>
                <w:sz w:val="18"/>
                <w:szCs w:val="18"/>
              </w:rPr>
            </w:pPr>
            <w:r>
              <w:rPr>
                <w:rFonts w:ascii="宋体"/>
                <w:sz w:val="18"/>
              </w:rPr>
              <w:t>81,494,548.73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6.97%</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11.62%</w:t>
            </w:r>
          </w:p>
        </w:tc>
      </w:tr>
      <w:tr>
        <w:trPr>
          <w:trHeight w:val="636"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106,070,896.07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19" w:right="0"/>
              <w:jc w:val="left"/>
              <w:rPr>
                <w:rFonts w:ascii="宋体" w:hAnsi="宋体" w:cs="宋体" w:eastAsia="宋体" w:hint="default"/>
                <w:sz w:val="18"/>
                <w:szCs w:val="18"/>
              </w:rPr>
            </w:pPr>
            <w:r>
              <w:rPr>
                <w:rFonts w:ascii="宋体"/>
                <w:sz w:val="18"/>
              </w:rPr>
              <w:t>91,570,668.91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15.84%</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14.14%</w:t>
            </w:r>
          </w:p>
        </w:tc>
      </w:tr>
      <w:tr>
        <w:trPr>
          <w:trHeight w:val="634"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4,673,412.14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08" w:right="0"/>
              <w:jc w:val="left"/>
              <w:rPr>
                <w:rFonts w:ascii="宋体" w:hAnsi="宋体" w:cs="宋体" w:eastAsia="宋体" w:hint="default"/>
                <w:sz w:val="18"/>
                <w:szCs w:val="18"/>
              </w:rPr>
            </w:pPr>
            <w:r>
              <w:rPr>
                <w:rFonts w:ascii="宋体"/>
                <w:sz w:val="18"/>
              </w:rPr>
              <w:t>7,164,382.12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-34.77%</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0.62%</w:t>
            </w:r>
          </w:p>
        </w:tc>
      </w:tr>
      <w:tr>
        <w:trPr>
          <w:trHeight w:val="634"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9,956,149.09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19" w:right="0"/>
              <w:jc w:val="left"/>
              <w:rPr>
                <w:rFonts w:ascii="宋体" w:hAnsi="宋体" w:cs="宋体" w:eastAsia="宋体" w:hint="default"/>
                <w:sz w:val="18"/>
                <w:szCs w:val="18"/>
              </w:rPr>
            </w:pPr>
            <w:r>
              <w:rPr>
                <w:rFonts w:ascii="宋体"/>
                <w:sz w:val="18"/>
              </w:rPr>
              <w:t>20,800,927.30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-52.14%</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1.33%</w:t>
            </w:r>
          </w:p>
        </w:tc>
      </w:tr>
    </w:tbl>
    <w:p>
      <w:pPr>
        <w:pStyle w:val="BodyText"/>
        <w:spacing w:line="240" w:lineRule="auto" w:before="8"/>
        <w:ind w:right="144"/>
        <w:jc w:val="left"/>
      </w:pPr>
      <w:r>
        <w:rPr/>
        <w:t>（</w:t>
      </w:r>
      <w:r>
        <w:rPr>
          <w:rFonts w:ascii="Times New Roman" w:hAnsi="Times New Roman" w:cs="Times New Roman" w:eastAsia="Times New Roman" w:hint="default"/>
        </w:rPr>
        <w:t>1</w:t>
      </w:r>
      <w:r>
        <w:rPr/>
        <w:t>）财务费用</w:t>
      </w:r>
      <w:r>
        <w:rPr>
          <w:rFonts w:ascii="Times New Roman" w:hAnsi="Times New Roman" w:cs="Times New Roman" w:eastAsia="Times New Roman" w:hint="default"/>
        </w:rPr>
        <w:t>4,673,412.14</w:t>
      </w:r>
      <w:r>
        <w:rPr/>
        <w:t>元，比上年同期减少</w:t>
      </w:r>
      <w:r>
        <w:rPr>
          <w:rFonts w:ascii="Times New Roman" w:hAnsi="Times New Roman" w:cs="Times New Roman" w:eastAsia="Times New Roman" w:hint="default"/>
        </w:rPr>
        <w:t>34.77%</w:t>
      </w:r>
      <w:r>
        <w:rPr/>
        <w:t>，主要原因是银行借款利息比上年同期减少所致。</w:t>
      </w:r>
    </w:p>
    <w:p>
      <w:pPr>
        <w:pStyle w:val="BodyText"/>
        <w:spacing w:line="240" w:lineRule="auto" w:before="63"/>
        <w:ind w:right="144"/>
        <w:jc w:val="left"/>
      </w:pPr>
      <w:r>
        <w:rPr/>
        <w:t>（</w:t>
      </w:r>
      <w:r>
        <w:rPr>
          <w:rFonts w:ascii="Times New Roman" w:hAnsi="Times New Roman" w:cs="Times New Roman" w:eastAsia="Times New Roman" w:hint="default"/>
        </w:rPr>
        <w:t>2</w:t>
      </w:r>
      <w:r>
        <w:rPr/>
        <w:t>）所得税费用</w:t>
      </w:r>
      <w:r>
        <w:rPr>
          <w:rFonts w:ascii="Times New Roman" w:hAnsi="Times New Roman" w:cs="Times New Roman" w:eastAsia="Times New Roman" w:hint="default"/>
        </w:rPr>
        <w:t>9,956,149.09</w:t>
      </w:r>
      <w:r>
        <w:rPr/>
        <w:t>元，比上年同期减少</w:t>
      </w:r>
      <w:r>
        <w:rPr>
          <w:rFonts w:ascii="Times New Roman" w:hAnsi="Times New Roman" w:cs="Times New Roman" w:eastAsia="Times New Roman" w:hint="default"/>
        </w:rPr>
        <w:t>52.14%</w:t>
      </w:r>
      <w:r>
        <w:rPr/>
        <w:t>，主要原因是本部利润总额减少所致。</w:t>
      </w:r>
    </w:p>
    <w:p>
      <w:pPr>
        <w:spacing w:line="240" w:lineRule="auto" w:before="2"/>
        <w:rPr>
          <w:rFonts w:ascii="宋体" w:hAnsi="宋体" w:cs="宋体" w:eastAsia="宋体" w:hint="default"/>
          <w:sz w:val="26"/>
          <w:szCs w:val="26"/>
        </w:rPr>
      </w:pPr>
    </w:p>
    <w:p>
      <w:pPr>
        <w:pStyle w:val="Heading3"/>
        <w:spacing w:line="240" w:lineRule="auto"/>
        <w:ind w:right="144"/>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rFonts w:ascii="Times New Roman" w:hAnsi="Times New Roman" w:cs="Times New Roman" w:eastAsia="Times New Roman" w:hint="default"/>
        </w:rPr>
        <w:t>2012</w:t>
      </w:r>
      <w:r>
        <w:rPr/>
        <w:t>年度研发支出</w:t>
      </w:r>
      <w:r>
        <w:rPr>
          <w:rFonts w:ascii="Times New Roman" w:hAnsi="Times New Roman" w:cs="Times New Roman" w:eastAsia="Times New Roman" w:hint="default"/>
        </w:rPr>
        <w:t>43,427,834.2</w:t>
      </w:r>
      <w:r>
        <w:rPr/>
        <w:t>元，比上年同期增长</w:t>
      </w:r>
      <w:r>
        <w:rPr>
          <w:rFonts w:ascii="Times New Roman" w:hAnsi="Times New Roman" w:cs="Times New Roman" w:eastAsia="Times New Roman" w:hint="default"/>
        </w:rPr>
        <w:t>43.54%</w:t>
      </w:r>
      <w:r>
        <w:rPr/>
        <w:t>，主要原因是公司加大了对</w:t>
      </w:r>
      <w:r>
        <w:rPr>
          <w:rFonts w:ascii="Times New Roman" w:hAnsi="Times New Roman" w:cs="Times New Roman" w:eastAsia="Times New Roman" w:hint="default"/>
        </w:rPr>
        <w:t>ATM</w:t>
      </w:r>
      <w:r>
        <w:rPr/>
        <w:t>监控、维护管理、机芯等软</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85"/>
        <w:jc w:val="left"/>
      </w:pPr>
      <w:r>
        <w:rPr/>
        <w:t>硬件研发项目的投入所致。</w:t>
      </w:r>
    </w:p>
    <w:p>
      <w:pPr>
        <w:pStyle w:val="BodyText"/>
        <w:spacing w:line="240" w:lineRule="auto" w:before="77"/>
        <w:ind w:right="185"/>
        <w:jc w:val="left"/>
      </w:pPr>
      <w:r>
        <w:rPr>
          <w:rFonts w:ascii="Times New Roman" w:hAnsi="Times New Roman" w:cs="Times New Roman" w:eastAsia="Times New Roman" w:hint="default"/>
        </w:rPr>
        <w:t>2012</w:t>
      </w:r>
      <w:r>
        <w:rPr/>
        <w:t>年度研发支出占公司最近一期经审计净资产、营业收入的比例如下：</w:t>
      </w:r>
    </w:p>
    <w:p>
      <w:pPr>
        <w:spacing w:line="240" w:lineRule="auto" w:before="11"/>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2499"/>
        <w:gridCol w:w="2201"/>
        <w:gridCol w:w="2761"/>
        <w:gridCol w:w="2201"/>
      </w:tblGrid>
      <w:tr>
        <w:trPr>
          <w:trHeight w:val="338" w:hRule="exact"/>
        </w:trPr>
        <w:tc>
          <w:tcPr>
            <w:tcW w:w="2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35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715"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715"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36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43,427,834.20</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23"/>
              <w:jc w:val="right"/>
              <w:rPr>
                <w:rFonts w:ascii="宋体" w:hAnsi="宋体" w:cs="宋体" w:eastAsia="宋体" w:hint="default"/>
                <w:sz w:val="18"/>
                <w:szCs w:val="18"/>
              </w:rPr>
            </w:pPr>
            <w:r>
              <w:rPr>
                <w:rFonts w:ascii="宋体"/>
                <w:spacing w:val="-1"/>
                <w:sz w:val="18"/>
              </w:rPr>
              <w:t>30,254,320.40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25,125,677.02</w:t>
            </w:r>
          </w:p>
        </w:tc>
      </w:tr>
      <w:tr>
        <w:trPr>
          <w:trHeight w:val="355"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占净资产比例</w:t>
            </w:r>
            <w:r>
              <w:rPr>
                <w:rFonts w:ascii="宋体" w:hAnsi="宋体" w:cs="宋体" w:eastAsia="宋体" w:hint="default"/>
                <w:sz w:val="18"/>
                <w:szCs w:val="18"/>
              </w:rPr>
              <w:t>(%)</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宋体" w:hAnsi="宋体" w:cs="宋体" w:eastAsia="宋体" w:hint="default"/>
                <w:sz w:val="18"/>
                <w:szCs w:val="18"/>
              </w:rPr>
            </w:pPr>
            <w:r>
              <w:rPr>
                <w:rFonts w:ascii="宋体"/>
                <w:sz w:val="18"/>
              </w:rPr>
              <w:t>3.16%</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宋体" w:hAnsi="宋体" w:cs="宋体" w:eastAsia="宋体" w:hint="default"/>
                <w:sz w:val="18"/>
                <w:szCs w:val="18"/>
              </w:rPr>
            </w:pPr>
            <w:r>
              <w:rPr>
                <w:rFonts w:ascii="宋体"/>
                <w:sz w:val="18"/>
              </w:rPr>
              <w:t>2.30%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宋体" w:hAnsi="宋体" w:cs="宋体" w:eastAsia="宋体" w:hint="default"/>
                <w:sz w:val="18"/>
                <w:szCs w:val="18"/>
              </w:rPr>
            </w:pPr>
            <w:r>
              <w:rPr>
                <w:rFonts w:ascii="宋体"/>
                <w:sz w:val="18"/>
              </w:rPr>
              <w:t>2.02%</w:t>
            </w:r>
          </w:p>
        </w:tc>
      </w:tr>
      <w:tr>
        <w:trPr>
          <w:trHeight w:val="355"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占营业收入比例</w:t>
            </w:r>
            <w:r>
              <w:rPr>
                <w:rFonts w:ascii="宋体" w:hAnsi="宋体" w:cs="宋体" w:eastAsia="宋体" w:hint="default"/>
                <w:sz w:val="18"/>
                <w:szCs w:val="18"/>
              </w:rPr>
              <w:t>(%)</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宋体" w:hAnsi="宋体" w:cs="宋体" w:eastAsia="宋体" w:hint="default"/>
                <w:sz w:val="18"/>
                <w:szCs w:val="18"/>
              </w:rPr>
            </w:pPr>
            <w:r>
              <w:rPr>
                <w:rFonts w:ascii="宋体"/>
                <w:sz w:val="18"/>
              </w:rPr>
              <w:t>5.79%</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宋体" w:hAnsi="宋体" w:cs="宋体" w:eastAsia="宋体" w:hint="default"/>
                <w:sz w:val="18"/>
                <w:szCs w:val="18"/>
              </w:rPr>
            </w:pPr>
            <w:r>
              <w:rPr>
                <w:rFonts w:ascii="宋体"/>
                <w:sz w:val="18"/>
              </w:rPr>
              <w:t>4.08%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宋体" w:hAnsi="宋体" w:cs="宋体" w:eastAsia="宋体" w:hint="default"/>
                <w:sz w:val="18"/>
                <w:szCs w:val="18"/>
              </w:rPr>
            </w:pPr>
            <w:r>
              <w:rPr>
                <w:rFonts w:ascii="宋体"/>
                <w:sz w:val="18"/>
              </w:rPr>
              <w:t>5.37%</w:t>
            </w:r>
          </w:p>
        </w:tc>
      </w:tr>
    </w:tbl>
    <w:p>
      <w:pPr>
        <w:spacing w:line="240" w:lineRule="auto" w:before="3"/>
        <w:rPr>
          <w:rFonts w:ascii="宋体" w:hAnsi="宋体" w:cs="宋体" w:eastAsia="宋体" w:hint="default"/>
          <w:sz w:val="19"/>
          <w:szCs w:val="19"/>
        </w:rPr>
      </w:pPr>
    </w:p>
    <w:p>
      <w:pPr>
        <w:pStyle w:val="Heading3"/>
        <w:spacing w:line="240" w:lineRule="auto" w:before="36"/>
        <w:ind w:right="185"/>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72"/>
        <w:gridCol w:w="2302"/>
        <w:gridCol w:w="2293"/>
        <w:gridCol w:w="2292"/>
      </w:tblGrid>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967,925,224.16</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722,524,545.98</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33.96%</w:t>
            </w:r>
          </w:p>
        </w:tc>
      </w:tr>
      <w:tr>
        <w:trPr>
          <w:trHeight w:val="40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738,907,176.60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672,038,215.18</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9.95%</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229,018,047.56</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50,486,330.80</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353.62%</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18,584,042.44</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154,308.00</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11,943.47%</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157,501,574.77</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221,514,803.42</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-138,917,532.33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-221,360,495.42</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37.24%</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252,274,924.62</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473,691,340.00</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-46.74%</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231,305,110.51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356,862,615.17</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-35.18%</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20,969,814.11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116,828,724.83</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-82.05%</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111,070,329.34</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-54,045,439.79</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305.51%</w:t>
            </w:r>
          </w:p>
        </w:tc>
      </w:tr>
    </w:tbl>
    <w:p>
      <w:pPr>
        <w:pStyle w:val="BodyText"/>
        <w:spacing w:line="240" w:lineRule="auto" w:before="49"/>
        <w:ind w:right="185"/>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1"/>
        <w:ind w:right="1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513" w:right="185"/>
        <w:jc w:val="left"/>
      </w:pPr>
      <w:r>
        <w:rPr/>
        <w:t>（</w:t>
      </w:r>
      <w:r>
        <w:rPr>
          <w:rFonts w:ascii="Times New Roman" w:hAnsi="Times New Roman" w:cs="Times New Roman" w:eastAsia="Times New Roman" w:hint="default"/>
        </w:rPr>
        <w:t>1</w:t>
      </w:r>
      <w:r>
        <w:rPr/>
        <w:t>）经营活动现金流量</w:t>
      </w:r>
    </w:p>
    <w:p>
      <w:pPr>
        <w:pStyle w:val="BodyText"/>
        <w:spacing w:line="300" w:lineRule="auto" w:before="63"/>
        <w:ind w:right="185" w:firstLine="360"/>
        <w:jc w:val="left"/>
      </w:pPr>
      <w:r>
        <w:rPr/>
        <w:t>报告期内公司经营活动现金流入比上年同期增长</w:t>
      </w:r>
      <w:r>
        <w:rPr>
          <w:rFonts w:ascii="Times New Roman" w:hAnsi="Times New Roman" w:cs="Times New Roman" w:eastAsia="Times New Roman" w:hint="default"/>
        </w:rPr>
        <w:t>33.96%</w:t>
      </w:r>
      <w:r>
        <w:rPr/>
        <w:t>，</w:t>
      </w:r>
      <w:r>
        <w:rPr>
          <w:spacing w:val="-16"/>
        </w:rPr>
        <w:t> </w:t>
      </w:r>
      <w:r>
        <w:rPr/>
        <w:t>主要原因是公司加强了应收账款管理，货款及时回收所致，</w:t>
      </w:r>
      <w:r>
        <w:rPr/>
        <w:t> 使得销售商品、提供劳务收到的现金</w:t>
      </w:r>
      <w:r>
        <w:rPr>
          <w:rFonts w:ascii="Times New Roman" w:hAnsi="Times New Roman" w:cs="Times New Roman" w:eastAsia="Times New Roman" w:hint="default"/>
        </w:rPr>
        <w:t>88,495.80</w:t>
      </w:r>
      <w:r>
        <w:rPr/>
        <w:t>万元，比上年同期</w:t>
      </w:r>
      <w:r>
        <w:rPr>
          <w:rFonts w:ascii="Times New Roman" w:hAnsi="Times New Roman" w:cs="Times New Roman" w:eastAsia="Times New Roman" w:hint="default"/>
        </w:rPr>
        <w:t>64,453.15</w:t>
      </w:r>
      <w:r>
        <w:rPr/>
        <w:t>万元增长</w:t>
      </w:r>
      <w:r>
        <w:rPr>
          <w:rFonts w:ascii="Times New Roman" w:hAnsi="Times New Roman" w:cs="Times New Roman" w:eastAsia="Times New Roman" w:hint="default"/>
        </w:rPr>
        <w:t>37.30%</w:t>
      </w:r>
      <w:r>
        <w:rPr/>
        <w:t>。</w:t>
      </w:r>
    </w:p>
    <w:p>
      <w:pPr>
        <w:pStyle w:val="BodyText"/>
        <w:spacing w:line="300" w:lineRule="auto" w:before="13"/>
        <w:ind w:right="185" w:firstLine="360"/>
        <w:jc w:val="left"/>
      </w:pPr>
      <w:r>
        <w:rPr/>
        <w:t>报告期内公司经营活动现金流出比上年同期增长</w:t>
      </w:r>
      <w:r>
        <w:rPr>
          <w:rFonts w:ascii="Times New Roman" w:hAnsi="Times New Roman" w:cs="Times New Roman" w:eastAsia="Times New Roman" w:hint="default"/>
        </w:rPr>
        <w:t>9.95%</w:t>
      </w:r>
      <w:r>
        <w:rPr/>
        <w:t>，主要原因是支付给职工以及为职工支付的现金</w:t>
      </w:r>
      <w:r>
        <w:rPr>
          <w:rFonts w:ascii="Times New Roman" w:hAnsi="Times New Roman" w:cs="Times New Roman" w:eastAsia="Times New Roman" w:hint="default"/>
        </w:rPr>
        <w:t>4,583.87</w:t>
      </w:r>
      <w:r>
        <w:rPr/>
        <w:t>万元、 支付的各项税费</w:t>
      </w:r>
      <w:r>
        <w:rPr>
          <w:rFonts w:ascii="Times New Roman" w:hAnsi="Times New Roman" w:cs="Times New Roman" w:eastAsia="Times New Roman" w:hint="default"/>
        </w:rPr>
        <w:t>8079.58</w:t>
      </w:r>
      <w:r>
        <w:rPr/>
        <w:t>万元，分别比上年同期增长</w:t>
      </w:r>
      <w:r>
        <w:rPr>
          <w:rFonts w:ascii="Times New Roman" w:hAnsi="Times New Roman" w:cs="Times New Roman" w:eastAsia="Times New Roman" w:hint="default"/>
        </w:rPr>
        <w:t>25.34%</w:t>
      </w:r>
      <w:r>
        <w:rPr/>
        <w:t>、</w:t>
      </w:r>
      <w:r>
        <w:rPr>
          <w:rFonts w:ascii="Times New Roman" w:hAnsi="Times New Roman" w:cs="Times New Roman" w:eastAsia="Times New Roman" w:hint="default"/>
        </w:rPr>
        <w:t>57.15%</w:t>
      </w:r>
      <w:r>
        <w:rPr/>
        <w:t>。</w:t>
      </w:r>
    </w:p>
    <w:p>
      <w:pPr>
        <w:pStyle w:val="BodyText"/>
        <w:spacing w:line="300" w:lineRule="auto" w:before="13"/>
        <w:ind w:right="169" w:firstLine="360"/>
        <w:jc w:val="left"/>
      </w:pPr>
      <w:r>
        <w:rPr/>
        <w:t>报告期内公司经营活动产生的现金流量净额比上年同期增长</w:t>
      </w:r>
      <w:r>
        <w:rPr>
          <w:rFonts w:ascii="Times New Roman" w:hAnsi="Times New Roman" w:cs="Times New Roman" w:eastAsia="Times New Roman" w:hint="default"/>
        </w:rPr>
        <w:t>353.62%</w:t>
      </w:r>
      <w:r>
        <w:rPr/>
        <w:t>，主要原因是销售商品、提供劳务收到的现金比上 年同期大幅增长所致。</w:t>
      </w:r>
    </w:p>
    <w:p>
      <w:pPr>
        <w:pStyle w:val="BodyText"/>
        <w:spacing w:line="240" w:lineRule="auto" w:before="31"/>
        <w:ind w:left="513" w:right="185"/>
        <w:jc w:val="left"/>
      </w:pPr>
      <w:r>
        <w:rPr/>
        <w:t>（</w:t>
      </w:r>
      <w:r>
        <w:rPr>
          <w:rFonts w:ascii="Times New Roman" w:hAnsi="Times New Roman" w:cs="Times New Roman" w:eastAsia="Times New Roman" w:hint="default"/>
        </w:rPr>
        <w:t>2</w:t>
      </w:r>
      <w:r>
        <w:rPr/>
        <w:t>）投资活动现金流量</w:t>
      </w:r>
    </w:p>
    <w:p>
      <w:pPr>
        <w:pStyle w:val="BodyText"/>
        <w:spacing w:line="300" w:lineRule="auto" w:before="63"/>
        <w:ind w:left="513" w:right="99"/>
        <w:jc w:val="left"/>
      </w:pPr>
      <w:r>
        <w:rPr/>
        <w:t>报告期内公司投资活动现金流入比上年同期增长</w:t>
      </w:r>
      <w:r>
        <w:rPr>
          <w:rFonts w:ascii="Times New Roman" w:hAnsi="Times New Roman" w:cs="Times New Roman" w:eastAsia="Times New Roman" w:hint="default"/>
        </w:rPr>
        <w:t>11943.47%</w:t>
      </w:r>
      <w:r>
        <w:rPr/>
        <w:t>，</w:t>
      </w:r>
      <w:r>
        <w:rPr>
          <w:spacing w:val="-21"/>
        </w:rPr>
        <w:t> </w:t>
      </w:r>
      <w:r>
        <w:rPr/>
        <w:t>主要原因是公司出售星河生物股票和深圳信威股权所致。</w:t>
      </w:r>
      <w:r>
        <w:rPr/>
        <w:t> 报告期内公司投资活动现金流出比上年同期减少</w:t>
      </w:r>
      <w:r>
        <w:rPr>
          <w:rFonts w:ascii="Times New Roman" w:hAnsi="Times New Roman" w:cs="Times New Roman" w:eastAsia="Times New Roman" w:hint="default"/>
        </w:rPr>
        <w:t>28.90%</w:t>
      </w:r>
      <w:r>
        <w:rPr/>
        <w:t>，</w:t>
      </w:r>
      <w:r>
        <w:rPr>
          <w:spacing w:val="-14"/>
        </w:rPr>
        <w:t> </w:t>
      </w:r>
      <w:r>
        <w:rPr/>
        <w:t>主要原因是购建固定资产、无形资产和其他长期资产支付的</w:t>
      </w:r>
    </w:p>
    <w:p>
      <w:pPr>
        <w:pStyle w:val="BodyText"/>
        <w:spacing w:line="316" w:lineRule="auto" w:before="13"/>
        <w:ind w:left="513" w:right="185" w:hanging="361"/>
        <w:jc w:val="left"/>
      </w:pPr>
      <w:r>
        <w:rPr/>
        <w:t>现金比上年同期减少所致。 报告期内公司投资活动产生的现金流量净额比上年同期增长</w:t>
      </w:r>
      <w:r>
        <w:rPr>
          <w:rFonts w:ascii="Times New Roman" w:hAnsi="Times New Roman" w:cs="Times New Roman" w:eastAsia="Times New Roman" w:hint="default"/>
        </w:rPr>
        <w:t>37.24%</w:t>
      </w:r>
      <w:r>
        <w:rPr/>
        <w:t>，主要原因是公司出售星河生物股票和深圳信威股</w:t>
      </w:r>
    </w:p>
    <w:p>
      <w:pPr>
        <w:pStyle w:val="BodyText"/>
        <w:spacing w:line="235" w:lineRule="exact"/>
        <w:ind w:right="185"/>
        <w:jc w:val="left"/>
      </w:pPr>
      <w:r>
        <w:rPr/>
        <w:t>权和购建固定资产、无形资产和其他长期资产支付的现金减少所致。</w:t>
      </w:r>
    </w:p>
    <w:p>
      <w:pPr>
        <w:pStyle w:val="BodyText"/>
        <w:spacing w:line="240" w:lineRule="auto" w:before="76"/>
        <w:ind w:left="513" w:right="185"/>
        <w:jc w:val="left"/>
      </w:pPr>
      <w:r>
        <w:rPr/>
        <w:t>（</w:t>
      </w:r>
      <w:r>
        <w:rPr>
          <w:rFonts w:ascii="Times New Roman" w:hAnsi="Times New Roman" w:cs="Times New Roman" w:eastAsia="Times New Roman" w:hint="default"/>
        </w:rPr>
        <w:t>3</w:t>
      </w:r>
      <w:r>
        <w:rPr/>
        <w:t>）筹资活动现金流量</w:t>
      </w:r>
    </w:p>
    <w:p>
      <w:pPr>
        <w:pStyle w:val="BodyText"/>
        <w:spacing w:line="300" w:lineRule="auto" w:before="63"/>
        <w:ind w:left="513" w:right="1158"/>
        <w:jc w:val="left"/>
      </w:pPr>
      <w:r>
        <w:rPr/>
        <w:t>报告期内公司筹资活动现金流入比上年同期减少</w:t>
      </w:r>
      <w:r>
        <w:rPr>
          <w:rFonts w:ascii="Times New Roman" w:hAnsi="Times New Roman" w:cs="Times New Roman" w:eastAsia="Times New Roman" w:hint="default"/>
        </w:rPr>
        <w:t>46.74%</w:t>
      </w:r>
      <w:r>
        <w:rPr/>
        <w:t>，</w:t>
      </w:r>
      <w:r>
        <w:rPr>
          <w:spacing w:val="-19"/>
        </w:rPr>
        <w:t> </w:t>
      </w:r>
      <w:r>
        <w:rPr/>
        <w:t>主要原因是取得借款收到的现金减少所致。</w:t>
      </w:r>
      <w:r>
        <w:rPr/>
        <w:t> 报告期内公司筹资活动现金流出比上年同期减少</w:t>
      </w:r>
      <w:r>
        <w:rPr>
          <w:rFonts w:ascii="Times New Roman" w:hAnsi="Times New Roman" w:cs="Times New Roman" w:eastAsia="Times New Roman" w:hint="default"/>
        </w:rPr>
        <w:t>35.18%</w:t>
      </w:r>
      <w:r>
        <w:rPr/>
        <w:t>，</w:t>
      </w:r>
      <w:r>
        <w:rPr>
          <w:spacing w:val="-19"/>
        </w:rPr>
        <w:t> </w:t>
      </w:r>
      <w:r>
        <w:rPr/>
        <w:t>主要原因是偿还债务支付的现金减少所致。</w:t>
      </w:r>
      <w:r>
        <w:rPr/>
        <w:t> 报告期内公司筹资活动产生的现金流量净额比上年同期减少</w:t>
      </w:r>
      <w:r>
        <w:rPr>
          <w:rFonts w:ascii="Times New Roman" w:hAnsi="Times New Roman" w:cs="Times New Roman" w:eastAsia="Times New Roman" w:hint="default"/>
        </w:rPr>
        <w:t>82.05%</w:t>
      </w:r>
      <w:r>
        <w:rPr/>
        <w:t>，主要原因是公司减少银行借款所致。</w:t>
      </w:r>
    </w:p>
    <w:p>
      <w:pPr>
        <w:spacing w:after="0" w:line="30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left="392" w:right="0" w:firstLine="360"/>
        <w:jc w:val="left"/>
      </w:pPr>
      <w:r>
        <w:rPr>
          <w:spacing w:val="-2"/>
        </w:rPr>
        <w:t>报告期内公司现金及现金等价物净增加额比上年同期增加</w:t>
      </w:r>
      <w:r>
        <w:rPr>
          <w:rFonts w:ascii="Times New Roman" w:hAnsi="Times New Roman" w:cs="Times New Roman" w:eastAsia="Times New Roman" w:hint="default"/>
          <w:spacing w:val="-2"/>
        </w:rPr>
        <w:t>16,511.58</w:t>
      </w:r>
      <w:r>
        <w:rPr>
          <w:spacing w:val="-2"/>
        </w:rPr>
        <w:t>万元，主要原因是经营活动产生的现金流量净额增加</w:t>
      </w:r>
      <w:r>
        <w:rPr/>
        <w:t> 所致。</w:t>
      </w:r>
    </w:p>
    <w:p>
      <w:pPr>
        <w:pStyle w:val="BodyText"/>
        <w:spacing w:line="240" w:lineRule="auto" w:before="72"/>
        <w:ind w:left="392" w:right="0"/>
        <w:jc w:val="left"/>
      </w:pPr>
      <w:r>
        <w:rPr/>
        <w:t>报告期内公司经营活动的现金流量与本年度净利润存在重大差异的原因说明</w:t>
      </w:r>
    </w:p>
    <w:p>
      <w:pPr>
        <w:pStyle w:val="BodyText"/>
        <w:spacing w:line="240" w:lineRule="auto" w:before="115"/>
        <w:ind w:left="3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392" w:right="0"/>
        <w:jc w:val="left"/>
        <w:rPr>
          <w:b w:val="0"/>
          <w:bCs w:val="0"/>
        </w:rPr>
      </w:pPr>
      <w:r>
        <w:rPr/>
        <w:t>三、主营业务构成情况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251"/>
        <w:jc w:val="right"/>
      </w:pPr>
      <w:r>
        <w:rPr/>
        <w:t>单位：元</w:t>
      </w:r>
    </w:p>
    <w:p>
      <w:pPr>
        <w:spacing w:line="240" w:lineRule="auto" w:before="4"/>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702"/>
        <w:gridCol w:w="1417"/>
        <w:gridCol w:w="1418"/>
        <w:gridCol w:w="1215"/>
        <w:gridCol w:w="1366"/>
        <w:gridCol w:w="1532"/>
        <w:gridCol w:w="1416"/>
      </w:tblGrid>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5" w:right="39" w:hanging="195"/>
              <w:jc w:val="left"/>
              <w:rPr>
                <w:rFonts w:ascii="宋体" w:hAnsi="宋体" w:cs="宋体" w:eastAsia="宋体" w:hint="default"/>
                <w:sz w:val="18"/>
                <w:szCs w:val="18"/>
              </w:rPr>
            </w:pPr>
            <w:r>
              <w:rPr>
                <w:rFonts w:ascii="宋体" w:hAnsi="宋体" w:cs="宋体" w:eastAsia="宋体" w:hint="default"/>
                <w:sz w:val="18"/>
                <w:szCs w:val="18"/>
              </w:rPr>
              <w:t>营业成本比上年同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77" w:right="70" w:hanging="104"/>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1006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739,320,354.60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397,878,432.81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-6.31%</w:t>
            </w:r>
          </w:p>
        </w:tc>
      </w:tr>
      <w:tr>
        <w:trPr>
          <w:trHeight w:val="404" w:hRule="exact"/>
        </w:trPr>
        <w:tc>
          <w:tcPr>
            <w:tcW w:w="1006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产品销售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465,756,929.32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259,440,959.49</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31.49%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-8.64%</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合作运营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162,445,968.21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94,179,191.94</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-7.36%</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融资租赁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91,167,475.10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40,299,511.58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-54.32%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-57.71%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技术、金融服务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19,949,981.97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3,958,769.80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28.14%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r>
      <w:tr>
        <w:trPr>
          <w:trHeight w:val="401" w:hRule="exact"/>
        </w:trPr>
        <w:tc>
          <w:tcPr>
            <w:tcW w:w="1006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广州地区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41,917,978.50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19,078,351.45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-55.69%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w:t>
            </w:r>
            <w:r>
              <w:rPr>
                <w:rFonts w:ascii="Times New Roman" w:hAnsi="Times New Roman" w:cs="Times New Roman" w:eastAsia="Times New Roman" w:hint="default"/>
                <w:sz w:val="18"/>
                <w:szCs w:val="18"/>
              </w:rPr>
              <w:t>(</w:t>
            </w:r>
            <w:r>
              <w:rPr>
                <w:rFonts w:ascii="宋体" w:hAnsi="宋体" w:cs="宋体" w:eastAsia="宋体" w:hint="default"/>
                <w:sz w:val="18"/>
                <w:szCs w:val="18"/>
              </w:rPr>
              <w:t>除广州</w:t>
            </w:r>
            <w:r>
              <w:rPr>
                <w:rFonts w:ascii="Times New Roman" w:hAnsi="Times New Roman" w:cs="Times New Roman" w:eastAsia="Times New Roman" w:hint="default"/>
                <w:sz w:val="18"/>
                <w:szCs w:val="18"/>
              </w:rPr>
              <w:t>)</w:t>
            </w:r>
            <w:r>
              <w:rPr>
                <w:rFonts w:ascii="宋体" w:hAnsi="宋体" w:cs="宋体" w:eastAsia="宋体" w:hint="default"/>
                <w:sz w:val="18"/>
                <w:szCs w:val="18"/>
              </w:rPr>
              <w:t>地区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181,422,229.56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89,891,312.59</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-19.97%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-6.41%</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广东省外地区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515,980,146.54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288,908,768.77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24.21%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40.37%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-6.45%</w:t>
            </w:r>
          </w:p>
        </w:tc>
      </w:tr>
    </w:tbl>
    <w:p>
      <w:pPr>
        <w:pStyle w:val="BodyText"/>
        <w:spacing w:line="240" w:lineRule="auto" w:before="49"/>
        <w:ind w:left="392"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left="3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392" w:right="0"/>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392"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51"/>
        <w:jc w:val="right"/>
      </w:pPr>
      <w:r>
        <w:rPr/>
        <w:t>单位：元</w:t>
      </w:r>
    </w:p>
    <w:p>
      <w:pPr>
        <w:spacing w:line="240" w:lineRule="auto" w:before="4"/>
        <w:rPr>
          <w:rFonts w:ascii="宋体" w:hAnsi="宋体" w:cs="宋体" w:eastAsia="宋体" w:hint="default"/>
          <w:sz w:val="8"/>
          <w:szCs w:val="8"/>
        </w:rPr>
      </w:pPr>
    </w:p>
    <w:tbl>
      <w:tblPr>
        <w:tblW w:w="0" w:type="auto"/>
        <w:jc w:val="left"/>
        <w:tblInd w:w="258" w:type="dxa"/>
        <w:tblLayout w:type="fixed"/>
        <w:tblCellMar>
          <w:top w:w="0" w:type="dxa"/>
          <w:left w:w="0" w:type="dxa"/>
          <w:bottom w:w="0" w:type="dxa"/>
          <w:right w:w="0" w:type="dxa"/>
        </w:tblCellMar>
        <w:tblLook w:val="01E0"/>
      </w:tblPr>
      <w:tblGrid>
        <w:gridCol w:w="1832"/>
        <w:gridCol w:w="1275"/>
        <w:gridCol w:w="852"/>
        <w:gridCol w:w="1560"/>
        <w:gridCol w:w="850"/>
        <w:gridCol w:w="994"/>
        <w:gridCol w:w="2327"/>
      </w:tblGrid>
      <w:tr>
        <w:trPr>
          <w:trHeight w:val="206" w:hRule="exact"/>
        </w:trPr>
        <w:tc>
          <w:tcPr>
            <w:tcW w:w="1832" w:type="dxa"/>
            <w:vMerge w:val="restart"/>
            <w:tcBorders>
              <w:top w:val="single" w:sz="4" w:space="0" w:color="000000"/>
              <w:left w:val="single" w:sz="4" w:space="0" w:color="000000"/>
              <w:right w:val="single" w:sz="4" w:space="0" w:color="000000"/>
            </w:tcBorders>
            <w:shd w:val="clear" w:color="auto" w:fill="D2D2D2"/>
          </w:tcPr>
          <w:p>
            <w:pP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41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327" w:type="dxa"/>
            <w:vMerge w:val="restart"/>
            <w:tcBorders>
              <w:top w:val="single" w:sz="4" w:space="0" w:color="000000"/>
              <w:left w:val="single" w:sz="4" w:space="0" w:color="000000"/>
              <w:right w:val="single" w:sz="4" w:space="0" w:color="000000"/>
            </w:tcBorders>
            <w:shd w:val="clear" w:color="auto" w:fill="D2D2D2"/>
          </w:tcPr>
          <w:p>
            <w:pPr/>
          </w:p>
        </w:tc>
      </w:tr>
      <w:tr>
        <w:trPr>
          <w:trHeight w:val="175" w:hRule="exact"/>
        </w:trPr>
        <w:tc>
          <w:tcPr>
            <w:tcW w:w="1832" w:type="dxa"/>
            <w:vMerge/>
            <w:tcBorders>
              <w:left w:val="single" w:sz="4" w:space="0" w:color="000000"/>
              <w:bottom w:val="nil" w:sz="6" w:space="0" w:color="auto"/>
              <w:right w:val="single" w:sz="4" w:space="0" w:color="000000"/>
            </w:tcBorders>
            <w:shd w:val="clear" w:color="auto" w:fill="D2D2D2"/>
          </w:tcPr>
          <w:p>
            <w:pPr/>
          </w:p>
        </w:tc>
        <w:tc>
          <w:tcPr>
            <w:tcW w:w="2127" w:type="dxa"/>
            <w:gridSpan w:val="2"/>
            <w:vMerge/>
            <w:tcBorders>
              <w:left w:val="single" w:sz="4" w:space="0" w:color="000000"/>
              <w:bottom w:val="single" w:sz="4" w:space="0" w:color="000000"/>
              <w:right w:val="single" w:sz="4" w:space="0" w:color="000000"/>
            </w:tcBorders>
            <w:shd w:val="clear" w:color="auto" w:fill="D2D2D2"/>
          </w:tcPr>
          <w:p>
            <w:pPr/>
          </w:p>
        </w:tc>
        <w:tc>
          <w:tcPr>
            <w:tcW w:w="2410" w:type="dxa"/>
            <w:gridSpan w:val="2"/>
            <w:vMerge/>
            <w:tcBorders>
              <w:left w:val="single" w:sz="4" w:space="0" w:color="000000"/>
              <w:bottom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25" w:lineRule="exact"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182"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2327" w:type="dxa"/>
            <w:vMerge/>
            <w:tcBorders>
              <w:left w:val="single" w:sz="4" w:space="0" w:color="000000"/>
              <w:bottom w:val="nil" w:sz="6" w:space="0" w:color="auto"/>
              <w:right w:val="single" w:sz="4" w:space="0" w:color="000000"/>
            </w:tcBorders>
            <w:shd w:val="clear" w:color="auto" w:fill="D2D2D2"/>
          </w:tcPr>
          <w:p>
            <w:pPr/>
          </w:p>
        </w:tc>
      </w:tr>
      <w:tr>
        <w:trPr>
          <w:trHeight w:val="180" w:hRule="exact"/>
        </w:trPr>
        <w:tc>
          <w:tcPr>
            <w:tcW w:w="1832" w:type="dxa"/>
            <w:vMerge w:val="restart"/>
            <w:tcBorders>
              <w:top w:val="nil" w:sz="6" w:space="0" w:color="auto"/>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26" w:right="59" w:firstLine="36"/>
              <w:jc w:val="left"/>
              <w:rPr>
                <w:rFonts w:ascii="Times New Roman" w:hAnsi="Times New Roman" w:cs="Times New Roman" w:eastAsia="Times New Roman"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w:t>
            </w:r>
          </w:p>
        </w:tc>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24" w:right="59" w:firstLine="36"/>
              <w:jc w:val="left"/>
              <w:rPr>
                <w:rFonts w:ascii="Times New Roman" w:hAnsi="Times New Roman" w:cs="Times New Roman" w:eastAsia="Times New Roman"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w:t>
            </w:r>
          </w:p>
        </w:tc>
        <w:tc>
          <w:tcPr>
            <w:tcW w:w="994" w:type="dxa"/>
            <w:vMerge/>
            <w:tcBorders>
              <w:left w:val="single" w:sz="4" w:space="0" w:color="000000"/>
              <w:right w:val="single" w:sz="4" w:space="0" w:color="000000"/>
            </w:tcBorders>
            <w:shd w:val="clear" w:color="auto" w:fill="D2D2D2"/>
          </w:tcPr>
          <w:p>
            <w:pPr/>
          </w:p>
        </w:tc>
        <w:tc>
          <w:tcPr>
            <w:tcW w:w="23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62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832" w:type="dxa"/>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vMerge/>
            <w:tcBorders>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right="0"/>
              <w:jc w:val="center"/>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177"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2327"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832" w:type="dxa"/>
            <w:vMerge w:val="restart"/>
            <w:tcBorders>
              <w:top w:val="nil" w:sz="6" w:space="0" w:color="auto"/>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2327"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832"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2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287,664,602.68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183,505,395.65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5.69%</w:t>
            </w:r>
          </w:p>
        </w:tc>
        <w:tc>
          <w:tcPr>
            <w:tcW w:w="232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主要是及时收回应收账款</w:t>
            </w:r>
          </w:p>
        </w:tc>
      </w:tr>
      <w:tr>
        <w:trPr>
          <w:trHeight w:val="403"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137,099,458.08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142,321,492.81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-0.51%</w:t>
            </w:r>
          </w:p>
        </w:tc>
        <w:tc>
          <w:tcPr>
            <w:tcW w:w="232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主要是及时收回应收账款</w:t>
            </w:r>
          </w:p>
        </w:tc>
      </w:tr>
      <w:tr>
        <w:trPr>
          <w:trHeight w:val="161"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329,830,770.82</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18.85%</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240,321,261.00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14.08%</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4.77%</w:t>
            </w:r>
          </w:p>
        </w:tc>
        <w:tc>
          <w:tcPr>
            <w:tcW w:w="2327" w:type="dxa"/>
            <w:vMerge w:val="restart"/>
            <w:tcBorders>
              <w:top w:val="single" w:sz="4" w:space="0" w:color="000000"/>
              <w:left w:val="single" w:sz="4" w:space="0" w:color="000000"/>
              <w:right w:val="single" w:sz="4" w:space="0" w:color="000000"/>
            </w:tcBorders>
            <w:shd w:val="clear" w:color="auto" w:fill="CCE8CC"/>
          </w:tcPr>
          <w:p>
            <w:pPr>
              <w:pStyle w:val="TableParagraph"/>
              <w:spacing w:line="316" w:lineRule="auto" w:before="49"/>
              <w:ind w:left="23" w:right="131"/>
              <w:jc w:val="left"/>
              <w:rPr>
                <w:rFonts w:ascii="宋体" w:hAnsi="宋体" w:cs="宋体" w:eastAsia="宋体" w:hint="default"/>
                <w:sz w:val="18"/>
                <w:szCs w:val="18"/>
              </w:rPr>
            </w:pPr>
            <w:r>
              <w:rPr>
                <w:rFonts w:ascii="宋体" w:hAnsi="宋体" w:cs="宋体" w:eastAsia="宋体" w:hint="default"/>
                <w:sz w:val="18"/>
                <w:szCs w:val="18"/>
              </w:rPr>
              <w:t>主要是加大原材料的生产储 备</w:t>
            </w:r>
          </w:p>
        </w:tc>
      </w:tr>
      <w:tr>
        <w:trPr>
          <w:trHeight w:val="391" w:hRule="exact"/>
        </w:trPr>
        <w:tc>
          <w:tcPr>
            <w:tcW w:w="18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5" w:type="dxa"/>
            <w:vMerge/>
            <w:tcBorders>
              <w:left w:val="single" w:sz="9"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27" w:type="dxa"/>
            <w:vMerge/>
            <w:tcBorders>
              <w:left w:val="single" w:sz="4" w:space="0" w:color="000000"/>
              <w:right w:val="single" w:sz="4" w:space="0" w:color="000000"/>
            </w:tcBorders>
            <w:shd w:val="clear" w:color="auto" w:fill="CCE8CC"/>
          </w:tcPr>
          <w:p>
            <w:pPr/>
          </w:p>
        </w:tc>
      </w:tr>
      <w:tr>
        <w:trPr>
          <w:trHeight w:val="161"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9"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327" w:type="dxa"/>
            <w:vMerge/>
            <w:tcBorders>
              <w:left w:val="single" w:sz="4" w:space="0" w:color="000000"/>
              <w:bottom w:val="single" w:sz="4" w:space="0" w:color="000000"/>
              <w:right w:val="single" w:sz="4" w:space="0" w:color="000000"/>
            </w:tcBorders>
            <w:shd w:val="clear" w:color="auto" w:fill="CCE8CC"/>
          </w:tcPr>
          <w:p>
            <w:pPr/>
          </w:p>
        </w:tc>
      </w:tr>
      <w:tr>
        <w:trPr>
          <w:trHeight w:val="403"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34,860,000.00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46,803,039.86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-0.75%</w:t>
            </w:r>
          </w:p>
        </w:tc>
        <w:tc>
          <w:tcPr>
            <w:tcW w:w="232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主要是出售深圳信威股权</w:t>
            </w:r>
          </w:p>
        </w:tc>
      </w:tr>
      <w:tr>
        <w:trPr>
          <w:trHeight w:val="401"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336,407,305.76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352,232,094.27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-1.41%</w:t>
            </w:r>
          </w:p>
        </w:tc>
        <w:tc>
          <w:tcPr>
            <w:tcW w:w="232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主要是计提固定资产折旧和</w:t>
            </w:r>
          </w:p>
        </w:tc>
      </w:tr>
    </w:tbl>
    <w:p>
      <w:pPr>
        <w:spacing w:after="0" w:line="240" w:lineRule="auto"/>
        <w:jc w:val="left"/>
        <w:rPr>
          <w:rFonts w:ascii="宋体" w:hAnsi="宋体" w:cs="宋体" w:eastAsia="宋体" w:hint="default"/>
          <w:sz w:val="18"/>
          <w:szCs w:val="18"/>
        </w:rPr>
        <w:sectPr>
          <w:pgSz w:w="11910" w:h="16840"/>
          <w:pgMar w:header="745" w:footer="980" w:top="1060" w:bottom="1160" w:left="740" w:right="88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1844"/>
        <w:gridCol w:w="1275"/>
        <w:gridCol w:w="852"/>
        <w:gridCol w:w="1560"/>
        <w:gridCol w:w="850"/>
        <w:gridCol w:w="994"/>
        <w:gridCol w:w="2327"/>
      </w:tblGrid>
      <w:tr>
        <w:trPr>
          <w:trHeight w:val="36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32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固定资产减少</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222,245,170.27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171,295,033.52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2.67%</w:t>
            </w:r>
          </w:p>
        </w:tc>
        <w:tc>
          <w:tcPr>
            <w:tcW w:w="232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00"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主要是厂房项目和</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z w:val="18"/>
                <w:szCs w:val="18"/>
              </w:rPr>
              <w:t> </w:t>
            </w:r>
            <w:r>
              <w:rPr>
                <w:rFonts w:ascii="宋体" w:hAnsi="宋体" w:cs="宋体" w:eastAsia="宋体" w:hint="default"/>
                <w:sz w:val="18"/>
                <w:szCs w:val="18"/>
              </w:rPr>
              <w:t>运营 项目设备增加</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10,001,147.60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0.57%</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0.57%</w:t>
            </w:r>
          </w:p>
        </w:tc>
        <w:tc>
          <w:tcPr>
            <w:tcW w:w="232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3" w:right="131"/>
              <w:jc w:val="left"/>
              <w:rPr>
                <w:rFonts w:ascii="宋体" w:hAnsi="宋体" w:cs="宋体" w:eastAsia="宋体" w:hint="default"/>
                <w:sz w:val="18"/>
                <w:szCs w:val="18"/>
              </w:rPr>
            </w:pPr>
            <w:r>
              <w:rPr>
                <w:rFonts w:ascii="宋体" w:hAnsi="宋体" w:cs="宋体" w:eastAsia="宋体" w:hint="default"/>
                <w:sz w:val="18"/>
                <w:szCs w:val="18"/>
              </w:rPr>
              <w:t>主要是新增银行理财产品建 信货币基金</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40,404,000.00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-2.37%</w:t>
            </w:r>
          </w:p>
        </w:tc>
        <w:tc>
          <w:tcPr>
            <w:tcW w:w="232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3" w:right="131"/>
              <w:jc w:val="left"/>
              <w:rPr>
                <w:rFonts w:ascii="宋体" w:hAnsi="宋体" w:cs="宋体" w:eastAsia="宋体" w:hint="default"/>
                <w:sz w:val="18"/>
                <w:szCs w:val="18"/>
              </w:rPr>
            </w:pPr>
            <w:r>
              <w:rPr>
                <w:rFonts w:ascii="宋体" w:hAnsi="宋体" w:cs="宋体" w:eastAsia="宋体" w:hint="default"/>
                <w:sz w:val="18"/>
                <w:szCs w:val="18"/>
              </w:rPr>
              <w:t>主要是承兑到期银行承兑汇 票</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7,118,058.27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59,348,739.58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-3.07%</w:t>
            </w:r>
          </w:p>
        </w:tc>
        <w:tc>
          <w:tcPr>
            <w:tcW w:w="232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3" w:right="131"/>
              <w:jc w:val="left"/>
              <w:rPr>
                <w:rFonts w:ascii="宋体" w:hAnsi="宋体" w:cs="宋体" w:eastAsia="宋体" w:hint="default"/>
                <w:sz w:val="18"/>
                <w:szCs w:val="18"/>
              </w:rPr>
            </w:pPr>
            <w:r>
              <w:rPr>
                <w:rFonts w:ascii="宋体" w:hAnsi="宋体" w:cs="宋体" w:eastAsia="宋体" w:hint="default"/>
                <w:sz w:val="18"/>
                <w:szCs w:val="18"/>
              </w:rPr>
              <w:t>主要是采购原材料验收入库 结转预付款项</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41,520,542.38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76,064,857.02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w:t>
            </w:r>
          </w:p>
        </w:tc>
        <w:tc>
          <w:tcPr>
            <w:tcW w:w="232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3" w:right="131"/>
              <w:jc w:val="left"/>
              <w:rPr>
                <w:rFonts w:ascii="宋体" w:hAnsi="宋体" w:cs="宋体" w:eastAsia="宋体" w:hint="default"/>
                <w:sz w:val="18"/>
                <w:szCs w:val="18"/>
              </w:rPr>
            </w:pPr>
            <w:r>
              <w:rPr>
                <w:rFonts w:ascii="宋体" w:hAnsi="宋体" w:cs="宋体" w:eastAsia="宋体" w:hint="default"/>
                <w:sz w:val="18"/>
                <w:szCs w:val="18"/>
              </w:rPr>
              <w:t>主要是收回和处理一年内长 期应收款</w:t>
            </w:r>
          </w:p>
        </w:tc>
      </w:tr>
      <w:tr>
        <w:trPr>
          <w:trHeight w:val="404" w:hRule="exact"/>
        </w:trPr>
        <w:tc>
          <w:tcPr>
            <w:tcW w:w="184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6,647,613.61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0.38%</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0.38%</w:t>
            </w:r>
          </w:p>
        </w:tc>
        <w:tc>
          <w:tcPr>
            <w:tcW w:w="232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主要是预缴税金</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69,856,890.72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134,577,416.07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-3.89%</w:t>
            </w:r>
          </w:p>
        </w:tc>
        <w:tc>
          <w:tcPr>
            <w:tcW w:w="232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3" w:right="131"/>
              <w:jc w:val="left"/>
              <w:rPr>
                <w:rFonts w:ascii="宋体" w:hAnsi="宋体" w:cs="宋体" w:eastAsia="宋体" w:hint="default"/>
                <w:sz w:val="18"/>
                <w:szCs w:val="18"/>
              </w:rPr>
            </w:pPr>
            <w:r>
              <w:rPr>
                <w:rFonts w:ascii="宋体" w:hAnsi="宋体" w:cs="宋体" w:eastAsia="宋体" w:hint="default"/>
                <w:sz w:val="18"/>
                <w:szCs w:val="18"/>
              </w:rPr>
              <w:t>主要是星河生物股价下降及 出售部分可供出售金额资产</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65,771,397.41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47,711,408.56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0.97%</w:t>
            </w:r>
          </w:p>
        </w:tc>
        <w:tc>
          <w:tcPr>
            <w:tcW w:w="232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主要是研发项目验收转入</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10,131,695.33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7,728,500.00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0.13%</w:t>
            </w:r>
          </w:p>
        </w:tc>
        <w:tc>
          <w:tcPr>
            <w:tcW w:w="232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主要是加大研发项目投入</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1,255,925.99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922,027.39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0.02%</w:t>
            </w:r>
          </w:p>
        </w:tc>
        <w:tc>
          <w:tcPr>
            <w:tcW w:w="232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主要是装修工程增加</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1,853,035.66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0.11%</w:t>
            </w:r>
          </w:p>
        </w:tc>
        <w:tc>
          <w:tcPr>
            <w:tcW w:w="232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主要是预付安装工程款</w:t>
            </w:r>
          </w:p>
        </w:tc>
      </w:tr>
    </w:tbl>
    <w:p>
      <w:pPr>
        <w:spacing w:line="240" w:lineRule="auto" w:before="3"/>
        <w:rPr>
          <w:rFonts w:ascii="宋体" w:hAnsi="宋体" w:cs="宋体" w:eastAsia="宋体" w:hint="default"/>
          <w:sz w:val="19"/>
          <w:szCs w:val="19"/>
        </w:rPr>
      </w:pPr>
    </w:p>
    <w:p>
      <w:pPr>
        <w:pStyle w:val="Heading3"/>
        <w:spacing w:line="240" w:lineRule="auto" w:before="36"/>
        <w:ind w:left="252"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1367"/>
        <w:gridCol w:w="1328"/>
        <w:gridCol w:w="991"/>
        <w:gridCol w:w="1277"/>
        <w:gridCol w:w="1133"/>
        <w:gridCol w:w="992"/>
        <w:gridCol w:w="2455"/>
      </w:tblGrid>
      <w:tr>
        <w:trPr>
          <w:trHeight w:val="206" w:hRule="exact"/>
        </w:trPr>
        <w:tc>
          <w:tcPr>
            <w:tcW w:w="1367" w:type="dxa"/>
            <w:vMerge w:val="restart"/>
            <w:tcBorders>
              <w:top w:val="single" w:sz="4" w:space="0" w:color="000000"/>
              <w:left w:val="single" w:sz="4" w:space="0" w:color="000000"/>
              <w:right w:val="single" w:sz="4" w:space="0" w:color="000000"/>
            </w:tcBorders>
            <w:shd w:val="clear" w:color="auto" w:fill="D2D2D2"/>
          </w:tcPr>
          <w:p>
            <w:pPr/>
          </w:p>
        </w:tc>
        <w:tc>
          <w:tcPr>
            <w:tcW w:w="23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1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455"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67" w:type="dxa"/>
            <w:vMerge/>
            <w:tcBorders>
              <w:left w:val="single" w:sz="4" w:space="0" w:color="000000"/>
              <w:bottom w:val="nil" w:sz="6" w:space="0" w:color="auto"/>
              <w:right w:val="single" w:sz="4" w:space="0" w:color="000000"/>
            </w:tcBorders>
            <w:shd w:val="clear" w:color="auto" w:fill="D2D2D2"/>
          </w:tcPr>
          <w:p>
            <w:pPr/>
          </w:p>
        </w:tc>
        <w:tc>
          <w:tcPr>
            <w:tcW w:w="2319" w:type="dxa"/>
            <w:gridSpan w:val="2"/>
            <w:vMerge/>
            <w:tcBorders>
              <w:left w:val="single" w:sz="4" w:space="0" w:color="000000"/>
              <w:bottom w:val="single" w:sz="4" w:space="0" w:color="000000"/>
              <w:right w:val="single" w:sz="4" w:space="0" w:color="000000"/>
            </w:tcBorders>
            <w:shd w:val="clear" w:color="auto" w:fill="D2D2D2"/>
          </w:tcPr>
          <w:p>
            <w:pPr/>
          </w:p>
        </w:tc>
        <w:tc>
          <w:tcPr>
            <w:tcW w:w="2410" w:type="dxa"/>
            <w:gridSpan w:val="2"/>
            <w:vMerge/>
            <w:tcBorders>
              <w:left w:val="single" w:sz="4" w:space="0" w:color="000000"/>
              <w:bottom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55"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1367" w:type="dxa"/>
            <w:vMerge w:val="restart"/>
            <w:tcBorders>
              <w:top w:val="nil" w:sz="6" w:space="0" w:color="auto"/>
              <w:left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46" w:right="38"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218" w:right="108"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2" w:type="dxa"/>
            <w:vMerge/>
            <w:tcBorders>
              <w:left w:val="single" w:sz="4" w:space="0" w:color="000000"/>
              <w:right w:val="single" w:sz="4" w:space="0" w:color="000000"/>
            </w:tcBorders>
            <w:shd w:val="clear" w:color="auto" w:fill="D2D2D2"/>
          </w:tcPr>
          <w:p>
            <w:pPr/>
          </w:p>
        </w:tc>
        <w:tc>
          <w:tcPr>
            <w:tcW w:w="24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69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7"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2455"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67" w:type="dxa"/>
            <w:vMerge w:val="restart"/>
            <w:tcBorders>
              <w:top w:val="nil" w:sz="6" w:space="0" w:color="auto"/>
              <w:left w:val="single" w:sz="4" w:space="0" w:color="000000"/>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2455"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45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125,142,480.42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121,789,540.00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245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主要是信用证押汇贷款增加</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40,452,254.45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w:t>
            </w:r>
          </w:p>
        </w:tc>
        <w:tc>
          <w:tcPr>
            <w:tcW w:w="245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主要是子公司厂房项目贷款</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5,823,982.00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c>
          <w:tcPr>
            <w:tcW w:w="245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主要是银行承兑汇票增加</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37,798,320.94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90,699,141.17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w:t>
            </w:r>
          </w:p>
        </w:tc>
        <w:tc>
          <w:tcPr>
            <w:tcW w:w="245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主要是支付原材料采购款</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15,598,160.26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36,112,112.62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w:t>
            </w:r>
          </w:p>
        </w:tc>
        <w:tc>
          <w:tcPr>
            <w:tcW w:w="245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主要是增值税留抵增加</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120,270.75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456,079.36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245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9" w:lineRule="auto" w:before="49"/>
              <w:ind w:left="22" w:right="80"/>
              <w:jc w:val="left"/>
              <w:rPr>
                <w:rFonts w:ascii="宋体" w:hAnsi="宋体" w:cs="宋体" w:eastAsia="宋体" w:hint="default"/>
                <w:sz w:val="18"/>
                <w:szCs w:val="18"/>
              </w:rPr>
            </w:pPr>
            <w:r>
              <w:rPr>
                <w:rFonts w:ascii="宋体" w:hAnsi="宋体" w:cs="宋体" w:eastAsia="宋体" w:hint="default"/>
                <w:sz w:val="18"/>
                <w:szCs w:val="18"/>
              </w:rPr>
              <w:t>主要是子公司香港御银的借款 减少</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39,453,910.02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14,621,793.13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w:t>
            </w:r>
          </w:p>
        </w:tc>
        <w:tc>
          <w:tcPr>
            <w:tcW w:w="245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主要是应付往来款增加</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9,712,214.00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28,331,320.91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-1.1%</w:t>
            </w:r>
          </w:p>
        </w:tc>
        <w:tc>
          <w:tcPr>
            <w:tcW w:w="245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2" w:right="80"/>
              <w:jc w:val="left"/>
              <w:rPr>
                <w:rFonts w:ascii="宋体" w:hAnsi="宋体" w:cs="宋体" w:eastAsia="宋体" w:hint="default"/>
                <w:sz w:val="18"/>
                <w:szCs w:val="18"/>
              </w:rPr>
            </w:pPr>
            <w:r>
              <w:rPr>
                <w:rFonts w:ascii="宋体" w:hAnsi="宋体" w:cs="宋体" w:eastAsia="宋体" w:hint="default"/>
                <w:sz w:val="18"/>
                <w:szCs w:val="18"/>
              </w:rPr>
              <w:t>主要是可供出售金额资产公允 价值变动</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585,531,765.00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344,430,450.00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13.28%</w:t>
            </w:r>
          </w:p>
        </w:tc>
        <w:tc>
          <w:tcPr>
            <w:tcW w:w="245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主要是资本公积金转增股本</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215,176,702.61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501,434,266.60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-17.07%</w:t>
            </w:r>
          </w:p>
        </w:tc>
        <w:tc>
          <w:tcPr>
            <w:tcW w:w="245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主要是资本公积金转增股本</w:t>
            </w:r>
          </w:p>
        </w:tc>
      </w:tr>
    </w:tbl>
    <w:p>
      <w:pPr>
        <w:spacing w:after="0" w:line="240" w:lineRule="auto"/>
        <w:jc w:val="left"/>
        <w:rPr>
          <w:rFonts w:ascii="宋体" w:hAnsi="宋体" w:cs="宋体" w:eastAsia="宋体" w:hint="default"/>
          <w:sz w:val="18"/>
          <w:szCs w:val="18"/>
        </w:rPr>
        <w:sectPr>
          <w:pgSz w:w="11910" w:h="16840"/>
          <w:pgMar w:header="745" w:footer="980" w:top="1060" w:bottom="1160" w:left="880" w:right="980"/>
        </w:sectPr>
      </w:pPr>
    </w:p>
    <w:p>
      <w:pPr>
        <w:spacing w:line="240" w:lineRule="auto" w:before="10"/>
        <w:rPr>
          <w:rFonts w:ascii="宋体" w:hAnsi="宋体" w:cs="宋体" w:eastAsia="宋体" w:hint="default"/>
          <w:sz w:val="24"/>
          <w:szCs w:val="24"/>
        </w:rPr>
      </w:pPr>
    </w:p>
    <w:p>
      <w:pPr>
        <w:pStyle w:val="Heading3"/>
        <w:spacing w:line="240" w:lineRule="auto" w:before="36"/>
        <w:ind w:right="185"/>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4"/>
        <w:gridCol w:w="1294"/>
        <w:gridCol w:w="1269"/>
        <w:gridCol w:w="1419"/>
        <w:gridCol w:w="850"/>
        <w:gridCol w:w="710"/>
        <w:gridCol w:w="712"/>
        <w:gridCol w:w="1201"/>
      </w:tblGrid>
      <w:tr>
        <w:trPr>
          <w:trHeight w:val="161" w:hRule="exact"/>
        </w:trPr>
        <w:tc>
          <w:tcPr>
            <w:tcW w:w="21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67" w:right="89"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65" w:right="73" w:hanging="92"/>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50" w:right="58" w:hanging="92"/>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8" w:right="80"/>
              <w:jc w:val="left"/>
              <w:rPr>
                <w:rFonts w:ascii="宋体" w:hAnsi="宋体" w:cs="宋体" w:eastAsia="宋体" w:hint="default"/>
                <w:sz w:val="18"/>
                <w:szCs w:val="18"/>
              </w:rPr>
            </w:pPr>
            <w:r>
              <w:rPr>
                <w:rFonts w:ascii="宋体" w:hAnsi="宋体" w:cs="宋体" w:eastAsia="宋体" w:hint="default"/>
                <w:sz w:val="18"/>
                <w:szCs w:val="18"/>
              </w:rPr>
              <w:t>本期购 买金额</w:t>
            </w:r>
          </w:p>
        </w:tc>
        <w:tc>
          <w:tcPr>
            <w:tcW w:w="71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4" w:right="76"/>
              <w:jc w:val="left"/>
              <w:rPr>
                <w:rFonts w:ascii="宋体" w:hAnsi="宋体" w:cs="宋体" w:eastAsia="宋体" w:hint="default"/>
                <w:sz w:val="18"/>
                <w:szCs w:val="18"/>
              </w:rPr>
            </w:pPr>
            <w:r>
              <w:rPr>
                <w:rFonts w:ascii="宋体" w:hAnsi="宋体" w:cs="宋体" w:eastAsia="宋体" w:hint="default"/>
                <w:sz w:val="18"/>
                <w:szCs w:val="18"/>
              </w:rPr>
              <w:t>本期出 售金额</w:t>
            </w:r>
          </w:p>
        </w:tc>
        <w:tc>
          <w:tcPr>
            <w:tcW w:w="12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1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69"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712" w:type="dxa"/>
            <w:vMerge/>
            <w:tcBorders>
              <w:left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6" w:hRule="exact"/>
        </w:trPr>
        <w:tc>
          <w:tcPr>
            <w:tcW w:w="21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9"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712" w:type="dxa"/>
            <w:vMerge/>
            <w:tcBorders>
              <w:left w:val="single" w:sz="4" w:space="0" w:color="000000"/>
              <w:bottom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455"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动计入当期损益的金融资 产（不含衍生金融资产）</w:t>
            </w:r>
          </w:p>
        </w:tc>
        <w:tc>
          <w:tcPr>
            <w:tcW w:w="1294" w:type="dxa"/>
            <w:tcBorders>
              <w:top w:val="single" w:sz="4" w:space="0" w:color="000000"/>
              <w:left w:val="single" w:sz="10" w:space="0" w:color="D2D2D2"/>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1,147.60</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10,001,147.60</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2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134,577,416.07</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-42,313,813.16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12,561,430.33</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69,856,890.72</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134,577,416.07</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-42,312,665.56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12,561,430.33</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79,858,038.32</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134,577,416.07</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-42,312,665.56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12,561,430.33</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79,858,038.32</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2" w:right="0"/>
              <w:jc w:val="left"/>
              <w:rPr>
                <w:rFonts w:ascii="Times New Roman" w:hAnsi="Times New Roman" w:cs="Times New Roman" w:eastAsia="Times New Roman" w:hint="default"/>
                <w:sz w:val="18"/>
                <w:szCs w:val="18"/>
              </w:rPr>
            </w:pPr>
            <w:r>
              <w:rPr>
                <w:rFonts w:ascii="Times New Roman"/>
                <w:sz w:val="18"/>
              </w:rPr>
              <w:t>0.00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both"/>
      </w:pPr>
      <w:r>
        <w:rPr/>
        <w:t>报告期内公司主要资产计量属性是否发生重大变化</w:t>
      </w:r>
    </w:p>
    <w:p>
      <w:pPr>
        <w:pStyle w:val="BodyText"/>
        <w:spacing w:line="240" w:lineRule="auto" w:before="115"/>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五、核心竞争力分析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1</w:t>
      </w:r>
      <w:r>
        <w:rPr/>
        <w:t>、品牌优势</w:t>
      </w:r>
    </w:p>
    <w:p>
      <w:pPr>
        <w:pStyle w:val="BodyText"/>
        <w:spacing w:line="300" w:lineRule="auto" w:before="63"/>
        <w:ind w:right="189" w:firstLine="360"/>
        <w:jc w:val="both"/>
      </w:pPr>
      <w:r>
        <w:rPr/>
        <w:t>公司主要从事</w:t>
      </w:r>
      <w:r>
        <w:rPr>
          <w:rFonts w:ascii="Times New Roman" w:hAnsi="Times New Roman" w:cs="Times New Roman" w:eastAsia="Times New Roman" w:hint="default"/>
        </w:rPr>
        <w:t>ATM</w:t>
      </w:r>
      <w:r>
        <w:rPr/>
        <w:t>设备制造及相关系统软件的研发、制造与销售，同时开展合作运营服务、融资租赁等服务，是一家 面向金融行业提供自助银行设备和整体解决方案的高新技术企业。公司</w:t>
      </w:r>
      <w:r>
        <w:rPr>
          <w:rFonts w:ascii="Times New Roman" w:hAnsi="Times New Roman" w:cs="Times New Roman" w:eastAsia="Times New Roman" w:hint="default"/>
        </w:rPr>
        <w:t>ATM</w:t>
      </w:r>
      <w:r>
        <w:rPr/>
        <w:t>设备产能和销售规模在国内</w:t>
      </w:r>
      <w:r>
        <w:rPr>
          <w:rFonts w:ascii="Times New Roman" w:hAnsi="Times New Roman" w:cs="Times New Roman" w:eastAsia="Times New Roman" w:hint="default"/>
        </w:rPr>
        <w:t>ATM</w:t>
      </w:r>
      <w:r>
        <w:rPr/>
        <w:t>制造厂商中位</w:t>
      </w:r>
      <w:r>
        <w:rPr>
          <w:spacing w:val="-74"/>
        </w:rPr>
        <w:t> </w:t>
      </w:r>
      <w:r>
        <w:rPr>
          <w:spacing w:val="-74"/>
        </w:rPr>
      </w:r>
      <w:r>
        <w:rPr/>
        <w:t>居第二，也是国内</w:t>
      </w:r>
      <w:r>
        <w:rPr>
          <w:rFonts w:ascii="Times New Roman" w:hAnsi="Times New Roman" w:cs="Times New Roman" w:eastAsia="Times New Roman" w:hint="default"/>
        </w:rPr>
        <w:t>“ATM</w:t>
      </w:r>
      <w:r>
        <w:rPr/>
        <w:t>合作运营模式</w:t>
      </w:r>
      <w:r>
        <w:rPr>
          <w:rFonts w:ascii="Times New Roman" w:hAnsi="Times New Roman" w:cs="Times New Roman" w:eastAsia="Times New Roman" w:hint="default"/>
        </w:rPr>
        <w:t>”</w:t>
      </w:r>
      <w:r>
        <w:rPr/>
        <w:t>的开拓者和运营服务行业的龙头企业。</w:t>
      </w:r>
    </w:p>
    <w:p>
      <w:pPr>
        <w:pStyle w:val="BodyText"/>
        <w:spacing w:line="240" w:lineRule="auto" w:before="13"/>
        <w:ind w:right="0"/>
        <w:jc w:val="both"/>
      </w:pPr>
      <w:r>
        <w:rPr>
          <w:rFonts w:ascii="Times New Roman" w:hAnsi="Times New Roman" w:cs="Times New Roman" w:eastAsia="Times New Roman" w:hint="default"/>
        </w:rPr>
        <w:t>2</w:t>
      </w:r>
      <w:r>
        <w:rPr/>
        <w:t>、生产优势</w:t>
      </w:r>
    </w:p>
    <w:p>
      <w:pPr>
        <w:pStyle w:val="BodyText"/>
        <w:spacing w:line="307" w:lineRule="auto" w:before="63"/>
        <w:ind w:right="190" w:firstLine="360"/>
        <w:jc w:val="both"/>
      </w:pPr>
      <w:r>
        <w:rPr>
          <w:spacing w:val="-2"/>
        </w:rPr>
        <w:t>为了满足迅速增长的市场需求和公司业务快速发展的要求，提升公司研发实力和品牌形象，公司入驻天河智慧城，投资</w:t>
      </w:r>
      <w:r>
        <w:rPr/>
        <w:t> 建设御银科技大厦、科研中心及</w:t>
      </w:r>
      <w:r>
        <w:rPr>
          <w:rFonts w:ascii="Times New Roman" w:hAnsi="Times New Roman" w:cs="Times New Roman" w:eastAsia="Times New Roman" w:hint="default"/>
        </w:rPr>
        <w:t>ATM</w:t>
      </w:r>
      <w:r>
        <w:rPr/>
        <w:t>网络运营中心，并依托天河智慧城这个大平台塑造公司全球知名品牌形象。基地建设</w:t>
      </w:r>
      <w:r>
        <w:rPr>
          <w:spacing w:val="-43"/>
        </w:rPr>
        <w:t> </w:t>
      </w:r>
      <w:r>
        <w:rPr>
          <w:spacing w:val="-43"/>
        </w:rPr>
      </w:r>
      <w:r>
        <w:rPr>
          <w:spacing w:val="-2"/>
        </w:rPr>
        <w:t>稳步推进中，计划建设超过</w:t>
      </w:r>
      <w:r>
        <w:rPr>
          <w:rFonts w:ascii="Times New Roman" w:hAnsi="Times New Roman" w:cs="Times New Roman" w:eastAsia="Times New Roman" w:hint="default"/>
          <w:spacing w:val="-2"/>
        </w:rPr>
        <w:t>35</w:t>
      </w:r>
      <w:r>
        <w:rPr>
          <w:spacing w:val="-2"/>
        </w:rPr>
        <w:t>，</w:t>
      </w:r>
      <w:r>
        <w:rPr>
          <w:rFonts w:ascii="Times New Roman" w:hAnsi="Times New Roman" w:cs="Times New Roman" w:eastAsia="Times New Roman" w:hint="default"/>
          <w:spacing w:val="-2"/>
        </w:rPr>
        <w:t>000</w:t>
      </w:r>
      <w:r>
        <w:rPr>
          <w:spacing w:val="-2"/>
        </w:rPr>
        <w:t>平方米的厂房，届时公司的年生产能力将新增超过</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000</w:t>
      </w:r>
      <w:r>
        <w:rPr>
          <w:spacing w:val="-2"/>
        </w:rPr>
        <w:t>台的生产规模。生产能力的扩</w:t>
      </w:r>
      <w:r>
        <w:rPr>
          <w:spacing w:val="-59"/>
        </w:rPr>
        <w:t> </w:t>
      </w:r>
      <w:r>
        <w:rPr>
          <w:spacing w:val="-59"/>
        </w:rPr>
      </w:r>
      <w:r>
        <w:rPr/>
        <w:t>张将有助于公司近年业绩指标的实现，并将对公司的长期发展战略的实现奠定坚实的基础。</w:t>
      </w:r>
    </w:p>
    <w:p>
      <w:pPr>
        <w:pStyle w:val="BodyText"/>
        <w:spacing w:line="300" w:lineRule="auto" w:before="26"/>
        <w:ind w:left="513" w:right="99" w:hanging="361"/>
        <w:jc w:val="left"/>
      </w:pPr>
      <w:r>
        <w:rPr>
          <w:rFonts w:ascii="Times New Roman" w:hAnsi="Times New Roman" w:cs="Times New Roman" w:eastAsia="Times New Roman" w:hint="default"/>
        </w:rPr>
        <w:t>3</w:t>
      </w:r>
      <w:r>
        <w:rPr/>
        <w:t>、研发设计优势 </w:t>
      </w:r>
      <w:r>
        <w:rPr>
          <w:spacing w:val="-2"/>
          <w:w w:val="99"/>
        </w:rPr>
        <w:t>经过多年的积累，公司基本掌握了</w:t>
      </w:r>
      <w:r>
        <w:rPr>
          <w:rFonts w:ascii="Times New Roman" w:hAnsi="Times New Roman" w:cs="Times New Roman" w:eastAsia="Times New Roman" w:hint="default"/>
          <w:spacing w:val="-2"/>
          <w:w w:val="99"/>
        </w:rPr>
        <w:t>ATM</w:t>
      </w:r>
      <w:r>
        <w:rPr>
          <w:spacing w:val="-2"/>
          <w:w w:val="99"/>
        </w:rPr>
        <w:t>设备研发生产的先进核心技术，</w:t>
      </w:r>
      <w:r>
        <w:rPr>
          <w:rFonts w:ascii="Times New Roman" w:hAnsi="Times New Roman" w:cs="Times New Roman" w:eastAsia="Times New Roman" w:hint="default"/>
          <w:spacing w:val="-2"/>
          <w:w w:val="99"/>
        </w:rPr>
        <w:t>2012</w:t>
      </w:r>
      <w:r>
        <w:rPr>
          <w:spacing w:val="-2"/>
          <w:w w:val="99"/>
        </w:rPr>
        <w:t>年成功研发了</w:t>
      </w:r>
      <w:r>
        <w:rPr>
          <w:rFonts w:ascii="Times New Roman" w:hAnsi="Times New Roman" w:cs="Times New Roman" w:eastAsia="Times New Roman" w:hint="default"/>
          <w:spacing w:val="-2"/>
          <w:w w:val="99"/>
        </w:rPr>
        <w:t>K3</w:t>
      </w:r>
      <w:r>
        <w:rPr>
          <w:spacing w:val="-2"/>
          <w:w w:val="99"/>
        </w:rPr>
        <w:t>系列口袋式存取款一体机、</w:t>
      </w:r>
    </w:p>
    <w:p>
      <w:pPr>
        <w:pStyle w:val="BodyText"/>
        <w:spacing w:line="312" w:lineRule="auto" w:before="13"/>
        <w:ind w:right="193"/>
        <w:jc w:val="both"/>
      </w:pPr>
      <w:r>
        <w:rPr>
          <w:spacing w:val="-2"/>
        </w:rPr>
        <w:t>具有冠字号码识别功能的一体机。此外，公司将在广州天河区软件园高唐新建区高唐大道地段建设御银科技园区，建成后将</w:t>
      </w:r>
      <w:r>
        <w:rPr>
          <w:spacing w:val="-66"/>
        </w:rPr>
        <w:t> </w:t>
      </w:r>
      <w:r>
        <w:rPr>
          <w:spacing w:val="-66"/>
        </w:rPr>
      </w:r>
      <w:r>
        <w:rPr/>
        <w:t>形成同时承担</w:t>
      </w:r>
      <w:r>
        <w:rPr>
          <w:rFonts w:ascii="Times New Roman" w:hAnsi="Times New Roman" w:cs="Times New Roman" w:eastAsia="Times New Roman" w:hint="default"/>
        </w:rPr>
        <w:t>4</w:t>
      </w:r>
      <w:r>
        <w:rPr/>
        <w:t>个机型的主导自主开发能力和规模；形成</w:t>
      </w:r>
      <w:r>
        <w:rPr>
          <w:rFonts w:ascii="Times New Roman" w:hAnsi="Times New Roman" w:cs="Times New Roman" w:eastAsia="Times New Roman" w:hint="default"/>
        </w:rPr>
        <w:t>200</w:t>
      </w:r>
      <w:r>
        <w:rPr/>
        <w:t>台</w:t>
      </w:r>
      <w:r>
        <w:rPr>
          <w:rFonts w:ascii="Times New Roman" w:hAnsi="Times New Roman" w:cs="Times New Roman" w:eastAsia="Times New Roman" w:hint="default"/>
        </w:rPr>
        <w:t>/</w:t>
      </w:r>
      <w:r>
        <w:rPr/>
        <w:t>年开发样机的试制能力；形成涵盖自主品牌整机集成、出钞</w:t>
      </w:r>
      <w:r>
        <w:rPr>
          <w:spacing w:val="-51"/>
        </w:rPr>
        <w:t> </w:t>
      </w:r>
      <w:r>
        <w:rPr>
          <w:spacing w:val="-51"/>
        </w:rPr>
      </w:r>
      <w:r>
        <w:rPr>
          <w:spacing w:val="-2"/>
        </w:rPr>
        <w:t>机芯、设备功能模块开发、新型单体机开发、产品升级换代、多功能交易系统机型设计开发与验证能力，自主研发能力和研</w:t>
      </w:r>
      <w:r>
        <w:rPr>
          <w:spacing w:val="-67"/>
        </w:rPr>
        <w:t> </w:t>
      </w:r>
      <w:r>
        <w:rPr>
          <w:spacing w:val="-67"/>
        </w:rPr>
      </w:r>
      <w:r>
        <w:rPr/>
        <w:t>发设施达到或部分达到国际先进水平。</w:t>
      </w:r>
    </w:p>
    <w:p>
      <w:pPr>
        <w:pStyle w:val="BodyText"/>
        <w:spacing w:line="300" w:lineRule="auto" w:before="22"/>
        <w:ind w:left="513" w:right="185" w:hanging="361"/>
        <w:jc w:val="left"/>
      </w:pPr>
      <w:r>
        <w:rPr>
          <w:rFonts w:ascii="Times New Roman" w:hAnsi="Times New Roman" w:cs="Times New Roman" w:eastAsia="Times New Roman" w:hint="default"/>
        </w:rPr>
        <w:t>4</w:t>
      </w:r>
      <w:r>
        <w:rPr/>
        <w:t>、在后台服务系统的优势 </w:t>
      </w:r>
      <w:r>
        <w:rPr>
          <w:spacing w:val="-2"/>
        </w:rPr>
        <w:t>为了进一步深化客户服务工作及云技术的本土化应用，公司研发了客户服务管理云平台，实现报障信息处理零延时，管</w:t>
      </w:r>
    </w:p>
    <w:p>
      <w:pPr>
        <w:pStyle w:val="BodyText"/>
        <w:spacing w:line="314" w:lineRule="auto" w:before="32"/>
        <w:ind w:right="190"/>
        <w:jc w:val="both"/>
      </w:pPr>
      <w:r>
        <w:rPr>
          <w:spacing w:val="-2"/>
        </w:rPr>
        <w:t>理人员和执行人员通过无线网络实现了实时信息互动，达到故障信息和维护工程师资源集中管理和资源调动的效果，同时云</w:t>
      </w:r>
      <w:r>
        <w:rPr>
          <w:spacing w:val="-64"/>
        </w:rPr>
        <w:t> </w:t>
      </w:r>
      <w:r>
        <w:rPr>
          <w:spacing w:val="-64"/>
        </w:rPr>
      </w:r>
      <w:r>
        <w:rPr/>
        <w:t>平台通过对设备资产的全生命周期管理、状态监控、远程管理、派工管理、短信平台等手段对</w:t>
      </w:r>
      <w:r>
        <w:rPr>
          <w:rFonts w:ascii="Times New Roman" w:hAnsi="Times New Roman" w:cs="Times New Roman" w:eastAsia="Times New Roman" w:hint="default"/>
        </w:rPr>
        <w:t>ATM</w:t>
      </w:r>
      <w:r>
        <w:rPr/>
        <w:t>日常运维过程中的主要</w:t>
      </w:r>
      <w:r>
        <w:rPr>
          <w:spacing w:val="-39"/>
        </w:rPr>
        <w:t> </w:t>
      </w:r>
      <w:r>
        <w:rPr>
          <w:spacing w:val="-39"/>
        </w:rPr>
      </w:r>
      <w:r>
        <w:rPr>
          <w:spacing w:val="-2"/>
        </w:rPr>
        <w:t>工作进行信息化管理，让各级设备管理员与维护人员轻松完成设备运行保障工作。经过一年多的推广使用，各大银行的设备</w:t>
      </w:r>
      <w:r>
        <w:rPr>
          <w:spacing w:val="-63"/>
        </w:rPr>
        <w:t> </w:t>
      </w:r>
      <w:r>
        <w:rPr>
          <w:spacing w:val="-63"/>
        </w:rPr>
      </w:r>
      <w:r>
        <w:rPr>
          <w:spacing w:val="-2"/>
        </w:rPr>
        <w:t>完好率等各项服务指标得到了明显提高，同时知识库也收集了海量、全面的维护、技术培训及运营管理等各种信息，并经过</w:t>
      </w:r>
      <w:r>
        <w:rPr>
          <w:spacing w:val="-64"/>
        </w:rPr>
        <w:t> </w:t>
      </w:r>
      <w:r>
        <w:rPr>
          <w:spacing w:val="-64"/>
        </w:rPr>
      </w:r>
      <w:r>
        <w:rPr>
          <w:spacing w:val="-2"/>
        </w:rPr>
        <w:t>智能化分析处理，提供大量的分析图表，给决策层提供了实时准确的信息，为公司进一步发展规划提供详实的参考依据，为</w:t>
      </w:r>
      <w:r>
        <w:rPr>
          <w:spacing w:val="-63"/>
        </w:rPr>
        <w:t> </w:t>
      </w:r>
      <w:r>
        <w:rPr>
          <w:spacing w:val="-63"/>
        </w:rPr>
      </w:r>
      <w:r>
        <w:rPr/>
        <w:t>更多的客户提供更优质的服务。</w:t>
      </w:r>
    </w:p>
    <w:p>
      <w:pPr>
        <w:pStyle w:val="BodyText"/>
        <w:spacing w:line="240" w:lineRule="auto" w:before="20"/>
        <w:ind w:right="0"/>
        <w:jc w:val="both"/>
      </w:pPr>
      <w:r>
        <w:rPr>
          <w:rFonts w:ascii="Times New Roman" w:hAnsi="Times New Roman" w:cs="Times New Roman" w:eastAsia="Times New Roman" w:hint="default"/>
        </w:rPr>
        <w:t>5</w:t>
      </w:r>
      <w:r>
        <w:rPr/>
        <w:t>、市场开发及营销网络的优势</w:t>
      </w:r>
    </w:p>
    <w:p>
      <w:pPr>
        <w:spacing w:after="0" w:line="240"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2" w:lineRule="auto" w:before="44"/>
        <w:ind w:left="532" w:right="314" w:firstLine="360"/>
        <w:jc w:val="left"/>
      </w:pPr>
      <w:r>
        <w:rPr/>
        <w:t>在销售方面：公司自成立以来，公司各项业务以珠三角为核心，辐射全国，特别是各经注较发达的区域及省份，同时， </w:t>
      </w:r>
      <w:r>
        <w:rPr>
          <w:spacing w:val="-2"/>
        </w:rPr>
        <w:t>公司在国际市场也进行了布局和规划，并在多个国家和地区设立办事处，海外的销售收入也取得了一定的突破；在合作运营</w:t>
      </w:r>
      <w:r>
        <w:rPr>
          <w:spacing w:val="-63"/>
        </w:rPr>
        <w:t> </w:t>
      </w:r>
      <w:r>
        <w:rPr>
          <w:spacing w:val="-63"/>
        </w:rPr>
      </w:r>
      <w:r>
        <w:rPr/>
        <w:t>和融资租赁方面：公司作为国内</w:t>
      </w:r>
      <w:r>
        <w:rPr>
          <w:rFonts w:ascii="Times New Roman" w:hAnsi="Times New Roman" w:cs="Times New Roman" w:eastAsia="Times New Roman" w:hint="default"/>
        </w:rPr>
        <w:t>ATM</w:t>
      </w:r>
      <w:r>
        <w:rPr/>
        <w:t>合作运营模式的开拓者，经过多年经验积累及知识管理，在选址能力、技术维护等方</w:t>
      </w:r>
      <w:r>
        <w:rPr>
          <w:spacing w:val="-43"/>
        </w:rPr>
        <w:t> </w:t>
      </w:r>
      <w:r>
        <w:rPr>
          <w:spacing w:val="-43"/>
        </w:rPr>
      </w:r>
      <w:r>
        <w:rPr>
          <w:spacing w:val="-2"/>
        </w:rPr>
        <w:t>面已形成相当竞争优势，公司在同一地区选址可获得高于行业平均水平的日均流水额和较高的开机率。合作运营模式引导的</w:t>
      </w:r>
      <w:r>
        <w:rPr>
          <w:spacing w:val="-63"/>
        </w:rPr>
        <w:t> </w:t>
      </w:r>
      <w:r>
        <w:rPr>
          <w:spacing w:val="-63"/>
        </w:rPr>
      </w:r>
      <w:r>
        <w:rPr>
          <w:rFonts w:ascii="Times New Roman" w:hAnsi="Times New Roman" w:cs="Times New Roman" w:eastAsia="Times New Roman" w:hint="default"/>
        </w:rPr>
        <w:t>“</w:t>
      </w:r>
      <w:r>
        <w:rPr/>
        <w:t>离行式</w:t>
      </w:r>
      <w:r>
        <w:rPr>
          <w:rFonts w:ascii="Times New Roman" w:hAnsi="Times New Roman" w:cs="Times New Roman" w:eastAsia="Times New Roman" w:hint="default"/>
        </w:rPr>
        <w:t>ATM</w:t>
      </w:r>
      <w:r>
        <w:rPr/>
        <w:t>时代</w:t>
      </w:r>
      <w:r>
        <w:rPr>
          <w:rFonts w:ascii="Times New Roman" w:hAnsi="Times New Roman" w:cs="Times New Roman" w:eastAsia="Times New Roman" w:hint="default"/>
        </w:rPr>
        <w:t>”</w:t>
      </w:r>
      <w:r>
        <w:rPr/>
        <w:t>是行业大势所趋，掌握合作运营模式核心竞争力</w:t>
      </w:r>
      <w:r>
        <w:rPr>
          <w:rFonts w:ascii="Times New Roman" w:hAnsi="Times New Roman" w:cs="Times New Roman" w:eastAsia="Times New Roman" w:hint="default"/>
        </w:rPr>
        <w:t>(</w:t>
      </w:r>
      <w:r>
        <w:rPr/>
        <w:t>选址和高效运维能力</w:t>
      </w:r>
      <w:r>
        <w:rPr>
          <w:rFonts w:ascii="Times New Roman" w:hAnsi="Times New Roman" w:cs="Times New Roman" w:eastAsia="Times New Roman" w:hint="default"/>
        </w:rPr>
        <w:t>)</w:t>
      </w:r>
      <w:r>
        <w:rPr/>
        <w:t>方能及早顺应</w:t>
      </w:r>
      <w:r>
        <w:rPr>
          <w:rFonts w:ascii="Times New Roman" w:hAnsi="Times New Roman" w:cs="Times New Roman" w:eastAsia="Times New Roman" w:hint="default"/>
        </w:rPr>
        <w:t>ATM</w:t>
      </w:r>
      <w:r>
        <w:rPr/>
        <w:t>发展的新要求， 而公司具备这样的核心竞争力，与</w:t>
      </w:r>
      <w:r>
        <w:rPr>
          <w:rFonts w:ascii="Times New Roman" w:hAnsi="Times New Roman" w:cs="Times New Roman" w:eastAsia="Times New Roman" w:hint="default"/>
        </w:rPr>
        <w:t>ATM</w:t>
      </w:r>
      <w:r>
        <w:rPr/>
        <w:t>合作运营发展大势契合。</w:t>
      </w:r>
    </w:p>
    <w:p>
      <w:pPr>
        <w:spacing w:line="240" w:lineRule="auto" w:before="8"/>
        <w:rPr>
          <w:rFonts w:ascii="宋体" w:hAnsi="宋体" w:cs="宋体" w:eastAsia="宋体" w:hint="default"/>
          <w:sz w:val="19"/>
          <w:szCs w:val="19"/>
        </w:rPr>
      </w:pPr>
    </w:p>
    <w:p>
      <w:pPr>
        <w:pStyle w:val="Heading2"/>
        <w:spacing w:line="240" w:lineRule="auto"/>
        <w:ind w:left="532" w:right="314"/>
        <w:jc w:val="left"/>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532" w:right="314"/>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32" w:right="314"/>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9"/>
        <w:rPr>
          <w:rFonts w:ascii="宋体" w:hAnsi="宋体" w:cs="宋体" w:eastAsia="宋体" w:hint="default"/>
          <w:b/>
          <w:bCs/>
          <w:sz w:val="25"/>
          <w:szCs w:val="25"/>
        </w:rPr>
      </w:pPr>
    </w:p>
    <w:tbl>
      <w:tblPr>
        <w:tblW w:w="0" w:type="auto"/>
        <w:jc w:val="left"/>
        <w:tblInd w:w="527" w:type="dxa"/>
        <w:tblLayout w:type="fixed"/>
        <w:tblCellMar>
          <w:top w:w="0" w:type="dxa"/>
          <w:left w:w="0" w:type="dxa"/>
          <w:bottom w:w="0" w:type="dxa"/>
          <w:right w:w="0" w:type="dxa"/>
        </w:tblCellMar>
        <w:tblLook w:val="01E0"/>
      </w:tblPr>
      <w:tblGrid>
        <w:gridCol w:w="2835"/>
        <w:gridCol w:w="4959"/>
        <w:gridCol w:w="1777"/>
      </w:tblGrid>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年投资额（元）</w:t>
            </w:r>
          </w:p>
        </w:tc>
        <w:tc>
          <w:tcPr>
            <w:tcW w:w="4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年投资额（元）</w:t>
            </w:r>
          </w:p>
        </w:tc>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6" w:right="0"/>
              <w:jc w:val="left"/>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9" w:right="0"/>
              <w:jc w:val="left"/>
              <w:rPr>
                <w:rFonts w:ascii="Times New Roman" w:hAnsi="Times New Roman" w:cs="Times New Roman" w:eastAsia="Times New Roman" w:hint="default"/>
                <w:sz w:val="18"/>
                <w:szCs w:val="18"/>
              </w:rPr>
            </w:pPr>
            <w:r>
              <w:rPr>
                <w:rFonts w:ascii="Times New Roman"/>
                <w:sz w:val="18"/>
              </w:rPr>
              <w:t>30,000,000.00</w:t>
            </w:r>
          </w:p>
        </w:tc>
        <w:tc>
          <w:tcPr>
            <w:tcW w:w="4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43,000,000.00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-30.23%</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4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0" w:right="69" w:hanging="104"/>
              <w:jc w:val="left"/>
              <w:rPr>
                <w:rFonts w:ascii="宋体" w:hAnsi="宋体" w:cs="宋体" w:eastAsia="宋体" w:hint="default"/>
                <w:sz w:val="18"/>
                <w:szCs w:val="18"/>
              </w:rPr>
            </w:pPr>
            <w:r>
              <w:rPr>
                <w:rFonts w:ascii="宋体" w:hAnsi="宋体" w:cs="宋体" w:eastAsia="宋体" w:hint="default"/>
                <w:sz w:val="18"/>
                <w:szCs w:val="18"/>
              </w:rPr>
              <w:t>上市公司占被投资公 司权益比例（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339" w:hRule="exact"/>
        </w:trPr>
        <w:tc>
          <w:tcPr>
            <w:tcW w:w="283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广州御银自动柜员机技术有限公司</w:t>
            </w:r>
          </w:p>
        </w:tc>
        <w:tc>
          <w:tcPr>
            <w:tcW w:w="495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电子产品、通讯产品、电脑软件、金融机具设备、自动柜员机 的研究、开发、销售、技术咨询及维护。商品信息咨询。货物 进出口，技术进出口（法律、行政法规禁止的项目除外； 行政法规限制的项目须取得许可后方可经营）</w:t>
            </w:r>
          </w:p>
        </w:tc>
        <w:tc>
          <w:tcPr>
            <w:tcW w:w="1777"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b/>
          <w:bCs/>
          <w:sz w:val="19"/>
          <w:szCs w:val="19"/>
        </w:rPr>
      </w:pPr>
    </w:p>
    <w:p>
      <w:pPr>
        <w:pStyle w:val="Heading3"/>
        <w:spacing w:line="240" w:lineRule="auto" w:before="36"/>
        <w:ind w:left="532" w:right="314"/>
        <w:jc w:val="left"/>
        <w:rPr>
          <w:b w:val="0"/>
          <w:bCs w:val="0"/>
        </w:rPr>
      </w:pPr>
      <w:r>
        <w:rPr/>
        <w:pict>
          <v:shape style="position:absolute;margin-left:422.564026pt;margin-top:-56.15633pt;width:111.35pt;height:22.05pt;mso-position-horizontal-relative:page;mso-position-vertical-relative:paragraph;z-index:-831112" type="#_x0000_t202" filled="false" stroked="false">
            <v:textbox inset="0,0,0,0">
              <w:txbxContent>
                <w:p>
                  <w:pPr>
                    <w:spacing w:line="240" w:lineRule="auto" w:before="9"/>
                    <w:rPr>
                      <w:rFonts w:ascii="宋体" w:hAnsi="宋体" w:cs="宋体" w:eastAsia="宋体" w:hint="default"/>
                      <w:b/>
                      <w:bCs/>
                      <w:sz w:val="15"/>
                      <w:szCs w:val="15"/>
                    </w:rPr>
                  </w:pPr>
                </w:p>
                <w:p>
                  <w:pPr>
                    <w:pStyle w:val="BodyText"/>
                    <w:spacing w:line="240" w:lineRule="auto"/>
                    <w:ind w:left="0" w:right="0"/>
                    <w:jc w:val="left"/>
                  </w:pPr>
                  <w:r>
                    <w:rPr/>
                    <w:t>法律、</w:t>
                  </w:r>
                </w:p>
              </w:txbxContent>
            </v:textbox>
            <w10:wrap type="none"/>
          </v:shape>
        </w:pict>
      </w:r>
      <w:r>
        <w:rPr/>
        <w:pict>
          <v:group style="position:absolute;margin-left:446.859985pt;margin-top:-56.756332pt;width:88.25pt;height:43.7pt;mso-position-horizontal-relative:page;mso-position-vertical-relative:paragraph;z-index:-831064" coordorigin="8937,-1135" coordsize="1765,874">
            <v:group style="position:absolute;left:8949;top:-1123;width:2;height:394" coordorigin="8949,-1123" coordsize="2,394">
              <v:shape style="position:absolute;left:8949;top:-1123;width:2;height:394" coordorigin="8949,-1123" coordsize="0,394" path="m8949,-1123l8949,-730e" filled="false" stroked="true" strokeweight="1.2pt" strokecolor="#ffffff">
                <v:path arrowok="t"/>
              </v:shape>
            </v:group>
            <v:group style="position:absolute;left:8937;top:-730;width:1765;height:468" coordorigin="8937,-730" coordsize="1765,468">
              <v:shape style="position:absolute;left:8937;top:-730;width:1765;height:468" coordorigin="8937,-730" coordsize="1765,468" path="m8937,-262l10702,-262,10702,-730,8937,-730,8937,-262xe" filled="true" fillcolor="#ffffff" stroked="false">
                <v:path arrowok="t"/>
                <v:fill type="solid"/>
              </v:shape>
            </v:group>
            <v:group style="position:absolute;left:8961;top:-1123;width:1717;height:394" coordorigin="8961,-1123" coordsize="1717,394">
              <v:shape style="position:absolute;left:8961;top:-1123;width:1717;height:394" coordorigin="8961,-1123" coordsize="1717,394" path="m8961,-730l10678,-730,10678,-1123,8961,-1123,8961,-730xe" filled="true" fillcolor="#ffffff" stroked="false">
                <v:path arrowok="t"/>
                <v:fill type="solid"/>
              </v:shape>
            </v:group>
            <w10:wrap type="none"/>
          </v:group>
        </w:pict>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7"/>
        <w:rPr>
          <w:rFonts w:ascii="宋体" w:hAnsi="宋体" w:cs="宋体" w:eastAsia="宋体" w:hint="default"/>
          <w:b/>
          <w:bCs/>
          <w:sz w:val="25"/>
          <w:szCs w:val="25"/>
        </w:rPr>
      </w:pPr>
    </w:p>
    <w:tbl>
      <w:tblPr>
        <w:tblW w:w="0" w:type="auto"/>
        <w:jc w:val="left"/>
        <w:tblInd w:w="527" w:type="dxa"/>
        <w:tblLayout w:type="fixed"/>
        <w:tblCellMar>
          <w:top w:w="0" w:type="dxa"/>
          <w:left w:w="0" w:type="dxa"/>
          <w:bottom w:w="0" w:type="dxa"/>
          <w:right w:w="0" w:type="dxa"/>
        </w:tblCellMar>
        <w:tblLook w:val="01E0"/>
      </w:tblPr>
      <w:tblGrid>
        <w:gridCol w:w="869"/>
        <w:gridCol w:w="550"/>
        <w:gridCol w:w="1133"/>
        <w:gridCol w:w="994"/>
        <w:gridCol w:w="850"/>
        <w:gridCol w:w="994"/>
        <w:gridCol w:w="850"/>
        <w:gridCol w:w="1133"/>
        <w:gridCol w:w="852"/>
        <w:gridCol w:w="708"/>
        <w:gridCol w:w="634"/>
      </w:tblGrid>
      <w:tr>
        <w:trPr>
          <w:trHeight w:val="715"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83"/>
              <w:jc w:val="left"/>
              <w:rPr>
                <w:rFonts w:ascii="宋体" w:hAnsi="宋体" w:cs="宋体" w:eastAsia="宋体" w:hint="default"/>
                <w:sz w:val="18"/>
                <w:szCs w:val="18"/>
              </w:rPr>
            </w:pPr>
            <w:r>
              <w:rPr>
                <w:rFonts w:ascii="宋体" w:hAnsi="宋体" w:cs="宋体" w:eastAsia="宋体" w:hint="default"/>
                <w:sz w:val="18"/>
                <w:szCs w:val="18"/>
              </w:rPr>
              <w:t>公司 类别</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1" w:right="110" w:hanging="89"/>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1" w:right="41" w:hanging="92"/>
              <w:jc w:val="left"/>
              <w:rPr>
                <w:rFonts w:ascii="宋体" w:hAnsi="宋体" w:cs="宋体" w:eastAsia="宋体" w:hint="default"/>
                <w:sz w:val="18"/>
                <w:szCs w:val="18"/>
              </w:rPr>
            </w:pPr>
            <w:r>
              <w:rPr>
                <w:rFonts w:ascii="宋体" w:hAnsi="宋体" w:cs="宋体" w:eastAsia="宋体" w:hint="default"/>
                <w:sz w:val="18"/>
                <w:szCs w:val="18"/>
              </w:rPr>
              <w:t>期初持股数 量（股）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59" w:firstLine="36"/>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期初持股 比例（</w:t>
            </w:r>
            <w:r>
              <w:rPr>
                <w:rFonts w:ascii="Times New Roman" w:hAnsi="Times New Roman" w:cs="Times New Roman" w:eastAsia="Times New Roman"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13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量（股）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9" w:firstLine="36"/>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期末持股 比例（</w:t>
            </w:r>
            <w:r>
              <w:rPr>
                <w:rFonts w:ascii="Times New Roman" w:hAnsi="Times New Roman" w:cs="Times New Roman" w:eastAsia="Times New Roman"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tabs>
                <w:tab w:pos="292" w:val="left" w:leader="none"/>
              </w:tabs>
              <w:spacing w:line="240" w:lineRule="auto" w:before="76"/>
              <w:ind w:left="-137" w:right="0"/>
              <w:jc w:val="left"/>
              <w:rPr>
                <w:rFonts w:ascii="宋体" w:hAnsi="宋体" w:cs="宋体" w:eastAsia="宋体" w:hint="default"/>
                <w:sz w:val="18"/>
                <w:szCs w:val="18"/>
              </w:rPr>
            </w:pPr>
            <w:r>
              <w:rPr>
                <w:rFonts w:ascii="宋体" w:hAnsi="宋体" w:cs="宋体" w:eastAsia="宋体" w:hint="default"/>
                <w:sz w:val="18"/>
                <w:szCs w:val="18"/>
              </w:rPr>
              <w:t>）</w:t>
              <w:tab/>
              <w:t>（元）</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60"/>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3" w:right="39" w:hanging="180"/>
              <w:jc w:val="left"/>
              <w:rPr>
                <w:rFonts w:ascii="宋体" w:hAnsi="宋体" w:cs="宋体" w:eastAsia="宋体" w:hint="default"/>
                <w:sz w:val="18"/>
                <w:szCs w:val="18"/>
              </w:rPr>
            </w:pPr>
            <w:r>
              <w:rPr>
                <w:rFonts w:ascii="宋体" w:hAnsi="宋体" w:cs="宋体" w:eastAsia="宋体" w:hint="default"/>
                <w:sz w:val="18"/>
                <w:szCs w:val="18"/>
              </w:rPr>
              <w:t>股份来 源</w:t>
            </w:r>
          </w:p>
        </w:tc>
      </w:tr>
      <w:tr>
        <w:trPr>
          <w:trHeight w:val="1337" w:hRule="exact"/>
        </w:trPr>
        <w:tc>
          <w:tcPr>
            <w:tcW w:w="86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4" w:right="113"/>
              <w:jc w:val="both"/>
              <w:rPr>
                <w:rFonts w:ascii="宋体" w:hAnsi="宋体" w:cs="宋体" w:eastAsia="宋体" w:hint="default"/>
                <w:sz w:val="18"/>
                <w:szCs w:val="18"/>
              </w:rPr>
            </w:pPr>
            <w:r>
              <w:rPr>
                <w:rFonts w:ascii="宋体" w:hAnsi="宋体" w:cs="宋体" w:eastAsia="宋体" w:hint="default"/>
                <w:sz w:val="18"/>
                <w:szCs w:val="18"/>
              </w:rPr>
              <w:t>广州花都 稠州村镇 银行股份 有限公司</w:t>
            </w:r>
          </w:p>
        </w:tc>
        <w:tc>
          <w:tcPr>
            <w:tcW w:w="550" w:type="dxa"/>
            <w:tcBorders>
              <w:top w:val="single" w:sz="4" w:space="0" w:color="000000"/>
              <w:left w:val="single" w:sz="10" w:space="0" w:color="CCE8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8" w:right="143"/>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132"/>
              <w:jc w:val="left"/>
              <w:rPr>
                <w:rFonts w:ascii="宋体" w:hAnsi="宋体" w:cs="宋体" w:eastAsia="宋体" w:hint="default"/>
                <w:sz w:val="18"/>
                <w:szCs w:val="18"/>
              </w:rPr>
            </w:pPr>
            <w:r>
              <w:rPr>
                <w:rFonts w:ascii="宋体" w:hAnsi="宋体" w:cs="宋体" w:eastAsia="宋体" w:hint="default"/>
                <w:sz w:val="18"/>
                <w:szCs w:val="18"/>
              </w:rPr>
              <w:t>长期股 权投资</w:t>
            </w:r>
          </w:p>
        </w:tc>
        <w:tc>
          <w:tcPr>
            <w:tcW w:w="6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58"/>
              <w:jc w:val="left"/>
              <w:rPr>
                <w:rFonts w:ascii="宋体" w:hAnsi="宋体" w:cs="宋体" w:eastAsia="宋体" w:hint="default"/>
                <w:sz w:val="18"/>
                <w:szCs w:val="18"/>
              </w:rPr>
            </w:pPr>
            <w:r>
              <w:rPr>
                <w:rFonts w:ascii="宋体" w:hAnsi="宋体" w:cs="宋体" w:eastAsia="宋体" w:hint="default"/>
                <w:sz w:val="18"/>
                <w:szCs w:val="18"/>
              </w:rPr>
              <w:t>发起人 股份</w:t>
            </w:r>
          </w:p>
        </w:tc>
      </w:tr>
      <w:tr>
        <w:trPr>
          <w:trHeight w:val="403" w:hRule="exact"/>
        </w:trPr>
        <w:tc>
          <w:tcPr>
            <w:tcW w:w="14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9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25,000,000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left="532" w:right="314"/>
        <w:jc w:val="left"/>
        <w:rPr>
          <w:b w:val="0"/>
          <w:bCs w:val="0"/>
        </w:rPr>
      </w:pPr>
      <w:r>
        <w:rPr/>
        <w:pict>
          <v:shape style="position:absolute;margin-left:295.013pt;margin-top:51.173672pt;width:65.2pt;height:17.650pt;mso-position-horizontal-relative:page;mso-position-vertical-relative:paragraph;z-index:-831088" type="#_x0000_t202" filled="false" stroked="false">
            <v:textbox inset="0,0,0,0">
              <w:txbxContent>
                <w:p>
                  <w:pPr>
                    <w:pStyle w:val="BodyText"/>
                    <w:spacing w:line="240" w:lineRule="auto" w:before="8"/>
                    <w:ind w:left="0" w:right="0"/>
                    <w:jc w:val="left"/>
                  </w:pPr>
                  <w:r>
                    <w:rPr/>
                    <w:t>（股）</w:t>
                  </w:r>
                </w:p>
              </w:txbxContent>
            </v:textbox>
            <w10:wrap type="none"/>
          </v:shape>
        </w:pict>
      </w:r>
      <w:r>
        <w:rPr/>
        <w:t>（</w:t>
      </w:r>
      <w:r>
        <w:rPr>
          <w:rFonts w:ascii="Times New Roman" w:hAnsi="Times New Roman" w:cs="Times New Roman" w:eastAsia="Times New Roman" w:hint="default"/>
        </w:rPr>
        <w:t>3</w:t>
      </w:r>
      <w:r>
        <w:rPr/>
        <w:t>）证券投资情况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569"/>
        <w:gridCol w:w="710"/>
        <w:gridCol w:w="566"/>
        <w:gridCol w:w="1133"/>
        <w:gridCol w:w="994"/>
        <w:gridCol w:w="850"/>
        <w:gridCol w:w="850"/>
        <w:gridCol w:w="852"/>
        <w:gridCol w:w="1136"/>
        <w:gridCol w:w="1133"/>
        <w:gridCol w:w="708"/>
        <w:gridCol w:w="852"/>
      </w:tblGrid>
      <w:tr>
        <w:trPr>
          <w:trHeight w:val="713" w:hRule="exact"/>
        </w:trPr>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0" w:right="96"/>
              <w:jc w:val="left"/>
              <w:rPr>
                <w:rFonts w:ascii="宋体" w:hAnsi="宋体" w:cs="宋体" w:eastAsia="宋体" w:hint="default"/>
                <w:sz w:val="18"/>
                <w:szCs w:val="18"/>
              </w:rPr>
            </w:pPr>
            <w:r>
              <w:rPr>
                <w:rFonts w:ascii="宋体" w:hAnsi="宋体" w:cs="宋体" w:eastAsia="宋体" w:hint="default"/>
                <w:sz w:val="18"/>
                <w:szCs w:val="18"/>
              </w:rPr>
              <w:t>证券 品种</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70" w:right="168"/>
              <w:jc w:val="left"/>
              <w:rPr>
                <w:rFonts w:ascii="宋体" w:hAnsi="宋体" w:cs="宋体" w:eastAsia="宋体" w:hint="default"/>
                <w:sz w:val="18"/>
                <w:szCs w:val="18"/>
              </w:rPr>
            </w:pPr>
            <w:r>
              <w:rPr>
                <w:rFonts w:ascii="宋体" w:hAnsi="宋体" w:cs="宋体" w:eastAsia="宋体" w:hint="default"/>
                <w:sz w:val="18"/>
                <w:szCs w:val="18"/>
              </w:rPr>
              <w:t>证券 代码</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证券 简称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1" w:right="110" w:hanging="89"/>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31" w:right="41" w:hanging="92"/>
              <w:jc w:val="left"/>
              <w:rPr>
                <w:rFonts w:ascii="宋体" w:hAnsi="宋体" w:cs="宋体" w:eastAsia="宋体" w:hint="default"/>
                <w:sz w:val="18"/>
                <w:szCs w:val="18"/>
              </w:rPr>
            </w:pPr>
            <w:r>
              <w:rPr>
                <w:rFonts w:ascii="宋体" w:hAnsi="宋体" w:cs="宋体" w:eastAsia="宋体" w:hint="default"/>
                <w:sz w:val="18"/>
                <w:szCs w:val="18"/>
              </w:rPr>
              <w:t>期初持股数 量（股）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 w:right="59" w:firstLine="36"/>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期初持股 比例（</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4"/>
              <w:ind w:left="-137" w:right="0"/>
              <w:jc w:val="left"/>
              <w:rPr>
                <w:rFonts w:ascii="宋体" w:hAnsi="宋体" w:cs="宋体" w:eastAsia="宋体" w:hint="default"/>
                <w:sz w:val="18"/>
                <w:szCs w:val="18"/>
              </w:rPr>
            </w:pPr>
            <w:r>
              <w:rPr>
                <w:rFonts w:ascii="宋体" w:hAnsi="宋体" w:cs="宋体" w:eastAsia="宋体" w:hint="default"/>
                <w:spacing w:val="-7"/>
                <w:sz w:val="18"/>
                <w:szCs w:val="18"/>
              </w:rPr>
              <w:t>）数量</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6" w:right="59" w:firstLine="36"/>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期末持股 比例（</w:t>
            </w:r>
            <w:r>
              <w:rPr>
                <w:rFonts w:ascii="Times New Roman" w:hAnsi="Times New Roman" w:cs="Times New Roman" w:eastAsia="Times New Roman" w:hint="default"/>
                <w:sz w:val="18"/>
                <w:szCs w:val="18"/>
              </w:rPr>
              <w:t>%</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tabs>
                <w:tab w:pos="292" w:val="left" w:leader="none"/>
              </w:tabs>
              <w:spacing w:line="240" w:lineRule="auto" w:before="74"/>
              <w:ind w:left="-137" w:right="0"/>
              <w:jc w:val="left"/>
              <w:rPr>
                <w:rFonts w:ascii="宋体" w:hAnsi="宋体" w:cs="宋体" w:eastAsia="宋体" w:hint="default"/>
                <w:sz w:val="18"/>
                <w:szCs w:val="18"/>
              </w:rPr>
            </w:pPr>
            <w:r>
              <w:rPr>
                <w:rFonts w:ascii="宋体" w:hAnsi="宋体" w:cs="宋体" w:eastAsia="宋体" w:hint="default"/>
                <w:sz w:val="18"/>
                <w:szCs w:val="18"/>
              </w:rPr>
              <w:t>）</w:t>
              <w:tab/>
              <w:t>（元）</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852" w:type="dxa"/>
            <w:tcBorders>
              <w:top w:val="single" w:sz="4" w:space="0" w:color="000000"/>
              <w:left w:val="single" w:sz="4" w:space="0" w:color="000000"/>
              <w:bottom w:val="single" w:sz="9" w:space="0" w:color="CCE8CC"/>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1027"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300143</w:t>
            </w:r>
          </w:p>
        </w:tc>
        <w:tc>
          <w:tcPr>
            <w:tcW w:w="56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星河 生物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15,000,000.00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10,424,277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7.07%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8,688,668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5.89%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69,856,890.72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9,077,559.04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both"/>
              <w:rPr>
                <w:rFonts w:ascii="宋体" w:hAnsi="宋体" w:cs="宋体" w:eastAsia="宋体" w:hint="default"/>
                <w:sz w:val="18"/>
                <w:szCs w:val="18"/>
              </w:rPr>
            </w:pPr>
            <w:r>
              <w:rPr>
                <w:rFonts w:ascii="宋体" w:hAnsi="宋体" w:cs="宋体" w:eastAsia="宋体" w:hint="default"/>
                <w:sz w:val="18"/>
                <w:szCs w:val="18"/>
              </w:rPr>
              <w:t>可供出 售金融 资产</w:t>
            </w:r>
          </w:p>
        </w:tc>
        <w:tc>
          <w:tcPr>
            <w:tcW w:w="85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70"/>
              <w:ind w:left="23" w:right="16"/>
              <w:jc w:val="both"/>
              <w:rPr>
                <w:rFonts w:ascii="Times New Roman" w:hAnsi="Times New Roman" w:cs="Times New Roman" w:eastAsia="Times New Roman" w:hint="default"/>
                <w:sz w:val="18"/>
                <w:szCs w:val="18"/>
              </w:rPr>
            </w:pPr>
            <w:r>
              <w:rPr>
                <w:rFonts w:ascii="宋体" w:hAnsi="宋体" w:cs="宋体" w:eastAsia="宋体" w:hint="default"/>
                <w:sz w:val="18"/>
                <w:szCs w:val="18"/>
              </w:rPr>
              <w:t>通过全资 子公司广 州御新</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PE</w:t>
            </w:r>
            <w:r>
              <w:rPr>
                <w:rFonts w:ascii="Times New Roman" w:hAnsi="Times New Roman" w:cs="Times New Roman" w:eastAsia="Times New Roman" w:hint="default"/>
                <w:sz w:val="18"/>
                <w:szCs w:val="18"/>
              </w:rPr>
            </w:r>
          </w:p>
        </w:tc>
      </w:tr>
    </w:tbl>
    <w:p>
      <w:pPr>
        <w:spacing w:after="0" w:line="316" w:lineRule="auto"/>
        <w:jc w:val="both"/>
        <w:rPr>
          <w:rFonts w:ascii="Times New Roman" w:hAnsi="Times New Roman" w:cs="Times New Roman" w:eastAsia="Times New Roman" w:hint="default"/>
          <w:sz w:val="18"/>
          <w:szCs w:val="18"/>
        </w:rPr>
        <w:sectPr>
          <w:pgSz w:w="11910" w:h="16840"/>
          <w:pgMar w:header="745" w:footer="980" w:top="1060" w:bottom="1160" w:left="600" w:right="720"/>
        </w:sectPr>
      </w:pPr>
    </w:p>
    <w:p>
      <w:pPr>
        <w:spacing w:line="240" w:lineRule="auto" w:before="6"/>
        <w:rPr>
          <w:rFonts w:ascii="宋体" w:hAnsi="宋体" w:cs="宋体" w:eastAsia="宋体" w:hint="default"/>
          <w:b/>
          <w:bCs/>
          <w:sz w:val="28"/>
          <w:szCs w:val="28"/>
        </w:rPr>
      </w:pPr>
    </w:p>
    <w:tbl>
      <w:tblPr>
        <w:tblW w:w="0" w:type="auto"/>
        <w:jc w:val="left"/>
        <w:tblInd w:w="100" w:type="dxa"/>
        <w:tblLayout w:type="fixed"/>
        <w:tblCellMar>
          <w:top w:w="0" w:type="dxa"/>
          <w:left w:w="0" w:type="dxa"/>
          <w:bottom w:w="0" w:type="dxa"/>
          <w:right w:w="0" w:type="dxa"/>
        </w:tblCellMar>
        <w:tblLook w:val="01E0"/>
      </w:tblPr>
      <w:tblGrid>
        <w:gridCol w:w="570"/>
        <w:gridCol w:w="709"/>
        <w:gridCol w:w="566"/>
        <w:gridCol w:w="1133"/>
        <w:gridCol w:w="994"/>
        <w:gridCol w:w="850"/>
        <w:gridCol w:w="850"/>
        <w:gridCol w:w="852"/>
        <w:gridCol w:w="1136"/>
        <w:gridCol w:w="1133"/>
        <w:gridCol w:w="708"/>
        <w:gridCol w:w="852"/>
      </w:tblGrid>
      <w:tr>
        <w:trPr>
          <w:trHeight w:val="362" w:hRule="exact"/>
        </w:trPr>
        <w:tc>
          <w:tcPr>
            <w:tcW w:w="57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566"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8"/>
              <w:ind w:right="72"/>
              <w:jc w:val="center"/>
              <w:rPr>
                <w:rFonts w:ascii="宋体" w:hAnsi="宋体" w:cs="宋体" w:eastAsia="宋体" w:hint="default"/>
                <w:sz w:val="18"/>
                <w:szCs w:val="18"/>
              </w:rPr>
            </w:pPr>
            <w:r>
              <w:rPr>
                <w:rFonts w:ascii="宋体" w:hAnsi="宋体" w:cs="宋体" w:eastAsia="宋体" w:hint="default"/>
                <w:sz w:val="18"/>
                <w:szCs w:val="18"/>
              </w:rPr>
              <w:t>投资所得</w:t>
            </w:r>
          </w:p>
        </w:tc>
      </w:tr>
      <w:tr>
        <w:trPr>
          <w:trHeight w:val="401" w:hRule="exact"/>
        </w:trPr>
        <w:tc>
          <w:tcPr>
            <w:tcW w:w="184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15,000,000.00</w:t>
            </w:r>
          </w:p>
        </w:tc>
        <w:tc>
          <w:tcPr>
            <w:tcW w:w="9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10,424,277</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8,688,668</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69,856,890.72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9,077,559.04</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left="532" w:right="314"/>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32" w:right="314"/>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411"/>
        <w:jc w:val="right"/>
      </w:pPr>
      <w:r>
        <w:rPr/>
        <w:t>单位：万元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208"/>
        <w:gridCol w:w="810"/>
        <w:gridCol w:w="794"/>
        <w:gridCol w:w="807"/>
        <w:gridCol w:w="799"/>
        <w:gridCol w:w="797"/>
        <w:gridCol w:w="799"/>
        <w:gridCol w:w="797"/>
        <w:gridCol w:w="800"/>
        <w:gridCol w:w="797"/>
        <w:gridCol w:w="799"/>
        <w:gridCol w:w="792"/>
      </w:tblGrid>
      <w:tr>
        <w:trPr>
          <w:trHeight w:val="710"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受托人名称</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4" w:right="33"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29"/>
              <w:jc w:val="left"/>
              <w:rPr>
                <w:rFonts w:ascii="宋体" w:hAnsi="宋体" w:cs="宋体" w:eastAsia="宋体" w:hint="default"/>
                <w:sz w:val="18"/>
                <w:szCs w:val="18"/>
              </w:rPr>
            </w:pPr>
            <w:r>
              <w:rPr>
                <w:rFonts w:ascii="宋体" w:hAnsi="宋体" w:cs="宋体" w:eastAsia="宋体" w:hint="default"/>
                <w:sz w:val="18"/>
                <w:szCs w:val="18"/>
              </w:rPr>
              <w:t>委托理财 起始日期</w:t>
            </w:r>
          </w:p>
        </w:tc>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 w:right="36"/>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5" w:right="31"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29"/>
              <w:jc w:val="left"/>
              <w:rPr>
                <w:rFonts w:ascii="宋体" w:hAnsi="宋体" w:cs="宋体" w:eastAsia="宋体" w:hint="default"/>
                <w:sz w:val="18"/>
                <w:szCs w:val="18"/>
              </w:rPr>
            </w:pPr>
            <w:r>
              <w:rPr>
                <w:rFonts w:ascii="宋体" w:hAnsi="宋体" w:cs="宋体" w:eastAsia="宋体" w:hint="default"/>
                <w:sz w:val="18"/>
                <w:szCs w:val="18"/>
              </w:rPr>
              <w:t>实际收回 本金金额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6" w:right="31" w:hanging="180"/>
              <w:jc w:val="left"/>
              <w:rPr>
                <w:rFonts w:ascii="宋体" w:hAnsi="宋体" w:cs="宋体" w:eastAsia="宋体" w:hint="default"/>
                <w:sz w:val="18"/>
                <w:szCs w:val="18"/>
              </w:rPr>
            </w:pPr>
            <w:r>
              <w:rPr>
                <w:rFonts w:ascii="宋体" w:hAnsi="宋体" w:cs="宋体" w:eastAsia="宋体" w:hint="default"/>
                <w:sz w:val="18"/>
                <w:szCs w:val="18"/>
              </w:rPr>
              <w:t>本期实际 收益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5" w:right="29" w:hanging="180"/>
              <w:jc w:val="left"/>
              <w:rPr>
                <w:rFonts w:ascii="宋体" w:hAnsi="宋体" w:cs="宋体" w:eastAsia="宋体" w:hint="default"/>
                <w:sz w:val="18"/>
                <w:szCs w:val="18"/>
              </w:rPr>
            </w:pPr>
            <w:r>
              <w:rPr>
                <w:rFonts w:ascii="宋体" w:hAnsi="宋体" w:cs="宋体" w:eastAsia="宋体" w:hint="default"/>
                <w:sz w:val="18"/>
                <w:szCs w:val="18"/>
              </w:rPr>
              <w:t>实际获得 收益</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2"/>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29"/>
              <w:jc w:val="left"/>
              <w:rPr>
                <w:rFonts w:ascii="宋体" w:hAnsi="宋体" w:cs="宋体" w:eastAsia="宋体" w:hint="default"/>
                <w:sz w:val="18"/>
                <w:szCs w:val="18"/>
              </w:rPr>
            </w:pPr>
            <w:r>
              <w:rPr>
                <w:rFonts w:ascii="宋体" w:hAnsi="宋体" w:cs="宋体" w:eastAsia="宋体" w:hint="default"/>
                <w:sz w:val="18"/>
                <w:szCs w:val="18"/>
              </w:rPr>
              <w:t>计提减值 准备金额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5"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关联关系</w:t>
            </w:r>
          </w:p>
        </w:tc>
      </w:tr>
      <w:tr>
        <w:trPr>
          <w:trHeight w:val="1342" w:hRule="exact"/>
        </w:trPr>
        <w:tc>
          <w:tcPr>
            <w:tcW w:w="120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9" w:lineRule="auto" w:before="53"/>
              <w:ind w:left="25" w:right="90"/>
              <w:jc w:val="both"/>
              <w:rPr>
                <w:rFonts w:ascii="宋体" w:hAnsi="宋体" w:cs="宋体" w:eastAsia="宋体" w:hint="default"/>
                <w:sz w:val="18"/>
                <w:szCs w:val="18"/>
              </w:rPr>
            </w:pPr>
            <w:r>
              <w:rPr>
                <w:rFonts w:ascii="宋体" w:hAnsi="宋体" w:cs="宋体" w:eastAsia="宋体" w:hint="default"/>
                <w:sz w:val="18"/>
                <w:szCs w:val="18"/>
              </w:rPr>
              <w:t>中国工商银行 股份有限公司 广州工业大道 支行</w:t>
            </w:r>
          </w:p>
        </w:tc>
        <w:tc>
          <w:tcPr>
            <w:tcW w:w="810"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6" w:right="41"/>
              <w:jc w:val="left"/>
              <w:rPr>
                <w:rFonts w:ascii="宋体" w:hAnsi="宋体" w:cs="宋体" w:eastAsia="宋体" w:hint="default"/>
                <w:sz w:val="18"/>
                <w:szCs w:val="18"/>
              </w:rPr>
            </w:pPr>
            <w:r>
              <w:rPr>
                <w:rFonts w:ascii="宋体" w:hAnsi="宋体" w:cs="宋体" w:eastAsia="宋体" w:hint="default"/>
                <w:sz w:val="18"/>
                <w:szCs w:val="18"/>
              </w:rPr>
              <w:t>保本型固 定收益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w w:val="95"/>
                <w:sz w:val="18"/>
              </w:rPr>
              <w:t>0.11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w w:val="95"/>
                <w:sz w:val="18"/>
              </w:rPr>
              <w:t>0.11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8"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10"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1,000</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w w:val="95"/>
                <w:sz w:val="18"/>
              </w:rPr>
              <w:t>0.11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w w:val="95"/>
                <w:sz w:val="18"/>
              </w:rPr>
              <w:t>0.11</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36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5"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6381" w:type="dxa"/>
            <w:gridSpan w:val="8"/>
            <w:tcBorders>
              <w:top w:val="single" w:sz="4" w:space="0" w:color="000000"/>
              <w:left w:val="single" w:sz="10" w:space="0" w:color="D2D2D2"/>
              <w:bottom w:val="single" w:sz="4" w:space="0" w:color="000000"/>
              <w:right w:val="single" w:sz="4" w:space="0" w:color="000000"/>
            </w:tcBorders>
            <w:shd w:val="clear" w:color="auto" w:fill="CCE8CC"/>
          </w:tcPr>
          <w:p>
            <w:pPr>
              <w:pStyle w:val="TableParagraph"/>
              <w:spacing w:line="240" w:lineRule="auto" w:before="44"/>
              <w:ind w:left="1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361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381" w:type="dxa"/>
            <w:gridSpan w:val="8"/>
            <w:vMerge w:val="restart"/>
            <w:tcBorders>
              <w:top w:val="single" w:sz="4" w:space="0" w:color="000000"/>
              <w:left w:val="single" w:sz="10" w:space="0" w:color="D2D2D2"/>
              <w:right w:val="single" w:sz="4" w:space="0" w:color="000000"/>
            </w:tcBorders>
            <w:shd w:val="clear" w:color="auto" w:fill="CCE8CC"/>
          </w:tcPr>
          <w:p>
            <w:pPr>
              <w:pStyle w:val="TableParagraph"/>
              <w:spacing w:line="316" w:lineRule="auto" w:before="49"/>
              <w:ind w:left="19" w:right="42"/>
              <w:jc w:val="left"/>
              <w:rPr>
                <w:rFonts w:ascii="宋体" w:hAnsi="宋体" w:cs="宋体" w:eastAsia="宋体" w:hint="default"/>
                <w:sz w:val="18"/>
                <w:szCs w:val="18"/>
              </w:rPr>
            </w:pPr>
            <w:r>
              <w:rPr>
                <w:rFonts w:ascii="宋体" w:hAnsi="宋体" w:cs="宋体" w:eastAsia="宋体" w:hint="default"/>
                <w:sz w:val="18"/>
                <w:szCs w:val="18"/>
              </w:rPr>
              <w:t>公司使用部分自有闲置资金向中国工商银行股份有限公司广州工业大道支行购买 短期保本型银行理财产品。</w:t>
            </w:r>
          </w:p>
        </w:tc>
      </w:tr>
      <w:tr>
        <w:trPr>
          <w:trHeight w:val="394" w:hRule="exact"/>
        </w:trPr>
        <w:tc>
          <w:tcPr>
            <w:tcW w:w="3619"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委托理财情况说明</w:t>
            </w:r>
          </w:p>
        </w:tc>
        <w:tc>
          <w:tcPr>
            <w:tcW w:w="6381" w:type="dxa"/>
            <w:gridSpan w:val="8"/>
            <w:vMerge/>
            <w:tcBorders>
              <w:left w:val="single" w:sz="10" w:space="0" w:color="D2D2D2"/>
              <w:right w:val="single" w:sz="4" w:space="0" w:color="000000"/>
            </w:tcBorders>
            <w:shd w:val="clear" w:color="auto" w:fill="CCE8CC"/>
          </w:tcPr>
          <w:p>
            <w:pPr/>
          </w:p>
        </w:tc>
      </w:tr>
      <w:tr>
        <w:trPr>
          <w:trHeight w:val="161" w:hRule="exact"/>
        </w:trPr>
        <w:tc>
          <w:tcPr>
            <w:tcW w:w="361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381" w:type="dxa"/>
            <w:gridSpan w:val="8"/>
            <w:vMerge/>
            <w:tcBorders>
              <w:left w:val="single" w:sz="10" w:space="0" w:color="D2D2D2"/>
              <w:bottom w:val="single" w:sz="4" w:space="0" w:color="000000"/>
              <w:right w:val="single" w:sz="4" w:space="0" w:color="000000"/>
            </w:tcBorders>
            <w:shd w:val="clear" w:color="auto" w:fill="CCE8CC"/>
          </w:tcPr>
          <w:p>
            <w:pPr/>
          </w:p>
        </w:tc>
      </w:tr>
    </w:tbl>
    <w:p>
      <w:pPr>
        <w:pStyle w:val="BodyText"/>
        <w:spacing w:line="240" w:lineRule="auto" w:before="49"/>
        <w:ind w:left="532" w:right="314"/>
        <w:jc w:val="left"/>
      </w:pPr>
      <w:r>
        <w:rPr/>
        <w:t>说明</w:t>
      </w:r>
    </w:p>
    <w:p>
      <w:pPr>
        <w:pStyle w:val="BodyText"/>
        <w:spacing w:line="240" w:lineRule="auto" w:before="115"/>
        <w:ind w:left="893" w:right="0"/>
        <w:jc w:val="left"/>
      </w:pPr>
      <w:r>
        <w:rPr/>
        <w:t>为提升资金使用效率，同时有效控制风险，公司使用部分自有闲置资金购买一年内保本型银行理财产品。公司将购买标</w:t>
      </w:r>
    </w:p>
    <w:p>
      <w:pPr>
        <w:pStyle w:val="BodyText"/>
        <w:spacing w:line="319" w:lineRule="auto" w:before="76"/>
        <w:ind w:left="532" w:right="411"/>
        <w:jc w:val="both"/>
      </w:pPr>
      <w:r>
        <w:rPr>
          <w:spacing w:val="-2"/>
        </w:rPr>
        <w:t>的为保本固定收益型银行理财产品（不属于风险投资），理财产品主要投资于银行间债券市场信用级别较高、流动性较好的</w:t>
      </w:r>
      <w:r>
        <w:rPr>
          <w:spacing w:val="-66"/>
        </w:rPr>
        <w:t> </w:t>
      </w:r>
      <w:r>
        <w:rPr>
          <w:spacing w:val="-66"/>
        </w:rPr>
      </w:r>
      <w:r>
        <w:rPr>
          <w:spacing w:val="-2"/>
        </w:rPr>
        <w:t>金融工具，包括但不限于国债、金融债、次级债、同业存放、同业拆借、央行票据、债券回购以及高信用级别的企业债、短</w:t>
      </w:r>
      <w:r>
        <w:rPr>
          <w:spacing w:val="-67"/>
        </w:rPr>
        <w:t> </w:t>
      </w:r>
      <w:r>
        <w:rPr>
          <w:spacing w:val="-67"/>
        </w:rPr>
      </w:r>
      <w:r>
        <w:rPr>
          <w:spacing w:val="-2"/>
        </w:rPr>
        <w:t>期融资券等，风险可控。与此同时，理财使用的资金公司会进行充分的预估和测算，确保相应资金的使用不会影响公司日常</w:t>
      </w:r>
      <w:r>
        <w:rPr>
          <w:spacing w:val="-64"/>
        </w:rPr>
        <w:t> </w:t>
      </w:r>
      <w:r>
        <w:rPr>
          <w:spacing w:val="-64"/>
        </w:rPr>
      </w:r>
      <w:r>
        <w:rPr/>
        <w:t>经营运作和研发、生产、建设的需求，并有利于提高闲置资金的收益。</w:t>
      </w:r>
    </w:p>
    <w:p>
      <w:pPr>
        <w:spacing w:line="240" w:lineRule="auto" w:before="9"/>
        <w:rPr>
          <w:rFonts w:ascii="宋体" w:hAnsi="宋体" w:cs="宋体" w:eastAsia="宋体" w:hint="default"/>
          <w:sz w:val="22"/>
          <w:szCs w:val="22"/>
        </w:rPr>
      </w:pPr>
    </w:p>
    <w:p>
      <w:pPr>
        <w:pStyle w:val="Heading3"/>
        <w:spacing w:line="240" w:lineRule="auto"/>
        <w:ind w:left="532" w:right="0"/>
        <w:jc w:val="both"/>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32" w:right="0"/>
        <w:jc w:val="both"/>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41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before="44"/>
        <w:ind w:left="0" w:right="416"/>
        <w:jc w:val="right"/>
      </w:pPr>
      <w:r>
        <w:rPr/>
        <w:pict>
          <v:shape style="position:absolute;margin-left:57pt;margin-top:-156.994263pt;width:478.7pt;height:190.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77"/>
                    <w:gridCol w:w="5482"/>
                  </w:tblGrid>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47,290.22</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4,744.31</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47,664.63</w:t>
                        </w:r>
                      </w:p>
                    </w:tc>
                  </w:tr>
                  <w:tr>
                    <w:trPr>
                      <w:trHeight w:val="403"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27,889</w:t>
                        </w:r>
                      </w:p>
                    </w:tc>
                  </w:tr>
                  <w:tr>
                    <w:trPr>
                      <w:trHeight w:val="407"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58.97%</w:t>
                        </w:r>
                      </w:p>
                    </w:tc>
                  </w:tr>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985"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97" w:lineRule="auto" w:before="50"/>
                          <w:ind w:left="12" w:right="96" w:firstLine="454"/>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经中国证券监督管理委员会证监许可字</w:t>
                        </w:r>
                        <w:r>
                          <w:rPr>
                            <w:rFonts w:ascii="Times New Roman" w:hAnsi="Times New Roman" w:cs="Times New Roman" w:eastAsia="Times New Roman" w:hint="default"/>
                            <w:sz w:val="18"/>
                            <w:szCs w:val="18"/>
                          </w:rPr>
                          <w:t>[2009]962 </w:t>
                        </w:r>
                        <w:r>
                          <w:rPr>
                            <w:rFonts w:ascii="宋体" w:hAnsi="宋体" w:cs="宋体" w:eastAsia="宋体" w:hint="default"/>
                            <w:sz w:val="18"/>
                            <w:szCs w:val="18"/>
                          </w:rPr>
                          <w:t>号文核准</w:t>
                        </w:r>
                        <w:r>
                          <w:rPr>
                            <w:rFonts w:ascii="Times New Roman" w:hAnsi="Times New Roman" w:cs="Times New Roman" w:eastAsia="Times New Roman" w:hint="default"/>
                            <w:sz w:val="18"/>
                            <w:szCs w:val="18"/>
                          </w:rPr>
                          <w:t>, </w:t>
                        </w:r>
                        <w:r>
                          <w:rPr>
                            <w:rFonts w:ascii="宋体" w:hAnsi="宋体" w:cs="宋体" w:eastAsia="宋体" w:hint="default"/>
                            <w:sz w:val="18"/>
                            <w:szCs w:val="18"/>
                          </w:rPr>
                          <w:t>同意本公司非公开发行不超过 </w:t>
                        </w: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万股新股，经深圳 证券交易所同意，本公司由主承销商国信证券股份有限公司于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日非公开发行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4,124.25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万股人民币普通股</w:t>
                        </w:r>
                      </w:p>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sz w:val="18"/>
                            <w:szCs w:val="18"/>
                          </w:rPr>
                          <w:t>每股面值人民币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元，每股发行价格为人民币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 </w:t>
                        </w:r>
                        <w:r>
                          <w:rPr>
                            <w:rFonts w:ascii="宋体" w:hAnsi="宋体" w:cs="宋体" w:eastAsia="宋体" w:hint="default"/>
                            <w:sz w:val="18"/>
                            <w:szCs w:val="18"/>
                          </w:rPr>
                          <w:t>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日，本公司非公开发行股票共募集资金</w:t>
                        </w:r>
                      </w:p>
                    </w:tc>
                  </w:tr>
                </w:tbl>
                <w:p>
                  <w:pPr/>
                </w:p>
              </w:txbxContent>
            </v:textbox>
            <w10:wrap type="none"/>
          </v:shape>
        </w:pict>
      </w:r>
      <w:r>
        <w:rPr/>
        <w:t>，</w:t>
      </w:r>
    </w:p>
    <w:p>
      <w:pPr>
        <w:spacing w:after="0" w:line="240" w:lineRule="auto"/>
        <w:jc w:val="right"/>
        <w:sectPr>
          <w:pgSz w:w="11910" w:h="16840"/>
          <w:pgMar w:header="745" w:footer="980" w:top="1060" w:bottom="1160" w:left="600" w:right="720"/>
        </w:sectPr>
      </w:pPr>
    </w:p>
    <w:p>
      <w:pPr>
        <w:spacing w:line="240" w:lineRule="auto" w:before="11"/>
        <w:rPr>
          <w:rFonts w:ascii="宋体" w:hAnsi="宋体" w:cs="宋体" w:eastAsia="宋体" w:hint="default"/>
          <w:sz w:val="28"/>
          <w:szCs w:val="28"/>
        </w:rPr>
      </w:pPr>
    </w:p>
    <w:p>
      <w:pPr>
        <w:spacing w:line="2586" w:lineRule="exact"/>
        <w:ind w:left="154" w:right="0" w:firstLine="0"/>
        <w:rPr>
          <w:rFonts w:ascii="宋体" w:hAnsi="宋体" w:cs="宋体" w:eastAsia="宋体" w:hint="default"/>
          <w:sz w:val="20"/>
          <w:szCs w:val="20"/>
        </w:rPr>
      </w:pPr>
      <w:r>
        <w:rPr>
          <w:rFonts w:ascii="宋体" w:hAnsi="宋体" w:cs="宋体" w:eastAsia="宋体" w:hint="default"/>
          <w:position w:val="-51"/>
          <w:sz w:val="20"/>
          <w:szCs w:val="20"/>
        </w:rPr>
        <w:pict>
          <v:shape style="width:478.5pt;height:129.35pt;mso-position-horizontal-relative:char;mso-position-vertical-relative:line" type="#_x0000_t202" filled="true" fillcolor="#cce8cc" stroked="true" strokeweight=".47998pt" strokecolor="#000000">
            <w10:anchorlock/>
            <v:textbox inset="0,0,0,0">
              <w:txbxContent>
                <w:p>
                  <w:pPr>
                    <w:pStyle w:val="BodyText"/>
                    <w:spacing w:line="240" w:lineRule="auto" w:before="8"/>
                    <w:ind w:left="22" w:right="0"/>
                    <w:jc w:val="left"/>
                  </w:pPr>
                  <w:r>
                    <w:rPr>
                      <w:rFonts w:ascii="Times New Roman" w:hAnsi="Times New Roman" w:cs="Times New Roman" w:eastAsia="Times New Roman" w:hint="default"/>
                    </w:rPr>
                    <w:t>494,910,000.00</w:t>
                  </w:r>
                  <w:r>
                    <w:rPr>
                      <w:rFonts w:ascii="Times New Roman" w:hAnsi="Times New Roman" w:cs="Times New Roman" w:eastAsia="Times New Roman" w:hint="default"/>
                      <w:spacing w:val="-2"/>
                    </w:rPr>
                    <w:t> </w:t>
                  </w:r>
                  <w:r>
                    <w:rPr/>
                    <w:t>元，扣除保荐及承销费后的非公开发行股票募集资金人民币</w:t>
                  </w:r>
                  <w:r>
                    <w:rPr>
                      <w:spacing w:val="-49"/>
                    </w:rPr>
                    <w:t> </w:t>
                  </w:r>
                  <w:r>
                    <w:rPr>
                      <w:rFonts w:ascii="Times New Roman" w:hAnsi="Times New Roman" w:cs="Times New Roman" w:eastAsia="Times New Roman" w:hint="default"/>
                    </w:rPr>
                    <w:t>477,588,150.00</w:t>
                  </w:r>
                  <w:r>
                    <w:rPr>
                      <w:rFonts w:ascii="Times New Roman" w:hAnsi="Times New Roman" w:cs="Times New Roman" w:eastAsia="Times New Roman" w:hint="default"/>
                      <w:spacing w:val="-5"/>
                    </w:rPr>
                    <w:t> </w:t>
                  </w:r>
                  <w:r>
                    <w:rPr/>
                    <w:t>元，其他发行费用人民币</w:t>
                  </w:r>
                </w:p>
                <w:p>
                  <w:pPr>
                    <w:pStyle w:val="BodyText"/>
                    <w:spacing w:line="300" w:lineRule="auto" w:before="63"/>
                    <w:ind w:left="22" w:right="37"/>
                    <w:jc w:val="left"/>
                  </w:pPr>
                  <w:r>
                    <w:rPr>
                      <w:rFonts w:ascii="Times New Roman" w:hAnsi="Times New Roman" w:cs="Times New Roman" w:eastAsia="Times New Roman" w:hint="default"/>
                    </w:rPr>
                    <w:t>4,685,959.49 </w:t>
                  </w:r>
                  <w:r>
                    <w:rPr/>
                    <w:t>元，募集资金净额</w:t>
                  </w:r>
                  <w:r>
                    <w:rPr>
                      <w:spacing w:val="-47"/>
                    </w:rPr>
                    <w:t> </w:t>
                  </w:r>
                  <w:r>
                    <w:rPr>
                      <w:rFonts w:ascii="Times New Roman" w:hAnsi="Times New Roman" w:cs="Times New Roman" w:eastAsia="Times New Roman" w:hint="default"/>
                    </w:rPr>
                    <w:t>472,902,190.51 </w:t>
                  </w:r>
                  <w:r>
                    <w:rPr/>
                    <w:t>元。截止</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t>日，本公司上述发行募集的资金已全部到位，业 经广东大华德律会计师事务所（特殊普通合伙）以</w:t>
                  </w:r>
                  <w:r>
                    <w:rPr>
                      <w:rFonts w:ascii="Times New Roman" w:hAnsi="Times New Roman" w:cs="Times New Roman" w:eastAsia="Times New Roman" w:hint="default"/>
                    </w:rPr>
                    <w:t>“</w:t>
                  </w:r>
                  <w:r>
                    <w:rPr/>
                    <w:t>华德验字</w:t>
                  </w:r>
                  <w:r>
                    <w:rPr>
                      <w:rFonts w:ascii="Times New Roman" w:hAnsi="Times New Roman" w:cs="Times New Roman" w:eastAsia="Times New Roman" w:hint="default"/>
                    </w:rPr>
                    <w:t>[2009]102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验资报告验证确认。</w:t>
                  </w:r>
                </w:p>
                <w:p>
                  <w:pPr>
                    <w:pStyle w:val="BodyText"/>
                    <w:spacing w:line="240" w:lineRule="auto" w:before="53"/>
                    <w:ind w:left="0" w:right="330"/>
                    <w:jc w:val="center"/>
                  </w:pPr>
                  <w:r>
                    <w:rPr/>
                    <w:t>截止</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44"/>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2"/>
                    </w:rPr>
                    <w:t> </w:t>
                  </w:r>
                  <w:r>
                    <w:rPr/>
                    <w:t>日，公司对募集资金项目累计投入</w:t>
                  </w:r>
                  <w:r>
                    <w:rPr>
                      <w:spacing w:val="-46"/>
                    </w:rPr>
                    <w:t> </w:t>
                  </w:r>
                  <w:r>
                    <w:rPr>
                      <w:rFonts w:ascii="Times New Roman" w:hAnsi="Times New Roman" w:cs="Times New Roman" w:eastAsia="Times New Roman" w:hint="default"/>
                    </w:rPr>
                    <w:t>476,646,239.39</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2012 </w:t>
                  </w:r>
                  <w:r>
                    <w:rPr/>
                    <w:t>年度使用募集资金人民币</w:t>
                  </w:r>
                </w:p>
                <w:p>
                  <w:pPr>
                    <w:pStyle w:val="BodyText"/>
                    <w:spacing w:line="240" w:lineRule="auto" w:before="63"/>
                    <w:ind w:left="22" w:right="0"/>
                    <w:jc w:val="left"/>
                  </w:pPr>
                  <w:r>
                    <w:rPr>
                      <w:rFonts w:ascii="Times New Roman" w:hAnsi="Times New Roman" w:cs="Times New Roman" w:eastAsia="Times New Roman" w:hint="default"/>
                    </w:rPr>
                    <w:t>47,443,054.58</w:t>
                  </w:r>
                  <w:r>
                    <w:rPr>
                      <w:rFonts w:ascii="Times New Roman" w:hAnsi="Times New Roman" w:cs="Times New Roman" w:eastAsia="Times New Roman" w:hint="default"/>
                      <w:spacing w:val="1"/>
                    </w:rPr>
                    <w:t> </w:t>
                  </w:r>
                  <w:r>
                    <w:rPr/>
                    <w:t>元；于</w:t>
                  </w:r>
                  <w:r>
                    <w:rPr>
                      <w:spacing w:val="-4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2"/>
                    </w:rPr>
                    <w:t> </w:t>
                  </w:r>
                  <w:r>
                    <w:rPr/>
                    <w:t>年</w:t>
                  </w:r>
                  <w:r>
                    <w:rPr>
                      <w:spacing w:val="-47"/>
                    </w:rPr>
                    <w:t> </w:t>
                  </w:r>
                  <w:r>
                    <w:rPr>
                      <w:rFonts w:ascii="Times New Roman" w:hAnsi="Times New Roman" w:cs="Times New Roman" w:eastAsia="Times New Roman" w:hint="default"/>
                    </w:rPr>
                    <w:t>10 </w:t>
                  </w:r>
                  <w:r>
                    <w:rPr/>
                    <w:t>月</w:t>
                  </w:r>
                  <w:r>
                    <w:rPr>
                      <w:spacing w:val="-47"/>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日起至</w:t>
                  </w:r>
                  <w:r>
                    <w:rPr>
                      <w:spacing w:val="-4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4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日募集资金项目投入</w:t>
                  </w:r>
                  <w:r>
                    <w:rPr>
                      <w:spacing w:val="-47"/>
                    </w:rPr>
                    <w:t> </w:t>
                  </w:r>
                  <w:r>
                    <w:rPr>
                      <w:rFonts w:ascii="Times New Roman" w:hAnsi="Times New Roman" w:cs="Times New Roman" w:eastAsia="Times New Roman" w:hint="default"/>
                    </w:rPr>
                    <w:t>429,203,184.81 </w:t>
                  </w:r>
                  <w:r>
                    <w:rPr>
                      <w:rFonts w:ascii="Times New Roman" w:hAnsi="Times New Roman" w:cs="Times New Roman" w:eastAsia="Times New Roman" w:hint="default"/>
                      <w:spacing w:val="1"/>
                    </w:rPr>
                    <w:t> </w:t>
                  </w:r>
                  <w:r>
                    <w:rPr/>
                    <w:t>元；尚未使用的资金</w:t>
                  </w:r>
                </w:p>
                <w:p>
                  <w:pPr>
                    <w:pStyle w:val="BodyText"/>
                    <w:spacing w:line="240" w:lineRule="auto" w:before="63"/>
                    <w:ind w:left="22" w:right="0"/>
                    <w:jc w:val="left"/>
                  </w:pPr>
                  <w:r>
                    <w:rPr>
                      <w:rFonts w:ascii="Times New Roman" w:hAnsi="Times New Roman" w:cs="Times New Roman" w:eastAsia="Times New Roman" w:hint="default"/>
                    </w:rPr>
                    <w:t>-3,744,048.88</w:t>
                  </w:r>
                  <w:r>
                    <w:rPr>
                      <w:rFonts w:ascii="Times New Roman" w:hAnsi="Times New Roman" w:cs="Times New Roman" w:eastAsia="Times New Roman" w:hint="default"/>
                      <w:spacing w:val="-1"/>
                    </w:rPr>
                    <w:t> </w:t>
                  </w:r>
                  <w:r>
                    <w:rPr/>
                    <w:t>元。</w:t>
                  </w:r>
                  <w:r>
                    <w:rPr>
                      <w:spacing w:val="-21"/>
                    </w:rPr>
                    <w:t> </w:t>
                  </w:r>
                  <w:r>
                    <w:rPr/>
                    <w:t>截止</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
                    </w:rPr>
                    <w:t> </w:t>
                  </w:r>
                  <w:r>
                    <w:rPr>
                      <w:rFonts w:ascii="Times New Roman" w:hAnsi="Times New Roman" w:cs="Times New Roman" w:eastAsia="Times New Roman" w:hint="default"/>
                    </w:rPr>
                    <w:t>12</w:t>
                  </w:r>
                  <w:r>
                    <w:rPr>
                      <w:rFonts w:ascii="Times New Roman" w:hAnsi="Times New Roman" w:cs="Times New Roman" w:eastAsia="Times New Roman" w:hint="default"/>
                      <w:spacing w:val="39"/>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9"/>
                    </w:rPr>
                    <w:t> </w:t>
                  </w:r>
                  <w:r>
                    <w:rPr/>
                    <w:t>日，募集资金专户余额合计人民币</w:t>
                  </w:r>
                  <w:r>
                    <w:rPr>
                      <w:spacing w:val="-48"/>
                    </w:rPr>
                    <w:t> </w:t>
                  </w:r>
                  <w:r>
                    <w:rPr>
                      <w:rFonts w:ascii="Times New Roman" w:hAnsi="Times New Roman" w:cs="Times New Roman" w:eastAsia="Times New Roman" w:hint="default"/>
                    </w:rPr>
                    <w:t>64,326.79</w:t>
                  </w:r>
                  <w:r>
                    <w:rPr>
                      <w:rFonts w:ascii="Times New Roman" w:hAnsi="Times New Roman" w:cs="Times New Roman" w:eastAsia="Times New Roman" w:hint="default"/>
                      <w:spacing w:val="-1"/>
                    </w:rPr>
                    <w:t> </w:t>
                  </w:r>
                  <w:r>
                    <w:rPr/>
                    <w:t>元。募集资金专户余额与尚未使用</w:t>
                  </w:r>
                </w:p>
                <w:p>
                  <w:pPr>
                    <w:pStyle w:val="BodyText"/>
                    <w:spacing w:line="240" w:lineRule="auto" w:before="63"/>
                    <w:ind w:left="22" w:right="0"/>
                    <w:jc w:val="left"/>
                  </w:pPr>
                  <w:r>
                    <w:rPr/>
                    <w:t>的资金余额的差异</w:t>
                  </w:r>
                  <w:r>
                    <w:rPr>
                      <w:spacing w:val="-52"/>
                    </w:rPr>
                    <w:t> </w:t>
                  </w:r>
                  <w:r>
                    <w:rPr>
                      <w:rFonts w:ascii="Times New Roman" w:hAnsi="Times New Roman" w:cs="Times New Roman" w:eastAsia="Times New Roman" w:hint="default"/>
                    </w:rPr>
                    <w:t>3,808,375.67</w:t>
                  </w:r>
                  <w:r>
                    <w:rPr>
                      <w:rFonts w:ascii="Times New Roman" w:hAnsi="Times New Roman" w:cs="Times New Roman" w:eastAsia="Times New Roman" w:hint="default"/>
                      <w:spacing w:val="-6"/>
                    </w:rPr>
                    <w:t> </w:t>
                  </w:r>
                  <w:r>
                    <w:rPr/>
                    <w:t>元系募集资金存款利息收入</w:t>
                  </w:r>
                  <w:r>
                    <w:rPr>
                      <w:spacing w:val="-53"/>
                    </w:rPr>
                    <w:t> </w:t>
                  </w:r>
                  <w:r>
                    <w:rPr>
                      <w:rFonts w:ascii="Times New Roman" w:hAnsi="Times New Roman" w:cs="Times New Roman" w:eastAsia="Times New Roman" w:hint="default"/>
                    </w:rPr>
                    <w:t>3,849,488.37</w:t>
                  </w:r>
                  <w:r>
                    <w:rPr>
                      <w:rFonts w:ascii="Times New Roman" w:hAnsi="Times New Roman" w:cs="Times New Roman" w:eastAsia="Times New Roman" w:hint="default"/>
                      <w:spacing w:val="-6"/>
                    </w:rPr>
                    <w:t> </w:t>
                  </w:r>
                  <w:r>
                    <w:rPr/>
                    <w:t>元、银行手续费支出</w:t>
                  </w:r>
                  <w:r>
                    <w:rPr>
                      <w:spacing w:val="-52"/>
                    </w:rPr>
                    <w:t> </w:t>
                  </w:r>
                  <w:r>
                    <w:rPr>
                      <w:rFonts w:ascii="Times New Roman" w:hAnsi="Times New Roman" w:cs="Times New Roman" w:eastAsia="Times New Roman" w:hint="default"/>
                    </w:rPr>
                    <w:t>41,912.70</w:t>
                  </w:r>
                  <w:r>
                    <w:rPr>
                      <w:rFonts w:ascii="Times New Roman" w:hAnsi="Times New Roman" w:cs="Times New Roman" w:eastAsia="Times New Roman" w:hint="default"/>
                      <w:spacing w:val="-6"/>
                    </w:rPr>
                    <w:t> </w:t>
                  </w:r>
                  <w:r>
                    <w:rPr/>
                    <w:t>元（其中存入现金</w:t>
                  </w:r>
                </w:p>
                <w:p>
                  <w:pPr>
                    <w:pStyle w:val="BodyText"/>
                    <w:spacing w:line="240" w:lineRule="auto" w:before="63"/>
                    <w:ind w:left="22" w:right="0"/>
                    <w:jc w:val="left"/>
                  </w:pPr>
                  <w:r>
                    <w:rPr>
                      <w:rFonts w:ascii="Times New Roman" w:hAnsi="Times New Roman" w:cs="Times New Roman" w:eastAsia="Times New Roman" w:hint="default"/>
                      <w:spacing w:val="1"/>
                    </w:rPr>
                    <w:t>80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元支付银行手续费</w:t>
                  </w:r>
                  <w:r>
                    <w:rPr>
                      <w:spacing w:val="-92"/>
                    </w:rPr>
                    <w:t>）</w:t>
                  </w:r>
                  <w:r>
                    <w:rPr/>
                    <w:t>。</w:t>
                  </w:r>
                </w:p>
              </w:txbxContent>
            </v:textbox>
            <v:fill type="solid"/>
          </v:shape>
        </w:pict>
      </w:r>
      <w:r>
        <w:rPr>
          <w:rFonts w:ascii="宋体" w:hAnsi="宋体" w:cs="宋体" w:eastAsia="宋体" w:hint="default"/>
          <w:position w:val="-51"/>
          <w:sz w:val="20"/>
          <w:szCs w:val="20"/>
        </w:rPr>
      </w:r>
    </w:p>
    <w:p>
      <w:pPr>
        <w:spacing w:line="240" w:lineRule="auto" w:before="9"/>
        <w:rPr>
          <w:rFonts w:ascii="宋体" w:hAnsi="宋体" w:cs="宋体" w:eastAsia="宋体" w:hint="default"/>
          <w:sz w:val="19"/>
          <w:szCs w:val="19"/>
        </w:rPr>
      </w:pPr>
    </w:p>
    <w:p>
      <w:pPr>
        <w:pStyle w:val="Heading3"/>
        <w:spacing w:line="240" w:lineRule="auto" w:before="36"/>
        <w:ind w:right="144"/>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44"/>
        <w:ind w:left="0" w:right="159"/>
        <w:jc w:val="right"/>
      </w:pPr>
      <w:r>
        <w:rPr/>
        <w:pict>
          <v:shape style="position:absolute;margin-left:57pt;margin-top:-219.538284pt;width:478.7pt;height:497.8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56"/>
                    <w:gridCol w:w="779"/>
                    <w:gridCol w:w="784"/>
                    <w:gridCol w:w="780"/>
                    <w:gridCol w:w="780"/>
                    <w:gridCol w:w="784"/>
                    <w:gridCol w:w="776"/>
                    <w:gridCol w:w="919"/>
                    <w:gridCol w:w="718"/>
                    <w:gridCol w:w="704"/>
                    <w:gridCol w:w="780"/>
                  </w:tblGrid>
                  <w:tr>
                    <w:trPr>
                      <w:trHeight w:val="1337" w:hRule="exact"/>
                    </w:trPr>
                    <w:tc>
                      <w:tcPr>
                        <w:tcW w:w="1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09" w:right="65"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8" w:right="18"/>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2"/>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39"/>
                          <w:ind w:left="147" w:right="0"/>
                          <w:jc w:val="left"/>
                          <w:rPr>
                            <w:rFonts w:ascii="Times New Roman" w:hAnsi="Times New Roman" w:cs="Times New Roman" w:eastAsia="Times New Roman" w:hint="default"/>
                            <w:sz w:val="18"/>
                            <w:szCs w:val="18"/>
                          </w:rPr>
                        </w:pPr>
                        <w:r>
                          <w:rPr>
                            <w:rFonts w:ascii="Times New Roman"/>
                            <w:sz w:val="18"/>
                          </w:rPr>
                          <w:t>(2)/(1)</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6" w:right="90"/>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2" w:right="8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5" w:right="77"/>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6" w:right="22"/>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5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3" w:hRule="exact"/>
                    </w:trPr>
                    <w:tc>
                      <w:tcPr>
                        <w:tcW w:w="175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00" w:lineRule="auto" w:before="49"/>
                          <w:ind w:left="12" w:right="20"/>
                          <w:jc w:val="left"/>
                          <w:rPr>
                            <w:rFonts w:ascii="宋体" w:hAnsi="宋体" w:cs="宋体" w:eastAsia="宋体" w:hint="default"/>
                            <w:sz w:val="18"/>
                            <w:szCs w:val="18"/>
                          </w:rPr>
                        </w:pPr>
                        <w:r>
                          <w:rPr>
                            <w:rFonts w:ascii="宋体" w:hAnsi="宋体" w:cs="宋体" w:eastAsia="宋体" w:hint="default"/>
                            <w:sz w:val="18"/>
                            <w:szCs w:val="18"/>
                          </w:rPr>
                          <w:t>合作运营</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网络建 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47,290.22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19,401.22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19,401.22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w w:val="95"/>
                            <w:sz w:val="18"/>
                          </w:rPr>
                          <w:t>1,768.04</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5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97" w:lineRule="auto" w:before="51"/>
                          <w:ind w:left="12" w:right="46"/>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融资租赁运营服 务项目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27,889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4,744.31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28,263.41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101.34%</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w w:val="95"/>
                            <w:sz w:val="18"/>
                          </w:rPr>
                          <w:t>2,676.79</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47,290.22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47,290.22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4,744.31</w:t>
                        </w:r>
                      </w:p>
                    </w:tc>
                    <w:tc>
                      <w:tcPr>
                        <w:tcW w:w="78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47,664.63</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w w:val="95"/>
                            <w:sz w:val="18"/>
                          </w:rPr>
                          <w:t>4,444.83</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8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5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7" w:hRule="exact"/>
                    </w:trPr>
                    <w:tc>
                      <w:tcPr>
                        <w:tcW w:w="1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47,290.22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47,290.22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4,744.31</w:t>
                        </w:r>
                      </w:p>
                    </w:tc>
                    <w:tc>
                      <w:tcPr>
                        <w:tcW w:w="78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11"/>
                          <w:jc w:val="right"/>
                          <w:rPr>
                            <w:rFonts w:ascii="Times New Roman" w:hAnsi="Times New Roman" w:cs="Times New Roman" w:eastAsia="Times New Roman" w:hint="default"/>
                            <w:sz w:val="18"/>
                            <w:szCs w:val="18"/>
                          </w:rPr>
                        </w:pPr>
                        <w:r>
                          <w:rPr>
                            <w:rFonts w:ascii="Times New Roman"/>
                            <w:spacing w:val="-1"/>
                            <w:sz w:val="18"/>
                          </w:rPr>
                          <w:t>47,664.63</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w w:val="95"/>
                            <w:sz w:val="18"/>
                          </w:rPr>
                          <w:t>4,444.83</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8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93" w:hRule="exact"/>
                    </w:trPr>
                    <w:tc>
                      <w:tcPr>
                        <w:tcW w:w="17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10" w:space="0" w:color="D2D2D2"/>
                          <w:right w:val="single" w:sz="4" w:space="0" w:color="000000"/>
                        </w:tcBorders>
                        <w:shd w:val="clear" w:color="auto" w:fill="CCE8CC"/>
                      </w:tcPr>
                      <w:p>
                        <w:pPr>
                          <w:pStyle w:val="TableParagraph"/>
                          <w:spacing w:line="300" w:lineRule="auto" w:before="50"/>
                          <w:ind w:left="20" w:right="92" w:firstLine="360"/>
                          <w:jc w:val="both"/>
                          <w:rPr>
                            <w:rFonts w:ascii="宋体" w:hAnsi="宋体" w:cs="宋体" w:eastAsia="宋体" w:hint="default"/>
                            <w:sz w:val="18"/>
                            <w:szCs w:val="18"/>
                          </w:rPr>
                        </w:pPr>
                        <w:r>
                          <w:rPr>
                            <w:rFonts w:ascii="宋体" w:hAnsi="宋体" w:cs="宋体" w:eastAsia="宋体" w:hint="default"/>
                            <w:sz w:val="18"/>
                            <w:szCs w:val="18"/>
                          </w:rPr>
                          <w:t>合作运营</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网络建设项目未达到预计效益的主要原因是由于国内及全球经济环境的不稳定 公司运营网点租金和安装工程等成本增加等因素，使公司对</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运营业务的网点选址、网点评估 趋于谨慎，公安验收方面的要求也趋于严格，延长了部分</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网点投入使用的时间，致使效益低 于预期。</w:t>
                        </w:r>
                      </w:p>
                      <w:p>
                        <w:pPr>
                          <w:pStyle w:val="TableParagraph"/>
                          <w:spacing w:line="300" w:lineRule="auto" w:before="72"/>
                          <w:ind w:left="20" w:right="21" w:firstLine="360"/>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13"/>
                            <w:sz w:val="18"/>
                            <w:szCs w:val="18"/>
                          </w:rPr>
                          <w:t> </w:t>
                        </w:r>
                        <w:r>
                          <w:rPr>
                            <w:rFonts w:ascii="宋体" w:hAnsi="宋体" w:cs="宋体" w:eastAsia="宋体" w:hint="default"/>
                            <w:spacing w:val="-2"/>
                            <w:sz w:val="18"/>
                            <w:szCs w:val="18"/>
                          </w:rPr>
                          <w:t>融资租赁运营服务项目未达到预计效益的主要原因是该项目正处于建设开展阶段，效益需</w:t>
                        </w:r>
                        <w:r>
                          <w:rPr>
                            <w:rFonts w:ascii="宋体" w:hAnsi="宋体" w:cs="宋体" w:eastAsia="宋体" w:hint="default"/>
                            <w:sz w:val="18"/>
                            <w:szCs w:val="18"/>
                          </w:rPr>
                          <w:t> 逐步释放。</w:t>
                        </w:r>
                      </w:p>
                    </w:tc>
                  </w:tr>
                  <w:tr>
                    <w:trPr>
                      <w:trHeight w:val="1015" w:hRule="exact"/>
                    </w:trPr>
                    <w:tc>
                      <w:tcPr>
                        <w:tcW w:w="17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13"/>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1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4" w:type="dxa"/>
                        <w:gridSpan w:val="10"/>
                        <w:vMerge/>
                        <w:tcBorders>
                          <w:left w:val="single" w:sz="10" w:space="0" w:color="D2D2D2"/>
                          <w:right w:val="single" w:sz="4" w:space="0" w:color="000000"/>
                        </w:tcBorders>
                        <w:shd w:val="clear" w:color="auto" w:fill="CCE8CC"/>
                      </w:tcPr>
                      <w:p>
                        <w:pPr/>
                      </w:p>
                    </w:tc>
                  </w:tr>
                  <w:tr>
                    <w:trPr>
                      <w:trHeight w:val="494" w:hRule="exact"/>
                    </w:trPr>
                    <w:tc>
                      <w:tcPr>
                        <w:tcW w:w="17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10" w:space="0" w:color="D2D2D2"/>
                          <w:bottom w:val="single" w:sz="4" w:space="0" w:color="000000"/>
                          <w:right w:val="single" w:sz="4" w:space="0" w:color="000000"/>
                        </w:tcBorders>
                        <w:shd w:val="clear" w:color="auto" w:fill="CCE8CC"/>
                      </w:tcPr>
                      <w:p>
                        <w:pPr/>
                      </w:p>
                    </w:tc>
                  </w:tr>
                  <w:tr>
                    <w:trPr>
                      <w:trHeight w:val="713" w:hRule="exact"/>
                    </w:trPr>
                    <w:tc>
                      <w:tcPr>
                        <w:tcW w:w="1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13"/>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4" w:type="dxa"/>
                        <w:gridSpan w:val="10"/>
                        <w:tcBorders>
                          <w:top w:val="single" w:sz="4" w:space="0" w:color="000000"/>
                          <w:left w:val="single" w:sz="10" w:space="0" w:color="D2D2D2"/>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716" w:hRule="exact"/>
                    </w:trPr>
                    <w:tc>
                      <w:tcPr>
                        <w:tcW w:w="1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04"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13"/>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4"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3"/>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4"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13"/>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4"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after="0" w:line="240" w:lineRule="auto"/>
        <w:jc w:val="righ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0" w:right="158"/>
        <w:jc w:val="right"/>
      </w:pPr>
      <w:r>
        <w:rPr/>
        <w:pict>
          <v:shape style="position:absolute;margin-left:56.459999pt;margin-top:-69.788284pt;width:479.25pt;height:479.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800"/>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72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4" w:lineRule="auto" w:before="50"/>
                          <w:ind w:left="24" w:right="19" w:firstLine="360"/>
                          <w:jc w:val="left"/>
                          <w:rPr>
                            <w:rFonts w:ascii="宋体" w:hAnsi="宋体" w:cs="宋体" w:eastAsia="宋体" w:hint="default"/>
                            <w:sz w:val="18"/>
                            <w:szCs w:val="18"/>
                          </w:rPr>
                        </w:pPr>
                        <w:r>
                          <w:rPr>
                            <w:rFonts w:ascii="宋体" w:hAnsi="宋体" w:cs="宋体" w:eastAsia="宋体" w:hint="default"/>
                            <w:sz w:val="18"/>
                            <w:szCs w:val="18"/>
                          </w:rPr>
                          <w:t>御银股份第三届董事会第五次会议审议通过了《关于使用部分闲置募集资金暂时补充流动资金 </w:t>
                        </w:r>
                        <w:r>
                          <w:rPr>
                            <w:rFonts w:ascii="宋体" w:hAnsi="宋体" w:cs="宋体" w:eastAsia="宋体" w:hint="default"/>
                            <w:spacing w:val="-15"/>
                            <w:sz w:val="18"/>
                            <w:szCs w:val="18"/>
                          </w:rPr>
                          <w:t>的议案》，并经公司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年第二次临时股东大会审议通过，于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日起用部分闲置的募</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集资金暂时用于补充流动资金，总额为人民币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236,450,000.00 </w:t>
                        </w:r>
                        <w:r>
                          <w:rPr>
                            <w:rFonts w:ascii="宋体" w:hAnsi="宋体" w:cs="宋体" w:eastAsia="宋体" w:hint="default"/>
                            <w:sz w:val="18"/>
                            <w:szCs w:val="18"/>
                          </w:rPr>
                          <w:t>元，使用期限不超过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个月，预计还</w:t>
                        </w:r>
                      </w:p>
                      <w:p>
                        <w:pPr>
                          <w:pStyle w:val="TableParagraph"/>
                          <w:spacing w:line="309" w:lineRule="auto" w:before="63"/>
                          <w:ind w:left="24" w:right="22"/>
                          <w:jc w:val="left"/>
                          <w:rPr>
                            <w:rFonts w:ascii="宋体" w:hAnsi="宋体" w:cs="宋体" w:eastAsia="宋体" w:hint="default"/>
                            <w:sz w:val="18"/>
                            <w:szCs w:val="18"/>
                          </w:rPr>
                        </w:pPr>
                        <w:r>
                          <w:rPr>
                            <w:rFonts w:ascii="宋体" w:hAnsi="宋体" w:cs="宋体" w:eastAsia="宋体" w:hint="default"/>
                            <w:sz w:val="18"/>
                            <w:szCs w:val="18"/>
                          </w:rPr>
                          <w:t>款时间为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pacing w:val="-14"/>
                            <w:sz w:val="18"/>
                            <w:szCs w:val="18"/>
                          </w:rPr>
                          <w:t>日之前，公司于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日将借用的资金归还至募集资金专用账户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御银股份第三届董事会第十一次会议审议通过了《关于使用部分闲置募集资金暂时补充流动资金的 </w:t>
                        </w:r>
                        <w:r>
                          <w:rPr>
                            <w:rFonts w:ascii="宋体" w:hAnsi="宋体" w:cs="宋体" w:eastAsia="宋体" w:hint="default"/>
                            <w:spacing w:val="-12"/>
                            <w:sz w:val="18"/>
                            <w:szCs w:val="18"/>
                          </w:rPr>
                          <w:t>议案》，并经公司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年第二次临时股东大会审议通过，于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日起用部分闲置的募集</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资金暂时补充公司流动资金，总额为人民币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236,450,000.00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元，使用期限不超过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个月，预计还款</w:t>
                        </w:r>
                      </w:p>
                      <w:p>
                        <w:pPr>
                          <w:pStyle w:val="TableParagraph"/>
                          <w:spacing w:line="340" w:lineRule="auto" w:before="63"/>
                          <w:ind w:left="384" w:right="24" w:hanging="360"/>
                          <w:jc w:val="left"/>
                          <w:rPr>
                            <w:rFonts w:ascii="宋体" w:hAnsi="宋体" w:cs="宋体" w:eastAsia="宋体" w:hint="default"/>
                            <w:sz w:val="18"/>
                            <w:szCs w:val="18"/>
                          </w:rPr>
                        </w:pPr>
                        <w:r>
                          <w:rPr>
                            <w:rFonts w:ascii="宋体" w:hAnsi="宋体" w:cs="宋体" w:eastAsia="宋体" w:hint="default"/>
                            <w:sz w:val="18"/>
                            <w:szCs w:val="18"/>
                          </w:rPr>
                          <w:t>日期为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日之前，公司于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日将借用的资金归还至募集资金专用账户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御银股份第三届董事会第十四次会议审议通过了《关于使用部分闲置募集资金暂时补充流动资</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金的议案</w:t>
                        </w:r>
                        <w:r>
                          <w:rPr>
                            <w:rFonts w:ascii="宋体" w:hAnsi="宋体" w:cs="宋体" w:eastAsia="宋体" w:hint="default"/>
                            <w:spacing w:val="-92"/>
                            <w:sz w:val="18"/>
                            <w:szCs w:val="18"/>
                          </w:rPr>
                          <w:t>》</w:t>
                        </w:r>
                        <w:r>
                          <w:rPr>
                            <w:rFonts w:ascii="宋体" w:hAnsi="宋体" w:cs="宋体" w:eastAsia="宋体" w:hint="default"/>
                            <w:sz w:val="18"/>
                            <w:szCs w:val="18"/>
                          </w:rPr>
                          <w:t>，并经公司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第四次临时股东大会审议通过，于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日起用</w:t>
                        </w:r>
                        <w:r>
                          <w:rPr>
                            <w:rFonts w:ascii="宋体" w:hAnsi="宋体" w:cs="宋体" w:eastAsia="宋体" w:hint="default"/>
                            <w:spacing w:val="-3"/>
                            <w:sz w:val="18"/>
                            <w:szCs w:val="18"/>
                          </w:rPr>
                          <w:t>部</w:t>
                        </w:r>
                        <w:r>
                          <w:rPr>
                            <w:rFonts w:ascii="宋体" w:hAnsi="宋体" w:cs="宋体" w:eastAsia="宋体" w:hint="default"/>
                            <w:sz w:val="18"/>
                            <w:szCs w:val="18"/>
                          </w:rPr>
                          <w:t>分闲置的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募集资金暂时补充公司流动资金，总额为人民币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236,450,000.00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元，使用期限不超过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个月，预计</w:t>
                        </w:r>
                      </w:p>
                      <w:p>
                        <w:pPr>
                          <w:pStyle w:val="TableParagraph"/>
                          <w:spacing w:line="309" w:lineRule="auto" w:before="63"/>
                          <w:ind w:left="24" w:right="25"/>
                          <w:jc w:val="left"/>
                          <w:rPr>
                            <w:rFonts w:ascii="宋体" w:hAnsi="宋体" w:cs="宋体" w:eastAsia="宋体" w:hint="default"/>
                            <w:sz w:val="18"/>
                            <w:szCs w:val="18"/>
                          </w:rPr>
                        </w:pPr>
                        <w:r>
                          <w:rPr>
                            <w:rFonts w:ascii="宋体" w:hAnsi="宋体" w:cs="宋体" w:eastAsia="宋体" w:hint="default"/>
                            <w:sz w:val="18"/>
                            <w:szCs w:val="18"/>
                          </w:rPr>
                          <w:t>还款日期为</w:t>
                        </w:r>
                        <w:r>
                          <w:rPr>
                            <w:rFonts w:ascii="宋体" w:hAnsi="宋体" w:cs="宋体" w:eastAsia="宋体" w:hint="default"/>
                            <w:spacing w:val="-43"/>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日之前，公司于</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日将借用的资金归还至募集资金专用账户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御银股份第三届董事会第十九次会议审议通过了《关于使用部分闲置募集资金暂时补充流动资金的 </w:t>
                        </w:r>
                        <w:r>
                          <w:rPr>
                            <w:rFonts w:ascii="宋体" w:hAnsi="宋体" w:cs="宋体" w:eastAsia="宋体" w:hint="default"/>
                            <w:spacing w:val="-12"/>
                            <w:sz w:val="18"/>
                            <w:szCs w:val="18"/>
                          </w:rPr>
                          <w:t>议案》，并经公司</w:t>
                        </w:r>
                        <w:r>
                          <w:rPr>
                            <w:rFonts w:ascii="宋体" w:hAnsi="宋体" w:cs="宋体" w:eastAsia="宋体" w:hint="default"/>
                            <w:spacing w:val="-41"/>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年第二次临时股东大会审议通过，于</w:t>
                        </w:r>
                        <w:r>
                          <w:rPr>
                            <w:rFonts w:ascii="宋体" w:hAnsi="宋体" w:cs="宋体" w:eastAsia="宋体" w:hint="default"/>
                            <w:spacing w:val="-42"/>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日起用部分闲置的募集</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资金暂时补充公司流动资金，总额为人民币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元，使用期限不超过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个月，预计还款</w:t>
                        </w:r>
                      </w:p>
                      <w:p>
                        <w:pPr>
                          <w:pStyle w:val="TableParagraph"/>
                          <w:spacing w:line="340" w:lineRule="auto" w:before="63"/>
                          <w:ind w:left="384" w:right="-40" w:hanging="360"/>
                          <w:jc w:val="left"/>
                          <w:rPr>
                            <w:rFonts w:ascii="宋体" w:hAnsi="宋体" w:cs="宋体" w:eastAsia="宋体" w:hint="default"/>
                            <w:sz w:val="18"/>
                            <w:szCs w:val="18"/>
                          </w:rPr>
                        </w:pPr>
                        <w:r>
                          <w:rPr>
                            <w:rFonts w:ascii="宋体" w:hAnsi="宋体" w:cs="宋体" w:eastAsia="宋体" w:hint="default"/>
                            <w:sz w:val="18"/>
                            <w:szCs w:val="18"/>
                          </w:rPr>
                          <w:t>日期为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日之前，公司于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日将借用的资金归还至募集资金专用账户。 御银股份第三届董事会第二十六次会议审议通过了《关于使用部分闲置募集资金暂时补充流动</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资金的议案</w:t>
                        </w:r>
                        <w:r>
                          <w:rPr>
                            <w:rFonts w:ascii="宋体" w:hAnsi="宋体" w:cs="宋体" w:eastAsia="宋体" w:hint="default"/>
                            <w:spacing w:val="-92"/>
                            <w:sz w:val="18"/>
                            <w:szCs w:val="18"/>
                          </w:rPr>
                          <w:t>》</w:t>
                        </w:r>
                        <w:r>
                          <w:rPr>
                            <w:rFonts w:ascii="宋体" w:hAnsi="宋体" w:cs="宋体" w:eastAsia="宋体" w:hint="default"/>
                            <w:spacing w:val="-34"/>
                            <w:sz w:val="18"/>
                            <w:szCs w:val="18"/>
                          </w:rPr>
                          <w:t>，</w:t>
                        </w:r>
                        <w:r>
                          <w:rPr>
                            <w:rFonts w:ascii="宋体" w:hAnsi="宋体" w:cs="宋体" w:eastAsia="宋体" w:hint="default"/>
                            <w:sz w:val="18"/>
                            <w:szCs w:val="18"/>
                          </w:rPr>
                          <w:t>并经公司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年第五次临时股东大会审议通过</w:t>
                        </w:r>
                        <w:r>
                          <w:rPr>
                            <w:rFonts w:ascii="宋体" w:hAnsi="宋体" w:cs="宋体" w:eastAsia="宋体" w:hint="default"/>
                            <w:spacing w:val="-34"/>
                            <w:sz w:val="18"/>
                            <w:szCs w:val="18"/>
                          </w:rPr>
                          <w:t>，</w:t>
                        </w:r>
                        <w:r>
                          <w:rPr>
                            <w:rFonts w:ascii="宋体" w:hAnsi="宋体" w:cs="宋体" w:eastAsia="宋体" w:hint="default"/>
                            <w:sz w:val="18"/>
                            <w:szCs w:val="18"/>
                          </w:rPr>
                          <w:t>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3"/>
                            <w:sz w:val="18"/>
                            <w:szCs w:val="18"/>
                          </w:rPr>
                          <w:t>用</w:t>
                        </w:r>
                        <w:r>
                          <w:rPr>
                            <w:rFonts w:ascii="宋体" w:hAnsi="宋体" w:cs="宋体" w:eastAsia="宋体" w:hint="default"/>
                            <w:sz w:val="18"/>
                            <w:szCs w:val="18"/>
                          </w:rPr>
                          <w:t>部分闲置</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的募集资金暂时补充公司流动资金，总额为人民币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70,000,000.00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元，使用期限不超过</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个月，预计</w:t>
                        </w:r>
                      </w:p>
                      <w:p>
                        <w:pPr>
                          <w:pStyle w:val="TableParagraph"/>
                          <w:spacing w:line="300" w:lineRule="auto" w:before="63"/>
                          <w:ind w:left="24" w:right="24"/>
                          <w:jc w:val="left"/>
                          <w:rPr>
                            <w:rFonts w:ascii="宋体" w:hAnsi="宋体" w:cs="宋体" w:eastAsia="宋体" w:hint="default"/>
                            <w:sz w:val="18"/>
                            <w:szCs w:val="18"/>
                          </w:rPr>
                        </w:pPr>
                        <w:r>
                          <w:rPr>
                            <w:rFonts w:ascii="宋体" w:hAnsi="宋体" w:cs="宋体" w:eastAsia="宋体" w:hint="default"/>
                            <w:sz w:val="18"/>
                            <w:szCs w:val="18"/>
                          </w:rPr>
                          <w:t>还款日期为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日之前，公司于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日将借用的资金归还至募集资金专用账 户。</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尚未使用的募集资金将继续用于募投项目建设，存放于银行募集资金专用账户。</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44"/>
        <w:ind w:left="0" w:right="15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44"/>
        <w:ind w:left="0" w:right="15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3"/>
        <w:spacing w:line="240" w:lineRule="auto"/>
        <w:ind w:right="144"/>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5"/>
        <w:gridCol w:w="958"/>
        <w:gridCol w:w="956"/>
        <w:gridCol w:w="958"/>
        <w:gridCol w:w="958"/>
      </w:tblGrid>
      <w:tr>
        <w:trPr>
          <w:trHeight w:val="1340"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59"/>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center"/>
              <w:rPr>
                <w:rFonts w:ascii="宋体" w:hAnsi="宋体" w:cs="宋体" w:eastAsia="宋体" w:hint="default"/>
                <w:sz w:val="18"/>
                <w:szCs w:val="18"/>
              </w:rPr>
            </w:pPr>
            <w:r>
              <w:rPr>
                <w:rFonts w:ascii="宋体" w:hAnsi="宋体" w:cs="宋体" w:eastAsia="宋体" w:hint="default"/>
                <w:sz w:val="18"/>
                <w:szCs w:val="18"/>
              </w:rPr>
              <w:t>截至期末投 资进度</w:t>
            </w:r>
          </w:p>
          <w:p>
            <w:pPr>
              <w:pStyle w:val="TableParagraph"/>
              <w:spacing w:line="362" w:lineRule="auto" w:before="61"/>
              <w:ind w:left="52" w:right="49"/>
              <w:jc w:val="center"/>
              <w:rPr>
                <w:rFonts w:ascii="Times New Roman" w:hAnsi="Times New Roman" w:cs="Times New Roman" w:eastAsia="Times New Roman" w:hint="default"/>
                <w:sz w:val="18"/>
                <w:szCs w:val="18"/>
              </w:rPr>
            </w:pPr>
            <w:r>
              <w:rPr>
                <w:rFonts w:ascii="Times New Roman"/>
                <w:sz w:val="18"/>
              </w:rPr>
              <w:t>(%)(3)=(2)/</w:t>
            </w:r>
            <w:r>
              <w:rPr>
                <w:rFonts w:ascii="Times New Roman"/>
                <w:w w:val="99"/>
                <w:sz w:val="18"/>
              </w:rPr>
              <w:t> </w:t>
            </w: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12" w:right="20"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03"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07"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融资 租赁运营服 务项目</w:t>
            </w:r>
          </w:p>
        </w:tc>
        <w:tc>
          <w:tcPr>
            <w:tcW w:w="95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07"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合作运营 </w:t>
            </w: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网络 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27,889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4,744.31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28,263.41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101.34%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2,676.79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27,889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4,744.31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28,263.41</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2,676.79</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BodyText"/>
        <w:spacing w:line="240" w:lineRule="auto" w:before="44"/>
        <w:ind w:left="0" w:right="156"/>
        <w:jc w:val="right"/>
      </w:pPr>
      <w:r>
        <w:rPr/>
        <w:pict>
          <v:shape style="position:absolute;margin-left:56.459999pt;margin-top:-78.74826pt;width:479.35pt;height:201.2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3"/>
                    <w:gridCol w:w="6700"/>
                  </w:tblGrid>
                  <w:tr>
                    <w:trPr>
                      <w:trHeight w:val="2586"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2"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由于中国及全球经济环境的不稳定因素的影响，以及原募集资金投资项目的网点选 </w:t>
                        </w:r>
                        <w:r>
                          <w:rPr>
                            <w:rFonts w:ascii="宋体" w:hAnsi="宋体" w:cs="宋体" w:eastAsia="宋体" w:hint="default"/>
                            <w:spacing w:val="-1"/>
                            <w:sz w:val="18"/>
                            <w:szCs w:val="18"/>
                          </w:rPr>
                          <w:t>址、网点评估、网点建设验收条件等诸方面要求更加严格，致使公司原募投项目进展</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低于预期进度，募集资金的使用效率较低。为了提高募集资金使用效率，降低市场风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险，提高</w:t>
                        </w:r>
                        <w:r>
                          <w:rPr>
                            <w:rFonts w:ascii="宋体" w:hAnsi="宋体" w:cs="宋体" w:eastAsia="宋体" w:hint="default"/>
                            <w:spacing w:val="-48"/>
                            <w:sz w:val="18"/>
                            <w:szCs w:val="18"/>
                          </w:rPr>
                          <w:t> </w:t>
                        </w: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运营服务整体收益，公司于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日召开的第三届董事会第</w:t>
                        </w:r>
                      </w:p>
                      <w:p>
                        <w:pPr>
                          <w:pStyle w:val="TableParagraph"/>
                          <w:spacing w:line="300" w:lineRule="auto"/>
                          <w:ind w:left="23" w:right="17"/>
                          <w:jc w:val="left"/>
                          <w:rPr>
                            <w:rFonts w:ascii="宋体" w:hAnsi="宋体" w:cs="宋体" w:eastAsia="宋体" w:hint="default"/>
                            <w:sz w:val="18"/>
                            <w:szCs w:val="18"/>
                          </w:rPr>
                        </w:pPr>
                        <w:r>
                          <w:rPr>
                            <w:rFonts w:ascii="宋体" w:hAnsi="宋体" w:cs="宋体" w:eastAsia="宋体" w:hint="default"/>
                            <w:spacing w:val="-4"/>
                            <w:sz w:val="18"/>
                            <w:szCs w:val="18"/>
                          </w:rPr>
                          <w:t>十四次会议审议通过《关于变更部分募集资金投向的议案》，并提交公司</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年第四</w:t>
                        </w:r>
                        <w:r>
                          <w:rPr>
                            <w:rFonts w:ascii="宋体" w:hAnsi="宋体" w:cs="宋体" w:eastAsia="宋体" w:hint="default"/>
                            <w:spacing w:val="-88"/>
                            <w:sz w:val="18"/>
                            <w:szCs w:val="18"/>
                          </w:rPr>
                          <w:t> </w:t>
                        </w:r>
                        <w:r>
                          <w:rPr>
                            <w:rFonts w:ascii="宋体" w:hAnsi="宋体" w:cs="宋体" w:eastAsia="宋体" w:hint="default"/>
                            <w:spacing w:val="-4"/>
                            <w:w w:val="100"/>
                            <w:sz w:val="18"/>
                            <w:szCs w:val="18"/>
                          </w:rPr>
                          <w:t>次临时股东大会审议批准。变更项目的名称为</w:t>
                        </w:r>
                        <w:r>
                          <w:rPr>
                            <w:rFonts w:ascii="Times New Roman" w:hAnsi="Times New Roman" w:cs="Times New Roman" w:eastAsia="Times New Roman" w:hint="default"/>
                            <w:spacing w:val="-4"/>
                            <w:w w:val="100"/>
                            <w:sz w:val="18"/>
                            <w:szCs w:val="18"/>
                          </w:rPr>
                          <w:t>“8,000</w:t>
                        </w:r>
                        <w:r>
                          <w:rPr>
                            <w:rFonts w:ascii="Times New Roman" w:hAnsi="Times New Roman" w:cs="Times New Roman" w:eastAsia="Times New Roman" w:hint="default"/>
                            <w:spacing w:val="-3"/>
                            <w:w w:val="100"/>
                            <w:sz w:val="18"/>
                            <w:szCs w:val="18"/>
                          </w:rPr>
                          <w:t> </w:t>
                        </w:r>
                        <w:r>
                          <w:rPr>
                            <w:rFonts w:ascii="宋体" w:hAnsi="宋体" w:cs="宋体" w:eastAsia="宋体" w:hint="default"/>
                            <w:spacing w:val="-1"/>
                            <w:sz w:val="18"/>
                            <w:szCs w:val="18"/>
                          </w:rPr>
                          <w:t>台合作运营</w:t>
                        </w:r>
                        <w:r>
                          <w:rPr>
                            <w:rFonts w:ascii="宋体" w:hAnsi="宋体" w:cs="宋体" w:eastAsia="宋体" w:hint="default"/>
                            <w:spacing w:val="-50"/>
                            <w:sz w:val="18"/>
                            <w:szCs w:val="18"/>
                          </w:rPr>
                          <w:t> </w:t>
                        </w:r>
                        <w:r>
                          <w:rPr>
                            <w:rFonts w:ascii="Times New Roman" w:hAnsi="Times New Roman" w:cs="Times New Roman" w:eastAsia="Times New Roman" w:hint="default"/>
                            <w:spacing w:val="-8"/>
                            <w:w w:val="99"/>
                            <w:sz w:val="18"/>
                            <w:szCs w:val="18"/>
                          </w:rPr>
                          <w:t>ATM</w:t>
                        </w:r>
                        <w:r>
                          <w:rPr>
                            <w:rFonts w:ascii="Times New Roman" w:hAnsi="Times New Roman" w:cs="Times New Roman" w:eastAsia="Times New Roman" w:hint="default"/>
                            <w:spacing w:val="-4"/>
                            <w:w w:val="99"/>
                            <w:sz w:val="18"/>
                            <w:szCs w:val="18"/>
                          </w:rPr>
                          <w:t> </w:t>
                        </w:r>
                        <w:r>
                          <w:rPr>
                            <w:rFonts w:ascii="宋体" w:hAnsi="宋体" w:cs="宋体" w:eastAsia="宋体" w:hint="default"/>
                            <w:w w:val="100"/>
                            <w:sz w:val="18"/>
                            <w:szCs w:val="18"/>
                          </w:rPr>
                          <w:t>网络建设项目</w:t>
                        </w:r>
                        <w:r>
                          <w:rPr>
                            <w:rFonts w:ascii="Times New Roman" w:hAnsi="Times New Roman" w:cs="Times New Roman" w:eastAsia="Times New Roman" w:hint="default"/>
                            <w:w w:val="100"/>
                            <w:sz w:val="18"/>
                            <w:szCs w:val="18"/>
                          </w:rPr>
                          <w:t>”</w:t>
                        </w:r>
                        <w:r>
                          <w:rPr>
                            <w:rFonts w:ascii="Times New Roman" w:hAnsi="Times New Roman" w:cs="Times New Roman" w:eastAsia="Times New Roman" w:hint="default"/>
                            <w:spacing w:val="-37"/>
                            <w:w w:val="100"/>
                            <w:sz w:val="18"/>
                            <w:szCs w:val="18"/>
                          </w:rPr>
                          <w:t> </w:t>
                        </w:r>
                        <w:r>
                          <w:rPr>
                            <w:rFonts w:ascii="宋体" w:hAnsi="宋体" w:cs="宋体" w:eastAsia="宋体" w:hint="default"/>
                            <w:sz w:val="18"/>
                            <w:szCs w:val="18"/>
                          </w:rPr>
                          <w:t>变更项目涉及的总金额为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27,889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万元，新项目的名称为</w:t>
                        </w:r>
                        <w:r>
                          <w:rPr>
                            <w:rFonts w:ascii="宋体" w:hAnsi="宋体" w:cs="宋体" w:eastAsia="宋体" w:hint="default"/>
                            <w:spacing w:val="1"/>
                            <w:sz w:val="18"/>
                            <w:szCs w:val="18"/>
                          </w:rPr>
                          <w:t> </w:t>
                        </w:r>
                        <w:r>
                          <w:rPr>
                            <w:rFonts w:ascii="Times New Roman" w:hAnsi="Times New Roman" w:cs="Times New Roman" w:eastAsia="Times New Roman" w:hint="default"/>
                            <w:spacing w:val="-6"/>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融资租赁运营服务项 目</w:t>
                        </w:r>
                        <w:r>
                          <w:rPr>
                            <w:rFonts w:ascii="Times New Roman" w:hAnsi="Times New Roman" w:cs="Times New Roman" w:eastAsia="Times New Roman" w:hint="default"/>
                            <w:sz w:val="18"/>
                            <w:szCs w:val="18"/>
                          </w:rPr>
                          <w:t>”</w:t>
                        </w:r>
                        <w:r>
                          <w:rPr>
                            <w:rFonts w:ascii="宋体" w:hAnsi="宋体" w:cs="宋体" w:eastAsia="宋体" w:hint="default"/>
                            <w:sz w:val="18"/>
                            <w:szCs w:val="18"/>
                          </w:rPr>
                          <w:t>，此次募集资金投资项目变更不构成关联交易。详见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2010-039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号公告。</w:t>
                        </w:r>
                      </w:p>
                    </w:tc>
                  </w:tr>
                  <w:tr>
                    <w:trPr>
                      <w:trHeight w:val="714"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97" w:lineRule="auto" w:before="50"/>
                          <w:ind w:left="23" w:right="119"/>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融资租赁运营服务项目未达到预计效益的主要原因是该项目正处于建设开展阶 段，效益需逐步释放</w:t>
                        </w:r>
                      </w:p>
                    </w:tc>
                  </w:tr>
                  <w:tr>
                    <w:trPr>
                      <w:trHeight w:val="714"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70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Heading3"/>
        <w:spacing w:line="240" w:lineRule="auto" w:before="36"/>
        <w:ind w:right="144"/>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4"/>
        <w:jc w:val="left"/>
      </w:pPr>
      <w:r>
        <w:rPr/>
        <w:t>主要子公司、参股公司情况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45"/>
        <w:gridCol w:w="898"/>
        <w:gridCol w:w="992"/>
        <w:gridCol w:w="1135"/>
        <w:gridCol w:w="879"/>
        <w:gridCol w:w="946"/>
        <w:gridCol w:w="943"/>
        <w:gridCol w:w="944"/>
        <w:gridCol w:w="809"/>
        <w:gridCol w:w="1076"/>
      </w:tblGrid>
      <w:tr>
        <w:trPr>
          <w:trHeight w:val="714" w:hRule="exact"/>
        </w:trPr>
        <w:tc>
          <w:tcPr>
            <w:tcW w:w="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所处行业</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1" w:right="110" w:hanging="269"/>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6"/>
              <w:ind w:left="19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39"/>
              <w:jc w:val="left"/>
              <w:rPr>
                <w:rFonts w:ascii="宋体" w:hAnsi="宋体" w:cs="宋体" w:eastAsia="宋体" w:hint="default"/>
                <w:sz w:val="18"/>
                <w:szCs w:val="18"/>
              </w:rPr>
            </w:pPr>
            <w:r>
              <w:rPr>
                <w:rFonts w:ascii="宋体" w:hAnsi="宋体" w:cs="宋体" w:eastAsia="宋体" w:hint="default"/>
                <w:sz w:val="18"/>
                <w:szCs w:val="18"/>
              </w:rPr>
              <w:t>净利润（元）</w:t>
            </w:r>
          </w:p>
        </w:tc>
      </w:tr>
      <w:tr>
        <w:trPr>
          <w:trHeight w:val="1338" w:hRule="exact"/>
        </w:trPr>
        <w:tc>
          <w:tcPr>
            <w:tcW w:w="94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90"/>
              <w:jc w:val="both"/>
              <w:rPr>
                <w:rFonts w:ascii="宋体" w:hAnsi="宋体" w:cs="宋体" w:eastAsia="宋体" w:hint="default"/>
                <w:sz w:val="18"/>
                <w:szCs w:val="18"/>
              </w:rPr>
            </w:pPr>
            <w:r>
              <w:rPr>
                <w:rFonts w:ascii="宋体" w:hAnsi="宋体" w:cs="宋体" w:eastAsia="宋体" w:hint="default"/>
                <w:sz w:val="18"/>
                <w:szCs w:val="18"/>
              </w:rPr>
              <w:t>广州御新 软件有限 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软件业</w:t>
            </w:r>
          </w:p>
        </w:tc>
        <w:tc>
          <w:tcPr>
            <w:tcW w:w="113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0"/>
              <w:ind w:left="24" w:right="21"/>
              <w:jc w:val="left"/>
              <w:rPr>
                <w:rFonts w:ascii="宋体" w:hAnsi="宋体" w:cs="宋体" w:eastAsia="宋体" w:hint="default"/>
                <w:sz w:val="18"/>
                <w:szCs w:val="18"/>
              </w:rPr>
            </w:pPr>
            <w:r>
              <w:rPr>
                <w:rFonts w:ascii="宋体" w:hAnsi="宋体" w:cs="宋体" w:eastAsia="宋体" w:hint="default"/>
                <w:sz w:val="18"/>
                <w:szCs w:val="18"/>
              </w:rPr>
              <w:t>自动柜员机 及点钞机设 备的研发、销 售</w:t>
            </w:r>
          </w:p>
        </w:tc>
        <w:tc>
          <w:tcPr>
            <w:tcW w:w="8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208,087,85</w:t>
            </w:r>
          </w:p>
          <w:p>
            <w:pPr>
              <w:pStyle w:val="TableParagraph"/>
              <w:spacing w:line="240" w:lineRule="auto" w:before="102"/>
              <w:ind w:left="600" w:right="0"/>
              <w:jc w:val="left"/>
              <w:rPr>
                <w:rFonts w:ascii="Times New Roman" w:hAnsi="Times New Roman" w:cs="Times New Roman" w:eastAsia="Times New Roman" w:hint="default"/>
                <w:sz w:val="18"/>
                <w:szCs w:val="18"/>
              </w:rPr>
            </w:pPr>
            <w:r>
              <w:rPr>
                <w:rFonts w:ascii="Times New Roman"/>
                <w:sz w:val="18"/>
              </w:rPr>
              <w:t>7.98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204,424,65</w:t>
            </w:r>
          </w:p>
          <w:p>
            <w:pPr>
              <w:pStyle w:val="TableParagraph"/>
              <w:spacing w:line="240" w:lineRule="auto" w:before="102"/>
              <w:ind w:left="597" w:right="0"/>
              <w:jc w:val="left"/>
              <w:rPr>
                <w:rFonts w:ascii="Times New Roman" w:hAnsi="Times New Roman" w:cs="Times New Roman" w:eastAsia="Times New Roman" w:hint="default"/>
                <w:sz w:val="18"/>
                <w:szCs w:val="18"/>
              </w:rPr>
            </w:pPr>
            <w:r>
              <w:rPr>
                <w:rFonts w:ascii="Times New Roman"/>
                <w:sz w:val="18"/>
              </w:rPr>
              <w:t>6.20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60,957,264.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58,618,08</w:t>
            </w:r>
          </w:p>
          <w:p>
            <w:pPr>
              <w:pStyle w:val="TableParagraph"/>
              <w:spacing w:line="240" w:lineRule="auto" w:before="102"/>
              <w:ind w:left="463" w:right="0"/>
              <w:jc w:val="left"/>
              <w:rPr>
                <w:rFonts w:ascii="Times New Roman" w:hAnsi="Times New Roman" w:cs="Times New Roman" w:eastAsia="Times New Roman" w:hint="default"/>
                <w:sz w:val="18"/>
                <w:szCs w:val="18"/>
              </w:rPr>
            </w:pPr>
            <w:r>
              <w:rPr>
                <w:rFonts w:ascii="Times New Roman"/>
                <w:sz w:val="18"/>
              </w:rPr>
              <w:t>4.56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59,250,008.5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w:t>
            </w:r>
          </w:p>
        </w:tc>
      </w:tr>
      <w:tr>
        <w:trPr>
          <w:trHeight w:val="1649" w:hRule="exact"/>
        </w:trPr>
        <w:tc>
          <w:tcPr>
            <w:tcW w:w="94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 w:right="190"/>
              <w:jc w:val="both"/>
              <w:rPr>
                <w:rFonts w:ascii="宋体" w:hAnsi="宋体" w:cs="宋体" w:eastAsia="宋体" w:hint="default"/>
                <w:sz w:val="18"/>
                <w:szCs w:val="18"/>
              </w:rPr>
            </w:pPr>
            <w:r>
              <w:rPr>
                <w:rFonts w:ascii="宋体" w:hAnsi="宋体" w:cs="宋体" w:eastAsia="宋体" w:hint="default"/>
                <w:sz w:val="18"/>
                <w:szCs w:val="18"/>
              </w:rPr>
              <w:t>广州御银 自动柜员 机技术有 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13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电子产品、金 融机具设备、 自动柜员机 的研究、开 发、销售</w:t>
            </w:r>
          </w:p>
        </w:tc>
        <w:tc>
          <w:tcPr>
            <w:tcW w:w="8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260,205,81</w:t>
            </w:r>
          </w:p>
          <w:p>
            <w:pPr>
              <w:pStyle w:val="TableParagraph"/>
              <w:spacing w:line="240" w:lineRule="auto" w:before="105"/>
              <w:ind w:left="600" w:right="0"/>
              <w:jc w:val="left"/>
              <w:rPr>
                <w:rFonts w:ascii="Times New Roman" w:hAnsi="Times New Roman" w:cs="Times New Roman" w:eastAsia="Times New Roman" w:hint="default"/>
                <w:sz w:val="18"/>
                <w:szCs w:val="18"/>
              </w:rPr>
            </w:pPr>
            <w:r>
              <w:rPr>
                <w:rFonts w:ascii="Times New Roman"/>
                <w:sz w:val="18"/>
              </w:rPr>
              <w:t>8.41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181,938,30</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3.58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132,112,03</w:t>
            </w:r>
          </w:p>
          <w:p>
            <w:pPr>
              <w:pStyle w:val="TableParagraph"/>
              <w:spacing w:line="240" w:lineRule="auto" w:before="105"/>
              <w:ind w:left="598" w:right="0"/>
              <w:jc w:val="left"/>
              <w:rPr>
                <w:rFonts w:ascii="Times New Roman" w:hAnsi="Times New Roman" w:cs="Times New Roman" w:eastAsia="Times New Roman" w:hint="default"/>
                <w:sz w:val="18"/>
                <w:szCs w:val="18"/>
              </w:rPr>
            </w:pPr>
            <w:r>
              <w:rPr>
                <w:rFonts w:ascii="Times New Roman"/>
                <w:sz w:val="18"/>
              </w:rPr>
              <w:t>8.31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35,592,77</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9.78</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36,850,322.7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r>
      <w:tr>
        <w:trPr>
          <w:trHeight w:val="1339" w:hRule="exact"/>
        </w:trPr>
        <w:tc>
          <w:tcPr>
            <w:tcW w:w="94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90"/>
              <w:jc w:val="both"/>
              <w:rPr>
                <w:rFonts w:ascii="宋体" w:hAnsi="宋体" w:cs="宋体" w:eastAsia="宋体" w:hint="default"/>
                <w:sz w:val="18"/>
                <w:szCs w:val="18"/>
              </w:rPr>
            </w:pPr>
            <w:r>
              <w:rPr>
                <w:rFonts w:ascii="宋体" w:hAnsi="宋体" w:cs="宋体" w:eastAsia="宋体" w:hint="default"/>
                <w:sz w:val="18"/>
                <w:szCs w:val="18"/>
              </w:rPr>
              <w:t>安徽御银 电子科技 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电子设备业</w:t>
            </w:r>
          </w:p>
        </w:tc>
        <w:tc>
          <w:tcPr>
            <w:tcW w:w="113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自动柜员机 及点钞机设 备的研发、销 售</w:t>
            </w:r>
          </w:p>
        </w:tc>
        <w:tc>
          <w:tcPr>
            <w:tcW w:w="8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2,319,834.0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2,122,263.0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1,326,838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.67</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2,224,109.85</w:t>
            </w:r>
          </w:p>
        </w:tc>
      </w:tr>
      <w:tr>
        <w:trPr>
          <w:trHeight w:val="1649" w:hRule="exact"/>
        </w:trPr>
        <w:tc>
          <w:tcPr>
            <w:tcW w:w="94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90"/>
              <w:jc w:val="both"/>
              <w:rPr>
                <w:rFonts w:ascii="宋体" w:hAnsi="宋体" w:cs="宋体" w:eastAsia="宋体" w:hint="default"/>
                <w:sz w:val="18"/>
                <w:szCs w:val="18"/>
              </w:rPr>
            </w:pPr>
            <w:r>
              <w:rPr>
                <w:rFonts w:ascii="宋体" w:hAnsi="宋体" w:cs="宋体" w:eastAsia="宋体" w:hint="default"/>
                <w:sz w:val="18"/>
                <w:szCs w:val="18"/>
              </w:rPr>
              <w:t>广州御银 金融服务 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金融业</w:t>
            </w:r>
          </w:p>
        </w:tc>
        <w:tc>
          <w:tcPr>
            <w:tcW w:w="113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9"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对柜员机进 行维护及管 理，对现金及 有价证券清 分处理</w:t>
            </w:r>
          </w:p>
        </w:tc>
        <w:tc>
          <w:tcPr>
            <w:tcW w:w="8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60,153,450.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26,131,813.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1,280,524.8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-86,744.2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-140,619.28</w:t>
            </w:r>
          </w:p>
        </w:tc>
      </w:tr>
      <w:tr>
        <w:trPr>
          <w:trHeight w:val="1651" w:hRule="exact"/>
        </w:trPr>
        <w:tc>
          <w:tcPr>
            <w:tcW w:w="94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90"/>
              <w:jc w:val="both"/>
              <w:rPr>
                <w:rFonts w:ascii="宋体" w:hAnsi="宋体" w:cs="宋体" w:eastAsia="宋体" w:hint="default"/>
                <w:sz w:val="18"/>
                <w:szCs w:val="18"/>
              </w:rPr>
            </w:pPr>
            <w:r>
              <w:rPr>
                <w:rFonts w:ascii="宋体" w:hAnsi="宋体" w:cs="宋体" w:eastAsia="宋体" w:hint="default"/>
                <w:sz w:val="18"/>
                <w:szCs w:val="18"/>
              </w:rPr>
              <w:t>深圳市信 威电子有 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99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软件业</w:t>
            </w:r>
          </w:p>
        </w:tc>
        <w:tc>
          <w:tcPr>
            <w:tcW w:w="113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传感器、电子 产品的研制 开发、生产与 购销；软件开 发。</w:t>
            </w:r>
          </w:p>
        </w:tc>
        <w:tc>
          <w:tcPr>
            <w:tcW w:w="8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3"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357.14 </w:t>
            </w:r>
            <w:r>
              <w:rPr>
                <w:rFonts w:ascii="宋体" w:hAnsi="宋体" w:cs="宋体" w:eastAsia="宋体" w:hint="default"/>
                <w:sz w:val="18"/>
                <w:szCs w:val="18"/>
              </w:rPr>
              <w:t>万 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39,887,396.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33,139,512.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56,773,551.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319,531.6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307,601.77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31.296005pt;margin-top:199.339981pt;width:66.5pt;height:17.55pt;mso-position-horizontal-relative:page;mso-position-vertical-relative:page;z-index:-830920" type="#_x0000_t202" filled="false" stroked="false">
            <v:textbox inset="0,0,0,0">
              <w:txbxContent>
                <w:p>
                  <w:pPr>
                    <w:pStyle w:val="BodyText"/>
                    <w:spacing w:line="240" w:lineRule="auto" w:before="8"/>
                    <w:ind w:left="0" w:right="0"/>
                    <w:jc w:val="left"/>
                  </w:pPr>
                  <w:r>
                    <w:rPr/>
                    <w:t>（药）</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5"/>
        <w:gridCol w:w="898"/>
        <w:gridCol w:w="992"/>
        <w:gridCol w:w="1135"/>
        <w:gridCol w:w="879"/>
        <w:gridCol w:w="946"/>
        <w:gridCol w:w="943"/>
        <w:gridCol w:w="944"/>
        <w:gridCol w:w="809"/>
        <w:gridCol w:w="1076"/>
      </w:tblGrid>
      <w:tr>
        <w:trPr>
          <w:trHeight w:val="5082" w:hRule="exact"/>
        </w:trPr>
        <w:tc>
          <w:tcPr>
            <w:tcW w:w="94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2" w:right="190"/>
              <w:jc w:val="both"/>
              <w:rPr>
                <w:rFonts w:ascii="宋体" w:hAnsi="宋体" w:cs="宋体" w:eastAsia="宋体" w:hint="default"/>
                <w:sz w:val="18"/>
                <w:szCs w:val="18"/>
              </w:rPr>
            </w:pPr>
            <w:r>
              <w:rPr>
                <w:rFonts w:ascii="宋体" w:hAnsi="宋体" w:cs="宋体" w:eastAsia="宋体" w:hint="default"/>
                <w:sz w:val="18"/>
                <w:szCs w:val="18"/>
              </w:rPr>
              <w:t>广东星河 生物科技 股份有限 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99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13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种植、加工、 销售食用菌 等农副产品， 食（药）用菌 和其他有益 生物育种、引 种及相关产 品的研究和 </w:t>
            </w:r>
            <w:r>
              <w:rPr>
                <w:rFonts w:ascii="宋体" w:hAnsi="宋体" w:cs="宋体" w:eastAsia="宋体" w:hint="default"/>
                <w:spacing w:val="-12"/>
                <w:sz w:val="18"/>
                <w:szCs w:val="18"/>
              </w:rPr>
              <w:t>开发，食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用菌高效生 产工艺及培 养基再利用 技术的研究 和开发；货物</w:t>
            </w:r>
            <w:r>
              <w:rPr>
                <w:rFonts w:ascii="宋体" w:hAnsi="宋体" w:cs="宋体" w:eastAsia="宋体" w:hint="default"/>
                <w:sz w:val="18"/>
                <w:szCs w:val="18"/>
              </w:rPr>
              <w:t> 进出口、技术 进出口。</w:t>
            </w:r>
          </w:p>
        </w:tc>
        <w:tc>
          <w:tcPr>
            <w:tcW w:w="8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14,740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999,854,47</w:t>
            </w:r>
          </w:p>
          <w:p>
            <w:pPr>
              <w:pStyle w:val="TableParagraph"/>
              <w:spacing w:line="240" w:lineRule="auto" w:before="105"/>
              <w:ind w:left="600" w:right="0"/>
              <w:jc w:val="left"/>
              <w:rPr>
                <w:rFonts w:ascii="Times New Roman" w:hAnsi="Times New Roman" w:cs="Times New Roman" w:eastAsia="Times New Roman" w:hint="default"/>
                <w:sz w:val="18"/>
                <w:szCs w:val="18"/>
              </w:rPr>
            </w:pPr>
            <w:r>
              <w:rPr>
                <w:rFonts w:ascii="Times New Roman"/>
                <w:sz w:val="18"/>
              </w:rPr>
              <w:t>4.76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810,776,37</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9.77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247,828,23</w:t>
            </w:r>
          </w:p>
          <w:p>
            <w:pPr>
              <w:pStyle w:val="TableParagraph"/>
              <w:spacing w:line="240" w:lineRule="auto" w:before="105"/>
              <w:ind w:left="598" w:right="0"/>
              <w:jc w:val="left"/>
              <w:rPr>
                <w:rFonts w:ascii="Times New Roman" w:hAnsi="Times New Roman" w:cs="Times New Roman" w:eastAsia="Times New Roman" w:hint="default"/>
                <w:sz w:val="18"/>
                <w:szCs w:val="18"/>
              </w:rPr>
            </w:pPr>
            <w:r>
              <w:rPr>
                <w:rFonts w:ascii="Times New Roman"/>
                <w:sz w:val="18"/>
              </w:rPr>
              <w:t>0.65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-1,020,04</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6.37</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pacing w:val="-1"/>
                <w:sz w:val="18"/>
              </w:rPr>
              <w:t>4,489,947.68</w:t>
            </w:r>
          </w:p>
        </w:tc>
      </w:tr>
      <w:tr>
        <w:trPr>
          <w:trHeight w:val="1339" w:hRule="exact"/>
        </w:trPr>
        <w:tc>
          <w:tcPr>
            <w:tcW w:w="94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御银（中 </w:t>
            </w:r>
            <w:r>
              <w:rPr>
                <w:rFonts w:ascii="宋体" w:hAnsi="宋体" w:cs="宋体" w:eastAsia="宋体" w:hint="default"/>
                <w:spacing w:val="-3"/>
                <w:sz w:val="18"/>
                <w:szCs w:val="18"/>
              </w:rPr>
              <w:t>国）科技国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际有限公 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贸易业</w:t>
            </w:r>
          </w:p>
        </w:tc>
        <w:tc>
          <w:tcPr>
            <w:tcW w:w="113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8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03" w:right="0"/>
              <w:jc w:val="left"/>
              <w:rPr>
                <w:rFonts w:ascii="Times New Roman" w:hAnsi="Times New Roman" w:cs="Times New Roman" w:eastAsia="Times New Roman" w:hint="default"/>
                <w:sz w:val="18"/>
                <w:szCs w:val="18"/>
              </w:rPr>
            </w:pPr>
            <w:r>
              <w:rPr>
                <w:rFonts w:ascii="Times New Roman"/>
                <w:sz w:val="18"/>
              </w:rPr>
              <w:t>593,453.03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00" w:right="0"/>
              <w:jc w:val="left"/>
              <w:rPr>
                <w:rFonts w:ascii="Times New Roman" w:hAnsi="Times New Roman" w:cs="Times New Roman" w:eastAsia="Times New Roman" w:hint="default"/>
                <w:sz w:val="18"/>
                <w:szCs w:val="18"/>
              </w:rPr>
            </w:pPr>
            <w:r>
              <w:rPr>
                <w:rFonts w:ascii="Times New Roman"/>
                <w:sz w:val="18"/>
              </w:rPr>
              <w:t>561,950.63</w:t>
            </w: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-36,142.5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-36,142.56</w:t>
            </w:r>
          </w:p>
        </w:tc>
      </w:tr>
      <w:tr>
        <w:trPr>
          <w:trHeight w:val="1025" w:hRule="exact"/>
        </w:trPr>
        <w:tc>
          <w:tcPr>
            <w:tcW w:w="94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御银科技</w:t>
            </w:r>
          </w:p>
          <w:p>
            <w:pPr>
              <w:pStyle w:val="TableParagraph"/>
              <w:spacing w:line="316" w:lineRule="auto" w:before="76"/>
              <w:ind w:left="22" w:right="22"/>
              <w:jc w:val="left"/>
              <w:rPr>
                <w:rFonts w:ascii="宋体" w:hAnsi="宋体" w:cs="宋体" w:eastAsia="宋体" w:hint="default"/>
                <w:sz w:val="18"/>
                <w:szCs w:val="18"/>
              </w:rPr>
            </w:pPr>
            <w:r>
              <w:rPr>
                <w:rFonts w:ascii="宋体" w:hAnsi="宋体" w:cs="宋体" w:eastAsia="宋体" w:hint="default"/>
                <w:spacing w:val="-3"/>
                <w:sz w:val="18"/>
                <w:szCs w:val="18"/>
              </w:rPr>
              <w:t>（香港）有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贸易业</w:t>
            </w:r>
          </w:p>
        </w:tc>
        <w:tc>
          <w:tcPr>
            <w:tcW w:w="113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8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万港元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22,160,011.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1,225,562.8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32,198,592.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-2,677,66</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6.57</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-2,664,787.93</w:t>
            </w:r>
          </w:p>
        </w:tc>
      </w:tr>
      <w:tr>
        <w:trPr>
          <w:trHeight w:val="4148" w:hRule="exact"/>
        </w:trPr>
        <w:tc>
          <w:tcPr>
            <w:tcW w:w="94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90"/>
              <w:jc w:val="both"/>
              <w:rPr>
                <w:rFonts w:ascii="宋体" w:hAnsi="宋体" w:cs="宋体" w:eastAsia="宋体" w:hint="default"/>
                <w:sz w:val="18"/>
                <w:szCs w:val="18"/>
              </w:rPr>
            </w:pPr>
            <w:r>
              <w:rPr>
                <w:rFonts w:ascii="宋体" w:hAnsi="宋体" w:cs="宋体" w:eastAsia="宋体" w:hint="default"/>
                <w:sz w:val="18"/>
                <w:szCs w:val="18"/>
              </w:rPr>
              <w:t>上海博科 咨询股份 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99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软件业</w:t>
            </w:r>
          </w:p>
        </w:tc>
        <w:tc>
          <w:tcPr>
            <w:tcW w:w="113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计算机软、硬 件的技术开 发、技术服 务、技术咨 询、销售自产 产品，计算机 网络结构的 设计、综合布 线、维护，计 算机设备的 安装、调试、 维护，物流设 备的批发。</w:t>
            </w:r>
          </w:p>
        </w:tc>
        <w:tc>
          <w:tcPr>
            <w:tcW w:w="8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Times New Roman" w:hAnsi="Times New Roman" w:cs="Times New Roman" w:eastAsia="Times New Roman" w:hint="default"/>
                <w:sz w:val="18"/>
                <w:szCs w:val="18"/>
              </w:rPr>
            </w:pPr>
            <w:r>
              <w:rPr>
                <w:rFonts w:ascii="Times New Roman"/>
                <w:sz w:val="18"/>
              </w:rPr>
              <w:t>266,294,60</w:t>
            </w:r>
          </w:p>
          <w:p>
            <w:pPr>
              <w:pStyle w:val="TableParagraph"/>
              <w:spacing w:line="240" w:lineRule="auto" w:before="102"/>
              <w:ind w:left="600" w:right="0"/>
              <w:jc w:val="left"/>
              <w:rPr>
                <w:rFonts w:ascii="Times New Roman" w:hAnsi="Times New Roman" w:cs="Times New Roman" w:eastAsia="Times New Roman" w:hint="default"/>
                <w:sz w:val="18"/>
                <w:szCs w:val="18"/>
              </w:rPr>
            </w:pPr>
            <w:r>
              <w:rPr>
                <w:rFonts w:ascii="Times New Roman"/>
                <w:sz w:val="18"/>
              </w:rPr>
              <w:t>8.49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Times New Roman" w:hAnsi="Times New Roman" w:cs="Times New Roman" w:eastAsia="Times New Roman" w:hint="default"/>
                <w:sz w:val="18"/>
                <w:szCs w:val="18"/>
              </w:rPr>
            </w:pPr>
            <w:r>
              <w:rPr>
                <w:rFonts w:ascii="Times New Roman"/>
                <w:sz w:val="18"/>
              </w:rPr>
              <w:t>242,895,74</w:t>
            </w:r>
          </w:p>
          <w:p>
            <w:pPr>
              <w:pStyle w:val="TableParagraph"/>
              <w:spacing w:line="240" w:lineRule="auto" w:before="102"/>
              <w:ind w:left="597" w:right="0"/>
              <w:jc w:val="left"/>
              <w:rPr>
                <w:rFonts w:ascii="Times New Roman" w:hAnsi="Times New Roman" w:cs="Times New Roman" w:eastAsia="Times New Roman" w:hint="default"/>
                <w:sz w:val="18"/>
                <w:szCs w:val="18"/>
              </w:rPr>
            </w:pPr>
            <w:r>
              <w:rPr>
                <w:rFonts w:ascii="Times New Roman"/>
                <w:sz w:val="18"/>
              </w:rPr>
              <w:t>9.63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Times New Roman" w:hAnsi="Times New Roman" w:cs="Times New Roman" w:eastAsia="Times New Roman" w:hint="default"/>
                <w:sz w:val="18"/>
                <w:szCs w:val="18"/>
              </w:rPr>
            </w:pPr>
            <w:r>
              <w:rPr>
                <w:rFonts w:ascii="Times New Roman"/>
                <w:sz w:val="18"/>
              </w:rPr>
              <w:t>131,589,45</w:t>
            </w:r>
          </w:p>
          <w:p>
            <w:pPr>
              <w:pStyle w:val="TableParagraph"/>
              <w:spacing w:line="240" w:lineRule="auto" w:before="102"/>
              <w:ind w:left="598" w:right="0"/>
              <w:jc w:val="left"/>
              <w:rPr>
                <w:rFonts w:ascii="Times New Roman" w:hAnsi="Times New Roman" w:cs="Times New Roman" w:eastAsia="Times New Roman" w:hint="default"/>
                <w:sz w:val="18"/>
                <w:szCs w:val="18"/>
              </w:rPr>
            </w:pPr>
            <w:r>
              <w:rPr>
                <w:rFonts w:ascii="Times New Roman"/>
                <w:sz w:val="18"/>
              </w:rPr>
              <w:t>0.66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57" w:right="0"/>
              <w:jc w:val="left"/>
              <w:rPr>
                <w:rFonts w:ascii="Times New Roman" w:hAnsi="Times New Roman" w:cs="Times New Roman" w:eastAsia="Times New Roman" w:hint="default"/>
                <w:sz w:val="18"/>
                <w:szCs w:val="18"/>
              </w:rPr>
            </w:pPr>
            <w:r>
              <w:rPr>
                <w:rFonts w:ascii="Times New Roman"/>
                <w:sz w:val="18"/>
              </w:rPr>
              <w:t>22,849,97</w:t>
            </w:r>
          </w:p>
          <w:p>
            <w:pPr>
              <w:pStyle w:val="TableParagraph"/>
              <w:spacing w:line="240" w:lineRule="auto" w:before="102"/>
              <w:ind w:left="463" w:right="0"/>
              <w:jc w:val="left"/>
              <w:rPr>
                <w:rFonts w:ascii="Times New Roman" w:hAnsi="Times New Roman" w:cs="Times New Roman" w:eastAsia="Times New Roman" w:hint="default"/>
                <w:sz w:val="18"/>
                <w:szCs w:val="18"/>
              </w:rPr>
            </w:pPr>
            <w:r>
              <w:rPr>
                <w:rFonts w:ascii="Times New Roman"/>
                <w:sz w:val="18"/>
              </w:rPr>
              <w:t>5.55</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Times New Roman" w:hAnsi="Times New Roman" w:cs="Times New Roman" w:eastAsia="Times New Roman" w:hint="default"/>
                <w:sz w:val="18"/>
                <w:szCs w:val="18"/>
              </w:rPr>
            </w:pPr>
            <w:r>
              <w:rPr>
                <w:rFonts w:ascii="Times New Roman"/>
                <w:spacing w:val="-1"/>
                <w:sz w:val="18"/>
              </w:rPr>
              <w:t>34,917,317.5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w:t>
            </w:r>
          </w:p>
        </w:tc>
      </w:tr>
      <w:tr>
        <w:trPr>
          <w:trHeight w:val="1337" w:hRule="exact"/>
        </w:trPr>
        <w:tc>
          <w:tcPr>
            <w:tcW w:w="94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2" w:right="190"/>
              <w:jc w:val="both"/>
              <w:rPr>
                <w:rFonts w:ascii="宋体" w:hAnsi="宋体" w:cs="宋体" w:eastAsia="宋体" w:hint="default"/>
                <w:sz w:val="18"/>
                <w:szCs w:val="18"/>
              </w:rPr>
            </w:pPr>
            <w:r>
              <w:rPr>
                <w:rFonts w:ascii="宋体" w:hAnsi="宋体" w:cs="宋体" w:eastAsia="宋体" w:hint="default"/>
                <w:sz w:val="18"/>
                <w:szCs w:val="18"/>
              </w:rPr>
              <w:t>北京青年 御银科技 有限责任 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软件业</w:t>
            </w:r>
          </w:p>
        </w:tc>
        <w:tc>
          <w:tcPr>
            <w:tcW w:w="113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技术开发、技 术转让、技术 咨询、技术服 务</w:t>
            </w:r>
          </w:p>
        </w:tc>
        <w:tc>
          <w:tcPr>
            <w:tcW w:w="8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25,406,148.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1,631,148.2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-84,051.0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-84,051.02</w:t>
            </w:r>
          </w:p>
        </w:tc>
      </w:tr>
      <w:tr>
        <w:trPr>
          <w:trHeight w:val="986" w:hRule="exact"/>
        </w:trPr>
        <w:tc>
          <w:tcPr>
            <w:tcW w:w="94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1"/>
              <w:ind w:left="22" w:right="190"/>
              <w:jc w:val="both"/>
              <w:rPr>
                <w:rFonts w:ascii="宋体" w:hAnsi="宋体" w:cs="宋体" w:eastAsia="宋体" w:hint="default"/>
                <w:sz w:val="18"/>
                <w:szCs w:val="18"/>
              </w:rPr>
            </w:pPr>
            <w:r>
              <w:rPr>
                <w:rFonts w:ascii="宋体" w:hAnsi="宋体" w:cs="宋体" w:eastAsia="宋体" w:hint="default"/>
                <w:sz w:val="18"/>
                <w:szCs w:val="18"/>
              </w:rPr>
              <w:t>广州御银 先端电子 科技有限</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电子设备业</w:t>
            </w:r>
          </w:p>
        </w:tc>
        <w:tc>
          <w:tcPr>
            <w:tcW w:w="113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1"/>
              <w:ind w:left="24" w:right="21"/>
              <w:jc w:val="both"/>
              <w:rPr>
                <w:rFonts w:ascii="宋体" w:hAnsi="宋体" w:cs="宋体" w:eastAsia="宋体" w:hint="default"/>
                <w:sz w:val="18"/>
                <w:szCs w:val="18"/>
              </w:rPr>
            </w:pPr>
            <w:r>
              <w:rPr>
                <w:rFonts w:ascii="宋体" w:hAnsi="宋体" w:cs="宋体" w:eastAsia="宋体" w:hint="default"/>
                <w:sz w:val="18"/>
                <w:szCs w:val="18"/>
              </w:rPr>
              <w:t>电子产品、通 信产品、电脑 软件、机电设</w:t>
            </w:r>
          </w:p>
        </w:tc>
        <w:tc>
          <w:tcPr>
            <w:tcW w:w="8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100,520,74</w:t>
            </w:r>
          </w:p>
          <w:p>
            <w:pPr>
              <w:pStyle w:val="TableParagraph"/>
              <w:spacing w:line="240" w:lineRule="auto" w:before="105"/>
              <w:ind w:left="600" w:right="0"/>
              <w:jc w:val="left"/>
              <w:rPr>
                <w:rFonts w:ascii="Times New Roman" w:hAnsi="Times New Roman" w:cs="Times New Roman" w:eastAsia="Times New Roman" w:hint="default"/>
                <w:sz w:val="18"/>
                <w:szCs w:val="18"/>
              </w:rPr>
            </w:pPr>
            <w:r>
              <w:rPr>
                <w:rFonts w:ascii="Times New Roman"/>
                <w:sz w:val="18"/>
              </w:rPr>
              <w:t>3.37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15,590,004.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854,368.94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-5,599,54</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1.48</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-4,398,763.60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529" w:type="dxa"/>
        <w:tblLayout w:type="fixed"/>
        <w:tblCellMar>
          <w:top w:w="0" w:type="dxa"/>
          <w:left w:w="0" w:type="dxa"/>
          <w:bottom w:w="0" w:type="dxa"/>
          <w:right w:w="0" w:type="dxa"/>
        </w:tblCellMar>
        <w:tblLook w:val="01E0"/>
      </w:tblPr>
      <w:tblGrid>
        <w:gridCol w:w="945"/>
        <w:gridCol w:w="898"/>
        <w:gridCol w:w="992"/>
        <w:gridCol w:w="1135"/>
        <w:gridCol w:w="879"/>
        <w:gridCol w:w="946"/>
        <w:gridCol w:w="943"/>
        <w:gridCol w:w="944"/>
        <w:gridCol w:w="809"/>
        <w:gridCol w:w="1076"/>
      </w:tblGrid>
      <w:tr>
        <w:trPr>
          <w:trHeight w:val="362" w:hRule="exact"/>
        </w:trPr>
        <w:tc>
          <w:tcPr>
            <w:tcW w:w="94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9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备的研发</w:t>
            </w:r>
          </w:p>
        </w:tc>
        <w:tc>
          <w:tcPr>
            <w:tcW w:w="879"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94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2" w:right="190"/>
              <w:jc w:val="both"/>
              <w:rPr>
                <w:rFonts w:ascii="宋体" w:hAnsi="宋体" w:cs="宋体" w:eastAsia="宋体" w:hint="default"/>
                <w:sz w:val="18"/>
                <w:szCs w:val="18"/>
              </w:rPr>
            </w:pPr>
            <w:r>
              <w:rPr>
                <w:rFonts w:ascii="宋体" w:hAnsi="宋体" w:cs="宋体" w:eastAsia="宋体" w:hint="default"/>
                <w:sz w:val="18"/>
                <w:szCs w:val="18"/>
              </w:rPr>
              <w:t>广州花都 稠州村镇 银行股份 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9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银行业</w:t>
            </w:r>
          </w:p>
        </w:tc>
        <w:tc>
          <w:tcPr>
            <w:tcW w:w="113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吸收人民币 存款；发放人 民币短期、中 期和长期贷 款；办理国内 结算；办理票 据承兑与贴 现；从事同业 拆借；从事银 行卡（借记 卡）业务；代 理发行、代理 兑付、承销政 府债券；代理 收付款项及 代理保险业 务。</w:t>
            </w:r>
          </w:p>
        </w:tc>
        <w:tc>
          <w:tcPr>
            <w:tcW w:w="8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Times New Roman" w:hAnsi="Times New Roman" w:cs="Times New Roman" w:eastAsia="Times New Roman" w:hint="default"/>
                <w:sz w:val="18"/>
                <w:szCs w:val="18"/>
              </w:rPr>
            </w:pPr>
            <w:r>
              <w:rPr>
                <w:rFonts w:ascii="Times New Roman"/>
                <w:sz w:val="18"/>
              </w:rPr>
              <w:t>940,043,99</w:t>
            </w:r>
          </w:p>
          <w:p>
            <w:pPr>
              <w:pStyle w:val="TableParagraph"/>
              <w:spacing w:line="240" w:lineRule="auto" w:before="105"/>
              <w:ind w:left="600" w:right="0"/>
              <w:jc w:val="left"/>
              <w:rPr>
                <w:rFonts w:ascii="Times New Roman" w:hAnsi="Times New Roman" w:cs="Times New Roman" w:eastAsia="Times New Roman" w:hint="default"/>
                <w:sz w:val="18"/>
                <w:szCs w:val="18"/>
              </w:rPr>
            </w:pPr>
            <w:r>
              <w:rPr>
                <w:rFonts w:ascii="Times New Roman"/>
                <w:sz w:val="18"/>
              </w:rPr>
              <w:t>7.42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Times New Roman" w:hAnsi="Times New Roman" w:cs="Times New Roman" w:eastAsia="Times New Roman" w:hint="default"/>
                <w:sz w:val="18"/>
                <w:szCs w:val="18"/>
              </w:rPr>
            </w:pPr>
            <w:r>
              <w:rPr>
                <w:rFonts w:ascii="Times New Roman"/>
                <w:sz w:val="18"/>
              </w:rPr>
              <w:t>253,203,30</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0.47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pacing w:val="-1"/>
                <w:sz w:val="18"/>
              </w:rPr>
              <w:t>44,405,427.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pacing w:val="-1"/>
                <w:sz w:val="18"/>
              </w:rPr>
              <w:t>3,196,092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.32</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98" w:right="0"/>
              <w:jc w:val="left"/>
              <w:rPr>
                <w:rFonts w:ascii="Times New Roman" w:hAnsi="Times New Roman" w:cs="Times New Roman" w:eastAsia="Times New Roman" w:hint="default"/>
                <w:sz w:val="18"/>
                <w:szCs w:val="18"/>
              </w:rPr>
            </w:pPr>
            <w:r>
              <w:rPr>
                <w:rFonts w:ascii="Times New Roman"/>
                <w:sz w:val="18"/>
              </w:rPr>
              <w:t>2,554,966.35</w:t>
            </w:r>
          </w:p>
        </w:tc>
      </w:tr>
    </w:tbl>
    <w:p>
      <w:pPr>
        <w:pStyle w:val="BodyText"/>
        <w:spacing w:line="240" w:lineRule="auto" w:before="49"/>
        <w:ind w:left="532" w:right="0"/>
        <w:jc w:val="both"/>
      </w:pPr>
      <w:r>
        <w:rPr/>
        <w:t>主要子公司、参股公司情况说明</w:t>
      </w:r>
    </w:p>
    <w:p>
      <w:pPr>
        <w:pStyle w:val="BodyText"/>
        <w:spacing w:line="240" w:lineRule="auto" w:before="117"/>
        <w:ind w:left="893" w:right="0"/>
        <w:jc w:val="left"/>
      </w:pPr>
      <w:r>
        <w:rPr/>
        <w:t>（</w:t>
      </w:r>
      <w:r>
        <w:rPr>
          <w:rFonts w:ascii="Times New Roman" w:hAnsi="Times New Roman" w:cs="Times New Roman" w:eastAsia="Times New Roman" w:hint="default"/>
        </w:rPr>
        <w:t>1</w:t>
      </w:r>
      <w:r>
        <w:rPr/>
        <w:t>）广州御银自动柜员机技术有限公司</w:t>
      </w:r>
    </w:p>
    <w:p>
      <w:pPr>
        <w:pStyle w:val="BodyText"/>
        <w:spacing w:line="300" w:lineRule="auto" w:before="63"/>
        <w:ind w:left="532" w:right="460"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日，鉴于御银自动柜员机经营发展的需要，公司第四届董事会第二次会议审议通过了《关于全资子公司广 州御银自动柜员机技术有限公司增资的议案》，通过公司全资子公司广州御新以现金出资方式对御银自动柜员机增资</w:t>
      </w:r>
      <w:r>
        <w:rPr>
          <w:rFonts w:ascii="Times New Roman" w:hAnsi="Times New Roman" w:cs="Times New Roman" w:eastAsia="Times New Roman" w:hint="default"/>
        </w:rPr>
        <w:t>3,000</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spacing w:val="-3"/>
        </w:rPr>
        <w:t>万元。御银自动柜员机的注册资本由原来的人民币</w:t>
      </w:r>
      <w:r>
        <w:rPr>
          <w:rFonts w:ascii="Times New Roman" w:hAnsi="Times New Roman" w:cs="Times New Roman" w:eastAsia="Times New Roman" w:hint="default"/>
          <w:spacing w:val="-3"/>
        </w:rPr>
        <w:t>2,000</w:t>
      </w:r>
      <w:r>
        <w:rPr>
          <w:spacing w:val="-3"/>
        </w:rPr>
        <w:t>万元变更为人民币</w:t>
      </w:r>
      <w:r>
        <w:rPr>
          <w:rFonts w:ascii="Times New Roman" w:hAnsi="Times New Roman" w:cs="Times New Roman" w:eastAsia="Times New Roman" w:hint="default"/>
          <w:spacing w:val="-3"/>
        </w:rPr>
        <w:t>5,000</w:t>
      </w:r>
      <w:r>
        <w:rPr>
          <w:spacing w:val="-3"/>
        </w:rPr>
        <w:t>万元。并于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29</w:t>
      </w:r>
      <w:r>
        <w:rPr>
          <w:spacing w:val="-3"/>
        </w:rPr>
        <w:t>日完成工商变更登记。</w:t>
      </w:r>
    </w:p>
    <w:p>
      <w:pPr>
        <w:pStyle w:val="BodyText"/>
        <w:spacing w:line="300" w:lineRule="auto" w:before="13"/>
        <w:ind w:left="893"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）北京青年御银科技有限责任公司 </w:t>
      </w:r>
      <w:r>
        <w:rPr>
          <w:spacing w:val="-2"/>
        </w:rPr>
        <w:t>北京青年御银科技有限责任公司由北京青年旅行社股份有限公司、广州御银科技股份有限公司共同组建，于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w:t>
      </w:r>
    </w:p>
    <w:p>
      <w:pPr>
        <w:pStyle w:val="BodyText"/>
        <w:spacing w:line="300" w:lineRule="auto" w:before="13"/>
        <w:ind w:left="532" w:right="551"/>
        <w:jc w:val="both"/>
      </w:pPr>
      <w:r>
        <w:rPr/>
        <w:t>日取得北京市工商行政管理局核发的企业法人营业执照，注册号</w:t>
      </w:r>
      <w:r>
        <w:rPr>
          <w:rFonts w:ascii="Times New Roman" w:hAnsi="Times New Roman" w:cs="Times New Roman" w:eastAsia="Times New Roman" w:hint="default"/>
        </w:rPr>
        <w:t>110302013188707</w:t>
      </w:r>
      <w:r>
        <w:rPr/>
        <w:t>，原注册资本为人民币</w:t>
      </w:r>
      <w:r>
        <w:rPr>
          <w:rFonts w:ascii="Times New Roman" w:hAnsi="Times New Roman" w:cs="Times New Roman" w:eastAsia="Times New Roman" w:hint="default"/>
        </w:rPr>
        <w:t>1000</w:t>
      </w:r>
      <w:r>
        <w:rPr/>
        <w:t>万元，实收资 本</w:t>
      </w:r>
      <w:r>
        <w:rPr>
          <w:rFonts w:ascii="Times New Roman" w:hAnsi="Times New Roman" w:cs="Times New Roman" w:eastAsia="Times New Roman" w:hint="default"/>
        </w:rPr>
        <w:t>200</w:t>
      </w:r>
      <w:r>
        <w:rPr/>
        <w:t>万元（广州御银科技股份有限公司以货币投入）。根据北京青年御银科技有限责任公司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日召开的第一届第</w:t>
      </w:r>
      <w:r>
        <w:rPr>
          <w:spacing w:val="-85"/>
        </w:rPr>
        <w:t> </w:t>
      </w:r>
      <w:r>
        <w:rPr>
          <w:spacing w:val="-2"/>
        </w:rPr>
        <w:t>一次股东会决议和修改后公司章程的规定，公司申请减少注册资本人民币</w:t>
      </w:r>
      <w:r>
        <w:rPr>
          <w:rFonts w:ascii="Times New Roman" w:hAnsi="Times New Roman" w:cs="Times New Roman" w:eastAsia="Times New Roman" w:hint="default"/>
          <w:spacing w:val="-2"/>
        </w:rPr>
        <w:t>800</w:t>
      </w:r>
      <w:r>
        <w:rPr>
          <w:spacing w:val="-2"/>
        </w:rPr>
        <w:t>万元，变更后的注册资本为人民币</w:t>
      </w:r>
      <w:r>
        <w:rPr>
          <w:rFonts w:ascii="Times New Roman" w:hAnsi="Times New Roman" w:cs="Times New Roman" w:eastAsia="Times New Roman" w:hint="default"/>
          <w:spacing w:val="-2"/>
        </w:rPr>
        <w:t>200</w:t>
      </w:r>
      <w:r>
        <w:rPr>
          <w:spacing w:val="-2"/>
        </w:rPr>
        <w:t>万元，实</w:t>
      </w:r>
      <w:r>
        <w:rPr>
          <w:spacing w:val="-61"/>
        </w:rPr>
        <w:t> </w:t>
      </w:r>
      <w:r>
        <w:rPr>
          <w:spacing w:val="-61"/>
        </w:rPr>
      </w:r>
      <w:r>
        <w:rPr>
          <w:spacing w:val="-2"/>
        </w:rPr>
        <w:t>收资本</w:t>
      </w:r>
      <w:r>
        <w:rPr>
          <w:rFonts w:ascii="Times New Roman" w:hAnsi="Times New Roman" w:cs="Times New Roman" w:eastAsia="Times New Roman" w:hint="default"/>
          <w:spacing w:val="-2"/>
        </w:rPr>
        <w:t>200</w:t>
      </w:r>
      <w:r>
        <w:rPr>
          <w:spacing w:val="-2"/>
        </w:rPr>
        <w:t>万元，全部由广州御银科技股份有限公司出资。北京青年御银科技有限责任公司已于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28</w:t>
      </w:r>
      <w:r>
        <w:rPr>
          <w:spacing w:val="-2"/>
        </w:rPr>
        <w:t>日办理注册资本</w:t>
      </w:r>
      <w:r>
        <w:rPr>
          <w:spacing w:val="-58"/>
        </w:rPr>
        <w:t> </w:t>
      </w:r>
      <w:r>
        <w:rPr>
          <w:spacing w:val="-58"/>
        </w:rPr>
      </w:r>
      <w:r>
        <w:rPr/>
        <w:t>变更登记，广州御银科技股份有限公司对北京青年御银科技有限责任公司从</w:t>
      </w:r>
      <w:r>
        <w:rPr>
          <w:rFonts w:ascii="Times New Roman" w:hAnsi="Times New Roman" w:cs="Times New Roman" w:eastAsia="Times New Roman" w:hint="default"/>
        </w:rPr>
        <w:t>20%</w:t>
      </w:r>
      <w:r>
        <w:rPr/>
        <w:t>的股权变更为</w:t>
      </w:r>
      <w:r>
        <w:rPr>
          <w:rFonts w:ascii="Times New Roman" w:hAnsi="Times New Roman" w:cs="Times New Roman" w:eastAsia="Times New Roman" w:hint="default"/>
        </w:rPr>
        <w:t>100%</w:t>
      </w:r>
      <w:r>
        <w:rPr/>
        <w:t>。</w:t>
      </w:r>
    </w:p>
    <w:p>
      <w:pPr>
        <w:pStyle w:val="BodyText"/>
        <w:spacing w:line="240" w:lineRule="auto" w:before="53"/>
        <w:ind w:left="532" w:right="0"/>
        <w:jc w:val="both"/>
      </w:pPr>
      <w:r>
        <w:rPr/>
        <w:t>报告期内取得和处置子公司的情况</w:t>
      </w:r>
    </w:p>
    <w:p>
      <w:pPr>
        <w:pStyle w:val="BodyText"/>
        <w:spacing w:line="240" w:lineRule="auto" w:before="115"/>
        <w:ind w:left="532"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696"/>
        <w:gridCol w:w="2977"/>
        <w:gridCol w:w="2696"/>
        <w:gridCol w:w="2127"/>
      </w:tblGrid>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报告期内取得和处置子公司目的</w:t>
            </w:r>
          </w:p>
        </w:tc>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北京青年御银科技有限责任公司</w:t>
            </w:r>
          </w:p>
        </w:tc>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37"/>
              <w:jc w:val="center"/>
              <w:rPr>
                <w:rFonts w:ascii="宋体" w:hAnsi="宋体" w:cs="宋体" w:eastAsia="宋体" w:hint="default"/>
                <w:sz w:val="18"/>
                <w:szCs w:val="18"/>
              </w:rPr>
            </w:pPr>
            <w:r>
              <w:rPr>
                <w:rFonts w:ascii="宋体" w:hAnsi="宋体" w:cs="宋体" w:eastAsia="宋体" w:hint="default"/>
                <w:sz w:val="18"/>
                <w:szCs w:val="18"/>
              </w:rPr>
              <w:t>开展技术开发、技术咨询与服务业务</w:t>
            </w:r>
          </w:p>
        </w:tc>
        <w:tc>
          <w:tcPr>
            <w:tcW w:w="269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减资，股权由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变更为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p>
        </w:tc>
        <w:tc>
          <w:tcPr>
            <w:tcW w:w="212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-84,051.02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bl>
    <w:p>
      <w:pPr>
        <w:spacing w:line="240" w:lineRule="auto" w:before="3"/>
        <w:rPr>
          <w:rFonts w:ascii="宋体" w:hAnsi="宋体" w:cs="宋体" w:eastAsia="宋体" w:hint="default"/>
          <w:sz w:val="19"/>
          <w:szCs w:val="19"/>
        </w:rPr>
      </w:pPr>
    </w:p>
    <w:p>
      <w:pPr>
        <w:pStyle w:val="Heading3"/>
        <w:spacing w:line="240" w:lineRule="auto" w:before="36"/>
        <w:ind w:left="532" w:right="0"/>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551"/>
        <w:jc w:val="right"/>
      </w:pPr>
      <w:r>
        <w:rPr/>
        <w:t>单位：万元</w:t>
      </w:r>
    </w:p>
    <w:p>
      <w:pPr>
        <w:spacing w:line="240" w:lineRule="auto" w:before="4"/>
        <w:rPr>
          <w:rFonts w:ascii="宋体" w:hAnsi="宋体" w:cs="宋体" w:eastAsia="宋体" w:hint="default"/>
          <w:sz w:val="8"/>
          <w:szCs w:val="8"/>
        </w:rPr>
      </w:pPr>
    </w:p>
    <w:tbl>
      <w:tblPr>
        <w:tblW w:w="0" w:type="auto"/>
        <w:jc w:val="left"/>
        <w:tblInd w:w="529" w:type="dxa"/>
        <w:tblLayout w:type="fixed"/>
        <w:tblCellMar>
          <w:top w:w="0" w:type="dxa"/>
          <w:left w:w="0" w:type="dxa"/>
          <w:bottom w:w="0" w:type="dxa"/>
          <w:right w:w="0" w:type="dxa"/>
        </w:tblCellMar>
        <w:tblLook w:val="01E0"/>
      </w:tblPr>
      <w:tblGrid>
        <w:gridCol w:w="2267"/>
        <w:gridCol w:w="853"/>
        <w:gridCol w:w="1416"/>
        <w:gridCol w:w="2410"/>
        <w:gridCol w:w="1028"/>
        <w:gridCol w:w="1594"/>
      </w:tblGrid>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z w:val="18"/>
                <w:szCs w:val="18"/>
              </w:rPr>
              <w:t>投资总额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截至期末累计实际投入金额</w:t>
            </w:r>
          </w:p>
        </w:tc>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设备扩大产能投资项目</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5,041.85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5,119.29</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47.13%</w:t>
            </w:r>
          </w:p>
        </w:tc>
        <w:tc>
          <w:tcPr>
            <w:tcW w:w="15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94"/>
              <w:jc w:val="center"/>
              <w:rPr>
                <w:rFonts w:ascii="宋体" w:hAnsi="宋体" w:cs="宋体" w:eastAsia="宋体" w:hint="default"/>
                <w:sz w:val="18"/>
                <w:szCs w:val="18"/>
              </w:rPr>
            </w:pPr>
            <w:r>
              <w:rPr>
                <w:rFonts w:ascii="宋体" w:hAnsi="宋体" w:cs="宋体" w:eastAsia="宋体" w:hint="default"/>
                <w:sz w:val="18"/>
                <w:szCs w:val="18"/>
              </w:rPr>
              <w:t>未达到可使用状态</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御银科技园区投资项目</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19,871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488.29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498.44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w:t>
            </w:r>
          </w:p>
        </w:tc>
        <w:tc>
          <w:tcPr>
            <w:tcW w:w="15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94"/>
              <w:jc w:val="center"/>
              <w:rPr>
                <w:rFonts w:ascii="宋体" w:hAnsi="宋体" w:cs="宋体" w:eastAsia="宋体" w:hint="default"/>
                <w:sz w:val="18"/>
                <w:szCs w:val="18"/>
              </w:rPr>
            </w:pPr>
            <w:r>
              <w:rPr>
                <w:rFonts w:ascii="宋体" w:hAnsi="宋体" w:cs="宋体" w:eastAsia="宋体" w:hint="default"/>
                <w:sz w:val="18"/>
                <w:szCs w:val="18"/>
              </w:rPr>
              <w:t>未达到可使用状态</w:t>
            </w:r>
          </w:p>
        </w:tc>
      </w:tr>
    </w:tbl>
    <w:p>
      <w:pPr>
        <w:spacing w:after="0" w:line="240" w:lineRule="auto"/>
        <w:jc w:val="center"/>
        <w:rPr>
          <w:rFonts w:ascii="宋体" w:hAnsi="宋体" w:cs="宋体" w:eastAsia="宋体" w:hint="default"/>
          <w:sz w:val="18"/>
          <w:szCs w:val="18"/>
        </w:rPr>
        <w:sectPr>
          <w:pgSz w:w="11910" w:h="16840"/>
          <w:pgMar w:header="745" w:footer="980" w:top="1060" w:bottom="1160" w:left="600" w:right="5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56"/>
        <w:gridCol w:w="863"/>
        <w:gridCol w:w="1416"/>
        <w:gridCol w:w="2422"/>
        <w:gridCol w:w="1016"/>
        <w:gridCol w:w="1594"/>
      </w:tblGrid>
      <w:tr>
        <w:trPr>
          <w:trHeight w:val="408" w:hRule="exact"/>
        </w:trPr>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329" w:right="0"/>
              <w:jc w:val="left"/>
              <w:rPr>
                <w:rFonts w:ascii="Times New Roman" w:hAnsi="Times New Roman" w:cs="Times New Roman" w:eastAsia="Times New Roman" w:hint="default"/>
                <w:sz w:val="18"/>
                <w:szCs w:val="18"/>
              </w:rPr>
            </w:pPr>
            <w:r>
              <w:rPr>
                <w:rFonts w:ascii="Times New Roman"/>
                <w:sz w:val="18"/>
              </w:rPr>
              <w:t>33,871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3" w:right="0"/>
              <w:jc w:val="left"/>
              <w:rPr>
                <w:rFonts w:ascii="Times New Roman" w:hAnsi="Times New Roman" w:cs="Times New Roman" w:eastAsia="Times New Roman" w:hint="default"/>
                <w:sz w:val="18"/>
                <w:szCs w:val="18"/>
              </w:rPr>
            </w:pPr>
            <w:r>
              <w:rPr>
                <w:rFonts w:ascii="Times New Roman"/>
                <w:sz w:val="18"/>
              </w:rPr>
              <w:t>5,530.14</w:t>
            </w:r>
          </w:p>
        </w:tc>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5,617.73</w:t>
            </w:r>
          </w:p>
        </w:tc>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r>
        <w:trPr>
          <w:trHeight w:val="6219"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设备扩大产能投资项目</w:t>
            </w:r>
          </w:p>
          <w:p>
            <w:pPr>
              <w:pStyle w:val="TableParagraph"/>
              <w:spacing w:line="300" w:lineRule="auto" w:before="101"/>
              <w:ind w:left="22" w:right="61" w:firstLine="36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日召开了第三届十六次董事会审议通过了《关于控股子公司广州御银自动柜员机技术有限 公司扩大 </w:t>
            </w:r>
            <w:r>
              <w:rPr>
                <w:rFonts w:ascii="Times New Roman" w:hAnsi="Times New Roman" w:cs="Times New Roman" w:eastAsia="Times New Roman" w:hint="default"/>
                <w:spacing w:val="-8"/>
                <w:w w:val="99"/>
                <w:sz w:val="18"/>
                <w:szCs w:val="18"/>
              </w:rPr>
              <w:t>ATM</w:t>
            </w:r>
            <w:r>
              <w:rPr>
                <w:rFonts w:ascii="Times New Roman" w:hAnsi="Times New Roman" w:cs="Times New Roman" w:eastAsia="Times New Roman" w:hint="default"/>
                <w:spacing w:val="4"/>
                <w:w w:val="99"/>
                <w:sz w:val="18"/>
                <w:szCs w:val="18"/>
              </w:rPr>
              <w:t> </w:t>
            </w:r>
            <w:r>
              <w:rPr>
                <w:rFonts w:ascii="宋体" w:hAnsi="宋体" w:cs="宋体" w:eastAsia="宋体" w:hint="default"/>
                <w:spacing w:val="-2"/>
                <w:sz w:val="18"/>
                <w:szCs w:val="18"/>
              </w:rPr>
              <w:t>设备产能投资项目的议案》，本项目建设地点在广州开发区科学城瑞和路以西南、规划路以东南，计划投</w:t>
            </w:r>
            <w:r>
              <w:rPr>
                <w:rFonts w:ascii="宋体" w:hAnsi="宋体" w:cs="宋体" w:eastAsia="宋体" w:hint="default"/>
                <w:sz w:val="18"/>
                <w:szCs w:val="18"/>
              </w:rPr>
              <w:t> 资总额为 </w:t>
            </w:r>
            <w:r>
              <w:rPr>
                <w:rFonts w:ascii="Times New Roman" w:hAnsi="Times New Roman" w:cs="Times New Roman" w:eastAsia="Times New Roman" w:hint="default"/>
                <w:sz w:val="18"/>
                <w:szCs w:val="18"/>
              </w:rPr>
              <w:t>28,500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万元，全部由公司自有资金或银行贷款投资，其中新增固定资产投资（含土地、厂房、设备等）</w:t>
            </w:r>
            <w:r>
              <w:rPr>
                <w:rFonts w:ascii="Times New Roman" w:hAnsi="Times New Roman" w:cs="Times New Roman" w:eastAsia="Times New Roman" w:hint="default"/>
                <w:sz w:val="18"/>
                <w:szCs w:val="18"/>
              </w:rPr>
              <w:t>22,500</w:t>
            </w:r>
          </w:p>
          <w:p>
            <w:pPr>
              <w:pStyle w:val="TableParagraph"/>
              <w:spacing w:line="340" w:lineRule="auto" w:before="13"/>
              <w:ind w:left="383" w:right="21" w:hanging="361"/>
              <w:jc w:val="left"/>
              <w:rPr>
                <w:rFonts w:ascii="宋体" w:hAnsi="宋体" w:cs="宋体" w:eastAsia="宋体" w:hint="default"/>
                <w:sz w:val="18"/>
                <w:szCs w:val="18"/>
              </w:rPr>
            </w:pPr>
            <w:r>
              <w:rPr>
                <w:rFonts w:ascii="宋体" w:hAnsi="宋体" w:cs="宋体" w:eastAsia="宋体" w:hint="default"/>
                <w:sz w:val="18"/>
                <w:szCs w:val="18"/>
              </w:rPr>
              <w:t>万元，铺底流动资金 </w:t>
            </w:r>
            <w:r>
              <w:rPr>
                <w:rFonts w:ascii="Times New Roman" w:hAnsi="Times New Roman" w:cs="Times New Roman" w:eastAsia="Times New Roman" w:hint="default"/>
                <w:sz w:val="18"/>
                <w:szCs w:val="18"/>
              </w:rPr>
              <w:t>6,000 </w:t>
            </w:r>
            <w:r>
              <w:rPr>
                <w:rFonts w:ascii="宋体" w:hAnsi="宋体" w:cs="宋体" w:eastAsia="宋体" w:hint="default"/>
                <w:sz w:val="18"/>
                <w:szCs w:val="18"/>
              </w:rPr>
              <w:t>万元，预计产能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年。 </w:t>
            </w:r>
            <w:r>
              <w:rPr>
                <w:rFonts w:ascii="宋体" w:hAnsi="宋体" w:cs="宋体" w:eastAsia="宋体" w:hint="default"/>
                <w:spacing w:val="-1"/>
                <w:sz w:val="18"/>
                <w:szCs w:val="18"/>
              </w:rPr>
              <w:t>考虑到为满足公司未来的发展规划及实际经营发展需要，更好的提高公司自主创新、自主品牌开发能力，提升市场竞</w:t>
            </w:r>
          </w:p>
          <w:p>
            <w:pPr>
              <w:pStyle w:val="TableParagraph"/>
              <w:spacing w:line="304" w:lineRule="auto" w:before="1"/>
              <w:ind w:left="22" w:right="-5"/>
              <w:jc w:val="left"/>
              <w:rPr>
                <w:rFonts w:ascii="宋体" w:hAnsi="宋体" w:cs="宋体" w:eastAsia="宋体" w:hint="default"/>
                <w:sz w:val="18"/>
                <w:szCs w:val="18"/>
              </w:rPr>
            </w:pPr>
            <w:r>
              <w:rPr>
                <w:rFonts w:ascii="宋体" w:hAnsi="宋体" w:cs="宋体" w:eastAsia="宋体" w:hint="default"/>
                <w:sz w:val="18"/>
                <w:szCs w:val="18"/>
              </w:rPr>
              <w:t>争力，公司在不影响 </w:t>
            </w:r>
            <w:r>
              <w:rPr>
                <w:rFonts w:ascii="Times New Roman" w:hAnsi="Times New Roman" w:cs="Times New Roman" w:eastAsia="Times New Roman" w:hint="default"/>
                <w:spacing w:val="-8"/>
                <w:sz w:val="18"/>
                <w:szCs w:val="18"/>
              </w:rPr>
              <w:t>ATM </w:t>
            </w:r>
            <w:r>
              <w:rPr>
                <w:rFonts w:ascii="宋体" w:hAnsi="宋体" w:cs="宋体" w:eastAsia="宋体" w:hint="default"/>
                <w:sz w:val="18"/>
                <w:szCs w:val="18"/>
              </w:rPr>
              <w:t>设备产能规模的前提下，将 </w:t>
            </w:r>
            <w:r>
              <w:rPr>
                <w:rFonts w:ascii="Times New Roman" w:hAnsi="Times New Roman" w:cs="Times New Roman" w:eastAsia="Times New Roman" w:hint="default"/>
                <w:spacing w:val="-8"/>
                <w:sz w:val="18"/>
                <w:szCs w:val="18"/>
              </w:rPr>
              <w:t>ATM </w:t>
            </w:r>
            <w:r>
              <w:rPr>
                <w:rFonts w:ascii="宋体" w:hAnsi="宋体" w:cs="宋体" w:eastAsia="宋体" w:hint="default"/>
                <w:sz w:val="18"/>
                <w:szCs w:val="18"/>
              </w:rPr>
              <w:t>设备产能项目投资总额 </w:t>
            </w:r>
            <w:r>
              <w:rPr>
                <w:rFonts w:ascii="Times New Roman" w:hAnsi="Times New Roman" w:cs="Times New Roman" w:eastAsia="Times New Roman" w:hint="default"/>
                <w:sz w:val="18"/>
                <w:szCs w:val="18"/>
              </w:rPr>
              <w:t>28,500 </w:t>
            </w:r>
            <w:r>
              <w:rPr>
                <w:rFonts w:ascii="宋体" w:hAnsi="宋体" w:cs="宋体" w:eastAsia="宋体" w:hint="default"/>
                <w:sz w:val="18"/>
                <w:szCs w:val="18"/>
              </w:rPr>
              <w:t>万元调整为 </w:t>
            </w:r>
            <w:r>
              <w:rPr>
                <w:rFonts w:ascii="Times New Roman" w:hAnsi="Times New Roman" w:cs="Times New Roman" w:eastAsia="Times New Roman" w:hint="default"/>
                <w:sz w:val="18"/>
                <w:szCs w:val="18"/>
              </w:rPr>
              <w:t>14,000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 调整后：其中新增固定资产投资（含土地、厂房、设备等）</w:t>
            </w:r>
            <w:r>
              <w:rPr>
                <w:rFonts w:ascii="Times New Roman" w:hAnsi="Times New Roman" w:cs="Times New Roman" w:eastAsia="Times New Roman" w:hint="default"/>
                <w:sz w:val="18"/>
                <w:szCs w:val="18"/>
              </w:rPr>
              <w:t>12,510 </w:t>
            </w:r>
            <w:r>
              <w:rPr>
                <w:rFonts w:ascii="宋体" w:hAnsi="宋体" w:cs="宋体" w:eastAsia="宋体" w:hint="default"/>
                <w:sz w:val="18"/>
                <w:szCs w:val="18"/>
              </w:rPr>
              <w:t>万元，铺底流动资金 </w:t>
            </w:r>
            <w:r>
              <w:rPr>
                <w:rFonts w:ascii="Times New Roman" w:hAnsi="Times New Roman" w:cs="Times New Roman" w:eastAsia="Times New Roman" w:hint="default"/>
                <w:sz w:val="18"/>
                <w:szCs w:val="18"/>
              </w:rPr>
              <w:t>1,490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万元。结余资金将在广州 天河区软件园高唐新建区高唐大道地段建设御银科技园区投资项目，打造公司成为银行自助产品世界级研发、生产基地， </w:t>
            </w:r>
            <w:r>
              <w:rPr>
                <w:rFonts w:ascii="宋体" w:hAnsi="宋体" w:cs="宋体" w:eastAsia="宋体" w:hint="default"/>
                <w:spacing w:val="-3"/>
                <w:sz w:val="18"/>
                <w:szCs w:val="18"/>
              </w:rPr>
              <w:t>使公司成为国际知名的银行自助设备供应商之一。（详见刊登于巨潮资讯网</w:t>
            </w:r>
            <w:r>
              <w:rPr>
                <w:rFonts w:ascii="宋体" w:hAnsi="宋体" w:cs="宋体" w:eastAsia="宋体" w:hint="default"/>
                <w:spacing w:val="-41"/>
                <w:sz w:val="18"/>
                <w:szCs w:val="18"/>
              </w:rPr>
              <w:t> </w:t>
            </w:r>
            <w:hyperlink r:id="rId12">
              <w:r>
                <w:rPr>
                  <w:rFonts w:ascii="Times New Roman" w:hAnsi="Times New Roman" w:cs="Times New Roman" w:eastAsia="Times New Roman" w:hint="default"/>
                  <w:spacing w:val="-1"/>
                  <w:w w:val="99"/>
                  <w:sz w:val="18"/>
                  <w:szCs w:val="18"/>
                </w:rPr>
                <w:t>http://www.cninfo.com.cn</w:t>
              </w:r>
            </w:hyperlink>
            <w:r>
              <w:rPr>
                <w:rFonts w:ascii="Times New Roman" w:hAnsi="Times New Roman" w:cs="Times New Roman" w:eastAsia="Times New Roman" w:hint="default"/>
                <w:spacing w:val="5"/>
                <w:w w:val="99"/>
                <w:sz w:val="18"/>
                <w:szCs w:val="18"/>
              </w:rPr>
              <w:t> </w:t>
            </w:r>
            <w:r>
              <w:rPr>
                <w:rFonts w:ascii="宋体" w:hAnsi="宋体" w:cs="宋体" w:eastAsia="宋体" w:hint="default"/>
                <w:sz w:val="18"/>
                <w:szCs w:val="18"/>
              </w:rPr>
              <w:t>的《关于调整控股子</w:t>
            </w:r>
            <w:r>
              <w:rPr>
                <w:rFonts w:ascii="宋体" w:hAnsi="宋体" w:cs="宋体" w:eastAsia="宋体" w:hint="default"/>
                <w:spacing w:val="-85"/>
                <w:sz w:val="18"/>
                <w:szCs w:val="18"/>
              </w:rPr>
              <w:t> </w:t>
            </w:r>
            <w:r>
              <w:rPr>
                <w:rFonts w:ascii="宋体" w:hAnsi="宋体" w:cs="宋体" w:eastAsia="宋体" w:hint="default"/>
                <w:sz w:val="18"/>
                <w:szCs w:val="18"/>
              </w:rPr>
              <w:t>公司广州御银自动柜员机技术有限公司 </w:t>
            </w:r>
            <w:r>
              <w:rPr>
                <w:rFonts w:ascii="Times New Roman" w:hAnsi="Times New Roman" w:cs="Times New Roman" w:eastAsia="Times New Roman" w:hint="default"/>
                <w:spacing w:val="-8"/>
                <w:w w:val="99"/>
                <w:sz w:val="18"/>
                <w:szCs w:val="18"/>
              </w:rPr>
              <w:t>ATM</w:t>
            </w:r>
            <w:r>
              <w:rPr>
                <w:rFonts w:ascii="Times New Roman" w:hAnsi="Times New Roman" w:cs="Times New Roman" w:eastAsia="Times New Roman" w:hint="default"/>
                <w:spacing w:val="-16"/>
                <w:w w:val="99"/>
                <w:sz w:val="18"/>
                <w:szCs w:val="18"/>
              </w:rPr>
              <w:t> </w:t>
            </w:r>
            <w:r>
              <w:rPr>
                <w:rFonts w:ascii="宋体" w:hAnsi="宋体" w:cs="宋体" w:eastAsia="宋体" w:hint="default"/>
                <w:spacing w:val="-10"/>
                <w:sz w:val="18"/>
                <w:szCs w:val="18"/>
              </w:rPr>
              <w:t>设备产能项目投资总额的公告》（公告编号：</w:t>
            </w:r>
            <w:r>
              <w:rPr>
                <w:rFonts w:ascii="Times New Roman" w:hAnsi="Times New Roman" w:cs="Times New Roman" w:eastAsia="Times New Roman" w:hint="default"/>
                <w:spacing w:val="-10"/>
                <w:sz w:val="18"/>
                <w:szCs w:val="18"/>
              </w:rPr>
              <w:t>2013-003</w:t>
            </w:r>
            <w:r>
              <w:rPr>
                <w:rFonts w:ascii="宋体" w:hAnsi="宋体" w:cs="宋体" w:eastAsia="宋体" w:hint="default"/>
                <w:spacing w:val="-10"/>
                <w:sz w:val="18"/>
                <w:szCs w:val="18"/>
              </w:rPr>
              <w:t>））</w:t>
            </w:r>
            <w:r>
              <w:rPr>
                <w:rFonts w:ascii="宋体" w:hAnsi="宋体" w:cs="宋体" w:eastAsia="宋体" w:hint="default"/>
                <w:sz w:val="18"/>
                <w:szCs w:val="18"/>
              </w:rPr>
            </w:r>
          </w:p>
          <w:p>
            <w:pPr>
              <w:pStyle w:val="TableParagraph"/>
              <w:spacing w:line="338" w:lineRule="auto" w:before="50"/>
              <w:ind w:left="383" w:right="96"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御银科技园区投资项目</w:t>
            </w:r>
            <w:r>
              <w:rPr>
                <w:rFonts w:ascii="宋体" w:hAnsi="宋体" w:cs="宋体" w:eastAsia="宋体" w:hint="default"/>
                <w:sz w:val="18"/>
                <w:szCs w:val="18"/>
              </w:rPr>
              <w:t> 围绕公司战略目标，公司在广州市天河软件园高唐新建区高唐大道建设</w:t>
            </w:r>
            <w:r>
              <w:rPr>
                <w:rFonts w:ascii="Times New Roman" w:hAnsi="Times New Roman" w:cs="Times New Roman" w:eastAsia="Times New Roman" w:hint="default"/>
                <w:sz w:val="18"/>
                <w:szCs w:val="18"/>
              </w:rPr>
              <w:t>“</w:t>
            </w:r>
            <w:r>
              <w:rPr>
                <w:rFonts w:ascii="宋体" w:hAnsi="宋体" w:cs="宋体" w:eastAsia="宋体" w:hint="default"/>
                <w:sz w:val="18"/>
                <w:szCs w:val="18"/>
              </w:rPr>
              <w:t>总部研发基地</w:t>
            </w:r>
            <w:r>
              <w:rPr>
                <w:rFonts w:ascii="Times New Roman" w:hAnsi="Times New Roman" w:cs="Times New Roman" w:eastAsia="Times New Roman" w:hint="default"/>
                <w:sz w:val="18"/>
                <w:szCs w:val="18"/>
              </w:rPr>
              <w:t>”</w:t>
            </w:r>
            <w:r>
              <w:rPr>
                <w:rFonts w:ascii="宋体" w:hAnsi="宋体" w:cs="宋体" w:eastAsia="宋体" w:hint="default"/>
                <w:sz w:val="18"/>
                <w:szCs w:val="18"/>
              </w:rPr>
              <w:t>，项目征用土地 </w:t>
            </w:r>
            <w:r>
              <w:rPr>
                <w:rFonts w:ascii="Times New Roman" w:hAnsi="Times New Roman" w:cs="Times New Roman" w:eastAsia="Times New Roman" w:hint="default"/>
                <w:sz w:val="18"/>
                <w:szCs w:val="18"/>
              </w:rPr>
              <w:t>14693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w:t>
            </w:r>
          </w:p>
          <w:p>
            <w:pPr>
              <w:pStyle w:val="TableParagraph"/>
              <w:spacing w:line="230" w:lineRule="exact"/>
              <w:ind w:left="22" w:right="0"/>
              <w:jc w:val="left"/>
              <w:rPr>
                <w:rFonts w:ascii="宋体" w:hAnsi="宋体" w:cs="宋体" w:eastAsia="宋体" w:hint="default"/>
                <w:sz w:val="18"/>
                <w:szCs w:val="18"/>
              </w:rPr>
            </w:pPr>
            <w:r>
              <w:rPr>
                <w:rFonts w:ascii="宋体" w:hAnsi="宋体" w:cs="宋体" w:eastAsia="宋体" w:hint="default"/>
                <w:sz w:val="18"/>
                <w:szCs w:val="18"/>
              </w:rPr>
              <w:t>米，总投资 </w:t>
            </w:r>
            <w:r>
              <w:rPr>
                <w:rFonts w:ascii="Times New Roman" w:hAnsi="Times New Roman" w:cs="Times New Roman" w:eastAsia="Times New Roman" w:hint="default"/>
                <w:sz w:val="18"/>
                <w:szCs w:val="18"/>
              </w:rPr>
              <w:t>19,871  </w:t>
            </w:r>
            <w:r>
              <w:rPr>
                <w:rFonts w:ascii="宋体" w:hAnsi="宋体" w:cs="宋体" w:eastAsia="宋体" w:hint="default"/>
                <w:sz w:val="18"/>
                <w:szCs w:val="18"/>
              </w:rPr>
              <w:t>元。本项目建成后将形成同时承担 </w:t>
            </w:r>
            <w:r>
              <w:rPr>
                <w:rFonts w:ascii="Times New Roman" w:hAnsi="Times New Roman" w:cs="Times New Roman" w:eastAsia="Times New Roman" w:hint="default"/>
                <w:sz w:val="18"/>
                <w:szCs w:val="18"/>
              </w:rPr>
              <w:t>4  </w:t>
            </w:r>
            <w:r>
              <w:rPr>
                <w:rFonts w:ascii="宋体" w:hAnsi="宋体" w:cs="宋体" w:eastAsia="宋体" w:hint="default"/>
                <w:sz w:val="18"/>
                <w:szCs w:val="18"/>
              </w:rPr>
              <w:t>个机型的主导自主开发能力和规模；形成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年开发样机的</w:t>
            </w:r>
          </w:p>
          <w:p>
            <w:pPr>
              <w:pStyle w:val="TableParagraph"/>
              <w:spacing w:line="316" w:lineRule="auto" w:before="63"/>
              <w:ind w:left="22" w:right="22"/>
              <w:jc w:val="left"/>
              <w:rPr>
                <w:rFonts w:ascii="宋体" w:hAnsi="宋体" w:cs="宋体" w:eastAsia="宋体" w:hint="default"/>
                <w:sz w:val="18"/>
                <w:szCs w:val="18"/>
              </w:rPr>
            </w:pPr>
            <w:r>
              <w:rPr>
                <w:rFonts w:ascii="宋体" w:hAnsi="宋体" w:cs="宋体" w:eastAsia="宋体" w:hint="default"/>
                <w:spacing w:val="-1"/>
                <w:sz w:val="18"/>
                <w:szCs w:val="18"/>
              </w:rPr>
              <w:t>试制能力；形成涵盖自主品牌整机集成、出钞机芯、设备功能模块开发、新型单体机开发、产品升级换代、多功能交易系</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统机型设计开发与验证能力，自主研发能力和研发设施达到或部分达到国际先进水平。</w:t>
            </w:r>
          </w:p>
          <w:p>
            <w:pPr>
              <w:pStyle w:val="TableParagraph"/>
              <w:spacing w:line="300" w:lineRule="auto" w:before="59"/>
              <w:ind w:left="22" w:right="-10" w:firstLine="360"/>
              <w:jc w:val="both"/>
              <w:rPr>
                <w:rFonts w:ascii="宋体" w:hAnsi="宋体" w:cs="宋体" w:eastAsia="宋体" w:hint="default"/>
                <w:sz w:val="18"/>
                <w:szCs w:val="18"/>
              </w:rPr>
            </w:pPr>
            <w:r>
              <w:rPr>
                <w:rFonts w:ascii="宋体" w:hAnsi="宋体" w:cs="宋体" w:eastAsia="宋体" w:hint="default"/>
                <w:sz w:val="18"/>
                <w:szCs w:val="18"/>
              </w:rPr>
              <w:t>本项目投资总额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19,871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万元，其中新增固定资产投资（含土地、厂房、设备等）</w:t>
            </w:r>
            <w:r>
              <w:rPr>
                <w:rFonts w:ascii="Times New Roman" w:hAnsi="Times New Roman" w:cs="Times New Roman" w:eastAsia="Times New Roman" w:hint="default"/>
                <w:sz w:val="18"/>
                <w:szCs w:val="18"/>
              </w:rPr>
              <w:t>18,251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万元，财务成本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宋体" w:hAnsi="宋体" w:cs="宋体" w:eastAsia="宋体" w:hint="default"/>
                <w:spacing w:val="-3"/>
                <w:sz w:val="18"/>
                <w:szCs w:val="18"/>
              </w:rPr>
              <w:t>项目全部由公司自有资金或银行贷款投资。项目计划建设期</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pacing w:val="-12"/>
                <w:sz w:val="18"/>
                <w:szCs w:val="18"/>
              </w:rPr>
              <w:t>年。（详见刊登于巨潮资讯网</w:t>
            </w:r>
            <w:r>
              <w:rPr>
                <w:rFonts w:ascii="宋体" w:hAnsi="宋体" w:cs="宋体" w:eastAsia="宋体" w:hint="default"/>
                <w:spacing w:val="-38"/>
                <w:sz w:val="18"/>
                <w:szCs w:val="18"/>
              </w:rPr>
              <w:t> </w:t>
            </w:r>
            <w:hyperlink r:id="rId12">
              <w:r>
                <w:rPr>
                  <w:rFonts w:ascii="Times New Roman" w:hAnsi="Times New Roman" w:cs="Times New Roman" w:eastAsia="Times New Roman" w:hint="default"/>
                  <w:spacing w:val="-1"/>
                  <w:w w:val="99"/>
                  <w:sz w:val="18"/>
                  <w:szCs w:val="18"/>
                </w:rPr>
                <w:t>http://www.cninfo.com.cn</w:t>
              </w:r>
            </w:hyperlink>
            <w:r>
              <w:rPr>
                <w:rFonts w:ascii="Times New Roman" w:hAnsi="Times New Roman" w:cs="Times New Roman" w:eastAsia="Times New Roman" w:hint="default"/>
                <w:spacing w:val="9"/>
                <w:w w:val="99"/>
                <w:sz w:val="18"/>
                <w:szCs w:val="18"/>
              </w:rPr>
              <w:t> </w:t>
            </w:r>
            <w:r>
              <w:rPr>
                <w:rFonts w:ascii="宋体" w:hAnsi="宋体" w:cs="宋体" w:eastAsia="宋体" w:hint="default"/>
                <w:spacing w:val="-18"/>
                <w:sz w:val="18"/>
                <w:szCs w:val="18"/>
              </w:rPr>
              <w:t>的《关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9"/>
                <w:sz w:val="18"/>
                <w:szCs w:val="18"/>
              </w:rPr>
              <w:t>于建设御银科技园区投资项目的公告》（公告编号：</w:t>
            </w:r>
            <w:r>
              <w:rPr>
                <w:rFonts w:ascii="Times New Roman" w:hAnsi="Times New Roman" w:cs="Times New Roman" w:eastAsia="Times New Roman" w:hint="default"/>
                <w:spacing w:val="-9"/>
                <w:sz w:val="18"/>
                <w:szCs w:val="18"/>
              </w:rPr>
              <w:t>2013-004</w:t>
            </w:r>
            <w:r>
              <w:rPr>
                <w:rFonts w:ascii="宋体" w:hAnsi="宋体" w:cs="宋体" w:eastAsia="宋体" w:hint="default"/>
                <w:spacing w:val="-9"/>
                <w:sz w:val="18"/>
                <w:szCs w:val="18"/>
              </w:rPr>
              <w:t>））</w:t>
            </w:r>
            <w:r>
              <w:rPr>
                <w:rFonts w:ascii="宋体" w:hAnsi="宋体" w:cs="宋体" w:eastAsia="宋体" w:hint="default"/>
                <w:sz w:val="18"/>
                <w:szCs w:val="18"/>
              </w:rPr>
            </w:r>
          </w:p>
        </w:tc>
      </w:tr>
    </w:tbl>
    <w:p>
      <w:pPr>
        <w:spacing w:line="240" w:lineRule="auto" w:before="1"/>
        <w:rPr>
          <w:rFonts w:ascii="宋体" w:hAnsi="宋体" w:cs="宋体" w:eastAsia="宋体" w:hint="default"/>
          <w:sz w:val="18"/>
          <w:szCs w:val="18"/>
        </w:rPr>
      </w:pPr>
    </w:p>
    <w:p>
      <w:pPr>
        <w:pStyle w:val="Heading2"/>
        <w:spacing w:line="240" w:lineRule="auto" w:before="26"/>
        <w:ind w:right="113"/>
        <w:jc w:val="left"/>
        <w:rPr>
          <w:b w:val="0"/>
          <w:bCs w:val="0"/>
        </w:rPr>
      </w:pPr>
      <w:r>
        <w:rPr/>
        <w:t>七、公司控制的特殊目的主体情况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
        <w:jc w:val="left"/>
      </w:pPr>
      <w:r>
        <w:rPr>
          <w:rFonts w:ascii="Times New Roman" w:hAnsi="Times New Roman" w:cs="Times New Roman" w:eastAsia="Times New Roman" w:hint="default"/>
        </w:rPr>
        <w:t>□   </w:t>
      </w:r>
      <w:r>
        <w:rPr/>
        <w:t>适用</w:t>
      </w:r>
      <w:r>
        <w:rPr>
          <w:spacing w:val="-11"/>
        </w:rPr>
        <w:t>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4"/>
          <w:szCs w:val="24"/>
        </w:rPr>
      </w:pPr>
    </w:p>
    <w:p>
      <w:pPr>
        <w:pStyle w:val="Heading2"/>
        <w:spacing w:line="240" w:lineRule="auto"/>
        <w:ind w:right="113"/>
        <w:jc w:val="left"/>
        <w:rPr>
          <w:b w:val="0"/>
          <w:bCs w:val="0"/>
        </w:rPr>
      </w:pPr>
      <w:r>
        <w:rPr/>
        <w:t>八、公司未来发展的展望</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13"/>
        <w:jc w:val="left"/>
      </w:pPr>
      <w:r>
        <w:rPr>
          <w:rFonts w:ascii="宋体" w:hAnsi="宋体" w:cs="宋体" w:eastAsia="宋体" w:hint="default"/>
          <w:b/>
          <w:bCs/>
        </w:rPr>
        <w:t>（一）行业的发展趋势</w:t>
      </w:r>
      <w:r>
        <w:rPr>
          <w:rFonts w:ascii="宋体" w:hAnsi="宋体" w:cs="宋体" w:eastAsia="宋体" w:hint="default"/>
          <w:b/>
          <w:bCs/>
          <w:w w:val="99"/>
        </w:rPr>
        <w:t> </w:t>
      </w:r>
      <w:r>
        <w:rPr/>
        <w:t>随着中国城镇化及工业化进程推进和农村市场需求的释放，我国</w:t>
      </w:r>
      <w:r>
        <w:rPr>
          <w:rFonts w:ascii="Times New Roman" w:hAnsi="Times New Roman" w:cs="Times New Roman" w:eastAsia="Times New Roman" w:hint="default"/>
        </w:rPr>
        <w:t>ATM</w:t>
      </w:r>
      <w:r>
        <w:rPr/>
        <w:t>行业的市场需求呈现稳步上升之势。</w:t>
      </w:r>
      <w:r>
        <w:rPr>
          <w:rFonts w:ascii="Times New Roman" w:hAnsi="Times New Roman" w:cs="Times New Roman" w:eastAsia="Times New Roman" w:hint="default"/>
        </w:rPr>
        <w:t>2012</w:t>
      </w:r>
      <w:r>
        <w:rPr/>
        <w:t>年行业</w:t>
      </w:r>
    </w:p>
    <w:p>
      <w:pPr>
        <w:pStyle w:val="BodyText"/>
        <w:spacing w:line="235" w:lineRule="exact"/>
        <w:ind w:right="113"/>
        <w:jc w:val="left"/>
      </w:pPr>
      <w:r>
        <w:rPr/>
        <w:t>的发展动态如下：</w:t>
      </w:r>
    </w:p>
    <w:p>
      <w:pPr>
        <w:pStyle w:val="BodyText"/>
        <w:spacing w:line="300" w:lineRule="auto" w:before="76"/>
        <w:ind w:left="513" w:right="113"/>
        <w:jc w:val="left"/>
      </w:pPr>
      <w:r>
        <w:rPr>
          <w:rFonts w:ascii="Times New Roman" w:hAnsi="Times New Roman" w:cs="Times New Roman" w:eastAsia="Times New Roman" w:hint="default"/>
        </w:rPr>
        <w:t>1</w:t>
      </w:r>
      <w:r>
        <w:rPr/>
        <w:t>、银行卡发卡量持续稳定增长，促进</w:t>
      </w:r>
      <w:r>
        <w:rPr>
          <w:rFonts w:ascii="Times New Roman" w:hAnsi="Times New Roman" w:cs="Times New Roman" w:eastAsia="Times New Roman" w:hint="default"/>
        </w:rPr>
        <w:t>ATM</w:t>
      </w:r>
      <w:r>
        <w:rPr/>
        <w:t>保有量快速增加 </w:t>
      </w:r>
      <w:r>
        <w:rPr>
          <w:spacing w:val="-1"/>
        </w:rPr>
        <w:t>根据中国人民银行发布的《</w:t>
      </w:r>
      <w:r>
        <w:rPr>
          <w:rFonts w:ascii="Times New Roman" w:hAnsi="Times New Roman" w:cs="Times New Roman" w:eastAsia="Times New Roman" w:hint="default"/>
          <w:spacing w:val="-1"/>
        </w:rPr>
        <w:t>2012</w:t>
      </w:r>
      <w:r>
        <w:rPr>
          <w:spacing w:val="-1"/>
        </w:rPr>
        <w:t>年全年支付体系运行总体情况》报告，截至</w:t>
      </w:r>
      <w:r>
        <w:rPr>
          <w:rFonts w:ascii="Times New Roman" w:hAnsi="Times New Roman" w:cs="Times New Roman" w:eastAsia="Times New Roman" w:hint="default"/>
          <w:spacing w:val="-1"/>
        </w:rPr>
        <w:t>2012</w:t>
      </w:r>
      <w:r>
        <w:rPr>
          <w:spacing w:val="-1"/>
        </w:rPr>
        <w:t>年末，全国累计发行银行卡</w:t>
      </w:r>
      <w:r>
        <w:rPr>
          <w:rFonts w:ascii="Times New Roman" w:hAnsi="Times New Roman" w:cs="Times New Roman" w:eastAsia="Times New Roman" w:hint="default"/>
          <w:spacing w:val="-1"/>
        </w:rPr>
        <w:t>35.34</w:t>
      </w:r>
      <w:r>
        <w:rPr>
          <w:spacing w:val="-1"/>
        </w:rPr>
        <w:t>亿张，</w:t>
      </w:r>
    </w:p>
    <w:p>
      <w:pPr>
        <w:pStyle w:val="BodyText"/>
        <w:spacing w:line="300" w:lineRule="auto" w:before="13"/>
        <w:ind w:right="113"/>
        <w:jc w:val="left"/>
      </w:pPr>
      <w:r>
        <w:rPr>
          <w:spacing w:val="-1"/>
        </w:rPr>
        <w:t>较上年末增长</w:t>
      </w:r>
      <w:r>
        <w:rPr>
          <w:rFonts w:ascii="Times New Roman" w:hAnsi="Times New Roman" w:cs="Times New Roman" w:eastAsia="Times New Roman" w:hint="default"/>
          <w:spacing w:val="-1"/>
        </w:rPr>
        <w:t>19.80%</w:t>
      </w:r>
      <w:r>
        <w:rPr>
          <w:spacing w:val="-1"/>
        </w:rPr>
        <w:t>，增速放缓</w:t>
      </w:r>
      <w:r>
        <w:rPr>
          <w:rFonts w:ascii="Times New Roman" w:hAnsi="Times New Roman" w:cs="Times New Roman" w:eastAsia="Times New Roman" w:hint="default"/>
          <w:spacing w:val="-1"/>
        </w:rPr>
        <w:t>2.3</w:t>
      </w:r>
      <w:r>
        <w:rPr>
          <w:spacing w:val="-1"/>
        </w:rPr>
        <w:t>个百分点。其中，借记卡累计发卡量为</w:t>
      </w:r>
      <w:r>
        <w:rPr>
          <w:rFonts w:ascii="Times New Roman" w:hAnsi="Times New Roman" w:cs="Times New Roman" w:eastAsia="Times New Roman" w:hint="default"/>
          <w:spacing w:val="-1"/>
        </w:rPr>
        <w:t>32.03</w:t>
      </w:r>
      <w:r>
        <w:rPr>
          <w:spacing w:val="-1"/>
        </w:rPr>
        <w:t>亿张，较上年末增长</w:t>
      </w:r>
      <w:r>
        <w:rPr>
          <w:rFonts w:ascii="Times New Roman" w:hAnsi="Times New Roman" w:cs="Times New Roman" w:eastAsia="Times New Roman" w:hint="default"/>
          <w:spacing w:val="-1"/>
        </w:rPr>
        <w:t>20.30%</w:t>
      </w:r>
      <w:r>
        <w:rPr>
          <w:spacing w:val="-1"/>
        </w:rPr>
        <w:t>，占银行卡发卡</w:t>
      </w:r>
      <w:r>
        <w:rPr>
          <w:spacing w:val="-57"/>
        </w:rPr>
        <w:t> </w:t>
      </w:r>
      <w:r>
        <w:rPr>
          <w:spacing w:val="-57"/>
        </w:rPr>
      </w:r>
      <w:r>
        <w:rPr/>
        <w:t>量的</w:t>
      </w:r>
      <w:r>
        <w:rPr>
          <w:rFonts w:ascii="Times New Roman" w:hAnsi="Times New Roman" w:cs="Times New Roman" w:eastAsia="Times New Roman" w:hint="default"/>
        </w:rPr>
        <w:t>90.63%</w:t>
      </w:r>
      <w:r>
        <w:rPr/>
        <w:t>。银行卡作为我国居民使用最广泛的非现金支付工具，其发卡量还将保持增长趋势。</w:t>
      </w:r>
    </w:p>
    <w:p>
      <w:pPr>
        <w:pStyle w:val="BodyText"/>
        <w:spacing w:line="300" w:lineRule="auto" w:before="13"/>
        <w:ind w:right="210" w:firstLine="360"/>
        <w:jc w:val="both"/>
      </w:pPr>
      <w:r>
        <w:rPr/>
        <w:t>银行卡发卡量的持续增长，促进了联网</w:t>
      </w:r>
      <w:r>
        <w:rPr>
          <w:rFonts w:ascii="Times New Roman" w:hAnsi="Times New Roman" w:cs="Times New Roman" w:eastAsia="Times New Roman" w:hint="default"/>
        </w:rPr>
        <w:t>ATM</w:t>
      </w:r>
      <w:r>
        <w:rPr/>
        <w:t>的快速增加。中国银联最新数据显示，截至</w:t>
      </w:r>
      <w:r>
        <w:rPr>
          <w:rFonts w:ascii="Times New Roman" w:hAnsi="Times New Roman" w:cs="Times New Roman" w:eastAsia="Times New Roman" w:hint="default"/>
        </w:rPr>
        <w:t>2012</w:t>
      </w:r>
      <w:r>
        <w:rPr/>
        <w:t>年底，全国联网</w:t>
      </w:r>
      <w:r>
        <w:rPr>
          <w:rFonts w:ascii="Times New Roman" w:hAnsi="Times New Roman" w:cs="Times New Roman" w:eastAsia="Times New Roman" w:hint="default"/>
        </w:rPr>
        <w:t>ATM</w:t>
      </w:r>
      <w:r>
        <w:rPr/>
        <w:t>数量 为</w:t>
      </w:r>
      <w:r>
        <w:rPr>
          <w:rFonts w:ascii="Times New Roman" w:hAnsi="Times New Roman" w:cs="Times New Roman" w:eastAsia="Times New Roman" w:hint="default"/>
        </w:rPr>
        <w:t>41.56</w:t>
      </w:r>
      <w:r>
        <w:rPr/>
        <w:t>万台，较</w:t>
      </w:r>
      <w:r>
        <w:rPr>
          <w:rFonts w:ascii="Times New Roman" w:hAnsi="Times New Roman" w:cs="Times New Roman" w:eastAsia="Times New Roman" w:hint="default"/>
        </w:rPr>
        <w:t>2011</w:t>
      </w:r>
      <w:r>
        <w:rPr/>
        <w:t>年新增</w:t>
      </w:r>
      <w:r>
        <w:rPr>
          <w:rFonts w:ascii="Times New Roman" w:hAnsi="Times New Roman" w:cs="Times New Roman" w:eastAsia="Times New Roman" w:hint="default"/>
        </w:rPr>
        <w:t>8.18</w:t>
      </w:r>
      <w:r>
        <w:rPr/>
        <w:t>万台，增长幅度为</w:t>
      </w:r>
      <w:r>
        <w:rPr>
          <w:rFonts w:ascii="Times New Roman" w:hAnsi="Times New Roman" w:cs="Times New Roman" w:eastAsia="Times New Roman" w:hint="default"/>
        </w:rPr>
        <w:t>24.51%</w:t>
      </w:r>
      <w:r>
        <w:rPr/>
        <w:t>。虽然</w:t>
      </w:r>
      <w:r>
        <w:rPr>
          <w:rFonts w:ascii="Times New Roman" w:hAnsi="Times New Roman" w:cs="Times New Roman" w:eastAsia="Times New Roman" w:hint="default"/>
        </w:rPr>
        <w:t>ATM</w:t>
      </w:r>
      <w:r>
        <w:rPr/>
        <w:t>设备总保有量持续增加，但是与世界发达国家相比，</w:t>
      </w:r>
      <w:r>
        <w:rPr>
          <w:spacing w:val="-63"/>
        </w:rPr>
        <w:t> </w:t>
      </w:r>
      <w:r>
        <w:rPr>
          <w:spacing w:val="-63"/>
        </w:rPr>
      </w:r>
      <w:r>
        <w:rPr/>
        <w:t>我国</w:t>
      </w:r>
      <w:r>
        <w:rPr>
          <w:rFonts w:ascii="Times New Roman" w:hAnsi="Times New Roman" w:cs="Times New Roman" w:eastAsia="Times New Roman" w:hint="default"/>
        </w:rPr>
        <w:t>ATM</w:t>
      </w:r>
      <w:r>
        <w:rPr/>
        <w:t>发展仍处于较低水平，</w:t>
      </w:r>
      <w:r>
        <w:rPr>
          <w:rFonts w:ascii="Times New Roman" w:hAnsi="Times New Roman" w:cs="Times New Roman" w:eastAsia="Times New Roman" w:hint="default"/>
        </w:rPr>
        <w:t>ATM</w:t>
      </w:r>
      <w:r>
        <w:rPr/>
        <w:t>保有量仍有较大的发展空间。截至</w:t>
      </w:r>
      <w:r>
        <w:rPr>
          <w:rFonts w:ascii="Times New Roman" w:hAnsi="Times New Roman" w:cs="Times New Roman" w:eastAsia="Times New Roman" w:hint="default"/>
        </w:rPr>
        <w:t>2012</w:t>
      </w:r>
      <w:r>
        <w:rPr/>
        <w:t>年末，我国每台</w:t>
      </w:r>
      <w:r>
        <w:rPr>
          <w:rFonts w:ascii="Times New Roman" w:hAnsi="Times New Roman" w:cs="Times New Roman" w:eastAsia="Times New Roman" w:hint="default"/>
        </w:rPr>
        <w:t>ATM</w:t>
      </w:r>
      <w:r>
        <w:rPr/>
        <w:t>对应的银行卡数量为</w:t>
      </w:r>
      <w:r>
        <w:rPr>
          <w:rFonts w:ascii="Times New Roman" w:hAnsi="Times New Roman" w:cs="Times New Roman" w:eastAsia="Times New Roman" w:hint="default"/>
        </w:rPr>
        <w:t>0.85</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万张，与国际标准配置水平相比我国</w:t>
      </w:r>
      <w:r>
        <w:rPr>
          <w:rFonts w:ascii="Times New Roman" w:hAnsi="Times New Roman" w:cs="Times New Roman" w:eastAsia="Times New Roman" w:hint="default"/>
        </w:rPr>
        <w:t>ATM</w:t>
      </w:r>
      <w:r>
        <w:rPr/>
        <w:t>市场需求仍然旺盛。</w:t>
      </w:r>
    </w:p>
    <w:p>
      <w:pPr>
        <w:pStyle w:val="BodyText"/>
        <w:spacing w:line="300" w:lineRule="auto" w:before="13"/>
        <w:ind w:left="513" w:right="113"/>
        <w:jc w:val="left"/>
      </w:pPr>
      <w:r>
        <w:rPr>
          <w:rFonts w:ascii="Times New Roman" w:hAnsi="Times New Roman" w:cs="Times New Roman" w:eastAsia="Times New Roman" w:hint="default"/>
        </w:rPr>
        <w:t>2</w:t>
      </w:r>
      <w:r>
        <w:rPr/>
        <w:t>、银行卡业务量继续保持明显增长态势，</w:t>
      </w:r>
      <w:r>
        <w:rPr>
          <w:rFonts w:ascii="Times New Roman" w:hAnsi="Times New Roman" w:cs="Times New Roman" w:eastAsia="Times New Roman" w:hint="default"/>
        </w:rPr>
        <w:t>ATM</w:t>
      </w:r>
      <w:r>
        <w:rPr/>
        <w:t>存取款一体机需求增强 随着银行卡发行规模的不断扩大，受理环境不断改善优化，受理网络加速向中小城市、中小商户和广大农村地区延伸，</w:t>
      </w:r>
    </w:p>
    <w:p>
      <w:pPr>
        <w:pStyle w:val="BodyText"/>
        <w:spacing w:line="300" w:lineRule="auto" w:before="31"/>
        <w:ind w:right="113"/>
        <w:jc w:val="left"/>
      </w:pPr>
      <w:r>
        <w:rPr/>
        <w:t>银行卡联网商户和</w:t>
      </w:r>
      <w:r>
        <w:rPr>
          <w:rFonts w:ascii="Times New Roman" w:hAnsi="Times New Roman" w:cs="Times New Roman" w:eastAsia="Times New Roman" w:hint="default"/>
        </w:rPr>
        <w:t>ATM</w:t>
      </w:r>
      <w:r>
        <w:rPr/>
        <w:t>机数量快速攀升，使得社会公众的持卡、用卡意识进一步增强，促使银行卡业务在中国得到了长足</w:t>
      </w:r>
      <w:r>
        <w:rPr>
          <w:spacing w:val="-45"/>
        </w:rPr>
        <w:t> </w:t>
      </w:r>
      <w:r>
        <w:rPr>
          <w:spacing w:val="-45"/>
        </w:rPr>
      </w:r>
      <w:r>
        <w:rPr/>
        <w:t>发展。</w:t>
      </w:r>
    </w:p>
    <w:p>
      <w:pPr>
        <w:spacing w:after="0" w:line="300" w:lineRule="auto"/>
        <w:jc w:val="left"/>
        <w:sectPr>
          <w:pgSz w:w="11910" w:h="16840"/>
          <w:pgMar w:header="745" w:footer="980" w:top="1060" w:bottom="1160" w:left="980" w:right="920"/>
        </w:sectPr>
      </w:pPr>
    </w:p>
    <w:p>
      <w:pPr>
        <w:spacing w:line="240" w:lineRule="auto" w:before="9"/>
        <w:rPr>
          <w:rFonts w:ascii="宋体" w:hAnsi="宋体" w:cs="宋体" w:eastAsia="宋体" w:hint="default"/>
          <w:sz w:val="25"/>
          <w:szCs w:val="25"/>
        </w:rPr>
      </w:pPr>
    </w:p>
    <w:p>
      <w:pPr>
        <w:pStyle w:val="BodyText"/>
        <w:spacing w:line="300" w:lineRule="auto" w:before="44"/>
        <w:ind w:right="189" w:firstLine="360"/>
        <w:jc w:val="both"/>
      </w:pPr>
      <w:r>
        <w:rPr/>
        <w:t>截至</w:t>
      </w:r>
      <w:r>
        <w:rPr>
          <w:rFonts w:ascii="Times New Roman" w:hAnsi="Times New Roman" w:cs="Times New Roman" w:eastAsia="Times New Roman" w:hint="default"/>
        </w:rPr>
        <w:t>2012</w:t>
      </w:r>
      <w:r>
        <w:rPr/>
        <w:t>年末，发生银行卡业务</w:t>
      </w:r>
      <w:r>
        <w:rPr>
          <w:rFonts w:ascii="Times New Roman" w:hAnsi="Times New Roman" w:cs="Times New Roman" w:eastAsia="Times New Roman" w:hint="default"/>
        </w:rPr>
        <w:t>389.14</w:t>
      </w:r>
      <w:r>
        <w:rPr/>
        <w:t>亿笔，较上年增长</w:t>
      </w:r>
      <w:r>
        <w:rPr>
          <w:rFonts w:ascii="Times New Roman" w:hAnsi="Times New Roman" w:cs="Times New Roman" w:eastAsia="Times New Roman" w:hint="default"/>
        </w:rPr>
        <w:t>22.4%</w:t>
      </w:r>
      <w:r>
        <w:rPr/>
        <w:t>；业务金额</w:t>
      </w:r>
      <w:r>
        <w:rPr>
          <w:rFonts w:ascii="Times New Roman" w:hAnsi="Times New Roman" w:cs="Times New Roman" w:eastAsia="Times New Roman" w:hint="default"/>
        </w:rPr>
        <w:t>346.22</w:t>
      </w:r>
      <w:r>
        <w:rPr/>
        <w:t>万亿元，较上年增长</w:t>
      </w:r>
      <w:r>
        <w:rPr>
          <w:rFonts w:ascii="Times New Roman" w:hAnsi="Times New Roman" w:cs="Times New Roman" w:eastAsia="Times New Roman" w:hint="default"/>
        </w:rPr>
        <w:t>6.9%</w:t>
      </w:r>
      <w:r>
        <w:rPr/>
        <w:t>。其中，银 行卡存现</w:t>
      </w:r>
      <w:r>
        <w:rPr>
          <w:rFonts w:ascii="Times New Roman" w:hAnsi="Times New Roman" w:cs="Times New Roman" w:eastAsia="Times New Roman" w:hint="default"/>
        </w:rPr>
        <w:t>67.87</w:t>
      </w:r>
      <w:r>
        <w:rPr/>
        <w:t>亿笔，金额</w:t>
      </w:r>
      <w:r>
        <w:rPr>
          <w:rFonts w:ascii="Times New Roman" w:hAnsi="Times New Roman" w:cs="Times New Roman" w:eastAsia="Times New Roman" w:hint="default"/>
        </w:rPr>
        <w:t>57.71</w:t>
      </w:r>
      <w:r>
        <w:rPr/>
        <w:t>万亿元，较上年分别增长</w:t>
      </w:r>
      <w:r>
        <w:rPr>
          <w:rFonts w:ascii="Times New Roman" w:hAnsi="Times New Roman" w:cs="Times New Roman" w:eastAsia="Times New Roman" w:hint="default"/>
        </w:rPr>
        <w:t>23.9%</w:t>
      </w:r>
      <w:r>
        <w:rPr/>
        <w:t>和</w:t>
      </w:r>
      <w:r>
        <w:rPr>
          <w:rFonts w:ascii="Times New Roman" w:hAnsi="Times New Roman" w:cs="Times New Roman" w:eastAsia="Times New Roman" w:hint="default"/>
        </w:rPr>
        <w:t>8.2%</w:t>
      </w:r>
      <w:r>
        <w:rPr/>
        <w:t>；取现</w:t>
      </w:r>
      <w:r>
        <w:rPr>
          <w:rFonts w:ascii="Times New Roman" w:hAnsi="Times New Roman" w:cs="Times New Roman" w:eastAsia="Times New Roman" w:hint="default"/>
        </w:rPr>
        <w:t>161.34</w:t>
      </w:r>
      <w:r>
        <w:rPr/>
        <w:t>亿笔，金额</w:t>
      </w:r>
      <w:r>
        <w:rPr>
          <w:rFonts w:ascii="Times New Roman" w:hAnsi="Times New Roman" w:cs="Times New Roman" w:eastAsia="Times New Roman" w:hint="default"/>
        </w:rPr>
        <w:t>61.37</w:t>
      </w:r>
      <w:r>
        <w:rPr/>
        <w:t>万亿元，同比分别增长</w:t>
      </w:r>
      <w:r>
        <w:rPr>
          <w:spacing w:val="-41"/>
        </w:rPr>
        <w:t> </w:t>
      </w:r>
      <w:r>
        <w:rPr>
          <w:spacing w:val="-41"/>
        </w:rPr>
      </w:r>
      <w:r>
        <w:rPr>
          <w:rFonts w:ascii="Times New Roman" w:hAnsi="Times New Roman" w:cs="Times New Roman" w:eastAsia="Times New Roman" w:hint="default"/>
        </w:rPr>
        <w:t>13.8%</w:t>
      </w:r>
      <w:r>
        <w:rPr/>
        <w:t>和</w:t>
      </w:r>
      <w:r>
        <w:rPr>
          <w:rFonts w:ascii="Times New Roman" w:hAnsi="Times New Roman" w:cs="Times New Roman" w:eastAsia="Times New Roman" w:hint="default"/>
        </w:rPr>
        <w:t>3.4%</w:t>
      </w:r>
      <w:r>
        <w:rPr/>
        <w:t>。随着银行卡存取现业务持续增长，</w:t>
      </w:r>
      <w:r>
        <w:rPr>
          <w:rFonts w:ascii="Times New Roman" w:hAnsi="Times New Roman" w:cs="Times New Roman" w:eastAsia="Times New Roman" w:hint="default"/>
        </w:rPr>
        <w:t>ATM</w:t>
      </w:r>
      <w:r>
        <w:rPr/>
        <w:t>存取款一体机的市场需求日益增强。</w:t>
      </w:r>
    </w:p>
    <w:p>
      <w:pPr>
        <w:pStyle w:val="BodyText"/>
        <w:spacing w:line="240" w:lineRule="auto" w:before="13"/>
        <w:ind w:left="513" w:right="185"/>
        <w:jc w:val="left"/>
      </w:pPr>
      <w:r>
        <w:rPr>
          <w:rFonts w:ascii="Times New Roman" w:hAnsi="Times New Roman" w:cs="Times New Roman" w:eastAsia="Times New Roman" w:hint="default"/>
        </w:rPr>
        <w:t>3</w:t>
      </w:r>
      <w:r>
        <w:rPr/>
        <w:t>、银行卡跨行支付业务继续快速增长，银行卡交易潜力进一步凸显</w:t>
      </w:r>
    </w:p>
    <w:p>
      <w:pPr>
        <w:pStyle w:val="BodyText"/>
        <w:spacing w:line="300" w:lineRule="auto" w:before="63"/>
        <w:ind w:right="167" w:firstLine="360"/>
        <w:jc w:val="both"/>
      </w:pPr>
      <w:r>
        <w:rPr>
          <w:rFonts w:ascii="Times New Roman" w:hAnsi="Times New Roman" w:cs="Times New Roman" w:eastAsia="Times New Roman" w:hint="default"/>
        </w:rPr>
        <w:t>2012</w:t>
      </w:r>
      <w:r>
        <w:rPr/>
        <w:t>年我国跨行交易业务量继续保持高速增长，截至</w:t>
      </w:r>
      <w:r>
        <w:rPr>
          <w:rFonts w:ascii="Times New Roman" w:hAnsi="Times New Roman" w:cs="Times New Roman" w:eastAsia="Times New Roman" w:hint="default"/>
        </w:rPr>
        <w:t>2012</w:t>
      </w:r>
      <w:r>
        <w:rPr/>
        <w:t>年末，银行卡跨行支付系统共处理业务</w:t>
      </w:r>
      <w:r>
        <w:rPr>
          <w:rFonts w:ascii="Times New Roman" w:hAnsi="Times New Roman" w:cs="Times New Roman" w:eastAsia="Times New Roman" w:hint="default"/>
        </w:rPr>
        <w:t>82.73</w:t>
      </w:r>
      <w:r>
        <w:rPr/>
        <w:t>亿笔，金额</w:t>
      </w:r>
      <w:r>
        <w:rPr>
          <w:rFonts w:ascii="Times New Roman" w:hAnsi="Times New Roman" w:cs="Times New Roman" w:eastAsia="Times New Roman" w:hint="default"/>
        </w:rPr>
        <w:t>19.74 </w:t>
      </w:r>
      <w:r>
        <w:rPr/>
        <w:t>亿元，较上年分别增长</w:t>
      </w:r>
      <w:r>
        <w:rPr>
          <w:rFonts w:ascii="Times New Roman" w:hAnsi="Times New Roman" w:cs="Times New Roman" w:eastAsia="Times New Roman" w:hint="default"/>
        </w:rPr>
        <w:t>20.3%</w:t>
      </w:r>
      <w:r>
        <w:rPr/>
        <w:t>和</w:t>
      </w:r>
      <w:r>
        <w:rPr>
          <w:rFonts w:ascii="Times New Roman" w:hAnsi="Times New Roman" w:cs="Times New Roman" w:eastAsia="Times New Roman" w:hint="default"/>
        </w:rPr>
        <w:t>31.50%</w:t>
      </w:r>
      <w:r>
        <w:rPr/>
        <w:t>。日均处理业务笔数</w:t>
      </w:r>
      <w:r>
        <w:rPr>
          <w:rFonts w:ascii="Times New Roman" w:hAnsi="Times New Roman" w:cs="Times New Roman" w:eastAsia="Times New Roman" w:hint="default"/>
        </w:rPr>
        <w:t>2</w:t>
      </w:r>
      <w:r>
        <w:rPr/>
        <w:t>，</w:t>
      </w:r>
      <w:r>
        <w:rPr>
          <w:rFonts w:ascii="Times New Roman" w:hAnsi="Times New Roman" w:cs="Times New Roman" w:eastAsia="Times New Roman" w:hint="default"/>
        </w:rPr>
        <w:t>260.37</w:t>
      </w:r>
      <w:r>
        <w:rPr/>
        <w:t>万笔，金额</w:t>
      </w:r>
      <w:r>
        <w:rPr>
          <w:rFonts w:ascii="Times New Roman" w:hAnsi="Times New Roman" w:cs="Times New Roman" w:eastAsia="Times New Roman" w:hint="default"/>
        </w:rPr>
        <w:t>539.40</w:t>
      </w:r>
      <w:r>
        <w:rPr/>
        <w:t>亿元。银行卡跨行交易的快速增长， 将进一步刺激银行对</w:t>
      </w:r>
      <w:r>
        <w:rPr>
          <w:rFonts w:ascii="Times New Roman" w:hAnsi="Times New Roman" w:cs="Times New Roman" w:eastAsia="Times New Roman" w:hint="default"/>
        </w:rPr>
        <w:t>ATM</w:t>
      </w:r>
      <w:r>
        <w:rPr/>
        <w:t>布放的需求。</w:t>
      </w:r>
    </w:p>
    <w:p>
      <w:pPr>
        <w:pStyle w:val="BodyText"/>
        <w:spacing w:line="300" w:lineRule="auto" w:before="13"/>
        <w:ind w:left="513" w:right="185"/>
        <w:jc w:val="left"/>
      </w:pPr>
      <w:r>
        <w:rPr>
          <w:rFonts w:ascii="Times New Roman" w:hAnsi="Times New Roman" w:cs="Times New Roman" w:eastAsia="Times New Roman" w:hint="default"/>
        </w:rPr>
        <w:t>4</w:t>
      </w:r>
      <w:r>
        <w:rPr/>
        <w:t>、银行卡在农村快速发展，村镇</w:t>
      </w:r>
      <w:r>
        <w:rPr>
          <w:rFonts w:ascii="Times New Roman" w:hAnsi="Times New Roman" w:cs="Times New Roman" w:eastAsia="Times New Roman" w:hint="default"/>
        </w:rPr>
        <w:t>ATM</w:t>
      </w:r>
      <w:r>
        <w:rPr/>
        <w:t>蓝海市场进一步凸显 </w:t>
      </w:r>
      <w:r>
        <w:rPr>
          <w:spacing w:val="-2"/>
        </w:rPr>
        <w:t>随着农村信用社改革和新型农村金融机构设立的双重推动下，近年来我国金融机构空白乡镇大幅减少，农村金融体系得</w:t>
      </w:r>
    </w:p>
    <w:p>
      <w:pPr>
        <w:pStyle w:val="BodyText"/>
        <w:spacing w:line="307" w:lineRule="auto" w:before="31"/>
        <w:ind w:right="191"/>
        <w:jc w:val="both"/>
      </w:pPr>
      <w:r>
        <w:rPr>
          <w:spacing w:val="-2"/>
        </w:rPr>
        <w:t>到一定改善。为进一步贯彻落实十八大精神，中国银监会在</w:t>
      </w:r>
      <w:r>
        <w:rPr>
          <w:rFonts w:ascii="Times New Roman" w:hAnsi="Times New Roman" w:cs="Times New Roman" w:eastAsia="Times New Roman" w:hint="default"/>
          <w:spacing w:val="-2"/>
        </w:rPr>
        <w:t>2012</w:t>
      </w:r>
      <w:r>
        <w:rPr>
          <w:spacing w:val="-2"/>
        </w:rPr>
        <w:t>年发布的《关于银行业金融机构做好老少边穷地区农村金融</w:t>
      </w:r>
      <w:r>
        <w:rPr>
          <w:spacing w:val="-62"/>
        </w:rPr>
        <w:t> </w:t>
      </w:r>
      <w:r>
        <w:rPr>
          <w:spacing w:val="-62"/>
        </w:rPr>
      </w:r>
      <w:r>
        <w:rPr>
          <w:spacing w:val="-2"/>
        </w:rPr>
        <w:t>服务工作有关事项的通知》提出持续提升革命老区、民族地区、边疆地区、贫困地区的农村金融服务水平，促进金融服务均</w:t>
      </w:r>
      <w:r>
        <w:rPr>
          <w:spacing w:val="-66"/>
        </w:rPr>
        <w:t> </w:t>
      </w:r>
      <w:r>
        <w:rPr>
          <w:spacing w:val="-66"/>
        </w:rPr>
      </w:r>
      <w:r>
        <w:rPr/>
        <w:t>等化建设。虽然我国农村仍存在</w:t>
      </w:r>
      <w:r>
        <w:rPr>
          <w:rFonts w:ascii="Times New Roman" w:hAnsi="Times New Roman" w:cs="Times New Roman" w:eastAsia="Times New Roman" w:hint="default"/>
        </w:rPr>
        <w:t>ATM</w:t>
      </w:r>
      <w:r>
        <w:rPr/>
        <w:t>配备基数较低、分布不均、难以满足当地百姓日常需求等情况，但随着农村金融建设</w:t>
      </w:r>
      <w:r>
        <w:rPr>
          <w:spacing w:val="-43"/>
        </w:rPr>
        <w:t> </w:t>
      </w:r>
      <w:r>
        <w:rPr>
          <w:spacing w:val="-43"/>
        </w:rPr>
      </w:r>
      <w:r>
        <w:rPr/>
        <w:t>的发展，必然给</w:t>
      </w:r>
      <w:r>
        <w:rPr>
          <w:rFonts w:ascii="Times New Roman" w:hAnsi="Times New Roman" w:cs="Times New Roman" w:eastAsia="Times New Roman" w:hint="default"/>
        </w:rPr>
        <w:t>ATM</w:t>
      </w:r>
      <w:r>
        <w:rPr/>
        <w:t>等自助服务设备在农村的应用与普及带来广阔的市场前景。</w:t>
      </w:r>
    </w:p>
    <w:p>
      <w:pPr>
        <w:spacing w:line="240" w:lineRule="auto" w:before="6"/>
        <w:rPr>
          <w:rFonts w:ascii="宋体" w:hAnsi="宋体" w:cs="宋体" w:eastAsia="宋体" w:hint="default"/>
          <w:sz w:val="24"/>
          <w:szCs w:val="24"/>
        </w:rPr>
      </w:pPr>
    </w:p>
    <w:p>
      <w:pPr>
        <w:pStyle w:val="BodyText"/>
        <w:spacing w:line="300" w:lineRule="auto"/>
        <w:ind w:left="513" w:right="185"/>
        <w:jc w:val="left"/>
      </w:pPr>
      <w:r>
        <w:rPr>
          <w:rFonts w:ascii="宋体" w:hAnsi="宋体" w:cs="宋体" w:eastAsia="宋体" w:hint="default"/>
          <w:b/>
          <w:bCs/>
        </w:rPr>
        <w:t>（二）</w:t>
      </w:r>
      <w:r>
        <w:rPr>
          <w:rFonts w:ascii="Times New Roman" w:hAnsi="Times New Roman" w:cs="Times New Roman" w:eastAsia="Times New Roman" w:hint="default"/>
          <w:b/>
          <w:bCs/>
        </w:rPr>
        <w:t>ATM</w:t>
      </w:r>
      <w:r>
        <w:rPr>
          <w:rFonts w:ascii="宋体" w:hAnsi="宋体" w:cs="宋体" w:eastAsia="宋体" w:hint="default"/>
          <w:b/>
          <w:bCs/>
        </w:rPr>
        <w:t>行业竞争格局</w:t>
      </w:r>
      <w:r>
        <w:rPr>
          <w:rFonts w:ascii="宋体" w:hAnsi="宋体" w:cs="宋体" w:eastAsia="宋体" w:hint="default"/>
          <w:b/>
          <w:bCs/>
          <w:w w:val="99"/>
        </w:rPr>
        <w:t> </w:t>
      </w:r>
      <w:r>
        <w:rPr>
          <w:spacing w:val="-1"/>
        </w:rPr>
        <w:t>由于银行对</w:t>
      </w:r>
      <w:r>
        <w:rPr>
          <w:rFonts w:ascii="Times New Roman" w:hAnsi="Times New Roman" w:cs="Times New Roman" w:eastAsia="Times New Roman" w:hint="default"/>
          <w:spacing w:val="-1"/>
        </w:rPr>
        <w:t>ATM</w:t>
      </w:r>
      <w:r>
        <w:rPr>
          <w:spacing w:val="-1"/>
        </w:rPr>
        <w:t>的安全性、稳定性和品牌有着十分严格的要求，使得</w:t>
      </w:r>
      <w:r>
        <w:rPr>
          <w:rFonts w:ascii="Times New Roman" w:hAnsi="Times New Roman" w:cs="Times New Roman" w:eastAsia="Times New Roman" w:hint="default"/>
          <w:spacing w:val="-1"/>
        </w:rPr>
        <w:t>ATM</w:t>
      </w:r>
      <w:r>
        <w:rPr>
          <w:spacing w:val="-1"/>
        </w:rPr>
        <w:t>市场进入壁垒较高。近年来，中国</w:t>
      </w:r>
      <w:r>
        <w:rPr>
          <w:rFonts w:ascii="Times New Roman" w:hAnsi="Times New Roman" w:cs="Times New Roman" w:eastAsia="Times New Roman" w:hint="default"/>
          <w:spacing w:val="-1"/>
        </w:rPr>
        <w:t>ATM</w:t>
      </w:r>
      <w:r>
        <w:rPr>
          <w:spacing w:val="-1"/>
        </w:rPr>
        <w:t>行业</w:t>
      </w:r>
    </w:p>
    <w:p>
      <w:pPr>
        <w:pStyle w:val="BodyText"/>
        <w:spacing w:line="300" w:lineRule="auto" w:before="13"/>
        <w:ind w:right="189"/>
        <w:jc w:val="both"/>
      </w:pPr>
      <w:r>
        <w:rPr/>
        <w:t>的竞争格局基本稳定，</w:t>
      </w:r>
      <w:r>
        <w:rPr>
          <w:spacing w:val="40"/>
        </w:rPr>
        <w:t> </w:t>
      </w:r>
      <w:r>
        <w:rPr>
          <w:rFonts w:ascii="Times New Roman" w:hAnsi="Times New Roman" w:cs="Times New Roman" w:eastAsia="Times New Roman" w:hint="default"/>
        </w:rPr>
        <w:t>ATM</w:t>
      </w:r>
      <w:r>
        <w:rPr/>
        <w:t>市场仍然由进口品牌与国产品牌所分据。国外</w:t>
      </w:r>
      <w:r>
        <w:rPr>
          <w:rFonts w:ascii="Times New Roman" w:hAnsi="Times New Roman" w:cs="Times New Roman" w:eastAsia="Times New Roman" w:hint="default"/>
        </w:rPr>
        <w:t>ATM</w:t>
      </w:r>
      <w:r>
        <w:rPr/>
        <w:t>供应商主要有：美国</w:t>
      </w:r>
      <w:r>
        <w:rPr>
          <w:rFonts w:ascii="Times New Roman" w:hAnsi="Times New Roman" w:cs="Times New Roman" w:eastAsia="Times New Roman" w:hint="default"/>
        </w:rPr>
        <w:t>NCR</w:t>
      </w:r>
      <w:r>
        <w:rPr/>
        <w:t>、</w:t>
      </w:r>
      <w:r>
        <w:rPr>
          <w:rFonts w:ascii="Times New Roman" w:hAnsi="Times New Roman" w:cs="Times New Roman" w:eastAsia="Times New Roman" w:hint="default"/>
        </w:rPr>
        <w:t>Diebold</w:t>
      </w:r>
      <w:r>
        <w:rPr/>
        <w:t>，德国</w:t>
      </w:r>
      <w:r>
        <w:rPr>
          <w:spacing w:val="-79"/>
        </w:rPr>
        <w:t> </w:t>
      </w:r>
      <w:r>
        <w:rPr>
          <w:spacing w:val="-79"/>
        </w:rPr>
      </w:r>
      <w:r>
        <w:rPr>
          <w:rFonts w:ascii="Times New Roman" w:hAnsi="Times New Roman" w:cs="Times New Roman" w:eastAsia="Times New Roman" w:hint="default"/>
          <w:spacing w:val="-1"/>
        </w:rPr>
        <w:t>Wincor</w:t>
      </w:r>
      <w:r>
        <w:rPr>
          <w:rFonts w:ascii="Times New Roman" w:hAnsi="Times New Roman" w:cs="Times New Roman" w:eastAsia="Times New Roman" w:hint="default"/>
        </w:rPr>
        <w:t> </w:t>
      </w:r>
      <w:r>
        <w:rPr>
          <w:rFonts w:ascii="Times New Roman" w:hAnsi="Times New Roman" w:cs="Times New Roman" w:eastAsia="Times New Roman" w:hint="default"/>
          <w:spacing w:val="-1"/>
        </w:rPr>
        <w:t>Nixdorf</w:t>
      </w:r>
      <w:r>
        <w:rPr>
          <w:spacing w:val="-1"/>
        </w:rPr>
        <w:t>、日本</w:t>
      </w:r>
      <w:r>
        <w:rPr>
          <w:rFonts w:ascii="Times New Roman" w:hAnsi="Times New Roman" w:cs="Times New Roman" w:eastAsia="Times New Roman" w:hint="default"/>
          <w:spacing w:val="-1"/>
        </w:rPr>
        <w:t>Hitachi</w:t>
      </w:r>
      <w:r>
        <w:rPr>
          <w:spacing w:val="-1"/>
        </w:rPr>
        <w:t>、</w:t>
      </w:r>
      <w:r>
        <w:rPr>
          <w:rFonts w:ascii="Times New Roman" w:hAnsi="Times New Roman" w:cs="Times New Roman" w:eastAsia="Times New Roman" w:hint="default"/>
          <w:spacing w:val="-1"/>
        </w:rPr>
        <w:t>Fujitsu</w:t>
      </w:r>
      <w:r>
        <w:rPr>
          <w:spacing w:val="-1"/>
        </w:rPr>
        <w:t>、</w:t>
      </w:r>
      <w:r>
        <w:rPr>
          <w:rFonts w:ascii="Times New Roman" w:hAnsi="Times New Roman" w:cs="Times New Roman" w:eastAsia="Times New Roman" w:hint="default"/>
          <w:spacing w:val="-1"/>
        </w:rPr>
        <w:t>OKI</w:t>
      </w:r>
      <w:r>
        <w:rPr>
          <w:spacing w:val="-1"/>
        </w:rPr>
        <w:t>，韩国</w:t>
      </w:r>
      <w:r>
        <w:rPr>
          <w:rFonts w:ascii="Times New Roman" w:hAnsi="Times New Roman" w:cs="Times New Roman" w:eastAsia="Times New Roman" w:hint="default"/>
          <w:spacing w:val="-1"/>
        </w:rPr>
        <w:t>Hyosung</w:t>
      </w:r>
      <w:r>
        <w:rPr>
          <w:spacing w:val="-1"/>
        </w:rPr>
        <w:t>等；国内</w:t>
      </w:r>
      <w:r>
        <w:rPr>
          <w:rFonts w:ascii="Times New Roman" w:hAnsi="Times New Roman" w:cs="Times New Roman" w:eastAsia="Times New Roman" w:hint="default"/>
          <w:spacing w:val="-1"/>
        </w:rPr>
        <w:t>ATM</w:t>
      </w:r>
      <w:r>
        <w:rPr>
          <w:spacing w:val="-1"/>
        </w:rPr>
        <w:t>供应商主要有：本公司、广电运通、深圳怡化、东</w:t>
      </w:r>
      <w:r>
        <w:rPr>
          <w:spacing w:val="-68"/>
        </w:rPr>
        <w:t> </w:t>
      </w:r>
      <w:r>
        <w:rPr>
          <w:spacing w:val="-68"/>
        </w:rPr>
      </w:r>
      <w:r>
        <w:rPr/>
        <w:t>方通信、南天信息等。随着国内</w:t>
      </w:r>
      <w:r>
        <w:rPr>
          <w:rFonts w:ascii="Times New Roman" w:hAnsi="Times New Roman" w:cs="Times New Roman" w:eastAsia="Times New Roman" w:hint="default"/>
        </w:rPr>
        <w:t>ATM</w:t>
      </w:r>
      <w:r>
        <w:rPr/>
        <w:t>行业的逐渐成熟，国家对自主创新及产业化扶持力度加强，以及国产品牌的本土化优</w:t>
      </w:r>
      <w:r>
        <w:rPr>
          <w:spacing w:val="-43"/>
        </w:rPr>
        <w:t> </w:t>
      </w:r>
      <w:r>
        <w:rPr>
          <w:spacing w:val="-43"/>
        </w:rPr>
      </w:r>
      <w:r>
        <w:rPr/>
        <w:t>势，使得国产</w:t>
      </w:r>
      <w:r>
        <w:rPr>
          <w:rFonts w:ascii="Times New Roman" w:hAnsi="Times New Roman" w:cs="Times New Roman" w:eastAsia="Times New Roman" w:hint="default"/>
        </w:rPr>
        <w:t>ATM</w:t>
      </w:r>
      <w:r>
        <w:rPr/>
        <w:t>品牌获得了更好的发展，其增长速度已远远高于外国厂商。</w:t>
      </w:r>
    </w:p>
    <w:p>
      <w:pPr>
        <w:spacing w:line="240" w:lineRule="auto" w:before="11"/>
        <w:rPr>
          <w:rFonts w:ascii="宋体" w:hAnsi="宋体" w:cs="宋体" w:eastAsia="宋体" w:hint="default"/>
          <w:sz w:val="24"/>
          <w:szCs w:val="24"/>
        </w:rPr>
      </w:pPr>
    </w:p>
    <w:p>
      <w:pPr>
        <w:pStyle w:val="Heading5"/>
        <w:spacing w:line="240" w:lineRule="auto"/>
        <w:ind w:right="185"/>
        <w:jc w:val="left"/>
        <w:rPr>
          <w:b w:val="0"/>
          <w:bCs w:val="0"/>
        </w:rPr>
      </w:pPr>
      <w:r>
        <w:rPr/>
        <w:t>（三）公司发展战略及年度经营计划</w:t>
      </w:r>
      <w:r>
        <w:rPr>
          <w:b w:val="0"/>
          <w:bCs w:val="0"/>
        </w:rPr>
      </w:r>
    </w:p>
    <w:p>
      <w:pPr>
        <w:pStyle w:val="BodyText"/>
        <w:spacing w:line="300" w:lineRule="auto" w:before="76"/>
        <w:ind w:left="513" w:right="185"/>
        <w:jc w:val="left"/>
      </w:pPr>
      <w:r>
        <w:rPr>
          <w:rFonts w:ascii="Times New Roman" w:hAnsi="Times New Roman" w:cs="Times New Roman" w:eastAsia="Times New Roman" w:hint="default"/>
        </w:rPr>
        <w:t>1</w:t>
      </w:r>
      <w:r>
        <w:rPr/>
        <w:t>、公司发展战略 </w:t>
      </w:r>
      <w:r>
        <w:rPr>
          <w:spacing w:val="-2"/>
        </w:rPr>
        <w:t>公司将按照国家产业政策导向，抓住我国国民经济快速发展的有利时机，通过不断创新，追求卓越，使公司在市场竞争</w:t>
      </w:r>
    </w:p>
    <w:p>
      <w:pPr>
        <w:pStyle w:val="BodyText"/>
        <w:spacing w:line="319" w:lineRule="auto" w:before="31"/>
        <w:ind w:right="189"/>
        <w:jc w:val="both"/>
      </w:pPr>
      <w:r>
        <w:rPr>
          <w:spacing w:val="-2"/>
        </w:rPr>
        <w:t>中不断发展壮大，成为提供银行自助产品世界级研发生产基地；公司坚持技术领先战略、质量保障战略、市场扩张战略的战</w:t>
      </w:r>
      <w:r>
        <w:rPr>
          <w:spacing w:val="-63"/>
        </w:rPr>
        <w:t> </w:t>
      </w:r>
      <w:r>
        <w:rPr>
          <w:spacing w:val="-63"/>
        </w:rPr>
      </w:r>
      <w:r>
        <w:rPr/>
        <w:t>略指导思想，从而实现</w:t>
      </w:r>
      <w:r>
        <w:rPr>
          <w:rFonts w:ascii="Times New Roman" w:hAnsi="Times New Roman" w:cs="Times New Roman" w:eastAsia="Times New Roman" w:hint="default"/>
        </w:rPr>
        <w:t>“</w:t>
      </w:r>
      <w:r>
        <w:rPr/>
        <w:t>国内一流企业、国际知名品牌</w:t>
      </w:r>
      <w:r>
        <w:rPr>
          <w:rFonts w:ascii="Times New Roman" w:hAnsi="Times New Roman" w:cs="Times New Roman" w:eastAsia="Times New Roman" w:hint="default"/>
        </w:rPr>
        <w:t>”</w:t>
      </w:r>
      <w:r>
        <w:rPr/>
        <w:t>长期战略目标，树立全球性的强势品牌。</w:t>
      </w:r>
    </w:p>
    <w:p>
      <w:pPr>
        <w:pStyle w:val="BodyText"/>
        <w:spacing w:line="246" w:lineRule="exact"/>
        <w:ind w:left="513" w:right="185"/>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年度经营计划</w:t>
      </w:r>
    </w:p>
    <w:p>
      <w:pPr>
        <w:pStyle w:val="BodyText"/>
        <w:spacing w:line="240" w:lineRule="auto" w:before="63"/>
        <w:ind w:left="513" w:right="0"/>
        <w:jc w:val="left"/>
      </w:pPr>
      <w:r>
        <w:rPr>
          <w:rFonts w:ascii="Times New Roman" w:hAnsi="Times New Roman" w:cs="Times New Roman" w:eastAsia="Times New Roman" w:hint="default"/>
        </w:rPr>
        <w:t>2013</w:t>
      </w:r>
      <w:r>
        <w:rPr/>
        <w:t>年，公司将坚持董事会既定的战略目标，把握市场机遇，积极迎接挑战，提升业绩，为股东提供良好的投资回报。</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spacing w:val="-3"/>
        </w:rPr>
        <w:t>2013</w:t>
      </w:r>
      <w:r>
        <w:rPr>
          <w:spacing w:val="-3"/>
        </w:rPr>
        <w:t>年的业绩目标为：以</w:t>
      </w:r>
      <w:r>
        <w:rPr>
          <w:rFonts w:ascii="Times New Roman" w:hAnsi="Times New Roman" w:cs="Times New Roman" w:eastAsia="Times New Roman" w:hint="default"/>
          <w:spacing w:val="-3"/>
        </w:rPr>
        <w:t>2010</w:t>
      </w:r>
      <w:r>
        <w:rPr>
          <w:spacing w:val="-3"/>
        </w:rPr>
        <w:t>年经审计的净利润为基数，公司</w:t>
      </w:r>
      <w:r>
        <w:rPr>
          <w:rFonts w:ascii="Times New Roman" w:hAnsi="Times New Roman" w:cs="Times New Roman" w:eastAsia="Times New Roman" w:hint="default"/>
          <w:spacing w:val="-3"/>
        </w:rPr>
        <w:t>2013</w:t>
      </w:r>
      <w:r>
        <w:rPr>
          <w:spacing w:val="-3"/>
        </w:rPr>
        <w:t>年度经审计净利润较</w:t>
      </w:r>
      <w:r>
        <w:rPr>
          <w:rFonts w:ascii="Times New Roman" w:hAnsi="Times New Roman" w:cs="Times New Roman" w:eastAsia="Times New Roman" w:hint="default"/>
          <w:spacing w:val="-3"/>
        </w:rPr>
        <w:t>2010</w:t>
      </w:r>
      <w:r>
        <w:rPr>
          <w:spacing w:val="-3"/>
        </w:rPr>
        <w:t>年增长拟超过</w:t>
      </w:r>
      <w:r>
        <w:rPr>
          <w:rFonts w:ascii="Times New Roman" w:hAnsi="Times New Roman" w:cs="Times New Roman" w:eastAsia="Times New Roman" w:hint="default"/>
          <w:spacing w:val="-3"/>
        </w:rPr>
        <w:t>240%</w:t>
      </w:r>
      <w:r>
        <w:rPr>
          <w:spacing w:val="-3"/>
        </w:rPr>
        <w:t>。为实现</w:t>
      </w:r>
      <w:r>
        <w:rPr>
          <w:rFonts w:ascii="Times New Roman" w:hAnsi="Times New Roman" w:cs="Times New Roman" w:eastAsia="Times New Roman" w:hint="default"/>
          <w:spacing w:val="-3"/>
        </w:rPr>
        <w:t>2013</w:t>
      </w:r>
    </w:p>
    <w:p>
      <w:pPr>
        <w:pStyle w:val="BodyText"/>
        <w:spacing w:line="240" w:lineRule="auto" w:before="63"/>
        <w:ind w:right="0"/>
        <w:jc w:val="both"/>
      </w:pPr>
      <w:r>
        <w:rPr/>
        <w:t>年的经营目标，公司将围绕以下重点，抓好各项经营管理工作：</w:t>
      </w:r>
    </w:p>
    <w:p>
      <w:pPr>
        <w:pStyle w:val="BodyText"/>
        <w:spacing w:line="300" w:lineRule="auto" w:before="76"/>
        <w:ind w:left="513" w:right="185"/>
        <w:jc w:val="left"/>
      </w:pPr>
      <w:r>
        <w:rPr/>
        <w:t>（</w:t>
      </w:r>
      <w:r>
        <w:rPr>
          <w:rFonts w:ascii="Times New Roman" w:hAnsi="Times New Roman" w:cs="Times New Roman" w:eastAsia="Times New Roman" w:hint="default"/>
        </w:rPr>
        <w:t>1</w:t>
      </w:r>
      <w:r>
        <w:rPr/>
        <w:t>）提升品牌，扩张产能 </w:t>
      </w:r>
      <w:r>
        <w:rPr>
          <w:spacing w:val="-2"/>
        </w:rPr>
        <w:t>为了满足迅速增长的市场需求和公司业务快速发展的要求，提升公司研发实力和品牌形象，公司入驻天河智慧城，投资</w:t>
      </w:r>
    </w:p>
    <w:p>
      <w:pPr>
        <w:pStyle w:val="BodyText"/>
        <w:spacing w:line="300" w:lineRule="auto" w:before="31"/>
        <w:ind w:right="191"/>
        <w:jc w:val="both"/>
      </w:pPr>
      <w:r>
        <w:rPr/>
        <w:t>建设御银科技大厦、科研中心及</w:t>
      </w:r>
      <w:r>
        <w:rPr>
          <w:rFonts w:ascii="Times New Roman" w:hAnsi="Times New Roman" w:cs="Times New Roman" w:eastAsia="Times New Roman" w:hint="default"/>
        </w:rPr>
        <w:t>ATM</w:t>
      </w:r>
      <w:r>
        <w:rPr/>
        <w:t>网络运营中心，并依托天河智慧城这个大平台塑造公司全球知名品牌形象。基地建设</w:t>
      </w:r>
      <w:r>
        <w:rPr>
          <w:spacing w:val="-43"/>
        </w:rPr>
        <w:t> </w:t>
      </w:r>
      <w:r>
        <w:rPr>
          <w:spacing w:val="-43"/>
        </w:rPr>
      </w:r>
      <w:r>
        <w:rPr>
          <w:spacing w:val="-2"/>
        </w:rPr>
        <w:t>稳步推进中，计划建设超过</w:t>
      </w:r>
      <w:r>
        <w:rPr>
          <w:rFonts w:ascii="Times New Roman" w:hAnsi="Times New Roman" w:cs="Times New Roman" w:eastAsia="Times New Roman" w:hint="default"/>
          <w:spacing w:val="-2"/>
        </w:rPr>
        <w:t>35</w:t>
      </w:r>
      <w:r>
        <w:rPr>
          <w:spacing w:val="-2"/>
        </w:rPr>
        <w:t>，</w:t>
      </w:r>
      <w:r>
        <w:rPr>
          <w:rFonts w:ascii="Times New Roman" w:hAnsi="Times New Roman" w:cs="Times New Roman" w:eastAsia="Times New Roman" w:hint="default"/>
          <w:spacing w:val="-2"/>
        </w:rPr>
        <w:t>000</w:t>
      </w:r>
      <w:r>
        <w:rPr>
          <w:spacing w:val="-2"/>
        </w:rPr>
        <w:t>平方米的厂房，届时公司的年生产能力将新增超过</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000</w:t>
      </w:r>
      <w:r>
        <w:rPr>
          <w:spacing w:val="-2"/>
        </w:rPr>
        <w:t>台的生产规模。生产能力的扩</w:t>
      </w:r>
      <w:r>
        <w:rPr>
          <w:spacing w:val="-59"/>
        </w:rPr>
        <w:t> </w:t>
      </w:r>
      <w:r>
        <w:rPr>
          <w:spacing w:val="-59"/>
        </w:rPr>
      </w:r>
      <w:r>
        <w:rPr/>
        <w:t>张将有助于公司近年业绩指标的实现，并将对公司的长期发展战略的实现奠定坚实的基础。</w:t>
      </w:r>
    </w:p>
    <w:p>
      <w:pPr>
        <w:pStyle w:val="BodyText"/>
        <w:spacing w:line="300" w:lineRule="auto" w:before="31"/>
        <w:ind w:left="513" w:right="185"/>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）加强研发投入，提升核心竞争力 </w:t>
      </w:r>
      <w:r>
        <w:rPr>
          <w:spacing w:val="-2"/>
        </w:rPr>
        <w:t>经过多年的积累，公司基本掌握了</w:t>
      </w:r>
      <w:r>
        <w:rPr>
          <w:rFonts w:ascii="Times New Roman" w:hAnsi="Times New Roman" w:cs="Times New Roman" w:eastAsia="Times New Roman" w:hint="default"/>
          <w:spacing w:val="-2"/>
        </w:rPr>
        <w:t>ATM</w:t>
      </w:r>
      <w:r>
        <w:rPr>
          <w:spacing w:val="-2"/>
        </w:rPr>
        <w:t>设备研发生产的先进核心技术，</w:t>
      </w:r>
      <w:r>
        <w:rPr>
          <w:rFonts w:ascii="Times New Roman" w:hAnsi="Times New Roman" w:cs="Times New Roman" w:eastAsia="Times New Roman" w:hint="default"/>
          <w:spacing w:val="-2"/>
        </w:rPr>
        <w:t>2013</w:t>
      </w:r>
      <w:r>
        <w:rPr>
          <w:spacing w:val="-2"/>
        </w:rPr>
        <w:t>年公司将在</w:t>
      </w:r>
      <w:r>
        <w:rPr>
          <w:rFonts w:ascii="Times New Roman" w:hAnsi="Times New Roman" w:cs="Times New Roman" w:eastAsia="Times New Roman" w:hint="default"/>
          <w:spacing w:val="-2"/>
        </w:rPr>
        <w:t>2012</w:t>
      </w:r>
      <w:r>
        <w:rPr>
          <w:spacing w:val="-2"/>
        </w:rPr>
        <w:t>年的基础上，加大对带</w:t>
      </w:r>
      <w:r>
        <w:rPr>
          <w:rFonts w:ascii="Times New Roman" w:hAnsi="Times New Roman" w:cs="Times New Roman" w:eastAsia="Times New Roman" w:hint="default"/>
          <w:spacing w:val="-2"/>
        </w:rPr>
        <w:t>BBI</w:t>
      </w:r>
      <w:r>
        <w:rPr>
          <w:rFonts w:ascii="Times New Roman" w:hAnsi="Times New Roman" w:cs="Times New Roman" w:eastAsia="Times New Roman" w:hint="default"/>
        </w:rPr>
      </w:r>
    </w:p>
    <w:p>
      <w:pPr>
        <w:pStyle w:val="BodyText"/>
        <w:spacing w:line="300" w:lineRule="auto" w:before="13"/>
        <w:ind w:left="441" w:right="185" w:hanging="289"/>
        <w:jc w:val="left"/>
      </w:pPr>
      <w:r>
        <w:rPr/>
        <w:t>冠字识别码的</w:t>
      </w:r>
      <w:r>
        <w:rPr>
          <w:rFonts w:ascii="Times New Roman" w:hAnsi="Times New Roman" w:cs="Times New Roman" w:eastAsia="Times New Roman" w:hint="default"/>
        </w:rPr>
        <w:t>ATM</w:t>
      </w:r>
      <w:r>
        <w:rPr/>
        <w:t>、出纳机、存款机、清分机、</w:t>
      </w:r>
      <w:r>
        <w:rPr>
          <w:rFonts w:ascii="Times New Roman" w:hAnsi="Times New Roman" w:cs="Times New Roman" w:eastAsia="Times New Roman" w:hint="default"/>
        </w:rPr>
        <w:t>VTM</w:t>
      </w:r>
      <w:r>
        <w:rPr/>
        <w:t>等方便的研发投入。 此外，公司将在广州天河区软件园高唐新建区高唐大道地段建设御银科技园区，建成后将形成同时承担</w:t>
      </w:r>
      <w:r>
        <w:rPr>
          <w:rFonts w:ascii="Times New Roman" w:hAnsi="Times New Roman" w:cs="Times New Roman" w:eastAsia="Times New Roman" w:hint="default"/>
        </w:rPr>
        <w:t>4</w:t>
      </w:r>
      <w:r>
        <w:rPr/>
        <w:t>个机型的主导</w:t>
      </w:r>
    </w:p>
    <w:p>
      <w:pPr>
        <w:pStyle w:val="BodyText"/>
        <w:spacing w:line="309" w:lineRule="auto" w:before="13"/>
        <w:ind w:right="190"/>
        <w:jc w:val="both"/>
      </w:pPr>
      <w:r>
        <w:rPr>
          <w:spacing w:val="-1"/>
        </w:rPr>
        <w:t>自主开发能力和规模；形成</w:t>
      </w:r>
      <w:r>
        <w:rPr>
          <w:rFonts w:ascii="Times New Roman" w:hAnsi="Times New Roman" w:cs="Times New Roman" w:eastAsia="Times New Roman" w:hint="default"/>
          <w:spacing w:val="-1"/>
        </w:rPr>
        <w:t>200</w:t>
      </w:r>
      <w:r>
        <w:rPr>
          <w:spacing w:val="-1"/>
        </w:rPr>
        <w:t>台</w:t>
      </w:r>
      <w:r>
        <w:rPr>
          <w:rFonts w:ascii="Times New Roman" w:hAnsi="Times New Roman" w:cs="Times New Roman" w:eastAsia="Times New Roman" w:hint="default"/>
          <w:spacing w:val="-1"/>
        </w:rPr>
        <w:t>/</w:t>
      </w:r>
      <w:r>
        <w:rPr>
          <w:spacing w:val="-1"/>
        </w:rPr>
        <w:t>年开发样机的试制能力；形成涵盖自主品牌整机集成、出钞机芯、设备功能模块开发、新</w:t>
      </w:r>
      <w:r>
        <w:rPr>
          <w:spacing w:val="-79"/>
        </w:rPr>
        <w:t> </w:t>
      </w:r>
      <w:r>
        <w:rPr>
          <w:spacing w:val="-79"/>
        </w:rPr>
      </w:r>
      <w:r>
        <w:rPr>
          <w:spacing w:val="-2"/>
        </w:rPr>
        <w:t>型单体机开发、产品升级换代、多功能交易系统机型设计开发与验证能力，自主研发能力和研发设施达到或部分达到国际先</w:t>
      </w:r>
      <w:r>
        <w:rPr>
          <w:spacing w:val="-63"/>
        </w:rPr>
        <w:t> </w:t>
      </w:r>
      <w:r>
        <w:rPr>
          <w:spacing w:val="-63"/>
        </w:rPr>
      </w:r>
      <w:r>
        <w:rPr/>
        <w:t>进水平。</w:t>
      </w:r>
    </w:p>
    <w:p>
      <w:pPr>
        <w:pStyle w:val="BodyText"/>
        <w:spacing w:line="240" w:lineRule="auto" w:before="24"/>
        <w:ind w:left="513" w:right="185"/>
        <w:jc w:val="left"/>
      </w:pPr>
      <w:r>
        <w:rPr/>
        <w:t>（</w:t>
      </w:r>
      <w:r>
        <w:rPr>
          <w:rFonts w:ascii="Times New Roman" w:hAnsi="Times New Roman" w:cs="Times New Roman" w:eastAsia="Times New Roman" w:hint="default"/>
        </w:rPr>
        <w:t>3</w:t>
      </w:r>
      <w:r>
        <w:rPr/>
        <w:t>）市场开发与营销网络建设</w:t>
      </w:r>
    </w:p>
    <w:p>
      <w:pPr>
        <w:pStyle w:val="BodyText"/>
        <w:spacing w:line="240" w:lineRule="auto" w:before="62"/>
        <w:ind w:left="513" w:right="0"/>
        <w:jc w:val="left"/>
      </w:pPr>
      <w:r>
        <w:rPr/>
        <w:t>①在产品销售市场，公司将充分利用在中国建设银行、邮政总局的在位优势，进一步提升采购份额，巩固公司在其国产</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85"/>
        <w:jc w:val="left"/>
      </w:pPr>
      <w:r>
        <w:rPr/>
        <w:t>品牌供应商的龙头地位。</w:t>
      </w:r>
    </w:p>
    <w:p>
      <w:pPr>
        <w:pStyle w:val="BodyText"/>
        <w:spacing w:line="307" w:lineRule="auto" w:before="77"/>
        <w:ind w:right="94" w:firstLine="360"/>
        <w:jc w:val="left"/>
      </w:pPr>
      <w:r>
        <w:rPr/>
        <w:t>②在</w:t>
      </w:r>
      <w:r>
        <w:rPr>
          <w:rFonts w:ascii="Times New Roman" w:hAnsi="Times New Roman" w:cs="Times New Roman" w:eastAsia="Times New Roman" w:hint="default"/>
        </w:rPr>
        <w:t>ATM</w:t>
      </w:r>
      <w:r>
        <w:rPr/>
        <w:t>运营及融资租赁市场，加大与现有合作银行的合作力度，巩固公司在</w:t>
      </w:r>
      <w:r>
        <w:rPr>
          <w:rFonts w:ascii="Times New Roman" w:hAnsi="Times New Roman" w:cs="Times New Roman" w:eastAsia="Times New Roman" w:hint="default"/>
        </w:rPr>
        <w:t>ATM</w:t>
      </w:r>
      <w:r>
        <w:rPr/>
        <w:t>运营服务方面的领先地位，发挥公 司在运营业务的选点、成本、维护和规模等优势，不断开辟新的运营服务市场。同时，对已上线的合作设备进行资源整合， 加强策略性的末位淘汰制度的管理，从而加快</w:t>
      </w:r>
      <w:r>
        <w:rPr>
          <w:rFonts w:ascii="Times New Roman" w:hAnsi="Times New Roman" w:cs="Times New Roman" w:eastAsia="Times New Roman" w:hint="default"/>
        </w:rPr>
        <w:t>ATM</w:t>
      </w:r>
      <w:r>
        <w:rPr/>
        <w:t>合作运营业务资金流转速度，降低资金使用成本，提高公司整体盈利能</w:t>
      </w:r>
      <w:r>
        <w:rPr>
          <w:spacing w:val="-42"/>
        </w:rPr>
        <w:t> </w:t>
      </w:r>
      <w:r>
        <w:rPr>
          <w:spacing w:val="-42"/>
        </w:rPr>
      </w:r>
      <w:r>
        <w:rPr/>
        <w:t>力。</w:t>
      </w:r>
    </w:p>
    <w:p>
      <w:pPr>
        <w:pStyle w:val="BodyText"/>
        <w:spacing w:line="316" w:lineRule="auto" w:before="26"/>
        <w:ind w:right="185" w:firstLine="360"/>
        <w:jc w:val="left"/>
      </w:pPr>
      <w:r>
        <w:rPr>
          <w:spacing w:val="-2"/>
        </w:rPr>
        <w:t>③在积极开发国内市场的同时，公司重点打造国际市场，全力铺设海外营销网络，积极参与国际市场竞争，树立品牌国</w:t>
      </w:r>
      <w:r>
        <w:rPr/>
        <w:t> 际影响力。</w:t>
      </w:r>
    </w:p>
    <w:p>
      <w:pPr>
        <w:pStyle w:val="BodyText"/>
        <w:spacing w:line="300" w:lineRule="auto" w:before="19"/>
        <w:ind w:right="185" w:firstLine="360"/>
        <w:jc w:val="left"/>
      </w:pPr>
      <w:r>
        <w:rPr/>
        <w:t>④拓展金融服务外包业务，加深与银行的合作关系，以服务带动市场，培养新的利润增长点，促进公司</w:t>
      </w:r>
      <w:r>
        <w:rPr>
          <w:rFonts w:ascii="Times New Roman" w:hAnsi="Times New Roman" w:cs="Times New Roman" w:eastAsia="Times New Roman" w:hint="default"/>
        </w:rPr>
        <w:t>ATM</w:t>
      </w:r>
      <w:r>
        <w:rPr/>
        <w:t>销售及营 运业务的整体发展。</w:t>
      </w:r>
    </w:p>
    <w:p>
      <w:pPr>
        <w:pStyle w:val="BodyText"/>
        <w:spacing w:line="240" w:lineRule="auto" w:before="31"/>
        <w:ind w:left="513" w:right="185"/>
        <w:jc w:val="left"/>
      </w:pPr>
      <w:r>
        <w:rPr/>
        <w:t>（</w:t>
      </w:r>
      <w:r>
        <w:rPr>
          <w:rFonts w:ascii="Times New Roman" w:hAnsi="Times New Roman" w:cs="Times New Roman" w:eastAsia="Times New Roman" w:hint="default"/>
        </w:rPr>
        <w:t>4</w:t>
      </w:r>
      <w:r>
        <w:rPr/>
        <w:t>）加强后台服务系统建设，提升客服竞争优势</w:t>
      </w:r>
    </w:p>
    <w:p>
      <w:pPr>
        <w:pStyle w:val="BodyText"/>
        <w:spacing w:line="300" w:lineRule="auto" w:before="63"/>
        <w:ind w:right="190" w:firstLine="360"/>
        <w:jc w:val="both"/>
      </w:pPr>
      <w:r>
        <w:rPr>
          <w:rFonts w:ascii="Times New Roman" w:hAnsi="Times New Roman" w:cs="Times New Roman" w:eastAsia="Times New Roman" w:hint="default"/>
          <w:spacing w:val="-2"/>
        </w:rPr>
        <w:t>2013</w:t>
      </w:r>
      <w:r>
        <w:rPr>
          <w:spacing w:val="-2"/>
        </w:rPr>
        <w:t>年公司将进一步加强对后台服务系统的改善与管理，借助先进的物联网技术进一步拓展和完善云平台的功能，将各</w:t>
      </w:r>
      <w:r>
        <w:rPr/>
        <w:t> </w:t>
      </w:r>
      <w:r>
        <w:rPr>
          <w:spacing w:val="-2"/>
        </w:rPr>
        <w:t>类设备和物联网连接起来，实现</w:t>
      </w:r>
      <w:r>
        <w:rPr>
          <w:rFonts w:ascii="Times New Roman" w:hAnsi="Times New Roman" w:cs="Times New Roman" w:eastAsia="Times New Roman" w:hint="default"/>
          <w:spacing w:val="-2"/>
        </w:rPr>
        <w:t>“</w:t>
      </w:r>
      <w:r>
        <w:rPr>
          <w:spacing w:val="-2"/>
        </w:rPr>
        <w:t>物</w:t>
      </w:r>
      <w:r>
        <w:rPr>
          <w:rFonts w:ascii="Times New Roman" w:hAnsi="Times New Roman" w:cs="Times New Roman" w:eastAsia="Times New Roman" w:hint="default"/>
          <w:spacing w:val="-2"/>
        </w:rPr>
        <w:t>”</w:t>
      </w:r>
      <w:r>
        <w:rPr>
          <w:spacing w:val="-2"/>
        </w:rPr>
        <w:t>和信息的有机结合，能够更准确、更全面的进行管理，从而提高客服服务效率，降低客</w:t>
      </w:r>
      <w:r>
        <w:rPr>
          <w:spacing w:val="-44"/>
        </w:rPr>
        <w:t> </w:t>
      </w:r>
      <w:r>
        <w:rPr>
          <w:spacing w:val="-44"/>
        </w:rPr>
      </w:r>
      <w:r>
        <w:rPr/>
        <w:t>服服务成本。</w:t>
      </w:r>
    </w:p>
    <w:p>
      <w:pPr>
        <w:pStyle w:val="BodyText"/>
        <w:spacing w:line="300" w:lineRule="auto" w:before="32"/>
        <w:ind w:left="513" w:right="185"/>
        <w:jc w:val="left"/>
      </w:pPr>
      <w:r>
        <w:rPr/>
        <w:t>（</w:t>
      </w:r>
      <w:r>
        <w:rPr>
          <w:rFonts w:ascii="Times New Roman" w:hAnsi="Times New Roman" w:cs="Times New Roman" w:eastAsia="Times New Roman" w:hint="default"/>
        </w:rPr>
        <w:t>5</w:t>
      </w:r>
      <w:r>
        <w:rPr/>
        <w:t>）加强维护服务管理，提升维护服务收入 </w:t>
      </w:r>
      <w:r>
        <w:rPr>
          <w:spacing w:val="-2"/>
        </w:rPr>
        <w:t>随着公司销售机器的不断增长，已过免费维护期的销售机器不断的增加，维护收入的规模化效益明显增强。为此，公司</w:t>
      </w:r>
    </w:p>
    <w:p>
      <w:pPr>
        <w:pStyle w:val="BodyText"/>
        <w:spacing w:line="300" w:lineRule="auto" w:before="31"/>
        <w:ind w:right="192"/>
        <w:jc w:val="both"/>
      </w:pPr>
      <w:r>
        <w:rPr>
          <w:spacing w:val="-2"/>
        </w:rPr>
        <w:t>在</w:t>
      </w:r>
      <w:r>
        <w:rPr>
          <w:rFonts w:ascii="Times New Roman" w:hAnsi="Times New Roman" w:cs="Times New Roman" w:eastAsia="Times New Roman" w:hint="default"/>
          <w:spacing w:val="-2"/>
        </w:rPr>
        <w:t>2012</w:t>
      </w:r>
      <w:r>
        <w:rPr>
          <w:spacing w:val="-2"/>
        </w:rPr>
        <w:t>年的基础上进一步对其进行全面的梳理，加强对已过免费维护期机器的维护服务管理，收取合理的维护费用，提升公</w:t>
      </w:r>
      <w:r>
        <w:rPr>
          <w:spacing w:val="-64"/>
        </w:rPr>
        <w:t> </w:t>
      </w:r>
      <w:r>
        <w:rPr>
          <w:spacing w:val="-64"/>
        </w:rPr>
      </w:r>
      <w:r>
        <w:rPr/>
        <w:t>司的维护服务收入。</w:t>
      </w:r>
    </w:p>
    <w:p>
      <w:pPr>
        <w:pStyle w:val="BodyText"/>
        <w:spacing w:line="300" w:lineRule="auto" w:before="31"/>
        <w:ind w:left="513" w:right="185"/>
        <w:jc w:val="left"/>
      </w:pPr>
      <w:r>
        <w:rPr/>
        <w:t>（</w:t>
      </w:r>
      <w:r>
        <w:rPr>
          <w:rFonts w:ascii="Times New Roman" w:hAnsi="Times New Roman" w:cs="Times New Roman" w:eastAsia="Times New Roman" w:hint="default"/>
        </w:rPr>
        <w:t>6</w:t>
      </w:r>
      <w:r>
        <w:rPr/>
        <w:t>）强化全面预算执行力 </w:t>
      </w:r>
      <w:r>
        <w:rPr>
          <w:spacing w:val="-2"/>
        </w:rPr>
        <w:t>公司全面实施预算体制，精细化各部门目标，明确目标考核，保证目标不断提高和优化。加强对费用的控制，从制度上</w:t>
      </w:r>
    </w:p>
    <w:p>
      <w:pPr>
        <w:pStyle w:val="BodyText"/>
        <w:spacing w:line="240" w:lineRule="auto" w:before="31"/>
        <w:ind w:right="0"/>
        <w:jc w:val="both"/>
      </w:pPr>
      <w:r>
        <w:rPr/>
        <w:t>明确费用的标准，从各环节的审计来强化标准的执行。</w:t>
      </w:r>
    </w:p>
    <w:p>
      <w:pPr>
        <w:pStyle w:val="BodyText"/>
        <w:spacing w:line="300" w:lineRule="auto" w:before="76"/>
        <w:ind w:left="513" w:right="185"/>
        <w:jc w:val="left"/>
      </w:pPr>
      <w:r>
        <w:rPr/>
        <w:t>（</w:t>
      </w:r>
      <w:r>
        <w:rPr>
          <w:rFonts w:ascii="Times New Roman" w:hAnsi="Times New Roman" w:cs="Times New Roman" w:eastAsia="Times New Roman" w:hint="default"/>
        </w:rPr>
        <w:t>7</w:t>
      </w:r>
      <w:r>
        <w:rPr/>
        <w:t>）加强人才培养，储备有用之才 </w:t>
      </w:r>
      <w:r>
        <w:rPr>
          <w:spacing w:val="-2"/>
        </w:rPr>
        <w:t>进一步建立和完善公司的人才培养机制，拓展人才引进渠道，完善培训机制及员工绩效考核机制，全面强化人才队伍建</w:t>
      </w:r>
    </w:p>
    <w:p>
      <w:pPr>
        <w:pStyle w:val="BodyText"/>
        <w:spacing w:line="316" w:lineRule="auto" w:before="31"/>
        <w:ind w:right="194"/>
        <w:jc w:val="both"/>
      </w:pPr>
      <w:r>
        <w:rPr>
          <w:spacing w:val="-2"/>
        </w:rPr>
        <w:t>设，在满足公司现实需要的同时，为企业快速发展储备一批可用之才。同时，公司将不断完善运行体系和企业文化，为公司</w:t>
      </w:r>
      <w:r>
        <w:rPr>
          <w:spacing w:val="-67"/>
        </w:rPr>
        <w:t> </w:t>
      </w:r>
      <w:r>
        <w:rPr>
          <w:spacing w:val="-67"/>
        </w:rPr>
      </w:r>
      <w:r>
        <w:rPr/>
        <w:t>员工营造良好的工作和生活环境，使其具有良好的归属感，为公司不断的发展壮大提供坚实的后备力能量。</w:t>
      </w:r>
    </w:p>
    <w:p>
      <w:pPr>
        <w:pStyle w:val="BodyText"/>
        <w:spacing w:line="300" w:lineRule="auto" w:before="19"/>
        <w:ind w:left="513" w:right="99"/>
        <w:jc w:val="left"/>
      </w:pPr>
      <w:r>
        <w:rPr/>
        <w:t>（</w:t>
      </w:r>
      <w:r>
        <w:rPr>
          <w:rFonts w:ascii="Times New Roman" w:hAnsi="Times New Roman" w:cs="Times New Roman" w:eastAsia="Times New Roman" w:hint="default"/>
        </w:rPr>
        <w:t>8</w:t>
      </w:r>
      <w:r>
        <w:rPr/>
        <w:t>）加强内部控制管理，完善公司治理机构 </w:t>
      </w:r>
      <w:r>
        <w:rPr>
          <w:spacing w:val="-4"/>
        </w:rPr>
        <w:t>公司将进一步加强和完善内部控制管理，从公司治理、财务管理、人力资源管理、采购管理、市场营销管理、投资管理、</w:t>
      </w:r>
    </w:p>
    <w:p>
      <w:pPr>
        <w:pStyle w:val="BodyText"/>
        <w:spacing w:line="316" w:lineRule="auto" w:before="31"/>
        <w:ind w:right="190"/>
        <w:jc w:val="both"/>
      </w:pPr>
      <w:r>
        <w:rPr>
          <w:spacing w:val="-2"/>
        </w:rPr>
        <w:t>内部审计、信息化管理和行政事务管理等方面加强完善，并将已取得的内部控制成果推广到其他分子公司，来进一步加强对</w:t>
      </w:r>
      <w:r>
        <w:rPr>
          <w:spacing w:val="-63"/>
        </w:rPr>
        <w:t> </w:t>
      </w:r>
      <w:r>
        <w:rPr>
          <w:spacing w:val="-63"/>
        </w:rPr>
      </w:r>
      <w:r>
        <w:rPr>
          <w:spacing w:val="-2"/>
        </w:rPr>
        <w:t>下属单位的管控力度，使公司组织体系之内的风险得到集中、全面、有效的监控，确保各分子公司在统一、适用的内部控制</w:t>
      </w:r>
      <w:r>
        <w:rPr>
          <w:spacing w:val="-64"/>
        </w:rPr>
        <w:t> </w:t>
      </w:r>
      <w:r>
        <w:rPr>
          <w:spacing w:val="-64"/>
        </w:rPr>
      </w:r>
      <w:r>
        <w:rPr/>
        <w:t>体系框架内有效运行并得到总部的指导和监控。</w:t>
      </w:r>
    </w:p>
    <w:p>
      <w:pPr>
        <w:pStyle w:val="BodyText"/>
        <w:spacing w:line="316" w:lineRule="auto" w:before="19"/>
        <w:ind w:right="99" w:firstLine="360"/>
        <w:jc w:val="left"/>
      </w:pPr>
      <w:r>
        <w:rPr>
          <w:rFonts w:ascii="宋体" w:hAnsi="宋体" w:cs="宋体" w:eastAsia="宋体" w:hint="default"/>
          <w:b/>
          <w:bCs/>
          <w:spacing w:val="-4"/>
        </w:rPr>
        <w:t>特别提示：</w:t>
      </w:r>
      <w:r>
        <w:rPr>
          <w:spacing w:val="-4"/>
        </w:rPr>
        <w:t>公司的未来发展计划，不代表公司盈利预测，能否实现取决于宏观经济环境、行业发展状况、市场竞争加剧，</w:t>
      </w:r>
      <w:r>
        <w:rPr/>
        <w:t> </w:t>
      </w:r>
      <w:r>
        <w:rPr>
          <w:spacing w:val="-2"/>
        </w:rPr>
        <w:t>核心人才流失等多种因素（详见本节第五点对公司未来发展战略和经营目标的实现产生不利影响的风险因素），存在很大的</w:t>
      </w:r>
      <w:r>
        <w:rPr>
          <w:spacing w:val="-66"/>
        </w:rPr>
        <w:t> </w:t>
      </w:r>
      <w:r>
        <w:rPr>
          <w:spacing w:val="-66"/>
        </w:rPr>
      </w:r>
      <w:r>
        <w:rPr/>
        <w:t>不确定性，请投资者特别注意。</w:t>
      </w:r>
    </w:p>
    <w:p>
      <w:pPr>
        <w:spacing w:line="240" w:lineRule="auto" w:before="4"/>
        <w:rPr>
          <w:rFonts w:ascii="宋体" w:hAnsi="宋体" w:cs="宋体" w:eastAsia="宋体" w:hint="default"/>
          <w:sz w:val="25"/>
          <w:szCs w:val="25"/>
        </w:rPr>
      </w:pPr>
    </w:p>
    <w:p>
      <w:pPr>
        <w:spacing w:line="316" w:lineRule="auto" w:before="0"/>
        <w:ind w:left="513" w:right="185" w:firstLine="0"/>
        <w:jc w:val="left"/>
        <w:rPr>
          <w:rFonts w:ascii="宋体" w:hAnsi="宋体" w:cs="宋体" w:eastAsia="宋体" w:hint="default"/>
          <w:sz w:val="18"/>
          <w:szCs w:val="18"/>
        </w:rPr>
      </w:pPr>
      <w:r>
        <w:rPr>
          <w:rFonts w:ascii="宋体" w:hAnsi="宋体" w:cs="宋体" w:eastAsia="宋体" w:hint="default"/>
          <w:b/>
          <w:bCs/>
          <w:sz w:val="18"/>
          <w:szCs w:val="18"/>
        </w:rPr>
        <w:t>（四）为实现未来发展战略所需求的资金、使用计划及资金来源情况</w:t>
      </w:r>
      <w:r>
        <w:rPr>
          <w:rFonts w:ascii="宋体" w:hAnsi="宋体" w:cs="宋体" w:eastAsia="宋体" w:hint="default"/>
          <w:b/>
          <w:bCs/>
          <w:w w:val="99"/>
          <w:sz w:val="18"/>
          <w:szCs w:val="18"/>
        </w:rPr>
        <w:t> </w:t>
      </w:r>
      <w:r>
        <w:rPr>
          <w:rFonts w:ascii="宋体" w:hAnsi="宋体" w:cs="宋体" w:eastAsia="宋体" w:hint="default"/>
          <w:spacing w:val="-2"/>
          <w:sz w:val="18"/>
          <w:szCs w:val="18"/>
        </w:rPr>
        <w:t>公司经营活动现金流入稳健增长，可以满足为实现未来发展战略所需的大部分资金。与此同时，公司财务结构稳健、偿</w:t>
      </w:r>
    </w:p>
    <w:p>
      <w:pPr>
        <w:pStyle w:val="BodyText"/>
        <w:spacing w:line="316" w:lineRule="auto" w:before="19"/>
        <w:ind w:right="194"/>
        <w:jc w:val="both"/>
      </w:pPr>
      <w:r>
        <w:rPr>
          <w:spacing w:val="-2"/>
        </w:rPr>
        <w:t>债能力指标优良、银行授信额度充足，外部举债能力较强。公司将根据发展步伐及实际资金需求，结合自身财务状况，合理</w:t>
      </w:r>
      <w:r>
        <w:rPr>
          <w:spacing w:val="-67"/>
        </w:rPr>
        <w:t> </w:t>
      </w:r>
      <w:r>
        <w:rPr>
          <w:spacing w:val="-67"/>
        </w:rPr>
      </w:r>
      <w:r>
        <w:rPr/>
        <w:t>利用各种融资方式，确保未来发展的资金需求，促进公司持续健康发展。</w:t>
      </w:r>
    </w:p>
    <w:p>
      <w:pPr>
        <w:spacing w:line="240" w:lineRule="auto" w:before="4"/>
        <w:rPr>
          <w:rFonts w:ascii="宋体" w:hAnsi="宋体" w:cs="宋体" w:eastAsia="宋体" w:hint="default"/>
          <w:sz w:val="25"/>
          <w:szCs w:val="25"/>
        </w:rPr>
      </w:pPr>
    </w:p>
    <w:p>
      <w:pPr>
        <w:pStyle w:val="Heading5"/>
        <w:spacing w:line="240" w:lineRule="auto"/>
        <w:ind w:right="185"/>
        <w:jc w:val="left"/>
        <w:rPr>
          <w:b w:val="0"/>
          <w:bCs w:val="0"/>
        </w:rPr>
      </w:pPr>
      <w:r>
        <w:rPr/>
        <w:t>（五）对公司未来发展战略和经营目标的实现产生不利影响的风险因素</w:t>
      </w:r>
      <w:r>
        <w:rPr>
          <w:b w:val="0"/>
          <w:bCs w:val="0"/>
        </w:rPr>
      </w:r>
    </w:p>
    <w:p>
      <w:pPr>
        <w:pStyle w:val="BodyText"/>
        <w:spacing w:line="307" w:lineRule="auto" w:before="76"/>
        <w:ind w:right="99" w:firstLine="360"/>
        <w:jc w:val="left"/>
      </w:pPr>
      <w:r>
        <w:rPr>
          <w:rFonts w:ascii="Times New Roman" w:hAnsi="Times New Roman" w:cs="Times New Roman" w:eastAsia="Times New Roman" w:hint="default"/>
        </w:rPr>
        <w:t>1</w:t>
      </w:r>
      <w:r>
        <w:rPr/>
        <w:t>、宏观政策风险：</w:t>
      </w:r>
      <w:r>
        <w:rPr>
          <w:rFonts w:ascii="Times New Roman" w:hAnsi="Times New Roman" w:cs="Times New Roman" w:eastAsia="Times New Roman" w:hint="default"/>
        </w:rPr>
        <w:t>ATM</w:t>
      </w:r>
      <w:r>
        <w:rPr/>
        <w:t>业务是在目前的经营环境下开展的业务，如果经营环境（如消费疲软等）和宏观政策（如金融 </w:t>
      </w:r>
      <w:r>
        <w:rPr>
          <w:spacing w:val="-1"/>
        </w:rPr>
        <w:t>政策、银行</w:t>
      </w:r>
      <w:r>
        <w:rPr>
          <w:rFonts w:ascii="Times New Roman" w:hAnsi="Times New Roman" w:cs="Times New Roman" w:eastAsia="Times New Roman" w:hint="default"/>
          <w:spacing w:val="-1"/>
        </w:rPr>
        <w:t>ATM</w:t>
      </w:r>
      <w:r>
        <w:rPr>
          <w:spacing w:val="-1"/>
        </w:rPr>
        <w:t>业务的运作方式、跨行取款的代理手续费标准等）发生变化，将对公司的经营业绩产生重大不确定性影响。</w:t>
      </w:r>
      <w:r>
        <w:rPr>
          <w:spacing w:val="-73"/>
        </w:rPr>
        <w:t> </w:t>
      </w:r>
      <w:r>
        <w:rPr>
          <w:spacing w:val="-73"/>
        </w:rPr>
      </w:r>
      <w:r>
        <w:rPr>
          <w:spacing w:val="-2"/>
        </w:rPr>
        <w:t>为此，公司将密切关注宏观经营环境和政策的变化，加强对宏观政策的跟踪和研判，采取积极灵活的经营思路，减小宏观政</w:t>
      </w:r>
      <w:r>
        <w:rPr>
          <w:spacing w:val="-63"/>
        </w:rPr>
        <w:t> </w:t>
      </w:r>
      <w:r>
        <w:rPr>
          <w:spacing w:val="-63"/>
        </w:rPr>
      </w:r>
      <w:r>
        <w:rPr/>
        <w:t>策风险给公司带来的影响。</w:t>
      </w:r>
    </w:p>
    <w:p>
      <w:pPr>
        <w:pStyle w:val="BodyText"/>
        <w:spacing w:line="240" w:lineRule="auto" w:before="26"/>
        <w:ind w:left="513" w:right="99"/>
        <w:jc w:val="left"/>
      </w:pPr>
      <w:r>
        <w:rPr>
          <w:rFonts w:ascii="Times New Roman" w:hAnsi="Times New Roman" w:cs="Times New Roman" w:eastAsia="Times New Roman" w:hint="default"/>
        </w:rPr>
        <w:t>2</w:t>
      </w:r>
      <w:r>
        <w:rPr/>
        <w:t>、技术风险：首先，公司是高新技术企业，主营产品的科技含量较高，随着公司技术创新的深入，技术创新的突破在</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99"/>
        <w:jc w:val="left"/>
      </w:pPr>
      <w:r>
        <w:rPr>
          <w:spacing w:val="-2"/>
        </w:rPr>
        <w:t>深度和广度上都将会更加困难；其次，公司在核心关键技术上拥有自主知识产权，并有多项产品和技术处于研发阶段，多项</w:t>
      </w:r>
      <w:r>
        <w:rPr>
          <w:spacing w:val="-64"/>
        </w:rPr>
        <w:t> </w:t>
      </w:r>
      <w:r>
        <w:rPr>
          <w:spacing w:val="-64"/>
        </w:rPr>
      </w:r>
      <w:r>
        <w:rPr>
          <w:spacing w:val="-4"/>
        </w:rPr>
        <w:t>核心技术为行业创新，达到国内领先水平，构成公司主营产品的核心竞争力。如果出现技术外泄或者核心技术人员外流情况，</w:t>
      </w:r>
      <w:r>
        <w:rPr>
          <w:spacing w:val="-44"/>
        </w:rPr>
        <w:t> </w:t>
      </w:r>
      <w:r>
        <w:rPr>
          <w:spacing w:val="-44"/>
        </w:rPr>
      </w:r>
      <w:r>
        <w:rPr>
          <w:spacing w:val="-2"/>
        </w:rPr>
        <w:t>将会影响本公司的持续的技术创新能力。为此，公司与核心技术人员签订了《保密协议》，加强了核心技术保密工作，并通</w:t>
      </w:r>
      <w:r>
        <w:rPr>
          <w:spacing w:val="-66"/>
        </w:rPr>
        <w:t> </w:t>
      </w:r>
      <w:r>
        <w:rPr>
          <w:spacing w:val="-66"/>
        </w:rPr>
      </w:r>
      <w:r>
        <w:rPr/>
        <w:t>过不断完善内部激励机制，吸引和留住核心技术人员，促进公司的技术创新能力不断提高。</w:t>
      </w:r>
    </w:p>
    <w:p>
      <w:pPr>
        <w:pStyle w:val="BodyText"/>
        <w:spacing w:line="312" w:lineRule="auto" w:before="17"/>
        <w:ind w:right="99" w:firstLine="360"/>
        <w:jc w:val="left"/>
      </w:pPr>
      <w:r>
        <w:rPr>
          <w:rFonts w:ascii="Times New Roman" w:hAnsi="Times New Roman" w:cs="Times New Roman" w:eastAsia="Times New Roman" w:hint="default"/>
        </w:rPr>
        <w:t>3</w:t>
      </w:r>
      <w:r>
        <w:rPr/>
        <w:t>、运营成本上升导致的风险：由于通胀压力持续存在，国内原辅材料价格不断上升，企业用工难导致人工成本的快速 </w:t>
      </w:r>
      <w:r>
        <w:rPr>
          <w:spacing w:val="-4"/>
        </w:rPr>
        <w:t>上涨，运输价格上涨、水电气等资源价格上涨等进一步提高了企业的运营成本，将会对公司的盈利能力造成一定影响。为此，</w:t>
      </w:r>
      <w:r>
        <w:rPr>
          <w:spacing w:val="-46"/>
        </w:rPr>
        <w:t> </w:t>
      </w:r>
      <w:r>
        <w:rPr>
          <w:spacing w:val="-46"/>
        </w:rPr>
      </w:r>
      <w:r>
        <w:rPr>
          <w:spacing w:val="-2"/>
        </w:rPr>
        <w:t>公司将提高企业管理水平，降耗挖潜，做好公司和各门店预算分析，强化预算管控，控制费用支出，努力降低各项采购成本</w:t>
      </w:r>
      <w:r>
        <w:rPr>
          <w:spacing w:val="-67"/>
        </w:rPr>
        <w:t> </w:t>
      </w:r>
      <w:r>
        <w:rPr>
          <w:spacing w:val="-67"/>
        </w:rPr>
      </w:r>
      <w:r>
        <w:rPr/>
        <w:t>和生产成本。</w:t>
      </w:r>
    </w:p>
    <w:p>
      <w:pPr>
        <w:pStyle w:val="BodyText"/>
        <w:spacing w:line="309" w:lineRule="auto" w:before="22"/>
        <w:ind w:right="185" w:firstLine="360"/>
        <w:jc w:val="left"/>
      </w:pPr>
      <w:r>
        <w:rPr>
          <w:rFonts w:ascii="Times New Roman" w:hAnsi="Times New Roman" w:cs="Times New Roman" w:eastAsia="Times New Roman" w:hint="default"/>
        </w:rPr>
        <w:t>4</w:t>
      </w:r>
      <w:r>
        <w:rPr/>
        <w:t>、人力资源风险 </w:t>
      </w:r>
      <w:r>
        <w:rPr>
          <w:spacing w:val="-2"/>
        </w:rPr>
        <w:t>公司持续扩大的业务规模及人员规模必将对公司人力资源战略提出更大挑战，如何调整人才引进体系、薪酬体系、激励考核</w:t>
      </w:r>
      <w:r>
        <w:rPr>
          <w:spacing w:val="-64"/>
        </w:rPr>
        <w:t> </w:t>
      </w:r>
      <w:r>
        <w:rPr>
          <w:spacing w:val="-64"/>
        </w:rPr>
      </w:r>
      <w:r>
        <w:rPr/>
        <w:t>体系等多方面人力资源管理体系，确保人才的供应和管理机制满足公司发展需要成为关键所在。</w:t>
      </w:r>
    </w:p>
    <w:p>
      <w:pPr>
        <w:spacing w:line="240" w:lineRule="auto" w:before="3"/>
        <w:rPr>
          <w:rFonts w:ascii="宋体" w:hAnsi="宋体" w:cs="宋体" w:eastAsia="宋体" w:hint="default"/>
          <w:sz w:val="21"/>
          <w:szCs w:val="21"/>
        </w:rPr>
      </w:pPr>
    </w:p>
    <w:p>
      <w:pPr>
        <w:pStyle w:val="Heading2"/>
        <w:spacing w:line="240" w:lineRule="auto"/>
        <w:ind w:right="185"/>
        <w:jc w:val="left"/>
        <w:rPr>
          <w:b w:val="0"/>
          <w:bCs w:val="0"/>
        </w:rPr>
      </w:pPr>
      <w:r>
        <w:rPr/>
        <w:t>九、董事会对会计师事务所本报告期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85"/>
        <w:jc w:val="left"/>
      </w:pPr>
      <w:r>
        <w:rPr/>
        <w:t>公司本报告期财务报告未被会计师事务所出具</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2"/>
        <w:spacing w:line="240" w:lineRule="auto"/>
        <w:ind w:right="185"/>
        <w:jc w:val="left"/>
        <w:rPr>
          <w:b w:val="0"/>
          <w:bCs w:val="0"/>
        </w:rPr>
      </w:pPr>
      <w:r>
        <w:rPr/>
        <w:t>十、与上年度财务报告相比，会计政策、会计估计和核算方法发生变化的情况说明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85"/>
        <w:jc w:val="left"/>
      </w:pPr>
      <w:r>
        <w:rPr/>
        <w:t>公司本报告期财务报告与上年相比会计政策、会计估计和核算方法未发生变化。</w:t>
      </w:r>
    </w:p>
    <w:p>
      <w:pPr>
        <w:spacing w:line="240" w:lineRule="auto" w:before="3"/>
        <w:rPr>
          <w:rFonts w:ascii="宋体" w:hAnsi="宋体" w:cs="宋体" w:eastAsia="宋体" w:hint="default"/>
          <w:sz w:val="25"/>
          <w:szCs w:val="25"/>
        </w:rPr>
      </w:pPr>
    </w:p>
    <w:p>
      <w:pPr>
        <w:pStyle w:val="Heading2"/>
        <w:spacing w:line="240" w:lineRule="auto"/>
        <w:ind w:right="185"/>
        <w:jc w:val="left"/>
        <w:rPr>
          <w:b w:val="0"/>
          <w:bCs w:val="0"/>
        </w:rPr>
      </w:pPr>
      <w:r>
        <w:rPr/>
        <w:t>十一、报告期内发生重大会计差错更正需追溯重述的情况说明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85"/>
        <w:jc w:val="left"/>
      </w:pPr>
      <w:r>
        <w:rPr/>
        <w:t>公司本报告期未发生重大会计差错更正需追溯重述的情况。</w:t>
      </w:r>
    </w:p>
    <w:p>
      <w:pPr>
        <w:spacing w:line="240" w:lineRule="auto" w:before="3"/>
        <w:rPr>
          <w:rFonts w:ascii="宋体" w:hAnsi="宋体" w:cs="宋体" w:eastAsia="宋体" w:hint="default"/>
          <w:sz w:val="25"/>
          <w:szCs w:val="25"/>
        </w:rPr>
      </w:pPr>
    </w:p>
    <w:p>
      <w:pPr>
        <w:pStyle w:val="Heading2"/>
        <w:spacing w:line="240" w:lineRule="auto"/>
        <w:ind w:right="185"/>
        <w:jc w:val="left"/>
        <w:rPr>
          <w:b w:val="0"/>
          <w:bCs w:val="0"/>
        </w:rPr>
      </w:pPr>
      <w:r>
        <w:rPr/>
        <w:t>十二、与上年度财务报告相比，合并报表范围发生变化的情况说明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84" w:firstLine="360"/>
        <w:jc w:val="left"/>
      </w:pPr>
      <w:r>
        <w:rPr/>
        <w:t>报告期内，公司与上年相比新增合并单位</w:t>
      </w:r>
      <w:r>
        <w:rPr>
          <w:spacing w:val="-18"/>
        </w:rPr>
        <w:t> </w:t>
      </w:r>
      <w:r>
        <w:rPr>
          <w:rFonts w:ascii="Times New Roman" w:hAnsi="Times New Roman" w:cs="Times New Roman" w:eastAsia="Times New Roman" w:hint="default"/>
        </w:rPr>
        <w:t>1</w:t>
      </w:r>
      <w:r>
        <w:rPr/>
        <w:t>家，主要是公司对北京青年御银科技有限责任公司从</w:t>
      </w:r>
      <w:r>
        <w:rPr>
          <w:rFonts w:ascii="Times New Roman" w:hAnsi="Times New Roman" w:cs="Times New Roman" w:eastAsia="Times New Roman" w:hint="default"/>
        </w:rPr>
        <w:t>20%</w:t>
      </w:r>
      <w:r>
        <w:rPr/>
        <w:t>的股权变更为 </w:t>
      </w:r>
      <w:r>
        <w:rPr>
          <w:rFonts w:ascii="Times New Roman" w:hAnsi="Times New Roman" w:cs="Times New Roman" w:eastAsia="Times New Roman" w:hint="default"/>
          <w:spacing w:val="-5"/>
        </w:rPr>
        <w:t>100%</w:t>
      </w:r>
      <w:r>
        <w:rPr>
          <w:spacing w:val="-5"/>
        </w:rPr>
        <w:t>，由权益法改为成本法，从变更之日起纳入合并范围。北京青年御银科技有限责任公司注册资本</w:t>
      </w:r>
      <w:r>
        <w:rPr>
          <w:rFonts w:ascii="Times New Roman" w:hAnsi="Times New Roman" w:cs="Times New Roman" w:eastAsia="Times New Roman" w:hint="default"/>
          <w:spacing w:val="-5"/>
        </w:rPr>
        <w:t>200</w:t>
      </w:r>
      <w:r>
        <w:rPr>
          <w:spacing w:val="-5"/>
        </w:rPr>
        <w:t>万元，公司持有</w:t>
      </w:r>
      <w:r>
        <w:rPr>
          <w:rFonts w:ascii="Times New Roman" w:hAnsi="Times New Roman" w:cs="Times New Roman" w:eastAsia="Times New Roman" w:hint="default"/>
          <w:spacing w:val="-5"/>
        </w:rPr>
        <w:t>100%</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的股权，主要开展技术开发、技术咨询与服务业务。</w:t>
      </w:r>
    </w:p>
    <w:p>
      <w:pPr>
        <w:spacing w:line="240" w:lineRule="auto" w:before="11"/>
        <w:rPr>
          <w:rFonts w:ascii="宋体" w:hAnsi="宋体" w:cs="宋体" w:eastAsia="宋体" w:hint="default"/>
          <w:sz w:val="21"/>
          <w:szCs w:val="21"/>
        </w:rPr>
      </w:pPr>
    </w:p>
    <w:p>
      <w:pPr>
        <w:pStyle w:val="Heading2"/>
        <w:spacing w:line="240" w:lineRule="auto"/>
        <w:ind w:right="185"/>
        <w:jc w:val="left"/>
        <w:rPr>
          <w:b w:val="0"/>
          <w:bCs w:val="0"/>
        </w:rPr>
      </w:pPr>
      <w:r>
        <w:rPr/>
        <w:t>十三、公司利润分配及分红派息情况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73" w:right="185" w:hanging="421"/>
        <w:jc w:val="left"/>
      </w:pPr>
      <w:r>
        <w:rPr/>
        <w:t>报告期内利润分配政策特别是现金分红政策的制定、执行或调整情况 报告期内，根据中国证监会《关于进一步落实上市公司现金分红有关事项的通知》及广东证监局《关于进一步落实上</w:t>
      </w:r>
    </w:p>
    <w:p>
      <w:pPr>
        <w:pStyle w:val="BodyText"/>
        <w:spacing w:line="237" w:lineRule="exact"/>
        <w:ind w:right="185"/>
        <w:jc w:val="left"/>
      </w:pPr>
      <w:r>
        <w:rPr/>
        <w:t>市公司分红相关规定的通知》（广东证监</w:t>
      </w:r>
      <w:r>
        <w:rPr>
          <w:rFonts w:ascii="Times New Roman" w:hAnsi="Times New Roman" w:cs="Times New Roman" w:eastAsia="Times New Roman" w:hint="default"/>
        </w:rPr>
        <w:t>[2012]91</w:t>
      </w:r>
      <w:r>
        <w:rPr/>
        <w:t>号），公司于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日召开第三届董事会第三十三次会议，审议修</w:t>
      </w:r>
    </w:p>
    <w:p>
      <w:pPr>
        <w:pStyle w:val="BodyText"/>
        <w:spacing w:line="307" w:lineRule="auto" w:before="63"/>
        <w:ind w:right="99"/>
        <w:jc w:val="left"/>
      </w:pPr>
      <w:r>
        <w:rPr/>
        <w:t>订了《公司章程》，对其中的利润分配政策条款进行了修改，同时制定了《利润分配管理制度》，并于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日经公</w:t>
      </w:r>
      <w:r>
        <w:rPr>
          <w:spacing w:val="-85"/>
        </w:rPr>
        <w:t> </w:t>
      </w:r>
      <w:r>
        <w:rPr>
          <w:spacing w:val="-85"/>
        </w:rPr>
      </w:r>
      <w:r>
        <w:rPr>
          <w:spacing w:val="-4"/>
        </w:rPr>
        <w:t>司</w:t>
      </w:r>
      <w:r>
        <w:rPr>
          <w:rFonts w:ascii="Times New Roman" w:hAnsi="Times New Roman" w:cs="Times New Roman" w:eastAsia="Times New Roman" w:hint="default"/>
          <w:spacing w:val="-4"/>
        </w:rPr>
        <w:t>2012</w:t>
      </w:r>
      <w:r>
        <w:rPr>
          <w:spacing w:val="-4"/>
        </w:rPr>
        <w:t>年第一次临时股东大会审议通过。公司利润分配政策符合法律法规和公司章程等有关制度的规定，对分红标准、比例，</w:t>
      </w:r>
      <w:r>
        <w:rPr>
          <w:spacing w:val="-38"/>
        </w:rPr>
        <w:t> </w:t>
      </w:r>
      <w:r>
        <w:rPr>
          <w:spacing w:val="-38"/>
        </w:rPr>
      </w:r>
      <w:r>
        <w:rPr>
          <w:spacing w:val="-2"/>
        </w:rPr>
        <w:t>以及相关的决策程序进行了明确规定，并由独立董事发表意见，充分保护中小投资者的合法权益。公司将严格执行分红制度</w:t>
      </w:r>
      <w:r>
        <w:rPr>
          <w:spacing w:val="-63"/>
        </w:rPr>
        <w:t> </w:t>
      </w:r>
      <w:r>
        <w:rPr>
          <w:spacing w:val="-63"/>
        </w:rPr>
      </w:r>
      <w:r>
        <w:rPr/>
        <w:t>和政策。</w:t>
      </w:r>
    </w:p>
    <w:p>
      <w:pPr>
        <w:pStyle w:val="BodyText"/>
        <w:spacing w:line="240" w:lineRule="auto" w:before="67"/>
        <w:ind w:right="185"/>
        <w:jc w:val="left"/>
      </w:pPr>
      <w:r>
        <w:rPr/>
        <w:t>本年度利润分配及资本公积金转增股本预案</w:t>
      </w:r>
    </w:p>
    <w:p>
      <w:pPr>
        <w:pStyle w:val="BodyText"/>
        <w:spacing w:line="240" w:lineRule="auto" w:before="117"/>
        <w:ind w:right="1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7"/>
        <w:gridCol w:w="5853"/>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08"/>
        <w:gridCol w:w="5863"/>
      </w:tblGrid>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585,531,765</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5,855,317.65</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214,981,661.26</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3019"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年度利润分配及资本公积金转增股本预案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年度经营情况经立信会计师事务所（特殊普通合伙）有限公司审计，</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母公司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1,942.87 </w:t>
            </w:r>
            <w:r>
              <w:rPr>
                <w:rFonts w:ascii="宋体" w:hAnsi="宋体" w:cs="宋体" w:eastAsia="宋体" w:hint="default"/>
                <w:sz w:val="18"/>
                <w:szCs w:val="18"/>
              </w:rPr>
              <w:t>万元，按母公司净利润的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194.29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万元，加年初未分配利润</w:t>
            </w:r>
          </w:p>
          <w:p>
            <w:pPr>
              <w:pStyle w:val="TableParagraph"/>
              <w:spacing w:line="300" w:lineRule="auto" w:before="63"/>
              <w:ind w:left="24"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21,471.73 </w:t>
            </w:r>
            <w:r>
              <w:rPr>
                <w:rFonts w:ascii="宋体" w:hAnsi="宋体" w:cs="宋体" w:eastAsia="宋体" w:hint="default"/>
                <w:sz w:val="18"/>
                <w:szCs w:val="18"/>
              </w:rPr>
              <w:t>万元，减去</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年度现金分红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1,722.15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万元，可供股东分配的利润为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21,498.16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年度利润分配及资 本公积金转增预案如下：</w:t>
            </w:r>
          </w:p>
          <w:p>
            <w:pPr>
              <w:pStyle w:val="TableParagraph"/>
              <w:spacing w:line="240" w:lineRule="auto" w:before="72"/>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）利润分配预案：以</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日的总股本</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股为基数，拟按每</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3"/>
                <w:sz w:val="18"/>
                <w:szCs w:val="18"/>
              </w:rPr>
              <w:t>派</w:t>
            </w:r>
            <w:r>
              <w:rPr>
                <w:rFonts w:ascii="宋体" w:hAnsi="宋体" w:cs="宋体" w:eastAsia="宋体" w:hint="default"/>
                <w:sz w:val="18"/>
                <w:szCs w:val="18"/>
              </w:rPr>
              <w:t>发现金股利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5,855,317.65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10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）资本公积金转增股本预案：以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年年末总股本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585,531,765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股为基数，拟以资本公积金向全体股东每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40" w:lineRule="auto" w:before="1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年度利润分配及资本公积金转增股本预案须提请公司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年度股东大会审议批准后实施。</w:t>
            </w:r>
          </w:p>
        </w:tc>
      </w:tr>
    </w:tbl>
    <w:p>
      <w:pPr>
        <w:pStyle w:val="BodyText"/>
        <w:spacing w:line="240" w:lineRule="auto" w:before="49"/>
        <w:ind w:right="185"/>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BodyText"/>
        <w:spacing w:line="240" w:lineRule="auto" w:before="101"/>
        <w:ind w:left="513" w:right="185"/>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年度利润分配及资本公积金转增股本预案</w:t>
      </w:r>
    </w:p>
    <w:p>
      <w:pPr>
        <w:pStyle w:val="BodyText"/>
        <w:spacing w:line="300" w:lineRule="auto" w:before="63"/>
        <w:ind w:right="99" w:firstLine="360"/>
        <w:jc w:val="left"/>
      </w:pPr>
      <w:r>
        <w:rPr>
          <w:rFonts w:ascii="Times New Roman" w:hAnsi="Times New Roman" w:cs="Times New Roman" w:eastAsia="Times New Roman" w:hint="default"/>
        </w:rPr>
        <w:t>2012</w:t>
      </w:r>
      <w:r>
        <w:rPr/>
        <w:t>年度经营情况经立信会计师事务所（特殊普通合伙）有限公司审计，母公司</w:t>
      </w:r>
      <w:r>
        <w:rPr>
          <w:rFonts w:ascii="Times New Roman" w:hAnsi="Times New Roman" w:cs="Times New Roman" w:eastAsia="Times New Roman" w:hint="default"/>
        </w:rPr>
        <w:t>2012</w:t>
      </w:r>
      <w:r>
        <w:rPr/>
        <w:t>年度实现净利润</w:t>
      </w:r>
      <w:r>
        <w:rPr>
          <w:rFonts w:ascii="Times New Roman" w:hAnsi="Times New Roman" w:cs="Times New Roman" w:eastAsia="Times New Roman" w:hint="default"/>
        </w:rPr>
        <w:t>1,942.87</w:t>
      </w:r>
      <w:r>
        <w:rPr/>
        <w:t>万元，按 </w:t>
      </w:r>
      <w:r>
        <w:rPr>
          <w:spacing w:val="-1"/>
        </w:rPr>
        <w:t>母公司净利润的</w:t>
      </w:r>
      <w:r>
        <w:rPr>
          <w:rFonts w:ascii="Times New Roman" w:hAnsi="Times New Roman" w:cs="Times New Roman" w:eastAsia="Times New Roman" w:hint="default"/>
          <w:spacing w:val="-1"/>
        </w:rPr>
        <w:t>10%</w:t>
      </w:r>
      <w:r>
        <w:rPr>
          <w:spacing w:val="-1"/>
        </w:rPr>
        <w:t>提取法定盈余公积</w:t>
      </w:r>
      <w:r>
        <w:rPr>
          <w:rFonts w:ascii="Times New Roman" w:hAnsi="Times New Roman" w:cs="Times New Roman" w:eastAsia="Times New Roman" w:hint="default"/>
          <w:spacing w:val="-1"/>
        </w:rPr>
        <w:t>194.29</w:t>
      </w:r>
      <w:r>
        <w:rPr>
          <w:spacing w:val="-1"/>
        </w:rPr>
        <w:t>万元，加年初未分配利润</w:t>
      </w:r>
      <w:r>
        <w:rPr>
          <w:rFonts w:ascii="Times New Roman" w:hAnsi="Times New Roman" w:cs="Times New Roman" w:eastAsia="Times New Roman" w:hint="default"/>
          <w:spacing w:val="-1"/>
        </w:rPr>
        <w:t>21,471.73</w:t>
      </w:r>
      <w:r>
        <w:rPr>
          <w:spacing w:val="-1"/>
        </w:rPr>
        <w:t>万元，减去</w:t>
      </w:r>
      <w:r>
        <w:rPr>
          <w:rFonts w:ascii="Times New Roman" w:hAnsi="Times New Roman" w:cs="Times New Roman" w:eastAsia="Times New Roman" w:hint="default"/>
          <w:spacing w:val="-1"/>
        </w:rPr>
        <w:t>2011</w:t>
      </w:r>
      <w:r>
        <w:rPr>
          <w:spacing w:val="-1"/>
        </w:rPr>
        <w:t>年度现金分红</w:t>
      </w:r>
      <w:r>
        <w:rPr>
          <w:rFonts w:ascii="Times New Roman" w:hAnsi="Times New Roman" w:cs="Times New Roman" w:eastAsia="Times New Roman" w:hint="default"/>
          <w:spacing w:val="-1"/>
        </w:rPr>
        <w:t>1,722.15</w:t>
      </w:r>
      <w:r>
        <w:rPr>
          <w:spacing w:val="-1"/>
        </w:rPr>
        <w:t>万元，</w:t>
      </w:r>
      <w:r>
        <w:rPr>
          <w:spacing w:val="-43"/>
        </w:rPr>
        <w:t> </w:t>
      </w:r>
      <w:r>
        <w:rPr/>
        <w:t>可供股东分配的利润为</w:t>
      </w:r>
      <w:r>
        <w:rPr>
          <w:rFonts w:ascii="Times New Roman" w:hAnsi="Times New Roman" w:cs="Times New Roman" w:eastAsia="Times New Roman" w:hint="default"/>
        </w:rPr>
        <w:t>21,498.16</w:t>
      </w:r>
      <w:r>
        <w:rPr/>
        <w:t>万元。</w:t>
      </w:r>
      <w:r>
        <w:rPr>
          <w:rFonts w:ascii="Times New Roman" w:hAnsi="Times New Roman" w:cs="Times New Roman" w:eastAsia="Times New Roman" w:hint="default"/>
        </w:rPr>
        <w:t>2012</w:t>
      </w:r>
      <w:r>
        <w:rPr/>
        <w:t>年度利润分配及资本公积金转增预案如下：</w:t>
      </w:r>
    </w:p>
    <w:p>
      <w:pPr>
        <w:pStyle w:val="BodyText"/>
        <w:spacing w:line="300" w:lineRule="auto" w:before="13"/>
        <w:ind w:right="185" w:firstLine="360"/>
        <w:jc w:val="left"/>
      </w:pPr>
      <w:r>
        <w:rPr/>
        <w:t>（</w:t>
      </w:r>
      <w:r>
        <w:rPr>
          <w:rFonts w:ascii="Times New Roman" w:hAnsi="Times New Roman" w:cs="Times New Roman" w:eastAsia="Times New Roman" w:hint="default"/>
        </w:rPr>
        <w:t>1</w:t>
      </w:r>
      <w:r>
        <w:rPr/>
        <w:t>）利润分配预案：以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585,531,765</w:t>
      </w:r>
      <w:r>
        <w:rPr/>
        <w:t>股为基数，拟按每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0.10</w:t>
      </w:r>
      <w:r>
        <w:rPr/>
        <w:t>元（含税），共 计</w:t>
      </w:r>
      <w:r>
        <w:rPr>
          <w:rFonts w:ascii="Times New Roman" w:hAnsi="Times New Roman" w:cs="Times New Roman" w:eastAsia="Times New Roman" w:hint="default"/>
        </w:rPr>
        <w:t>5,855,317.65</w:t>
      </w:r>
      <w:r>
        <w:rPr/>
        <w:t>元；</w:t>
      </w:r>
    </w:p>
    <w:p>
      <w:pPr>
        <w:pStyle w:val="BodyText"/>
        <w:spacing w:line="240" w:lineRule="auto" w:before="13"/>
        <w:ind w:left="513" w:right="185"/>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）资本公积金转增股本预案：以</w:t>
      </w:r>
      <w:r>
        <w:rPr>
          <w:rFonts w:ascii="Times New Roman" w:hAnsi="Times New Roman" w:cs="Times New Roman" w:eastAsia="Times New Roman" w:hint="default"/>
        </w:rPr>
        <w:t>2012</w:t>
      </w:r>
      <w:r>
        <w:rPr/>
        <w:t>年年末总股本</w:t>
      </w:r>
      <w:r>
        <w:rPr>
          <w:rFonts w:ascii="Times New Roman" w:hAnsi="Times New Roman" w:cs="Times New Roman" w:eastAsia="Times New Roman" w:hint="default"/>
        </w:rPr>
        <w:t>585,531,765</w:t>
      </w:r>
      <w:r>
        <w:rPr/>
        <w:t>股为基数，拟以资本公积金向全体股东每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p>
    <w:p>
      <w:pPr>
        <w:pStyle w:val="BodyText"/>
        <w:spacing w:line="240" w:lineRule="auto" w:before="63"/>
        <w:ind w:right="185"/>
        <w:jc w:val="left"/>
      </w:pPr>
      <w:r>
        <w:rPr/>
        <w:t>股。</w:t>
      </w:r>
    </w:p>
    <w:p>
      <w:pPr>
        <w:pStyle w:val="BodyText"/>
        <w:spacing w:line="240" w:lineRule="auto" w:before="77"/>
        <w:ind w:left="513" w:right="185"/>
        <w:jc w:val="left"/>
      </w:pPr>
      <w:r>
        <w:rPr>
          <w:rFonts w:ascii="Times New Roman" w:hAnsi="Times New Roman" w:cs="Times New Roman" w:eastAsia="Times New Roman" w:hint="default"/>
        </w:rPr>
        <w:t>2012</w:t>
      </w:r>
      <w:r>
        <w:rPr/>
        <w:t>年度利润分配及资本公积金转增股本预案须提请公司</w:t>
      </w:r>
      <w:r>
        <w:rPr>
          <w:rFonts w:ascii="Times New Roman" w:hAnsi="Times New Roman" w:cs="Times New Roman" w:eastAsia="Times New Roman" w:hint="default"/>
        </w:rPr>
        <w:t>2012</w:t>
      </w:r>
      <w:r>
        <w:rPr/>
        <w:t>年度股东大会审议批准后实施。</w:t>
      </w:r>
    </w:p>
    <w:p>
      <w:pPr>
        <w:pStyle w:val="BodyText"/>
        <w:spacing w:line="240" w:lineRule="auto" w:before="63"/>
        <w:ind w:left="513" w:right="185"/>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年度利润分配及资本公积金转增股本方案</w:t>
      </w:r>
    </w:p>
    <w:p>
      <w:pPr>
        <w:pStyle w:val="BodyText"/>
        <w:spacing w:line="240" w:lineRule="auto" w:before="63"/>
        <w:ind w:left="513" w:right="99"/>
        <w:jc w:val="left"/>
      </w:pPr>
      <w:r>
        <w:rPr>
          <w:rFonts w:ascii="Times New Roman" w:hAnsi="Times New Roman" w:cs="Times New Roman" w:eastAsia="Times New Roman" w:hint="default"/>
        </w:rPr>
        <w:t>2011</w:t>
      </w:r>
      <w:r>
        <w:rPr/>
        <w:t>年度经营情况经立信会计师事务所（特殊普通合伙）有限公司审计，母公司</w:t>
      </w:r>
      <w:r>
        <w:rPr>
          <w:rFonts w:ascii="Times New Roman" w:hAnsi="Times New Roman" w:cs="Times New Roman" w:eastAsia="Times New Roman" w:hint="default"/>
        </w:rPr>
        <w:t>2011</w:t>
      </w:r>
      <w:r>
        <w:rPr/>
        <w:t>年度实现净利润</w:t>
      </w:r>
      <w:r>
        <w:rPr>
          <w:rFonts w:ascii="Times New Roman" w:hAnsi="Times New Roman" w:cs="Times New Roman" w:eastAsia="Times New Roman" w:hint="default"/>
        </w:rPr>
        <w:t>6,604.26</w:t>
      </w:r>
      <w:r>
        <w:rPr/>
        <w:t>万元，按</w:t>
      </w:r>
    </w:p>
    <w:p>
      <w:pPr>
        <w:pStyle w:val="BodyText"/>
        <w:spacing w:line="240" w:lineRule="auto" w:before="63"/>
        <w:ind w:right="99"/>
        <w:jc w:val="left"/>
      </w:pPr>
      <w:r>
        <w:rPr>
          <w:spacing w:val="-2"/>
        </w:rPr>
        <w:t>母公司净利润的</w:t>
      </w:r>
      <w:r>
        <w:rPr>
          <w:rFonts w:ascii="Times New Roman" w:hAnsi="Times New Roman" w:cs="Times New Roman" w:eastAsia="Times New Roman" w:hint="default"/>
          <w:spacing w:val="-2"/>
        </w:rPr>
        <w:t>10%</w:t>
      </w:r>
      <w:r>
        <w:rPr>
          <w:spacing w:val="-2"/>
        </w:rPr>
        <w:t>提取法定盈余公积</w:t>
      </w:r>
      <w:r>
        <w:rPr>
          <w:rFonts w:ascii="Times New Roman" w:hAnsi="Times New Roman" w:cs="Times New Roman" w:eastAsia="Times New Roman" w:hint="default"/>
          <w:spacing w:val="-2"/>
        </w:rPr>
        <w:t>660.43</w:t>
      </w:r>
      <w:r>
        <w:rPr>
          <w:spacing w:val="-2"/>
        </w:rPr>
        <w:t>万元，加年初未分配利润</w:t>
      </w:r>
      <w:r>
        <w:rPr>
          <w:rFonts w:ascii="Times New Roman" w:hAnsi="Times New Roman" w:cs="Times New Roman" w:eastAsia="Times New Roman" w:hint="default"/>
          <w:spacing w:val="-2"/>
        </w:rPr>
        <w:t>15,527.90</w:t>
      </w:r>
      <w:r>
        <w:rPr>
          <w:spacing w:val="-2"/>
        </w:rPr>
        <w:t>万元，可供股东分配的利润为</w:t>
      </w:r>
      <w:r>
        <w:rPr>
          <w:rFonts w:ascii="Times New Roman" w:hAnsi="Times New Roman" w:cs="Times New Roman" w:eastAsia="Times New Roman" w:hint="default"/>
          <w:spacing w:val="-2"/>
        </w:rPr>
        <w:t>21,471.73</w:t>
      </w:r>
      <w:r>
        <w:rPr>
          <w:spacing w:val="-2"/>
        </w:rPr>
        <w:t>万元。</w:t>
      </w:r>
    </w:p>
    <w:p>
      <w:pPr>
        <w:pStyle w:val="BodyText"/>
        <w:spacing w:line="240" w:lineRule="auto" w:before="63"/>
        <w:ind w:right="185"/>
        <w:jc w:val="left"/>
      </w:pPr>
      <w:r>
        <w:rPr>
          <w:rFonts w:ascii="Times New Roman" w:hAnsi="Times New Roman" w:cs="Times New Roman" w:eastAsia="Times New Roman" w:hint="default"/>
        </w:rPr>
        <w:t>2011</w:t>
      </w:r>
      <w:r>
        <w:rPr/>
        <w:t>年度利润分配及资本公积金转增预案如下：</w:t>
      </w:r>
    </w:p>
    <w:p>
      <w:pPr>
        <w:pStyle w:val="BodyText"/>
        <w:spacing w:line="300" w:lineRule="auto" w:before="63"/>
        <w:ind w:right="185" w:firstLine="360"/>
        <w:jc w:val="left"/>
      </w:pPr>
      <w:r>
        <w:rPr>
          <w:spacing w:val="-1"/>
        </w:rPr>
        <w:t>（</w:t>
      </w:r>
      <w:r>
        <w:rPr>
          <w:rFonts w:ascii="Times New Roman" w:hAnsi="Times New Roman" w:cs="Times New Roman" w:eastAsia="Times New Roman" w:hint="default"/>
          <w:spacing w:val="-1"/>
        </w:rPr>
        <w:t>1</w:t>
      </w:r>
      <w:r>
        <w:rPr>
          <w:spacing w:val="-1"/>
        </w:rPr>
        <w:t>）利润分配预案：以</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日的总股本</w:t>
      </w:r>
      <w:r>
        <w:rPr>
          <w:rFonts w:ascii="Times New Roman" w:hAnsi="Times New Roman" w:cs="Times New Roman" w:eastAsia="Times New Roman" w:hint="default"/>
          <w:spacing w:val="-1"/>
        </w:rPr>
        <w:t>34,443.045</w:t>
      </w:r>
      <w:r>
        <w:rPr>
          <w:spacing w:val="-1"/>
        </w:rPr>
        <w:t>万股为基数，拟按每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0.50</w:t>
      </w:r>
      <w:r>
        <w:rPr>
          <w:spacing w:val="-1"/>
        </w:rPr>
        <w:t>元（含税），共</w:t>
      </w:r>
      <w:r>
        <w:rPr/>
        <w:t> 计</w:t>
      </w:r>
      <w:r>
        <w:rPr>
          <w:rFonts w:ascii="Times New Roman" w:hAnsi="Times New Roman" w:cs="Times New Roman" w:eastAsia="Times New Roman" w:hint="default"/>
        </w:rPr>
        <w:t>17,221,522.50</w:t>
      </w:r>
      <w:r>
        <w:rPr/>
        <w:t>元；</w:t>
      </w:r>
    </w:p>
    <w:p>
      <w:pPr>
        <w:pStyle w:val="BodyText"/>
        <w:spacing w:line="240" w:lineRule="auto" w:before="13"/>
        <w:ind w:left="513" w:right="99"/>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）资本公积金转增股本预案：以</w:t>
      </w:r>
      <w:r>
        <w:rPr>
          <w:rFonts w:ascii="Times New Roman" w:hAnsi="Times New Roman" w:cs="Times New Roman" w:eastAsia="Times New Roman" w:hint="default"/>
        </w:rPr>
        <w:t>2011</w:t>
      </w:r>
      <w:r>
        <w:rPr/>
        <w:t>年年末总股本</w:t>
      </w:r>
      <w:r>
        <w:rPr>
          <w:rFonts w:ascii="Times New Roman" w:hAnsi="Times New Roman" w:cs="Times New Roman" w:eastAsia="Times New Roman" w:hint="default"/>
        </w:rPr>
        <w:t>34,443.045</w:t>
      </w:r>
      <w:r>
        <w:rPr/>
        <w:t>万股为基数，拟以资本公积金向全体股东每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p>
    <w:p>
      <w:pPr>
        <w:pStyle w:val="BodyText"/>
        <w:spacing w:line="240" w:lineRule="auto" w:before="63"/>
        <w:ind w:right="185"/>
        <w:jc w:val="left"/>
      </w:pPr>
      <w:r>
        <w:rPr/>
        <w:t>股。</w:t>
      </w:r>
    </w:p>
    <w:p>
      <w:pPr>
        <w:pStyle w:val="BodyText"/>
        <w:spacing w:line="240" w:lineRule="auto" w:before="76"/>
        <w:ind w:left="513" w:right="185"/>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t>年度利润分配及资本公积金转增股本方案</w:t>
      </w:r>
    </w:p>
    <w:p>
      <w:pPr>
        <w:pStyle w:val="BodyText"/>
        <w:spacing w:line="240" w:lineRule="auto" w:before="63"/>
        <w:ind w:left="513" w:right="99"/>
        <w:jc w:val="left"/>
      </w:pPr>
      <w:r>
        <w:rPr>
          <w:rFonts w:ascii="Times New Roman" w:hAnsi="Times New Roman" w:cs="Times New Roman" w:eastAsia="Times New Roman" w:hint="default"/>
        </w:rPr>
        <w:t>2010</w:t>
      </w:r>
      <w:r>
        <w:rPr/>
        <w:t>年度经营情况业经立信大华会计师事务所有限公司审计，母公司</w:t>
      </w:r>
      <w:r>
        <w:rPr>
          <w:rFonts w:ascii="Times New Roman" w:hAnsi="Times New Roman" w:cs="Times New Roman" w:eastAsia="Times New Roman" w:hint="default"/>
        </w:rPr>
        <w:t>2010</w:t>
      </w:r>
      <w:r>
        <w:rPr/>
        <w:t>年度实现净利润</w:t>
      </w:r>
      <w:r>
        <w:rPr>
          <w:rFonts w:ascii="Times New Roman" w:hAnsi="Times New Roman" w:cs="Times New Roman" w:eastAsia="Times New Roman" w:hint="default"/>
        </w:rPr>
        <w:t>3,470.03</w:t>
      </w:r>
      <w:r>
        <w:rPr/>
        <w:t>万元，按母公司净利</w:t>
      </w:r>
    </w:p>
    <w:p>
      <w:pPr>
        <w:pStyle w:val="BodyText"/>
        <w:spacing w:line="300" w:lineRule="auto" w:before="63"/>
        <w:ind w:right="185"/>
        <w:jc w:val="left"/>
      </w:pPr>
      <w:r>
        <w:rPr>
          <w:spacing w:val="-1"/>
        </w:rPr>
        <w:t>润的</w:t>
      </w:r>
      <w:r>
        <w:rPr>
          <w:rFonts w:ascii="Times New Roman" w:hAnsi="Times New Roman" w:cs="Times New Roman" w:eastAsia="Times New Roman" w:hint="default"/>
          <w:spacing w:val="-1"/>
        </w:rPr>
        <w:t>10%</w:t>
      </w:r>
      <w:r>
        <w:rPr>
          <w:spacing w:val="-1"/>
        </w:rPr>
        <w:t>提取法定盈余公积</w:t>
      </w:r>
      <w:r>
        <w:rPr>
          <w:rFonts w:ascii="Times New Roman" w:hAnsi="Times New Roman" w:cs="Times New Roman" w:eastAsia="Times New Roman" w:hint="default"/>
          <w:spacing w:val="-1"/>
        </w:rPr>
        <w:t>347.00</w:t>
      </w:r>
      <w:r>
        <w:rPr>
          <w:spacing w:val="-1"/>
        </w:rPr>
        <w:t>万元，加年初未分配利润</w:t>
      </w:r>
      <w:r>
        <w:rPr>
          <w:rFonts w:ascii="Times New Roman" w:hAnsi="Times New Roman" w:cs="Times New Roman" w:eastAsia="Times New Roman" w:hint="default"/>
          <w:spacing w:val="-1"/>
        </w:rPr>
        <w:t>12,404.88</w:t>
      </w:r>
      <w:r>
        <w:rPr>
          <w:spacing w:val="-1"/>
        </w:rPr>
        <w:t>万元，可供股东分配的利润为</w:t>
      </w:r>
      <w:r>
        <w:rPr>
          <w:rFonts w:ascii="Times New Roman" w:hAnsi="Times New Roman" w:cs="Times New Roman" w:eastAsia="Times New Roman" w:hint="default"/>
          <w:spacing w:val="-1"/>
        </w:rPr>
        <w:t>15,527.90</w:t>
      </w:r>
      <w:r>
        <w:rPr>
          <w:spacing w:val="-1"/>
        </w:rPr>
        <w:t>万元。</w:t>
      </w:r>
      <w:r>
        <w:rPr>
          <w:rFonts w:ascii="Times New Roman" w:hAnsi="Times New Roman" w:cs="Times New Roman" w:eastAsia="Times New Roman" w:hint="default"/>
          <w:spacing w:val="-1"/>
        </w:rPr>
        <w:t>2010</w:t>
      </w:r>
      <w:r>
        <w:rPr>
          <w:spacing w:val="-1"/>
        </w:rPr>
        <w:t>年度</w:t>
      </w:r>
      <w:r>
        <w:rPr>
          <w:spacing w:val="-44"/>
        </w:rPr>
        <w:t> </w:t>
      </w:r>
      <w:r>
        <w:rPr/>
        <w:t>利润分配及资本公积金转增方案如下：</w:t>
      </w:r>
    </w:p>
    <w:p>
      <w:pPr>
        <w:pStyle w:val="BodyText"/>
        <w:spacing w:line="240" w:lineRule="auto" w:before="31"/>
        <w:ind w:left="513" w:right="185"/>
        <w:jc w:val="left"/>
      </w:pPr>
      <w:r>
        <w:rPr/>
        <w:t>（</w:t>
      </w:r>
      <w:r>
        <w:rPr>
          <w:rFonts w:ascii="Times New Roman" w:hAnsi="Times New Roman" w:cs="Times New Roman" w:eastAsia="Times New Roman" w:hint="default"/>
        </w:rPr>
        <w:t>1</w:t>
      </w:r>
      <w:r>
        <w:rPr/>
        <w:t>）利润分配方案：本年度不分配利润，留待以后年度分配。</w:t>
      </w:r>
    </w:p>
    <w:p>
      <w:pPr>
        <w:pStyle w:val="BodyText"/>
        <w:spacing w:line="340" w:lineRule="auto" w:before="63"/>
        <w:ind w:right="94" w:firstLine="360"/>
        <w:jc w:val="left"/>
      </w:pPr>
      <w:r>
        <w:rPr/>
        <w:t>（</w:t>
      </w:r>
      <w:r>
        <w:rPr>
          <w:rFonts w:ascii="Times New Roman" w:hAnsi="Times New Roman" w:cs="Times New Roman" w:eastAsia="Times New Roman" w:hint="default"/>
        </w:rPr>
        <w:t>2</w:t>
      </w:r>
      <w:r>
        <w:rPr/>
        <w:t>）资本公积金转增股本方案：以</w:t>
      </w:r>
      <w:r>
        <w:rPr>
          <w:rFonts w:ascii="Times New Roman" w:hAnsi="Times New Roman" w:cs="Times New Roman" w:eastAsia="Times New Roman" w:hint="default"/>
        </w:rPr>
        <w:t>2010</w:t>
      </w:r>
      <w:r>
        <w:rPr/>
        <w:t>年年末总股本</w:t>
      </w:r>
      <w:r>
        <w:rPr>
          <w:rFonts w:ascii="Times New Roman" w:hAnsi="Times New Roman" w:cs="Times New Roman" w:eastAsia="Times New Roman" w:hint="default"/>
        </w:rPr>
        <w:t>26,494.65</w:t>
      </w:r>
      <w:r>
        <w:rPr/>
        <w:t>万股为基数，向全体股东以资本公积金每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w:t>
      </w:r>
      <w:r>
        <w:rPr>
          <w:spacing w:val="-3"/>
        </w:rPr>
        <w:t> </w:t>
      </w:r>
      <w:r>
        <w:rPr/>
        <w:t>公司近三年现金分红情况表</w:t>
      </w:r>
    </w:p>
    <w:p>
      <w:pPr>
        <w:pStyle w:val="BodyText"/>
        <w:spacing w:line="240" w:lineRule="auto" w:before="41"/>
        <w:ind w:left="0" w:right="19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4"/>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10" w:right="0"/>
              <w:jc w:val="left"/>
              <w:rPr>
                <w:rFonts w:ascii="宋体" w:hAnsi="宋体" w:cs="宋体" w:eastAsia="宋体" w:hint="default"/>
                <w:sz w:val="18"/>
                <w:szCs w:val="18"/>
              </w:rPr>
            </w:pPr>
            <w:r>
              <w:rPr>
                <w:rFonts w:ascii="宋体" w:hAnsi="宋体" w:cs="宋体" w:eastAsia="宋体" w:hint="default"/>
                <w:sz w:val="18"/>
                <w:szCs w:val="18"/>
              </w:rPr>
              <w:t>分红年度合并报表中归属于</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09" w:right="0"/>
              <w:jc w:val="left"/>
              <w:rPr>
                <w:rFonts w:ascii="宋体" w:hAnsi="宋体" w:cs="宋体" w:eastAsia="宋体" w:hint="default"/>
                <w:sz w:val="18"/>
                <w:szCs w:val="18"/>
              </w:rPr>
            </w:pPr>
            <w:r>
              <w:rPr>
                <w:rFonts w:ascii="宋体" w:hAnsi="宋体" w:cs="宋体" w:eastAsia="宋体" w:hint="default"/>
                <w:sz w:val="18"/>
                <w:szCs w:val="18"/>
              </w:rPr>
              <w:t>占合并报表中归属于上市公</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540" w:type="dxa"/>
        <w:tblLayout w:type="fixed"/>
        <w:tblCellMar>
          <w:top w:w="0" w:type="dxa"/>
          <w:left w:w="0" w:type="dxa"/>
          <w:bottom w:w="0" w:type="dxa"/>
          <w:right w:w="0" w:type="dxa"/>
        </w:tblCellMar>
        <w:tblLook w:val="01E0"/>
      </w:tblPr>
      <w:tblGrid>
        <w:gridCol w:w="2369"/>
        <w:gridCol w:w="2403"/>
        <w:gridCol w:w="2393"/>
        <w:gridCol w:w="2393"/>
      </w:tblGrid>
      <w:tr>
        <w:trPr>
          <w:trHeight w:val="36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90" w:right="0"/>
              <w:jc w:val="left"/>
              <w:rPr>
                <w:rFonts w:ascii="宋体" w:hAnsi="宋体" w:cs="宋体" w:eastAsia="宋体" w:hint="default"/>
                <w:sz w:val="18"/>
                <w:szCs w:val="18"/>
              </w:rPr>
            </w:pPr>
            <w:r>
              <w:rPr>
                <w:rFonts w:ascii="宋体" w:hAnsi="宋体" w:cs="宋体" w:eastAsia="宋体" w:hint="default"/>
                <w:sz w:val="18"/>
                <w:szCs w:val="18"/>
              </w:rPr>
              <w:t>上市公司股东的净利润</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6"/>
              <w:jc w:val="right"/>
              <w:rPr>
                <w:rFonts w:ascii="宋体" w:hAnsi="宋体" w:cs="宋体" w:eastAsia="宋体" w:hint="default"/>
                <w:sz w:val="18"/>
                <w:szCs w:val="18"/>
              </w:rPr>
            </w:pPr>
            <w:r>
              <w:rPr>
                <w:rFonts w:ascii="宋体" w:hAnsi="宋体" w:cs="宋体" w:eastAsia="宋体" w:hint="default"/>
                <w:spacing w:val="-1"/>
                <w:sz w:val="18"/>
                <w:szCs w:val="18"/>
              </w:rPr>
              <w:t>司股东的净利润的比率（</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5,855,317.65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124,053,846.73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17,221,522.50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178,809,583.01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94,047,869.79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left="532" w:right="314"/>
        <w:jc w:val="left"/>
      </w:pPr>
      <w:r>
        <w:rPr/>
        <w:t>公司报告期内盈利且母公司未分配利润为正但未提出现金红利分配预案</w:t>
      </w:r>
    </w:p>
    <w:p>
      <w:pPr>
        <w:pStyle w:val="BodyText"/>
        <w:spacing w:line="240" w:lineRule="auto" w:before="117"/>
        <w:ind w:left="532" w:right="3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left="532" w:right="314"/>
        <w:jc w:val="left"/>
        <w:rPr>
          <w:b w:val="0"/>
          <w:bCs w:val="0"/>
        </w:rPr>
      </w:pPr>
      <w:r>
        <w:rPr/>
        <w:t>十四、报告期内接待调研、沟通、采访等活动登记表</w:t>
      </w:r>
      <w:r>
        <w:rPr>
          <w:b w:val="0"/>
          <w:bCs w:val="0"/>
        </w:rPr>
      </w:r>
    </w:p>
    <w:p>
      <w:pPr>
        <w:spacing w:line="240" w:lineRule="auto" w:before="12"/>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1563"/>
        <w:gridCol w:w="991"/>
        <w:gridCol w:w="850"/>
        <w:gridCol w:w="710"/>
        <w:gridCol w:w="3260"/>
        <w:gridCol w:w="2979"/>
      </w:tblGrid>
      <w:tr>
        <w:trPr>
          <w:trHeight w:val="714" w:hRule="exact"/>
        </w:trPr>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接待地点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1" w:right="77"/>
              <w:jc w:val="left"/>
              <w:rPr>
                <w:rFonts w:ascii="宋体" w:hAnsi="宋体" w:cs="宋体" w:eastAsia="宋体" w:hint="default"/>
                <w:sz w:val="18"/>
                <w:szCs w:val="18"/>
              </w:rPr>
            </w:pPr>
            <w:r>
              <w:rPr>
                <w:rFonts w:ascii="宋体" w:hAnsi="宋体" w:cs="宋体" w:eastAsia="宋体" w:hint="default"/>
                <w:sz w:val="18"/>
                <w:szCs w:val="18"/>
              </w:rPr>
              <w:t>接待对 象类型</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40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5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326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日信证劵有限责任公司</w:t>
            </w:r>
          </w:p>
        </w:tc>
        <w:tc>
          <w:tcPr>
            <w:tcW w:w="29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39"/>
              <w:jc w:val="center"/>
              <w:rPr>
                <w:rFonts w:ascii="宋体" w:hAnsi="宋体" w:cs="宋体" w:eastAsia="宋体" w:hint="default"/>
                <w:sz w:val="18"/>
                <w:szCs w:val="18"/>
              </w:rPr>
            </w:pPr>
            <w:r>
              <w:rPr>
                <w:rFonts w:ascii="宋体" w:hAnsi="宋体" w:cs="宋体" w:eastAsia="宋体" w:hint="default"/>
                <w:sz w:val="18"/>
                <w:szCs w:val="18"/>
              </w:rPr>
              <w:t>公司生产经营情况、行业发展趋势等</w:t>
            </w:r>
          </w:p>
        </w:tc>
      </w:tr>
      <w:tr>
        <w:trPr>
          <w:trHeight w:val="40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right="5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326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9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right="39"/>
              <w:jc w:val="center"/>
              <w:rPr>
                <w:rFonts w:ascii="宋体" w:hAnsi="宋体" w:cs="宋体" w:eastAsia="宋体" w:hint="default"/>
                <w:sz w:val="18"/>
                <w:szCs w:val="18"/>
              </w:rPr>
            </w:pPr>
            <w:r>
              <w:rPr>
                <w:rFonts w:ascii="宋体" w:hAnsi="宋体" w:cs="宋体" w:eastAsia="宋体" w:hint="default"/>
                <w:sz w:val="18"/>
                <w:szCs w:val="18"/>
              </w:rPr>
              <w:t>公司生产经营情况、行业发展趋势等</w:t>
            </w:r>
          </w:p>
        </w:tc>
      </w:tr>
      <w:tr>
        <w:trPr>
          <w:trHeight w:val="71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326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汇丰晋信基金管理有限公司</w:t>
            </w:r>
            <w:r>
              <w:rPr>
                <w:rFonts w:ascii="宋体" w:hAnsi="宋体" w:cs="宋体" w:eastAsia="宋体" w:hint="default"/>
                <w:spacing w:val="1"/>
                <w:sz w:val="18"/>
                <w:szCs w:val="18"/>
              </w:rPr>
              <w:t> </w:t>
            </w:r>
            <w:r>
              <w:rPr>
                <w:rFonts w:ascii="宋体" w:hAnsi="宋体" w:cs="宋体" w:eastAsia="宋体" w:hint="default"/>
                <w:sz w:val="18"/>
                <w:szCs w:val="18"/>
              </w:rPr>
              <w:t>、信达证券</w:t>
            </w:r>
            <w:r>
              <w:rPr>
                <w:rFonts w:ascii="宋体" w:hAnsi="宋体" w:cs="宋体" w:eastAsia="宋体" w:hint="default"/>
                <w:sz w:val="18"/>
                <w:szCs w:val="18"/>
              </w:rPr>
              <w:t> 股份有限公司</w:t>
            </w:r>
          </w:p>
        </w:tc>
        <w:tc>
          <w:tcPr>
            <w:tcW w:w="29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9"/>
              <w:jc w:val="center"/>
              <w:rPr>
                <w:rFonts w:ascii="宋体" w:hAnsi="宋体" w:cs="宋体" w:eastAsia="宋体" w:hint="default"/>
                <w:sz w:val="18"/>
                <w:szCs w:val="18"/>
              </w:rPr>
            </w:pPr>
            <w:r>
              <w:rPr>
                <w:rFonts w:ascii="宋体" w:hAnsi="宋体" w:cs="宋体" w:eastAsia="宋体" w:hint="default"/>
                <w:sz w:val="18"/>
                <w:szCs w:val="18"/>
              </w:rPr>
              <w:t>公司生产经营情况、行业发展趋势等</w:t>
            </w:r>
          </w:p>
        </w:tc>
      </w:tr>
      <w:tr>
        <w:trPr>
          <w:trHeight w:val="71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326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东北证劵股份有限公司、广州乾阳投资管</w:t>
            </w:r>
            <w:r>
              <w:rPr>
                <w:rFonts w:ascii="宋体" w:hAnsi="宋体" w:cs="宋体" w:eastAsia="宋体" w:hint="default"/>
                <w:sz w:val="18"/>
                <w:szCs w:val="18"/>
              </w:rPr>
              <w:t> 理有限公司</w:t>
            </w:r>
          </w:p>
        </w:tc>
        <w:tc>
          <w:tcPr>
            <w:tcW w:w="29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9"/>
              <w:jc w:val="center"/>
              <w:rPr>
                <w:rFonts w:ascii="宋体" w:hAnsi="宋体" w:cs="宋体" w:eastAsia="宋体" w:hint="default"/>
                <w:sz w:val="18"/>
                <w:szCs w:val="18"/>
              </w:rPr>
            </w:pPr>
            <w:r>
              <w:rPr>
                <w:rFonts w:ascii="宋体" w:hAnsi="宋体" w:cs="宋体" w:eastAsia="宋体" w:hint="default"/>
                <w:sz w:val="18"/>
                <w:szCs w:val="18"/>
              </w:rPr>
              <w:t>公司生产经营情况、行业发展趋势等</w:t>
            </w:r>
          </w:p>
        </w:tc>
      </w:tr>
      <w:tr>
        <w:trPr>
          <w:trHeight w:val="40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5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326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大成基金管理有限公司</w:t>
            </w:r>
          </w:p>
        </w:tc>
        <w:tc>
          <w:tcPr>
            <w:tcW w:w="29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39"/>
              <w:jc w:val="center"/>
              <w:rPr>
                <w:rFonts w:ascii="宋体" w:hAnsi="宋体" w:cs="宋体" w:eastAsia="宋体" w:hint="default"/>
                <w:sz w:val="18"/>
                <w:szCs w:val="18"/>
              </w:rPr>
            </w:pPr>
            <w:r>
              <w:rPr>
                <w:rFonts w:ascii="宋体" w:hAnsi="宋体" w:cs="宋体" w:eastAsia="宋体" w:hint="default"/>
                <w:sz w:val="18"/>
                <w:szCs w:val="18"/>
              </w:rPr>
              <w:t>公司生产经营情况、行业发展趋势等</w:t>
            </w:r>
          </w:p>
        </w:tc>
      </w:tr>
      <w:tr>
        <w:trPr>
          <w:trHeight w:val="40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right="5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326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平安资产管理有限责任公司</w:t>
            </w:r>
          </w:p>
        </w:tc>
        <w:tc>
          <w:tcPr>
            <w:tcW w:w="29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right="39"/>
              <w:jc w:val="center"/>
              <w:rPr>
                <w:rFonts w:ascii="宋体" w:hAnsi="宋体" w:cs="宋体" w:eastAsia="宋体" w:hint="default"/>
                <w:sz w:val="18"/>
                <w:szCs w:val="18"/>
              </w:rPr>
            </w:pPr>
            <w:r>
              <w:rPr>
                <w:rFonts w:ascii="宋体" w:hAnsi="宋体" w:cs="宋体" w:eastAsia="宋体" w:hint="default"/>
                <w:sz w:val="18"/>
                <w:szCs w:val="18"/>
              </w:rPr>
              <w:t>公司生产经营情况、行业发展趋势等</w:t>
            </w:r>
          </w:p>
        </w:tc>
      </w:tr>
      <w:tr>
        <w:trPr>
          <w:trHeight w:val="40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5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326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汇添富基金管理有限公司</w:t>
            </w:r>
          </w:p>
        </w:tc>
        <w:tc>
          <w:tcPr>
            <w:tcW w:w="29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39"/>
              <w:jc w:val="center"/>
              <w:rPr>
                <w:rFonts w:ascii="宋体" w:hAnsi="宋体" w:cs="宋体" w:eastAsia="宋体" w:hint="default"/>
                <w:sz w:val="18"/>
                <w:szCs w:val="18"/>
              </w:rPr>
            </w:pPr>
            <w:r>
              <w:rPr>
                <w:rFonts w:ascii="宋体" w:hAnsi="宋体" w:cs="宋体" w:eastAsia="宋体" w:hint="default"/>
                <w:sz w:val="18"/>
                <w:szCs w:val="18"/>
              </w:rPr>
              <w:t>公司生产经营情况、行业发展趋势等</w:t>
            </w:r>
          </w:p>
        </w:tc>
      </w:tr>
      <w:tr>
        <w:trPr>
          <w:trHeight w:val="102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59"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326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1"/>
              <w:ind w:left="23" w:right="17"/>
              <w:jc w:val="both"/>
              <w:rPr>
                <w:rFonts w:ascii="宋体" w:hAnsi="宋体" w:cs="宋体" w:eastAsia="宋体" w:hint="default"/>
                <w:sz w:val="18"/>
                <w:szCs w:val="18"/>
              </w:rPr>
            </w:pPr>
            <w:r>
              <w:rPr>
                <w:rFonts w:ascii="宋体" w:hAnsi="宋体" w:cs="宋体" w:eastAsia="宋体" w:hint="default"/>
                <w:spacing w:val="-2"/>
                <w:sz w:val="18"/>
                <w:szCs w:val="18"/>
              </w:rPr>
              <w:t>广州证券有限责任公司、民生证券、广发</w:t>
            </w:r>
            <w:r>
              <w:rPr>
                <w:rFonts w:ascii="宋体" w:hAnsi="宋体" w:cs="宋体" w:eastAsia="宋体" w:hint="default"/>
                <w:sz w:val="18"/>
                <w:szCs w:val="18"/>
              </w:rPr>
              <w:t> </w:t>
            </w:r>
            <w:r>
              <w:rPr>
                <w:rFonts w:ascii="宋体" w:hAnsi="宋体" w:cs="宋体" w:eastAsia="宋体" w:hint="default"/>
                <w:spacing w:val="-2"/>
                <w:sz w:val="18"/>
                <w:szCs w:val="18"/>
              </w:rPr>
              <w:t>证券股份有限公司、汇添富基金管理有限</w:t>
            </w:r>
            <w:r>
              <w:rPr>
                <w:rFonts w:ascii="宋体" w:hAnsi="宋体" w:cs="宋体" w:eastAsia="宋体" w:hint="default"/>
                <w:sz w:val="18"/>
                <w:szCs w:val="18"/>
              </w:rPr>
              <w:t> 公司、南方基金管理有限公司</w:t>
            </w:r>
          </w:p>
        </w:tc>
        <w:tc>
          <w:tcPr>
            <w:tcW w:w="29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9"/>
              <w:jc w:val="center"/>
              <w:rPr>
                <w:rFonts w:ascii="宋体" w:hAnsi="宋体" w:cs="宋体" w:eastAsia="宋体" w:hint="default"/>
                <w:sz w:val="18"/>
                <w:szCs w:val="18"/>
              </w:rPr>
            </w:pPr>
            <w:r>
              <w:rPr>
                <w:rFonts w:ascii="宋体" w:hAnsi="宋体" w:cs="宋体" w:eastAsia="宋体" w:hint="default"/>
                <w:sz w:val="18"/>
                <w:szCs w:val="18"/>
              </w:rPr>
              <w:t>公司生产经营情况、行业发展趋势等</w:t>
            </w:r>
          </w:p>
        </w:tc>
      </w:tr>
      <w:tr>
        <w:trPr>
          <w:trHeight w:val="71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326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2"/>
                <w:sz w:val="18"/>
                <w:szCs w:val="18"/>
              </w:rPr>
              <w:t>天弘基金管理有限公司、光大证券股份有</w:t>
            </w:r>
            <w:r>
              <w:rPr>
                <w:rFonts w:ascii="宋体" w:hAnsi="宋体" w:cs="宋体" w:eastAsia="宋体" w:hint="default"/>
                <w:sz w:val="18"/>
                <w:szCs w:val="18"/>
              </w:rPr>
              <w:t> 限公司</w:t>
            </w:r>
          </w:p>
        </w:tc>
        <w:tc>
          <w:tcPr>
            <w:tcW w:w="29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9"/>
              <w:jc w:val="center"/>
              <w:rPr>
                <w:rFonts w:ascii="宋体" w:hAnsi="宋体" w:cs="宋体" w:eastAsia="宋体" w:hint="default"/>
                <w:sz w:val="18"/>
                <w:szCs w:val="18"/>
              </w:rPr>
            </w:pPr>
            <w:r>
              <w:rPr>
                <w:rFonts w:ascii="宋体" w:hAnsi="宋体" w:cs="宋体" w:eastAsia="宋体" w:hint="default"/>
                <w:sz w:val="18"/>
                <w:szCs w:val="18"/>
              </w:rPr>
              <w:t>公司生产经营情况、行业发展趋势等</w:t>
            </w:r>
          </w:p>
        </w:tc>
      </w:tr>
      <w:tr>
        <w:trPr>
          <w:trHeight w:val="40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right="5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326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德邦证券有限责任公司</w:t>
            </w:r>
          </w:p>
        </w:tc>
        <w:tc>
          <w:tcPr>
            <w:tcW w:w="29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right="39"/>
              <w:jc w:val="center"/>
              <w:rPr>
                <w:rFonts w:ascii="宋体" w:hAnsi="宋体" w:cs="宋体" w:eastAsia="宋体" w:hint="default"/>
                <w:sz w:val="18"/>
                <w:szCs w:val="18"/>
              </w:rPr>
            </w:pPr>
            <w:r>
              <w:rPr>
                <w:rFonts w:ascii="宋体" w:hAnsi="宋体" w:cs="宋体" w:eastAsia="宋体" w:hint="default"/>
                <w:sz w:val="18"/>
                <w:szCs w:val="18"/>
              </w:rPr>
              <w:t>公司生产经营情况、行业发展趋势等</w:t>
            </w:r>
          </w:p>
        </w:tc>
      </w:tr>
      <w:tr>
        <w:trPr>
          <w:trHeight w:val="102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5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59"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326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2"/>
                <w:sz w:val="18"/>
                <w:szCs w:val="18"/>
              </w:rPr>
              <w:t>中国国际证券有限责任公司、中国国际证</w:t>
            </w:r>
            <w:r>
              <w:rPr>
                <w:rFonts w:ascii="宋体" w:hAnsi="宋体" w:cs="宋体" w:eastAsia="宋体" w:hint="default"/>
                <w:sz w:val="18"/>
                <w:szCs w:val="18"/>
              </w:rPr>
              <w:t> 券有限责任公司、华安基金管理有限公 司、中国人寿资产管理有限公司</w:t>
            </w:r>
          </w:p>
        </w:tc>
        <w:tc>
          <w:tcPr>
            <w:tcW w:w="29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9"/>
              <w:jc w:val="center"/>
              <w:rPr>
                <w:rFonts w:ascii="宋体" w:hAnsi="宋体" w:cs="宋体" w:eastAsia="宋体" w:hint="default"/>
                <w:sz w:val="18"/>
                <w:szCs w:val="18"/>
              </w:rPr>
            </w:pPr>
            <w:r>
              <w:rPr>
                <w:rFonts w:ascii="宋体" w:hAnsi="宋体" w:cs="宋体" w:eastAsia="宋体" w:hint="default"/>
                <w:sz w:val="18"/>
                <w:szCs w:val="18"/>
              </w:rPr>
              <w:t>公司生产经营情况、行业发展趋势等</w:t>
            </w:r>
          </w:p>
        </w:tc>
      </w:tr>
      <w:tr>
        <w:trPr>
          <w:trHeight w:val="40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right="5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326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诺安基金管理有限公司</w:t>
            </w:r>
          </w:p>
        </w:tc>
        <w:tc>
          <w:tcPr>
            <w:tcW w:w="29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right="39"/>
              <w:jc w:val="center"/>
              <w:rPr>
                <w:rFonts w:ascii="宋体" w:hAnsi="宋体" w:cs="宋体" w:eastAsia="宋体" w:hint="default"/>
                <w:sz w:val="18"/>
                <w:szCs w:val="18"/>
              </w:rPr>
            </w:pPr>
            <w:r>
              <w:rPr>
                <w:rFonts w:ascii="宋体" w:hAnsi="宋体" w:cs="宋体" w:eastAsia="宋体" w:hint="default"/>
                <w:sz w:val="18"/>
                <w:szCs w:val="18"/>
              </w:rPr>
              <w:t>公司生产经营情况、行业发展趋势等</w:t>
            </w:r>
          </w:p>
        </w:tc>
      </w:tr>
      <w:tr>
        <w:trPr>
          <w:trHeight w:val="40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5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326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9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39"/>
              <w:jc w:val="center"/>
              <w:rPr>
                <w:rFonts w:ascii="宋体" w:hAnsi="宋体" w:cs="宋体" w:eastAsia="宋体" w:hint="default"/>
                <w:sz w:val="18"/>
                <w:szCs w:val="18"/>
              </w:rPr>
            </w:pPr>
            <w:r>
              <w:rPr>
                <w:rFonts w:ascii="宋体" w:hAnsi="宋体" w:cs="宋体" w:eastAsia="宋体" w:hint="default"/>
                <w:sz w:val="18"/>
                <w:szCs w:val="18"/>
              </w:rPr>
              <w:t>公司生产经营情况、行业发展趋势等</w:t>
            </w:r>
          </w:p>
        </w:tc>
      </w:tr>
      <w:tr>
        <w:trPr>
          <w:trHeight w:val="716"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326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申银万国证券股份有限公司、安信证券股</w:t>
            </w:r>
            <w:r>
              <w:rPr>
                <w:rFonts w:ascii="宋体" w:hAnsi="宋体" w:cs="宋体" w:eastAsia="宋体" w:hint="default"/>
                <w:sz w:val="18"/>
                <w:szCs w:val="18"/>
              </w:rPr>
              <w:t> 份有限公司</w:t>
            </w:r>
          </w:p>
        </w:tc>
        <w:tc>
          <w:tcPr>
            <w:tcW w:w="29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39"/>
              <w:jc w:val="center"/>
              <w:rPr>
                <w:rFonts w:ascii="宋体" w:hAnsi="宋体" w:cs="宋体" w:eastAsia="宋体" w:hint="default"/>
                <w:sz w:val="18"/>
                <w:szCs w:val="18"/>
              </w:rPr>
            </w:pPr>
            <w:r>
              <w:rPr>
                <w:rFonts w:ascii="宋体" w:hAnsi="宋体" w:cs="宋体" w:eastAsia="宋体" w:hint="default"/>
                <w:sz w:val="18"/>
                <w:szCs w:val="18"/>
              </w:rPr>
              <w:t>公司生产经营情况、行业发展趋势等</w:t>
            </w:r>
          </w:p>
        </w:tc>
      </w:tr>
      <w:tr>
        <w:trPr>
          <w:trHeight w:val="401"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5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326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华安基金管理有限公司</w:t>
            </w:r>
          </w:p>
        </w:tc>
        <w:tc>
          <w:tcPr>
            <w:tcW w:w="29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39"/>
              <w:jc w:val="center"/>
              <w:rPr>
                <w:rFonts w:ascii="宋体" w:hAnsi="宋体" w:cs="宋体" w:eastAsia="宋体" w:hint="default"/>
                <w:sz w:val="18"/>
                <w:szCs w:val="18"/>
              </w:rPr>
            </w:pPr>
            <w:r>
              <w:rPr>
                <w:rFonts w:ascii="宋体" w:hAnsi="宋体" w:cs="宋体" w:eastAsia="宋体" w:hint="default"/>
                <w:sz w:val="18"/>
                <w:szCs w:val="18"/>
              </w:rPr>
              <w:t>公司生产经营情况、行业发展趋势等</w:t>
            </w:r>
          </w:p>
        </w:tc>
      </w:tr>
      <w:tr>
        <w:trPr>
          <w:trHeight w:val="71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机构</w:t>
            </w:r>
          </w:p>
        </w:tc>
        <w:tc>
          <w:tcPr>
            <w:tcW w:w="326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信达证券股份有限公司</w:t>
            </w:r>
            <w:r>
              <w:rPr>
                <w:rFonts w:ascii="宋体" w:hAnsi="宋体" w:cs="宋体" w:eastAsia="宋体" w:hint="default"/>
                <w:spacing w:val="1"/>
                <w:sz w:val="18"/>
                <w:szCs w:val="18"/>
              </w:rPr>
              <w:t> </w:t>
            </w:r>
            <w:r>
              <w:rPr>
                <w:rFonts w:ascii="宋体" w:hAnsi="宋体" w:cs="宋体" w:eastAsia="宋体" w:hint="default"/>
                <w:sz w:val="18"/>
                <w:szCs w:val="18"/>
              </w:rPr>
              <w:t>航天证券有限责</w:t>
            </w:r>
            <w:r>
              <w:rPr>
                <w:rFonts w:ascii="宋体" w:hAnsi="宋体" w:cs="宋体" w:eastAsia="宋体" w:hint="default"/>
                <w:sz w:val="18"/>
                <w:szCs w:val="18"/>
              </w:rPr>
              <w:t> 任公司</w:t>
            </w:r>
          </w:p>
        </w:tc>
        <w:tc>
          <w:tcPr>
            <w:tcW w:w="29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9"/>
              <w:jc w:val="center"/>
              <w:rPr>
                <w:rFonts w:ascii="宋体" w:hAnsi="宋体" w:cs="宋体" w:eastAsia="宋体" w:hint="default"/>
                <w:sz w:val="18"/>
                <w:szCs w:val="18"/>
              </w:rPr>
            </w:pPr>
            <w:r>
              <w:rPr>
                <w:rFonts w:ascii="宋体" w:hAnsi="宋体" w:cs="宋体" w:eastAsia="宋体" w:hint="default"/>
                <w:sz w:val="18"/>
                <w:szCs w:val="18"/>
              </w:rPr>
              <w:t>公司生产经营情况、行业发展趋势等</w:t>
            </w:r>
          </w:p>
        </w:tc>
      </w:tr>
    </w:tbl>
    <w:p>
      <w:pPr>
        <w:spacing w:after="0" w:line="240" w:lineRule="auto"/>
        <w:jc w:val="center"/>
        <w:rPr>
          <w:rFonts w:ascii="宋体" w:hAnsi="宋体" w:cs="宋体" w:eastAsia="宋体" w:hint="default"/>
          <w:sz w:val="18"/>
          <w:szCs w:val="18"/>
        </w:rPr>
        <w:sectPr>
          <w:pgSz w:w="11910" w:h="16840"/>
          <w:pgMar w:header="745" w:footer="980" w:top="1060" w:bottom="1160" w:left="600" w:right="7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1" w:right="0"/>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44"/>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348"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 媒体质疑情况</w:t>
      </w:r>
    </w:p>
    <w:p>
      <w:pPr>
        <w:pStyle w:val="BodyText"/>
        <w:spacing w:line="340" w:lineRule="auto" w:before="36"/>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本年度公司无媒体质疑事项。</w:t>
      </w:r>
    </w:p>
    <w:p>
      <w:pPr>
        <w:spacing w:line="240" w:lineRule="auto" w:before="4"/>
        <w:rPr>
          <w:rFonts w:ascii="宋体" w:hAnsi="宋体" w:cs="宋体" w:eastAsia="宋体" w:hint="default"/>
          <w:sz w:val="19"/>
          <w:szCs w:val="19"/>
        </w:rPr>
      </w:pPr>
    </w:p>
    <w:p>
      <w:pPr>
        <w:pStyle w:val="Heading2"/>
        <w:spacing w:line="240" w:lineRule="auto"/>
        <w:ind w:right="144"/>
        <w:jc w:val="left"/>
        <w:rPr>
          <w:b w:val="0"/>
          <w:bCs w:val="0"/>
        </w:rPr>
      </w:pPr>
      <w:r>
        <w:rPr/>
        <w:t>二、上市公司发生控股股东及其关联方非经营性占用资金情况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935"/>
        <w:gridCol w:w="968"/>
        <w:gridCol w:w="946"/>
        <w:gridCol w:w="971"/>
        <w:gridCol w:w="957"/>
        <w:gridCol w:w="957"/>
        <w:gridCol w:w="956"/>
        <w:gridCol w:w="956"/>
        <w:gridCol w:w="958"/>
        <w:gridCol w:w="958"/>
      </w:tblGrid>
      <w:tr>
        <w:trPr>
          <w:trHeight w:val="161" w:hRule="exact"/>
        </w:trPr>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68" w:type="dxa"/>
            <w:vMerge w:val="restart"/>
            <w:tcBorders>
              <w:top w:val="single" w:sz="4" w:space="0" w:color="000000"/>
              <w:left w:val="single" w:sz="4" w:space="0" w:color="000000"/>
              <w:right w:val="single" w:sz="4" w:space="0" w:color="000000"/>
            </w:tcBorders>
            <w:shd w:val="clear" w:color="auto" w:fill="D2D2D2"/>
          </w:tcPr>
          <w:p>
            <w:pPr/>
          </w:p>
        </w:tc>
        <w:tc>
          <w:tcPr>
            <w:tcW w:w="946" w:type="dxa"/>
            <w:vMerge w:val="restart"/>
            <w:tcBorders>
              <w:top w:val="single" w:sz="4" w:space="0" w:color="000000"/>
              <w:left w:val="single" w:sz="4" w:space="0" w:color="000000"/>
              <w:right w:val="single" w:sz="4" w:space="0" w:color="000000"/>
            </w:tcBorders>
            <w:shd w:val="clear" w:color="auto" w:fill="D2D2D2"/>
          </w:tcPr>
          <w:p>
            <w:pPr/>
          </w:p>
        </w:tc>
        <w:tc>
          <w:tcPr>
            <w:tcW w:w="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95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1" w:right="22" w:hanging="89"/>
              <w:jc w:val="left"/>
              <w:rPr>
                <w:rFonts w:ascii="宋体" w:hAnsi="宋体" w:cs="宋体" w:eastAsia="宋体" w:hint="default"/>
                <w:sz w:val="18"/>
                <w:szCs w:val="18"/>
              </w:rPr>
            </w:pPr>
            <w:r>
              <w:rPr>
                <w:rFonts w:ascii="宋体" w:hAnsi="宋体" w:cs="宋体" w:eastAsia="宋体" w:hint="default"/>
                <w:sz w:val="18"/>
                <w:szCs w:val="18"/>
              </w:rPr>
              <w:t>报告期新增 占用金额</w:t>
            </w:r>
          </w:p>
          <w:p>
            <w:pPr>
              <w:pStyle w:val="TableParagraph"/>
              <w:spacing w:line="240" w:lineRule="auto" w:before="19"/>
              <w:ind w:left="11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 w:right="20"/>
              <w:jc w:val="center"/>
              <w:rPr>
                <w:rFonts w:ascii="宋体" w:hAnsi="宋体" w:cs="宋体" w:eastAsia="宋体" w:hint="default"/>
                <w:sz w:val="18"/>
                <w:szCs w:val="18"/>
              </w:rPr>
            </w:pPr>
            <w:r>
              <w:rPr>
                <w:rFonts w:ascii="宋体" w:hAnsi="宋体" w:cs="宋体" w:eastAsia="宋体" w:hint="default"/>
                <w:sz w:val="18"/>
                <w:szCs w:val="18"/>
              </w:rPr>
              <w:t>报告期偿还 总金额（万 元）</w:t>
            </w: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58" w:type="dxa"/>
            <w:tcBorders>
              <w:top w:val="single" w:sz="4" w:space="0" w:color="000000"/>
              <w:left w:val="single" w:sz="4" w:space="0" w:color="000000"/>
              <w:bottom w:val="nil" w:sz="6" w:space="0" w:color="auto"/>
              <w:right w:val="single" w:sz="4" w:space="0" w:color="000000"/>
            </w:tcBorders>
            <w:shd w:val="clear" w:color="auto" w:fill="D2D2D2"/>
          </w:tcPr>
          <w:p>
            <w:pPr/>
          </w:p>
        </w:tc>
        <w:tc>
          <w:tcPr>
            <w:tcW w:w="9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92" w:right="11" w:hanging="181"/>
              <w:jc w:val="left"/>
              <w:rPr>
                <w:rFonts w:ascii="宋体" w:hAnsi="宋体" w:cs="宋体" w:eastAsia="宋体" w:hint="default"/>
                <w:sz w:val="18"/>
                <w:szCs w:val="18"/>
              </w:rPr>
            </w:pPr>
            <w:r>
              <w:rPr>
                <w:rFonts w:ascii="宋体" w:hAnsi="宋体" w:cs="宋体" w:eastAsia="宋体" w:hint="default"/>
                <w:sz w:val="18"/>
                <w:szCs w:val="18"/>
              </w:rPr>
              <w:t>股东或关联 人名称</w:t>
            </w:r>
          </w:p>
        </w:tc>
        <w:tc>
          <w:tcPr>
            <w:tcW w:w="968" w:type="dxa"/>
            <w:vMerge/>
            <w:tcBorders>
              <w:left w:val="single" w:sz="4" w:space="0" w:color="000000"/>
              <w:bottom w:val="nil" w:sz="6" w:space="0" w:color="auto"/>
              <w:right w:val="single" w:sz="4" w:space="0" w:color="000000"/>
            </w:tcBorders>
            <w:shd w:val="clear" w:color="auto" w:fill="D2D2D2"/>
          </w:tcPr>
          <w:p>
            <w:pPr/>
          </w:p>
        </w:tc>
        <w:tc>
          <w:tcPr>
            <w:tcW w:w="946" w:type="dxa"/>
            <w:vMerge/>
            <w:tcBorders>
              <w:left w:val="single" w:sz="4" w:space="0" w:color="000000"/>
              <w:bottom w:val="nil" w:sz="6" w:space="0" w:color="auto"/>
              <w:right w:val="single" w:sz="4" w:space="0" w:color="000000"/>
            </w:tcBorders>
            <w:shd w:val="clear" w:color="auto" w:fill="D2D2D2"/>
          </w:tcPr>
          <w:p>
            <w:pPr/>
          </w:p>
        </w:tc>
        <w:tc>
          <w:tcPr>
            <w:tcW w:w="97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07" w:right="23" w:hanging="272"/>
              <w:jc w:val="left"/>
              <w:rPr>
                <w:rFonts w:ascii="宋体" w:hAnsi="宋体" w:cs="宋体" w:eastAsia="宋体" w:hint="default"/>
                <w:sz w:val="18"/>
                <w:szCs w:val="18"/>
              </w:rPr>
            </w:pPr>
            <w:r>
              <w:rPr>
                <w:rFonts w:ascii="宋体" w:hAnsi="宋体" w:cs="宋体" w:eastAsia="宋体" w:hint="default"/>
                <w:sz w:val="18"/>
                <w:szCs w:val="18"/>
              </w:rPr>
              <w:t>期初数（万 元）</w:t>
            </w:r>
          </w:p>
        </w:tc>
        <w:tc>
          <w:tcPr>
            <w:tcW w:w="957" w:type="dxa"/>
            <w:vMerge/>
            <w:tcBorders>
              <w:left w:val="single" w:sz="4" w:space="0" w:color="000000"/>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91" w:right="23" w:hanging="269"/>
              <w:jc w:val="left"/>
              <w:rPr>
                <w:rFonts w:ascii="宋体" w:hAnsi="宋体" w:cs="宋体" w:eastAsia="宋体" w:hint="default"/>
                <w:sz w:val="18"/>
                <w:szCs w:val="18"/>
              </w:rPr>
            </w:pPr>
            <w:r>
              <w:rPr>
                <w:rFonts w:ascii="宋体" w:hAnsi="宋体" w:cs="宋体" w:eastAsia="宋体" w:hint="default"/>
                <w:sz w:val="18"/>
                <w:szCs w:val="18"/>
              </w:rPr>
              <w:t>期末数（万 元）</w:t>
            </w: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83" w:right="20" w:hanging="360"/>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预计偿还金 额（万元）</w:t>
            </w:r>
          </w:p>
        </w:tc>
        <w:tc>
          <w:tcPr>
            <w:tcW w:w="9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394" w:hRule="exact"/>
        </w:trPr>
        <w:tc>
          <w:tcPr>
            <w:tcW w:w="935" w:type="dxa"/>
            <w:vMerge/>
            <w:tcBorders>
              <w:left w:val="single" w:sz="4" w:space="0" w:color="000000"/>
              <w:right w:val="single" w:sz="4" w:space="0" w:color="000000"/>
            </w:tcBorders>
            <w:shd w:val="clear" w:color="auto" w:fill="D2D2D2"/>
          </w:tcPr>
          <w:p>
            <w:pPr/>
          </w:p>
        </w:tc>
        <w:tc>
          <w:tcPr>
            <w:tcW w:w="9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5"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71" w:type="dxa"/>
            <w:vMerge/>
            <w:tcBorders>
              <w:left w:val="single" w:sz="4" w:space="0" w:color="000000"/>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r>
      <w:tr>
        <w:trPr>
          <w:trHeight w:val="156" w:hRule="exact"/>
        </w:trPr>
        <w:tc>
          <w:tcPr>
            <w:tcW w:w="935" w:type="dxa"/>
            <w:vMerge/>
            <w:tcBorders>
              <w:left w:val="single" w:sz="4" w:space="0" w:color="000000"/>
              <w:bottom w:val="nil" w:sz="6" w:space="0" w:color="auto"/>
              <w:right w:val="single" w:sz="4" w:space="0" w:color="000000"/>
            </w:tcBorders>
            <w:shd w:val="clear" w:color="auto" w:fill="D2D2D2"/>
          </w:tcPr>
          <w:p>
            <w:pPr/>
          </w:p>
        </w:tc>
        <w:tc>
          <w:tcPr>
            <w:tcW w:w="968" w:type="dxa"/>
            <w:vMerge w:val="restart"/>
            <w:tcBorders>
              <w:top w:val="nil" w:sz="6" w:space="0" w:color="auto"/>
              <w:left w:val="single" w:sz="4" w:space="0" w:color="000000"/>
              <w:right w:val="single" w:sz="4" w:space="0" w:color="000000"/>
            </w:tcBorders>
            <w:shd w:val="clear" w:color="auto" w:fill="D2D2D2"/>
          </w:tcPr>
          <w:p>
            <w:pPr/>
          </w:p>
        </w:tc>
        <w:tc>
          <w:tcPr>
            <w:tcW w:w="946" w:type="dxa"/>
            <w:vMerge w:val="restart"/>
            <w:tcBorders>
              <w:top w:val="nil" w:sz="6" w:space="0" w:color="auto"/>
              <w:left w:val="single" w:sz="4" w:space="0" w:color="000000"/>
              <w:right w:val="single" w:sz="4" w:space="0" w:color="000000"/>
            </w:tcBorders>
            <w:shd w:val="clear" w:color="auto" w:fill="D2D2D2"/>
          </w:tcPr>
          <w:p>
            <w:pPr/>
          </w:p>
        </w:tc>
        <w:tc>
          <w:tcPr>
            <w:tcW w:w="971" w:type="dxa"/>
            <w:vMerge/>
            <w:tcBorders>
              <w:left w:val="single" w:sz="4" w:space="0" w:color="000000"/>
              <w:bottom w:val="nil" w:sz="6" w:space="0" w:color="auto"/>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958" w:type="dxa"/>
            <w:vMerge/>
            <w:tcBorders>
              <w:left w:val="single" w:sz="4" w:space="0" w:color="000000"/>
              <w:bottom w:val="nil" w:sz="6" w:space="0" w:color="auto"/>
              <w:right w:val="single" w:sz="4" w:space="0" w:color="000000"/>
            </w:tcBorders>
            <w:shd w:val="clear" w:color="auto" w:fill="D2D2D2"/>
          </w:tcPr>
          <w:p>
            <w:pPr/>
          </w:p>
        </w:tc>
        <w:tc>
          <w:tcPr>
            <w:tcW w:w="958"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68" w:type="dxa"/>
            <w:vMerge/>
            <w:tcBorders>
              <w:left w:val="single" w:sz="4" w:space="0" w:color="000000"/>
              <w:bottom w:val="single" w:sz="4" w:space="0" w:color="000000"/>
              <w:right w:val="single" w:sz="4" w:space="0" w:color="000000"/>
            </w:tcBorders>
            <w:shd w:val="clear" w:color="auto" w:fill="D2D2D2"/>
          </w:tcPr>
          <w:p>
            <w:pPr/>
          </w:p>
        </w:tc>
        <w:tc>
          <w:tcPr>
            <w:tcW w:w="946" w:type="dxa"/>
            <w:vMerge/>
            <w:tcBorders>
              <w:left w:val="single" w:sz="4" w:space="0" w:color="000000"/>
              <w:bottom w:val="single" w:sz="4" w:space="0" w:color="000000"/>
              <w:right w:val="single" w:sz="4" w:space="0" w:color="000000"/>
            </w:tcBorders>
            <w:shd w:val="clear" w:color="auto" w:fill="D2D2D2"/>
          </w:tcPr>
          <w:p>
            <w:pPr/>
          </w:p>
        </w:tc>
        <w:tc>
          <w:tcPr>
            <w:tcW w:w="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957" w:type="dxa"/>
            <w:vMerge/>
            <w:tcBorders>
              <w:left w:val="single" w:sz="4" w:space="0" w:color="000000"/>
              <w:bottom w:val="single" w:sz="4" w:space="0" w:color="000000"/>
              <w:right w:val="single" w:sz="4" w:space="0" w:color="000000"/>
            </w:tcBorders>
            <w:shd w:val="clear" w:color="auto" w:fill="D2D2D2"/>
          </w:tcPr>
          <w:p>
            <w:pPr/>
          </w:p>
        </w:tc>
        <w:tc>
          <w:tcPr>
            <w:tcW w:w="957" w:type="dxa"/>
            <w:vMerge/>
            <w:tcBorders>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58" w:type="dxa"/>
            <w:tcBorders>
              <w:top w:val="nil" w:sz="6" w:space="0" w:color="auto"/>
              <w:left w:val="single" w:sz="4" w:space="0" w:color="000000"/>
              <w:bottom w:val="single" w:sz="4" w:space="0" w:color="000000"/>
              <w:right w:val="single" w:sz="4" w:space="0" w:color="000000"/>
            </w:tcBorders>
            <w:shd w:val="clear" w:color="auto" w:fill="D2D2D2"/>
          </w:tcPr>
          <w:p>
            <w:pPr/>
          </w:p>
        </w:tc>
        <w:tc>
          <w:tcPr>
            <w:tcW w:w="9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期末合计值占期末净资产的比例</w:t>
            </w:r>
            <w:r>
              <w:rPr>
                <w:rFonts w:ascii="Times New Roman" w:hAnsi="Times New Roman" w:cs="Times New Roman" w:eastAsia="Times New Roman" w:hint="default"/>
                <w:sz w:val="18"/>
                <w:szCs w:val="18"/>
              </w:rPr>
              <w:t>(%)</w:t>
            </w:r>
          </w:p>
        </w:tc>
        <w:tc>
          <w:tcPr>
            <w:tcW w:w="6712"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6"/>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712"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715" w:hRule="exact"/>
        </w:trPr>
        <w:tc>
          <w:tcPr>
            <w:tcW w:w="2850" w:type="dxa"/>
            <w:gridSpan w:val="3"/>
            <w:tcBorders>
              <w:top w:val="single" w:sz="4" w:space="0" w:color="000000"/>
              <w:left w:val="single" w:sz="4" w:space="0" w:color="000000"/>
              <w:bottom w:val="single" w:sz="4" w:space="0" w:color="000000"/>
              <w:right w:val="single" w:sz="10" w:space="0" w:color="CCE8CC"/>
            </w:tcBorders>
            <w:shd w:val="clear" w:color="auto" w:fill="D2D2D2"/>
          </w:tcPr>
          <w:p>
            <w:pPr>
              <w:pStyle w:val="TableParagraph"/>
              <w:spacing w:line="316" w:lineRule="auto" w:before="49"/>
              <w:ind w:left="12" w:right="120"/>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712" w:type="dxa"/>
            <w:gridSpan w:val="7"/>
            <w:tcBorders>
              <w:top w:val="single" w:sz="4" w:space="0" w:color="000000"/>
              <w:left w:val="single" w:sz="13" w:space="0" w:color="D2D2D2"/>
              <w:bottom w:val="single" w:sz="4" w:space="0" w:color="000000"/>
              <w:right w:val="single" w:sz="4" w:space="0" w:color="000000"/>
            </w:tcBorders>
            <w:shd w:val="clear" w:color="auto" w:fill="CCE8CC"/>
          </w:tcPr>
          <w:p>
            <w:pPr>
              <w:pStyle w:val="TableParagraph"/>
              <w:spacing w:line="300"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详见刊登于巨潮资讯网</w:t>
            </w:r>
            <w:r>
              <w:rPr>
                <w:rFonts w:ascii="宋体" w:hAnsi="宋体" w:cs="宋体" w:eastAsia="宋体" w:hint="default"/>
                <w:spacing w:val="-58"/>
                <w:sz w:val="18"/>
                <w:szCs w:val="18"/>
              </w:rPr>
              <w:t> </w:t>
            </w: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的《控股股东及其他关联方资金占用 情况的专项审计说明》</w:t>
            </w:r>
          </w:p>
        </w:tc>
      </w:tr>
    </w:tbl>
    <w:p>
      <w:pPr>
        <w:spacing w:line="240" w:lineRule="auto" w:before="1"/>
        <w:rPr>
          <w:rFonts w:ascii="宋体" w:hAnsi="宋体" w:cs="宋体" w:eastAsia="宋体" w:hint="default"/>
          <w:b/>
          <w:bCs/>
          <w:sz w:val="18"/>
          <w:szCs w:val="18"/>
        </w:rPr>
      </w:pPr>
    </w:p>
    <w:p>
      <w:pPr>
        <w:pStyle w:val="Heading2"/>
        <w:spacing w:line="240" w:lineRule="auto" w:before="26"/>
        <w:ind w:right="144"/>
        <w:jc w:val="left"/>
        <w:rPr>
          <w:b w:val="0"/>
          <w:bCs w:val="0"/>
        </w:rPr>
      </w:pPr>
      <w:r>
        <w:rPr/>
        <w:t>三、破产重整相关事项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4"/>
        <w:jc w:val="left"/>
      </w:pPr>
      <w:r>
        <w:rPr/>
        <w:t>报告期内，公司未发生破产重整相关事项。</w:t>
      </w:r>
    </w:p>
    <w:p>
      <w:pPr>
        <w:spacing w:line="240" w:lineRule="auto" w:before="3"/>
        <w:rPr>
          <w:rFonts w:ascii="宋体" w:hAnsi="宋体" w:cs="宋体" w:eastAsia="宋体" w:hint="default"/>
          <w:sz w:val="25"/>
          <w:szCs w:val="25"/>
        </w:rPr>
      </w:pPr>
    </w:p>
    <w:p>
      <w:pPr>
        <w:pStyle w:val="Heading2"/>
        <w:spacing w:line="240" w:lineRule="auto"/>
        <w:ind w:right="144"/>
        <w:jc w:val="left"/>
        <w:rPr>
          <w:b w:val="0"/>
          <w:bCs w:val="0"/>
        </w:rPr>
      </w:pPr>
      <w:r>
        <w:rPr/>
        <w:t>四、资产交易事项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4"/>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44"/>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44"/>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五、公司股权激励的实施情况及其影响</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251"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14</w:t>
      </w:r>
      <w:r>
        <w:rPr>
          <w:spacing w:val="-2"/>
        </w:rPr>
        <w:t>日，御银股份第三届董事会第三十三次会议审议通过了《关于调整首期股票期权激励计划未行权股票期</w:t>
      </w:r>
      <w:r>
        <w:rPr/>
        <w:t> </w:t>
      </w:r>
      <w:r>
        <w:rPr>
          <w:spacing w:val="-2"/>
        </w:rPr>
        <w:t>权数量和行权价格的议案》，经本次调整后，首次授予股票期权数量为</w:t>
      </w:r>
      <w:r>
        <w:rPr>
          <w:rFonts w:ascii="Times New Roman" w:hAnsi="Times New Roman" w:cs="Times New Roman" w:eastAsia="Times New Roman" w:hint="default"/>
          <w:spacing w:val="-2"/>
        </w:rPr>
        <w:t>430.95</w:t>
      </w:r>
      <w:r>
        <w:rPr>
          <w:spacing w:val="-2"/>
        </w:rPr>
        <w:t>万份，预留部分股票期权数量为</w:t>
      </w:r>
      <w:r>
        <w:rPr>
          <w:rFonts w:ascii="Times New Roman" w:hAnsi="Times New Roman" w:cs="Times New Roman" w:eastAsia="Times New Roman" w:hint="default"/>
          <w:spacing w:val="-2"/>
        </w:rPr>
        <w:t>44.20</w:t>
      </w:r>
      <w:r>
        <w:rPr>
          <w:spacing w:val="-2"/>
        </w:rPr>
        <w:t>万份。首</w:t>
      </w:r>
      <w:r>
        <w:rPr>
          <w:spacing w:val="-59"/>
        </w:rPr>
        <w:t> </w:t>
      </w:r>
      <w:r>
        <w:rPr>
          <w:spacing w:val="-59"/>
        </w:rPr>
      </w:r>
      <w:r>
        <w:rPr>
          <w:spacing w:val="-1"/>
        </w:rPr>
        <w:t>次授予的股票期权的行权价为</w:t>
      </w:r>
      <w:r>
        <w:rPr>
          <w:rFonts w:ascii="Times New Roman" w:hAnsi="Times New Roman" w:cs="Times New Roman" w:eastAsia="Times New Roman" w:hint="default"/>
          <w:spacing w:val="-1"/>
        </w:rPr>
        <w:t>6.94</w:t>
      </w:r>
      <w:r>
        <w:rPr>
          <w:spacing w:val="-1"/>
        </w:rPr>
        <w:t>元；独立董事对授予股票期权的授权日发表了独立意见，董事会对股票期权激励计划所涉</w:t>
      </w:r>
      <w:r>
        <w:rPr>
          <w:spacing w:val="-72"/>
        </w:rPr>
        <w:t> </w:t>
      </w:r>
      <w:r>
        <w:rPr>
          <w:spacing w:val="-72"/>
        </w:rPr>
      </w:r>
      <w:r>
        <w:rPr/>
        <w:t>股票期权数量和行权价格进行调整。</w:t>
      </w:r>
    </w:p>
    <w:p>
      <w:pPr>
        <w:pStyle w:val="BodyText"/>
        <w:spacing w:line="309" w:lineRule="auto" w:before="31"/>
        <w:ind w:right="253"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日，御银股份第三届监事会第十九次会议审议通过了《关于调整首期股票期权激励计划未行权股票期权数 </w:t>
      </w:r>
      <w:r>
        <w:rPr>
          <w:spacing w:val="-2"/>
        </w:rPr>
        <w:t>量和行权价格的议案》及《关于核实公司股票期权激励计划激励对象名单的议案》，同意按相关规定调整期权数量及行权价</w:t>
      </w:r>
      <w:r>
        <w:rPr>
          <w:spacing w:val="-66"/>
        </w:rPr>
        <w:t> </w:t>
      </w:r>
      <w:r>
        <w:rPr>
          <w:spacing w:val="-66"/>
        </w:rPr>
      </w:r>
      <w:r>
        <w:rPr/>
        <w:t>格，并核实股票期权激励计划激励对象名单。</w:t>
      </w:r>
    </w:p>
    <w:p>
      <w:pPr>
        <w:pStyle w:val="BodyText"/>
        <w:spacing w:line="240" w:lineRule="auto" w:before="24"/>
        <w:ind w:left="513" w:right="0"/>
        <w:jc w:val="left"/>
      </w:pPr>
      <w:r>
        <w:rPr/>
        <w:t>内容详见</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日在《证券时报》、《中国证券报》、《上海证券报》及巨潮资讯</w:t>
      </w:r>
      <w:r>
        <w:rPr>
          <w:rFonts w:ascii="Times New Roman" w:hAnsi="Times New Roman" w:cs="Times New Roman" w:eastAsia="Times New Roman" w:hint="default"/>
        </w:rPr>
      </w:r>
      <w:hyperlink r:id="rId12">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rPr>
        </w:r>
      </w:hyperlink>
      <w:r>
        <w:rPr/>
        <w:t>刊登的</w:t>
      </w:r>
    </w:p>
    <w:p>
      <w:pPr>
        <w:pStyle w:val="BodyText"/>
        <w:spacing w:line="240" w:lineRule="auto" w:before="63"/>
        <w:ind w:right="0"/>
        <w:jc w:val="left"/>
      </w:pPr>
      <w:r>
        <w:rPr/>
        <w:t>《关于调整首期股票期权激励计划未行权股票期权数量和行权价格的公告》（</w:t>
      </w:r>
      <w:r>
        <w:rPr>
          <w:rFonts w:ascii="Times New Roman" w:hAnsi="Times New Roman" w:cs="Times New Roman" w:eastAsia="Times New Roman" w:hint="default"/>
        </w:rPr>
        <w:t>2012-021</w:t>
      </w:r>
      <w:r>
        <w:rPr/>
        <w:t>）。</w:t>
      </w:r>
    </w:p>
    <w:p>
      <w:pPr>
        <w:pStyle w:val="BodyText"/>
        <w:spacing w:line="307" w:lineRule="auto" w:before="63"/>
        <w:ind w:right="250"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日，御银股份第四届董事会第一次会议审议通过了《关于公司首期股票期权激励计划预留期权授予相关</w:t>
      </w:r>
      <w:r>
        <w:rPr/>
        <w:t> </w:t>
      </w:r>
      <w:r>
        <w:rPr>
          <w:spacing w:val="-3"/>
        </w:rPr>
        <w:t>事项的议案》，同意将股权激励计划预留的</w:t>
      </w:r>
      <w:r>
        <w:rPr>
          <w:rFonts w:ascii="Times New Roman" w:hAnsi="Times New Roman" w:cs="Times New Roman" w:eastAsia="Times New Roman" w:hint="default"/>
          <w:spacing w:val="-3"/>
        </w:rPr>
        <w:t>11.05</w:t>
      </w:r>
      <w:r>
        <w:rPr>
          <w:spacing w:val="-3"/>
        </w:rPr>
        <w:t>万份股票期权授予公司</w:t>
      </w:r>
      <w:r>
        <w:rPr>
          <w:rFonts w:ascii="Times New Roman" w:hAnsi="Times New Roman" w:cs="Times New Roman" w:eastAsia="Times New Roman" w:hint="default"/>
          <w:spacing w:val="-3"/>
        </w:rPr>
        <w:t>1</w:t>
      </w:r>
      <w:r>
        <w:rPr>
          <w:spacing w:val="-3"/>
        </w:rPr>
        <w:t>名激励对象，授权日为</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31</w:t>
      </w:r>
      <w:r>
        <w:rPr>
          <w:spacing w:val="-3"/>
        </w:rPr>
        <w:t>日，剩余的</w:t>
      </w:r>
      <w:r>
        <w:rPr>
          <w:rFonts w:ascii="Times New Roman" w:hAnsi="Times New Roman" w:cs="Times New Roman" w:eastAsia="Times New Roman" w:hint="default"/>
          <w:spacing w:val="-3"/>
        </w:rPr>
        <w:t>33.15</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spacing w:val="-2"/>
        </w:rPr>
        <w:t>万份预留期权将予以取消；独立董事就上述股票期权激励计划相关事项发表了独立意见，同意公司股票期权激励计划预留期</w:t>
      </w:r>
      <w:r>
        <w:rPr>
          <w:spacing w:val="-64"/>
        </w:rPr>
        <w:t> </w:t>
      </w:r>
      <w:r>
        <w:rPr>
          <w:spacing w:val="-64"/>
        </w:rPr>
      </w:r>
      <w:r>
        <w:rPr/>
        <w:t>权的授权日为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日，并同意</w:t>
      </w:r>
      <w:r>
        <w:rPr>
          <w:rFonts w:ascii="Times New Roman" w:hAnsi="Times New Roman" w:cs="Times New Roman" w:eastAsia="Times New Roman" w:hint="default"/>
        </w:rPr>
        <w:t>1</w:t>
      </w:r>
      <w:r>
        <w:rPr/>
        <w:t>名激励对象获授</w:t>
      </w:r>
      <w:r>
        <w:rPr>
          <w:rFonts w:ascii="Times New Roman" w:hAnsi="Times New Roman" w:cs="Times New Roman" w:eastAsia="Times New Roman" w:hint="default"/>
        </w:rPr>
        <w:t>11.05</w:t>
      </w:r>
      <w:r>
        <w:rPr/>
        <w:t>万份预留期权。</w:t>
      </w:r>
    </w:p>
    <w:p>
      <w:pPr>
        <w:pStyle w:val="BodyText"/>
        <w:spacing w:line="300" w:lineRule="auto" w:before="7"/>
        <w:ind w:right="255"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日，公司第四届监事会第一次会议审议通过了《关于公司首期股票期权激励计划预留期权的激励对象名单 的议案》。</w:t>
      </w:r>
    </w:p>
    <w:p>
      <w:pPr>
        <w:pStyle w:val="BodyText"/>
        <w:spacing w:line="240" w:lineRule="auto" w:before="31"/>
        <w:ind w:left="513" w:right="0"/>
        <w:jc w:val="left"/>
      </w:pPr>
      <w:r>
        <w:rPr/>
        <w:t>内容详见</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日在《证券时报》、《中国证券报》、《上海证券报》及巨潮资讯</w:t>
      </w:r>
      <w:r>
        <w:rPr>
          <w:rFonts w:ascii="Times New Roman" w:hAnsi="Times New Roman" w:cs="Times New Roman" w:eastAsia="Times New Roman" w:hint="default"/>
        </w:rPr>
      </w:r>
      <w:hyperlink r:id="rId12">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rPr>
        </w:r>
      </w:hyperlink>
      <w:r>
        <w:rPr/>
        <w:t>刊登的</w:t>
      </w:r>
    </w:p>
    <w:p>
      <w:pPr>
        <w:pStyle w:val="BodyText"/>
        <w:spacing w:line="240" w:lineRule="auto" w:before="63"/>
        <w:ind w:right="0"/>
        <w:jc w:val="left"/>
      </w:pPr>
      <w:r>
        <w:rPr/>
        <w:t>《关于首期股票期权激励计划预留期权授予的公告》（</w:t>
      </w:r>
      <w:r>
        <w:rPr>
          <w:rFonts w:ascii="Times New Roman" w:hAnsi="Times New Roman" w:cs="Times New Roman" w:eastAsia="Times New Roman" w:hint="default"/>
        </w:rPr>
        <w:t>2012-029</w:t>
      </w:r>
      <w:r>
        <w:rPr/>
        <w:t>）。</w:t>
      </w:r>
    </w:p>
    <w:p>
      <w:pPr>
        <w:pStyle w:val="BodyText"/>
        <w:spacing w:line="300" w:lineRule="auto" w:before="63"/>
        <w:ind w:right="248" w:firstLine="360"/>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28</w:t>
      </w:r>
      <w:r>
        <w:rPr>
          <w:spacing w:val="-2"/>
        </w:rPr>
        <w:t>日，经深圳证券交易所、中国证券登记结算有限责任公司深圳分公司审核确认，公司完成了公司首期股</w:t>
      </w:r>
      <w:r>
        <w:rPr/>
        <w:t> 票期权激励计划预留期权授予登记工作，期权简称：御银</w:t>
      </w:r>
      <w:r>
        <w:rPr>
          <w:rFonts w:ascii="Times New Roman" w:hAnsi="Times New Roman" w:cs="Times New Roman" w:eastAsia="Times New Roman" w:hint="default"/>
        </w:rPr>
        <w:t>JLC2</w:t>
      </w:r>
      <w:r>
        <w:rPr>
          <w:rFonts w:ascii="Times New Roman" w:hAnsi="Times New Roman" w:cs="Times New Roman" w:eastAsia="Times New Roman" w:hint="default"/>
          <w:spacing w:val="28"/>
        </w:rPr>
        <w:t> </w:t>
      </w:r>
      <w:r>
        <w:rPr/>
        <w:t>，期权代码：</w:t>
      </w:r>
      <w:r>
        <w:rPr>
          <w:rFonts w:ascii="Times New Roman" w:hAnsi="Times New Roman" w:cs="Times New Roman" w:eastAsia="Times New Roman" w:hint="default"/>
        </w:rPr>
        <w:t>037592</w:t>
      </w:r>
      <w:r>
        <w:rPr/>
        <w:t>。 </w:t>
      </w:r>
      <w:r>
        <w:rPr>
          <w:spacing w:val="-2"/>
        </w:rPr>
        <w:t>内容详见</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29</w:t>
      </w:r>
      <w:r>
        <w:rPr>
          <w:spacing w:val="-2"/>
        </w:rPr>
        <w:t>日在《证券时报》、《中国证券报》、《上海证券报》及巨潮资讯</w:t>
      </w:r>
      <w:r>
        <w:rPr>
          <w:rFonts w:ascii="Times New Roman" w:hAnsi="Times New Roman" w:cs="Times New Roman" w:eastAsia="Times New Roman" w:hint="default"/>
          <w:spacing w:val="-2"/>
        </w:rPr>
      </w:r>
      <w:hyperlink r:id="rId12">
        <w:r>
          <w:rPr>
            <w:rFonts w:ascii="Times New Roman" w:hAnsi="Times New Roman" w:cs="Times New Roman" w:eastAsia="Times New Roman" w:hint="default"/>
            <w:spacing w:val="-2"/>
            <w:u w:val="single" w:color="000000"/>
          </w:rPr>
          <w:t>http://www.cninfo.com.cn</w:t>
        </w:r>
        <w:r>
          <w:rPr>
            <w:rFonts w:ascii="Times New Roman" w:hAnsi="Times New Roman" w:cs="Times New Roman" w:eastAsia="Times New Roman" w:hint="default"/>
            <w:spacing w:val="-2"/>
          </w:rPr>
        </w:r>
      </w:hyperlink>
      <w:r>
        <w:rPr>
          <w:spacing w:val="-2"/>
        </w:rPr>
        <w:t>刊登的《关</w:t>
      </w:r>
      <w:r>
        <w:rPr>
          <w:spacing w:val="-47"/>
        </w:rPr>
        <w:t> </w:t>
      </w:r>
      <w:r>
        <w:rPr>
          <w:spacing w:val="-47"/>
        </w:rPr>
      </w:r>
      <w:r>
        <w:rPr/>
        <w:t>于首期股票期权激励计划预留期权授予登记完成的公告》（</w:t>
      </w:r>
      <w:r>
        <w:rPr>
          <w:rFonts w:ascii="Times New Roman" w:hAnsi="Times New Roman" w:cs="Times New Roman" w:eastAsia="Times New Roman" w:hint="default"/>
        </w:rPr>
        <w:t>2012-033</w:t>
      </w:r>
      <w:r>
        <w:rPr/>
        <w:t>）。</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r>
        <w:rPr/>
        <w:t>六、重大关联交易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07"/>
        <w:gridCol w:w="710"/>
        <w:gridCol w:w="708"/>
        <w:gridCol w:w="709"/>
        <w:gridCol w:w="852"/>
        <w:gridCol w:w="708"/>
        <w:gridCol w:w="994"/>
        <w:gridCol w:w="850"/>
        <w:gridCol w:w="708"/>
        <w:gridCol w:w="567"/>
        <w:gridCol w:w="853"/>
        <w:gridCol w:w="1415"/>
      </w:tblGrid>
      <w:tr>
        <w:trPr>
          <w:trHeight w:val="1020"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169" w:right="77" w:hanging="92"/>
              <w:jc w:val="left"/>
              <w:rPr>
                <w:rFonts w:ascii="宋体" w:hAnsi="宋体" w:cs="宋体" w:eastAsia="宋体" w:hint="default"/>
                <w:sz w:val="18"/>
                <w:szCs w:val="18"/>
              </w:rPr>
            </w:pPr>
            <w:r>
              <w:rPr>
                <w:rFonts w:ascii="宋体" w:hAnsi="宋体" w:cs="宋体" w:eastAsia="宋体" w:hint="default"/>
                <w:sz w:val="18"/>
                <w:szCs w:val="18"/>
              </w:rPr>
              <w:t>关联交 易方</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61" w:right="77"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79" w:right="77"/>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79"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60" w:right="60"/>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79" w:right="77"/>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40" w:right="41"/>
              <w:jc w:val="left"/>
              <w:rPr>
                <w:rFonts w:ascii="宋体" w:hAnsi="宋体" w:cs="宋体" w:eastAsia="宋体" w:hint="default"/>
                <w:sz w:val="18"/>
                <w:szCs w:val="18"/>
              </w:rPr>
            </w:pPr>
            <w:r>
              <w:rPr>
                <w:rFonts w:ascii="宋体" w:hAnsi="宋体" w:cs="宋体" w:eastAsia="宋体" w:hint="default"/>
                <w:sz w:val="18"/>
                <w:szCs w:val="18"/>
              </w:rPr>
              <w:t>关联交易金 额（万元）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5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98" w:right="98"/>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4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81" w:hRule="exact"/>
        </w:trPr>
        <w:tc>
          <w:tcPr>
            <w:tcW w:w="70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0"/>
              <w:ind w:left="22" w:right="132"/>
              <w:jc w:val="both"/>
              <w:rPr>
                <w:rFonts w:ascii="宋体" w:hAnsi="宋体" w:cs="宋体" w:eastAsia="宋体" w:hint="default"/>
                <w:sz w:val="18"/>
                <w:szCs w:val="18"/>
              </w:rPr>
            </w:pPr>
            <w:r>
              <w:rPr>
                <w:rFonts w:ascii="宋体" w:hAnsi="宋体" w:cs="宋体" w:eastAsia="宋体" w:hint="default"/>
                <w:sz w:val="18"/>
                <w:szCs w:val="18"/>
              </w:rPr>
              <w:t>广州基 准机械 电子科 技有限 公司</w:t>
            </w:r>
          </w:p>
        </w:tc>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0"/>
              <w:ind w:left="26" w:right="132"/>
              <w:jc w:val="both"/>
              <w:rPr>
                <w:rFonts w:ascii="宋体" w:hAnsi="宋体" w:cs="宋体" w:eastAsia="宋体" w:hint="default"/>
                <w:sz w:val="18"/>
                <w:szCs w:val="18"/>
              </w:rPr>
            </w:pPr>
            <w:r>
              <w:rPr>
                <w:rFonts w:ascii="宋体" w:hAnsi="宋体" w:cs="宋体" w:eastAsia="宋体" w:hint="default"/>
                <w:sz w:val="18"/>
                <w:szCs w:val="18"/>
              </w:rPr>
              <w:t>本公司 控股股 东亲属 控制的 企业</w:t>
            </w:r>
          </w:p>
        </w:tc>
        <w:tc>
          <w:tcPr>
            <w:tcW w:w="70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70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电</w:t>
            </w:r>
          </w:p>
          <w:p>
            <w:pPr>
              <w:pStyle w:val="TableParagraph"/>
              <w:spacing w:line="316" w:lineRule="auto" w:before="63"/>
              <w:ind w:left="23" w:right="134"/>
              <w:jc w:val="left"/>
              <w:rPr>
                <w:rFonts w:ascii="宋体" w:hAnsi="宋体" w:cs="宋体" w:eastAsia="宋体" w:hint="default"/>
                <w:sz w:val="18"/>
                <w:szCs w:val="18"/>
              </w:rPr>
            </w:pPr>
            <w:r>
              <w:rPr>
                <w:rFonts w:ascii="宋体" w:hAnsi="宋体" w:cs="宋体" w:eastAsia="宋体" w:hint="default"/>
                <w:sz w:val="18"/>
                <w:szCs w:val="18"/>
              </w:rPr>
              <w:t>子柜加 工采购</w:t>
            </w:r>
          </w:p>
        </w:tc>
        <w:tc>
          <w:tcPr>
            <w:tcW w:w="85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依市场公 允价格定 价</w:t>
            </w:r>
          </w:p>
        </w:tc>
        <w:tc>
          <w:tcPr>
            <w:tcW w:w="70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2,105.74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31.15%</w:t>
            </w:r>
          </w:p>
        </w:tc>
        <w:tc>
          <w:tcPr>
            <w:tcW w:w="70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56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2" w:lineRule="exact" w:before="14"/>
              <w:ind w:left="22" w:right="32"/>
              <w:jc w:val="left"/>
              <w:rPr>
                <w:rFonts w:ascii="宋体" w:hAnsi="宋体" w:cs="宋体" w:eastAsia="宋体" w:hint="default"/>
                <w:sz w:val="18"/>
                <w:szCs w:val="18"/>
              </w:rPr>
            </w:pPr>
            <w:r>
              <w:rPr>
                <w:rFonts w:ascii="宋体" w:hAnsi="宋体" w:cs="宋体" w:eastAsia="宋体" w:hint="default"/>
                <w:sz w:val="18"/>
                <w:szCs w:val="18"/>
              </w:rPr>
              <w:t>具体内容详见巨 潮资讯网 </w:t>
            </w:r>
            <w:r>
              <w:rPr>
                <w:rFonts w:ascii="Times New Roman" w:hAnsi="Times New Roman" w:cs="Times New Roman" w:eastAsia="Times New Roman" w:hint="default"/>
                <w:sz w:val="18"/>
                <w:szCs w:val="18"/>
              </w:rPr>
              <w:t>(http://www.cninf o.com.cn/)</w:t>
            </w:r>
            <w:r>
              <w:rPr>
                <w:rFonts w:ascii="宋体" w:hAnsi="宋体" w:cs="宋体" w:eastAsia="宋体" w:hint="default"/>
                <w:sz w:val="18"/>
                <w:szCs w:val="18"/>
              </w:rPr>
              <w:t>的《日 常关联交易预计 </w:t>
            </w:r>
            <w:r>
              <w:rPr>
                <w:rFonts w:ascii="宋体" w:hAnsi="宋体" w:cs="宋体" w:eastAsia="宋体" w:hint="default"/>
                <w:spacing w:val="-12"/>
                <w:sz w:val="18"/>
                <w:szCs w:val="18"/>
              </w:rPr>
              <w:t>公告》（公告编号</w:t>
            </w:r>
          </w:p>
          <w:p>
            <w:pPr>
              <w:pStyle w:val="TableParagraph"/>
              <w:spacing w:line="240" w:lineRule="auto" w:before="4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2012-007</w:t>
            </w:r>
            <w:r>
              <w:rPr>
                <w:rFonts w:ascii="宋体" w:hAnsi="宋体" w:cs="宋体" w:eastAsia="宋体" w:hint="default"/>
                <w:sz w:val="18"/>
                <w:szCs w:val="18"/>
              </w:rPr>
              <w:t>）</w:t>
            </w:r>
          </w:p>
        </w:tc>
      </w:tr>
      <w:tr>
        <w:trPr>
          <w:trHeight w:val="1922" w:hRule="exact"/>
        </w:trPr>
        <w:tc>
          <w:tcPr>
            <w:tcW w:w="70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2" w:right="132"/>
              <w:jc w:val="both"/>
              <w:rPr>
                <w:rFonts w:ascii="宋体" w:hAnsi="宋体" w:cs="宋体" w:eastAsia="宋体" w:hint="default"/>
                <w:sz w:val="18"/>
                <w:szCs w:val="18"/>
              </w:rPr>
            </w:pPr>
            <w:r>
              <w:rPr>
                <w:rFonts w:ascii="宋体" w:hAnsi="宋体" w:cs="宋体" w:eastAsia="宋体" w:hint="default"/>
                <w:sz w:val="18"/>
                <w:szCs w:val="18"/>
              </w:rPr>
              <w:t>广州花 都稠州 村镇银 行股份 有限公</w:t>
            </w:r>
          </w:p>
        </w:tc>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公司董 </w:t>
            </w:r>
            <w:r>
              <w:rPr>
                <w:rFonts w:ascii="宋体" w:hAnsi="宋体" w:cs="宋体" w:eastAsia="宋体" w:hint="default"/>
                <w:spacing w:val="-17"/>
                <w:sz w:val="18"/>
                <w:szCs w:val="18"/>
              </w:rPr>
              <w:t>事、副总</w:t>
            </w:r>
            <w:r>
              <w:rPr>
                <w:rFonts w:ascii="宋体" w:hAnsi="宋体" w:cs="宋体" w:eastAsia="宋体" w:hint="default"/>
                <w:sz w:val="18"/>
                <w:szCs w:val="18"/>
              </w:rPr>
              <w:t> 经理兼 董事会 秘书谭 骅先生</w:t>
            </w:r>
          </w:p>
        </w:tc>
        <w:tc>
          <w:tcPr>
            <w:tcW w:w="70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17"/>
                <w:sz w:val="18"/>
                <w:szCs w:val="18"/>
              </w:rPr>
              <w:t>采购、租</w:t>
            </w:r>
            <w:r>
              <w:rPr>
                <w:rFonts w:ascii="宋体" w:hAnsi="宋体" w:cs="宋体" w:eastAsia="宋体" w:hint="default"/>
                <w:sz w:val="18"/>
                <w:szCs w:val="18"/>
              </w:rPr>
              <w:t> 赁</w:t>
            </w:r>
          </w:p>
        </w:tc>
        <w:tc>
          <w:tcPr>
            <w:tcW w:w="70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316" w:lineRule="auto"/>
              <w:ind w:left="23" w:right="20"/>
              <w:jc w:val="left"/>
              <w:rPr>
                <w:rFonts w:ascii="Times New Roman" w:hAnsi="Times New Roman" w:cs="Times New Roman" w:eastAsia="Times New Roman" w:hint="default"/>
                <w:sz w:val="18"/>
                <w:szCs w:val="18"/>
              </w:rPr>
            </w:pPr>
            <w:r>
              <w:rPr>
                <w:rFonts w:ascii="宋体" w:hAnsi="宋体" w:cs="宋体" w:eastAsia="宋体" w:hint="default"/>
                <w:spacing w:val="-17"/>
                <w:sz w:val="18"/>
                <w:szCs w:val="18"/>
              </w:rPr>
              <w:t>采购、租</w:t>
            </w:r>
            <w:r>
              <w:rPr>
                <w:rFonts w:ascii="宋体" w:hAnsi="宋体" w:cs="宋体" w:eastAsia="宋体" w:hint="default"/>
                <w:sz w:val="18"/>
                <w:szCs w:val="18"/>
              </w:rPr>
              <w:t> 赁</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ATM</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85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依市场公 允价格定 价</w:t>
            </w:r>
          </w:p>
        </w:tc>
        <w:tc>
          <w:tcPr>
            <w:tcW w:w="70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3"/>
              <w:ind w:left="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3"/>
              <w:ind w:right="21"/>
              <w:jc w:val="right"/>
              <w:rPr>
                <w:rFonts w:ascii="Times New Roman" w:hAnsi="Times New Roman" w:cs="Times New Roman" w:eastAsia="Times New Roman" w:hint="default"/>
                <w:sz w:val="18"/>
                <w:szCs w:val="18"/>
              </w:rPr>
            </w:pPr>
            <w:r>
              <w:rPr>
                <w:rFonts w:ascii="Times New Roman"/>
                <w:sz w:val="18"/>
              </w:rPr>
              <w:t>35.9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3"/>
              <w:ind w:left="352" w:right="0"/>
              <w:jc w:val="left"/>
              <w:rPr>
                <w:rFonts w:ascii="Times New Roman" w:hAnsi="Times New Roman" w:cs="Times New Roman" w:eastAsia="Times New Roman" w:hint="default"/>
                <w:sz w:val="18"/>
                <w:szCs w:val="18"/>
              </w:rPr>
            </w:pPr>
            <w:r>
              <w:rPr>
                <w:rFonts w:ascii="Times New Roman"/>
                <w:sz w:val="18"/>
              </w:rPr>
              <w:t>0.08%</w:t>
            </w:r>
          </w:p>
        </w:tc>
        <w:tc>
          <w:tcPr>
            <w:tcW w:w="70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56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3"/>
              <w:ind w:right="0"/>
              <w:jc w:val="center"/>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38" w:lineRule="auto" w:before="49"/>
              <w:ind w:left="22" w:right="97"/>
              <w:jc w:val="left"/>
              <w:rPr>
                <w:rFonts w:ascii="Times New Roman" w:hAnsi="Times New Roman" w:cs="Times New Roman" w:eastAsia="Times New Roman" w:hint="default"/>
                <w:sz w:val="18"/>
                <w:szCs w:val="18"/>
              </w:rPr>
            </w:pPr>
            <w:r>
              <w:rPr>
                <w:rFonts w:ascii="宋体" w:hAnsi="宋体" w:cs="宋体" w:eastAsia="宋体" w:hint="default"/>
                <w:sz w:val="18"/>
                <w:szCs w:val="18"/>
              </w:rPr>
              <w:t>具体内容详见巨 潮资讯网 </w:t>
            </w:r>
            <w:r>
              <w:rPr>
                <w:rFonts w:ascii="Times New Roman" w:hAnsi="Times New Roman" w:cs="Times New Roman" w:eastAsia="Times New Roman" w:hint="default"/>
                <w:spacing w:val="-1"/>
                <w:sz w:val="18"/>
                <w:szCs w:val="18"/>
              </w:rPr>
              <w:t>(http://www.cninf</w:t>
            </w:r>
          </w:p>
          <w:p>
            <w:pPr>
              <w:pStyle w:val="TableParagraph"/>
              <w:spacing w:line="23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o.com.cn/)</w:t>
            </w:r>
            <w:r>
              <w:rPr>
                <w:rFonts w:ascii="宋体" w:hAnsi="宋体" w:cs="宋体" w:eastAsia="宋体" w:hint="default"/>
                <w:sz w:val="18"/>
                <w:szCs w:val="18"/>
              </w:rPr>
              <w:t>的</w:t>
            </w:r>
          </w:p>
          <w:p>
            <w:pPr>
              <w:pStyle w:val="TableParagraph"/>
              <w:spacing w:line="300" w:lineRule="auto" w:before="62"/>
              <w:ind w:left="22" w:right="7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年新增日 常关联交易预计</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8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08"/>
        <w:gridCol w:w="710"/>
        <w:gridCol w:w="708"/>
        <w:gridCol w:w="710"/>
        <w:gridCol w:w="851"/>
        <w:gridCol w:w="708"/>
        <w:gridCol w:w="994"/>
        <w:gridCol w:w="850"/>
        <w:gridCol w:w="708"/>
        <w:gridCol w:w="567"/>
        <w:gridCol w:w="853"/>
        <w:gridCol w:w="1415"/>
      </w:tblGrid>
      <w:tr>
        <w:trPr>
          <w:trHeight w:val="987" w:hRule="exact"/>
        </w:trPr>
        <w:tc>
          <w:tcPr>
            <w:tcW w:w="70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9" w:lineRule="auto" w:before="8"/>
              <w:ind w:left="26" w:right="132"/>
              <w:jc w:val="both"/>
              <w:rPr>
                <w:rFonts w:ascii="宋体" w:hAnsi="宋体" w:cs="宋体" w:eastAsia="宋体" w:hint="default"/>
                <w:sz w:val="18"/>
                <w:szCs w:val="18"/>
              </w:rPr>
            </w:pPr>
            <w:r>
              <w:rPr>
                <w:rFonts w:ascii="宋体" w:hAnsi="宋体" w:cs="宋体" w:eastAsia="宋体" w:hint="default"/>
                <w:sz w:val="18"/>
                <w:szCs w:val="18"/>
              </w:rPr>
              <w:t>出任改 公司董 事一职</w:t>
            </w:r>
          </w:p>
        </w:tc>
        <w:tc>
          <w:tcPr>
            <w:tcW w:w="708"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851"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567"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公告</w:t>
            </w:r>
            <w:r>
              <w:rPr>
                <w:rFonts w:ascii="宋体" w:hAnsi="宋体" w:cs="宋体" w:eastAsia="宋体" w:hint="default"/>
                <w:spacing w:val="-92"/>
                <w:sz w:val="18"/>
                <w:szCs w:val="18"/>
              </w:rPr>
              <w:t>》</w:t>
            </w:r>
            <w:r>
              <w:rPr>
                <w:rFonts w:ascii="宋体" w:hAnsi="宋体" w:cs="宋体" w:eastAsia="宋体" w:hint="default"/>
                <w:sz w:val="18"/>
                <w:szCs w:val="18"/>
              </w:rPr>
              <w:t>（公告编号</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2012-037</w:t>
            </w:r>
            <w:r>
              <w:rPr>
                <w:rFonts w:ascii="宋体" w:hAnsi="宋体" w:cs="宋体" w:eastAsia="宋体" w:hint="default"/>
                <w:sz w:val="18"/>
                <w:szCs w:val="18"/>
              </w:rPr>
              <w:t>）</w:t>
            </w:r>
          </w:p>
        </w:tc>
      </w:tr>
      <w:tr>
        <w:trPr>
          <w:trHeight w:val="406" w:hRule="exact"/>
        </w:trPr>
        <w:tc>
          <w:tcPr>
            <w:tcW w:w="283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2,141.64</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283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946" w:type="dxa"/>
            <w:gridSpan w:val="8"/>
            <w:tcBorders>
              <w:top w:val="single" w:sz="4" w:space="0" w:color="000000"/>
              <w:left w:val="single" w:sz="10" w:space="0" w:color="D2D2D2"/>
              <w:bottom w:val="single" w:sz="4" w:space="0" w:color="000000"/>
              <w:right w:val="single" w:sz="4" w:space="0" w:color="000000"/>
            </w:tcBorders>
            <w:shd w:val="clear" w:color="auto" w:fill="CCE8CC"/>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283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2"/>
              <w:jc w:val="both"/>
              <w:rPr>
                <w:rFonts w:ascii="宋体" w:hAnsi="宋体" w:cs="宋体" w:eastAsia="宋体" w:hint="default"/>
                <w:sz w:val="18"/>
                <w:szCs w:val="18"/>
              </w:rPr>
            </w:pPr>
            <w:r>
              <w:rPr>
                <w:rFonts w:ascii="宋体" w:hAnsi="宋体" w:cs="宋体" w:eastAsia="宋体" w:hint="default"/>
                <w:sz w:val="18"/>
                <w:szCs w:val="18"/>
              </w:rPr>
              <w:t>关联交易的必要性、持续性、选择 与关联方（而非市场其他交易方） 进行交易的原因</w:t>
            </w:r>
          </w:p>
        </w:tc>
        <w:tc>
          <w:tcPr>
            <w:tcW w:w="6946" w:type="dxa"/>
            <w:gridSpan w:val="8"/>
            <w:tcBorders>
              <w:top w:val="single" w:sz="4" w:space="0" w:color="000000"/>
              <w:left w:val="single" w:sz="10" w:space="0" w:color="D2D2D2"/>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因经营所需</w:t>
            </w:r>
          </w:p>
        </w:tc>
      </w:tr>
      <w:tr>
        <w:trPr>
          <w:trHeight w:val="161" w:hRule="exact"/>
        </w:trPr>
        <w:tc>
          <w:tcPr>
            <w:tcW w:w="283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946" w:type="dxa"/>
            <w:gridSpan w:val="8"/>
            <w:vMerge w:val="restart"/>
            <w:tcBorders>
              <w:top w:val="single" w:sz="4" w:space="0" w:color="000000"/>
              <w:left w:val="single" w:sz="10" w:space="0" w:color="D2D2D2"/>
              <w:right w:val="single" w:sz="4" w:space="0" w:color="000000"/>
            </w:tcBorders>
            <w:shd w:val="clear" w:color="auto" w:fill="CCE8CC"/>
          </w:tcPr>
          <w:p>
            <w:pPr>
              <w:pStyle w:val="TableParagraph"/>
              <w:spacing w:line="316" w:lineRule="auto" w:before="49"/>
              <w:ind w:left="15" w:right="71"/>
              <w:jc w:val="left"/>
              <w:rPr>
                <w:rFonts w:ascii="宋体" w:hAnsi="宋体" w:cs="宋体" w:eastAsia="宋体" w:hint="default"/>
                <w:sz w:val="18"/>
                <w:szCs w:val="18"/>
              </w:rPr>
            </w:pPr>
            <w:r>
              <w:rPr>
                <w:rFonts w:ascii="宋体" w:hAnsi="宋体" w:cs="宋体" w:eastAsia="宋体" w:hint="default"/>
                <w:sz w:val="18"/>
                <w:szCs w:val="18"/>
              </w:rPr>
              <w:t>关联交易均未损害公司及非关联股东的合法权益，对公司无重大不利影响，对公司本期 及未来的财务状况和经营成果亦无重大影响。</w:t>
            </w:r>
          </w:p>
        </w:tc>
      </w:tr>
      <w:tr>
        <w:trPr>
          <w:trHeight w:val="394" w:hRule="exact"/>
        </w:trPr>
        <w:tc>
          <w:tcPr>
            <w:tcW w:w="283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946" w:type="dxa"/>
            <w:gridSpan w:val="8"/>
            <w:vMerge/>
            <w:tcBorders>
              <w:left w:val="single" w:sz="10" w:space="0" w:color="D2D2D2"/>
              <w:right w:val="single" w:sz="4" w:space="0" w:color="000000"/>
            </w:tcBorders>
            <w:shd w:val="clear" w:color="auto" w:fill="CCE8CC"/>
          </w:tcPr>
          <w:p>
            <w:pPr/>
          </w:p>
        </w:tc>
      </w:tr>
      <w:tr>
        <w:trPr>
          <w:trHeight w:val="161" w:hRule="exact"/>
        </w:trPr>
        <w:tc>
          <w:tcPr>
            <w:tcW w:w="283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946" w:type="dxa"/>
            <w:gridSpan w:val="8"/>
            <w:vMerge/>
            <w:tcBorders>
              <w:left w:val="single" w:sz="10" w:space="0" w:color="D2D2D2"/>
              <w:bottom w:val="single" w:sz="4" w:space="0" w:color="000000"/>
              <w:right w:val="single" w:sz="4" w:space="0" w:color="000000"/>
            </w:tcBorders>
            <w:shd w:val="clear" w:color="auto" w:fill="CCE8CC"/>
          </w:tcPr>
          <w:p>
            <w:pPr/>
          </w:p>
        </w:tc>
      </w:tr>
      <w:tr>
        <w:trPr>
          <w:trHeight w:val="713" w:hRule="exact"/>
        </w:trPr>
        <w:tc>
          <w:tcPr>
            <w:tcW w:w="283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 关解决措施（如有）</w:t>
            </w:r>
          </w:p>
        </w:tc>
        <w:tc>
          <w:tcPr>
            <w:tcW w:w="6946" w:type="dxa"/>
            <w:gridSpan w:val="8"/>
            <w:tcBorders>
              <w:top w:val="single" w:sz="4" w:space="0" w:color="000000"/>
              <w:left w:val="single" w:sz="10" w:space="0" w:color="D2D2D2"/>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关联交易金额及比例较低，不会产生依赖</w:t>
            </w:r>
          </w:p>
        </w:tc>
      </w:tr>
      <w:tr>
        <w:trPr>
          <w:trHeight w:val="1027" w:hRule="exact"/>
        </w:trPr>
        <w:tc>
          <w:tcPr>
            <w:tcW w:w="283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2"/>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 易进行总金额预计的，在报告期内 的实际履行情况（如有）</w:t>
            </w:r>
          </w:p>
        </w:tc>
        <w:tc>
          <w:tcPr>
            <w:tcW w:w="6946" w:type="dxa"/>
            <w:gridSpan w:val="8"/>
            <w:tcBorders>
              <w:top w:val="single" w:sz="4" w:space="0" w:color="000000"/>
              <w:left w:val="single" w:sz="10" w:space="0" w:color="D2D2D2"/>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报告期内，公司与以上关联方发生的日常关联交易总额在预计范围内</w:t>
            </w:r>
          </w:p>
        </w:tc>
      </w:tr>
      <w:tr>
        <w:trPr>
          <w:trHeight w:val="713" w:hRule="exact"/>
        </w:trPr>
        <w:tc>
          <w:tcPr>
            <w:tcW w:w="283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w:t>
            </w:r>
          </w:p>
        </w:tc>
        <w:tc>
          <w:tcPr>
            <w:tcW w:w="6946" w:type="dxa"/>
            <w:gridSpan w:val="8"/>
            <w:tcBorders>
              <w:top w:val="single" w:sz="4" w:space="0" w:color="000000"/>
              <w:left w:val="single" w:sz="10" w:space="0" w:color="D2D2D2"/>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报告期内无资产收购、出售发生的关联交易情况。</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报告期内无共同对外投资的重大关联交易情况。</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是否存在非经营性关联债权债务往来</w:t>
      </w:r>
    </w:p>
    <w:p>
      <w:pPr>
        <w:pStyle w:val="BodyText"/>
        <w:spacing w:line="240" w:lineRule="auto" w:before="117"/>
        <w:ind w:right="0"/>
        <w:jc w:val="left"/>
      </w:pPr>
      <w:r>
        <w:rPr/>
        <w:pict>
          <v:shape style="position:absolute;margin-left:456.222992pt;margin-top:41.081722pt;width:77.55pt;height:17.650pt;mso-position-horizontal-relative:page;mso-position-vertical-relative:paragraph;z-index:-830896" type="#_x0000_t202" filled="false" stroked="false">
            <v:textbox inset="0,0,0,0">
              <w:txbxContent>
                <w:p>
                  <w:pPr>
                    <w:pStyle w:val="BodyText"/>
                    <w:spacing w:line="240" w:lineRule="auto" w:before="8"/>
                    <w:ind w:left="0" w:right="0"/>
                    <w:jc w:val="left"/>
                  </w:pPr>
                  <w:r>
                    <w:rPr/>
                    <w:t>（万元）</w:t>
                  </w:r>
                </w:p>
              </w:txbxContent>
            </v:textbox>
            <w10:wrap type="none"/>
          </v:shape>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34"/>
        <w:gridCol w:w="1516"/>
        <w:gridCol w:w="1428"/>
        <w:gridCol w:w="993"/>
        <w:gridCol w:w="1274"/>
        <w:gridCol w:w="853"/>
        <w:gridCol w:w="850"/>
        <w:gridCol w:w="922"/>
      </w:tblGrid>
      <w:tr>
        <w:trPr>
          <w:trHeight w:val="709" w:hRule="exact"/>
        </w:trPr>
        <w:tc>
          <w:tcPr>
            <w:tcW w:w="1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2"/>
              <w:jc w:val="right"/>
              <w:rPr>
                <w:rFonts w:ascii="宋体" w:hAnsi="宋体" w:cs="宋体" w:eastAsia="宋体" w:hint="default"/>
                <w:sz w:val="18"/>
                <w:szCs w:val="18"/>
              </w:rPr>
            </w:pPr>
            <w:r>
              <w:rPr>
                <w:rFonts w:ascii="宋体" w:hAnsi="宋体" w:cs="宋体" w:eastAsia="宋体" w:hint="default"/>
                <w:sz w:val="18"/>
                <w:szCs w:val="18"/>
              </w:rPr>
              <w:t>债权债务类型</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3" w:right="89"/>
              <w:jc w:val="left"/>
              <w:rPr>
                <w:rFonts w:ascii="宋体" w:hAnsi="宋体" w:cs="宋体" w:eastAsia="宋体" w:hint="default"/>
                <w:sz w:val="18"/>
                <w:szCs w:val="18"/>
              </w:rPr>
            </w:pPr>
            <w:r>
              <w:rPr>
                <w:rFonts w:ascii="宋体" w:hAnsi="宋体" w:cs="宋体" w:eastAsia="宋体" w:hint="default"/>
                <w:sz w:val="18"/>
                <w:szCs w:val="18"/>
              </w:rPr>
              <w:t>是否存在非经 营性资金占用</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4"/>
              <w:ind w:left="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 w:right="59" w:firstLine="36"/>
              <w:jc w:val="left"/>
              <w:rPr>
                <w:rFonts w:ascii="宋体" w:hAnsi="宋体" w:cs="宋体" w:eastAsia="宋体" w:hint="default"/>
                <w:sz w:val="18"/>
                <w:szCs w:val="18"/>
              </w:rPr>
            </w:pPr>
            <w:r>
              <w:rPr>
                <w:rFonts w:ascii="宋体" w:hAnsi="宋体" w:cs="宋体" w:eastAsia="宋体" w:hint="default"/>
                <w:sz w:val="18"/>
                <w:szCs w:val="18"/>
              </w:rPr>
              <w:t>本期发生 额</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4"/>
              <w:ind w:left="96"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719" w:hRule="exact"/>
        </w:trPr>
        <w:tc>
          <w:tcPr>
            <w:tcW w:w="17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3"/>
              <w:ind w:left="22" w:right="81"/>
              <w:jc w:val="left"/>
              <w:rPr>
                <w:rFonts w:ascii="宋体" w:hAnsi="宋体" w:cs="宋体" w:eastAsia="宋体" w:hint="default"/>
                <w:sz w:val="18"/>
                <w:szCs w:val="18"/>
              </w:rPr>
            </w:pPr>
            <w:r>
              <w:rPr>
                <w:rFonts w:ascii="宋体" w:hAnsi="宋体" w:cs="宋体" w:eastAsia="宋体" w:hint="default"/>
                <w:sz w:val="18"/>
                <w:szCs w:val="18"/>
              </w:rPr>
              <w:t>广州基准机械电子科 技有限公司</w:t>
            </w:r>
          </w:p>
        </w:tc>
        <w:tc>
          <w:tcPr>
            <w:tcW w:w="151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3"/>
              <w:ind w:left="23" w:right="40"/>
              <w:jc w:val="left"/>
              <w:rPr>
                <w:rFonts w:ascii="宋体" w:hAnsi="宋体" w:cs="宋体" w:eastAsia="宋体" w:hint="default"/>
                <w:sz w:val="18"/>
                <w:szCs w:val="18"/>
              </w:rPr>
            </w:pPr>
            <w:r>
              <w:rPr>
                <w:rFonts w:ascii="宋体" w:hAnsi="宋体" w:cs="宋体" w:eastAsia="宋体" w:hint="default"/>
                <w:sz w:val="18"/>
                <w:szCs w:val="18"/>
              </w:rPr>
              <w:t>本公司控股股东亲 属控制的企业</w:t>
            </w:r>
          </w:p>
        </w:tc>
        <w:tc>
          <w:tcPr>
            <w:tcW w:w="1428" w:type="dxa"/>
            <w:tcBorders>
              <w:top w:val="single" w:sz="4" w:space="0" w:color="000000"/>
              <w:left w:val="single" w:sz="9" w:space="0" w:color="CCE8CC"/>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21"/>
              <w:jc w:val="right"/>
              <w:rPr>
                <w:rFonts w:ascii="宋体" w:hAnsi="宋体" w:cs="宋体" w:eastAsia="宋体" w:hint="default"/>
                <w:sz w:val="18"/>
                <w:szCs w:val="18"/>
              </w:rPr>
            </w:pPr>
            <w:r>
              <w:rPr>
                <w:rFonts w:ascii="宋体" w:hAnsi="宋体" w:cs="宋体" w:eastAsia="宋体" w:hint="default"/>
                <w:sz w:val="18"/>
                <w:szCs w:val="18"/>
              </w:rPr>
              <w:t>应收关联方债权</w:t>
            </w:r>
          </w:p>
        </w:tc>
        <w:tc>
          <w:tcPr>
            <w:tcW w:w="99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预付材料款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927.37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-1,281.11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-353.74</w:t>
            </w:r>
          </w:p>
        </w:tc>
      </w:tr>
      <w:tr>
        <w:trPr>
          <w:trHeight w:val="403" w:hRule="exact"/>
        </w:trPr>
        <w:tc>
          <w:tcPr>
            <w:tcW w:w="17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张成虎</w:t>
            </w:r>
          </w:p>
        </w:tc>
        <w:tc>
          <w:tcPr>
            <w:tcW w:w="151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28" w:type="dxa"/>
            <w:tcBorders>
              <w:top w:val="single" w:sz="4" w:space="0" w:color="000000"/>
              <w:left w:val="single" w:sz="9" w:space="0" w:color="CCE8CC"/>
              <w:bottom w:val="single" w:sz="4" w:space="0" w:color="000000"/>
              <w:right w:val="single" w:sz="4" w:space="0" w:color="000000"/>
            </w:tcBorders>
          </w:tcPr>
          <w:p>
            <w:pPr>
              <w:pStyle w:val="TableParagraph"/>
              <w:spacing w:line="240" w:lineRule="auto" w:before="50"/>
              <w:ind w:right="121"/>
              <w:jc w:val="right"/>
              <w:rPr>
                <w:rFonts w:ascii="宋体" w:hAnsi="宋体" w:cs="宋体" w:eastAsia="宋体" w:hint="default"/>
                <w:sz w:val="18"/>
                <w:szCs w:val="18"/>
              </w:rPr>
            </w:pPr>
            <w:r>
              <w:rPr>
                <w:rFonts w:ascii="宋体" w:hAnsi="宋体" w:cs="宋体" w:eastAsia="宋体" w:hint="default"/>
                <w:sz w:val="18"/>
                <w:szCs w:val="18"/>
              </w:rPr>
              <w:t>应收关联方债权</w:t>
            </w:r>
          </w:p>
        </w:tc>
        <w:tc>
          <w:tcPr>
            <w:tcW w:w="99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right="35"/>
              <w:jc w:val="center"/>
              <w:rPr>
                <w:rFonts w:ascii="宋体" w:hAnsi="宋体" w:cs="宋体" w:eastAsia="宋体" w:hint="default"/>
                <w:sz w:val="18"/>
                <w:szCs w:val="18"/>
              </w:rPr>
            </w:pPr>
            <w:r>
              <w:rPr>
                <w:rFonts w:ascii="宋体" w:hAnsi="宋体" w:cs="宋体" w:eastAsia="宋体" w:hint="default"/>
                <w:sz w:val="18"/>
                <w:szCs w:val="18"/>
              </w:rPr>
              <w:t>个人借支款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2.52</w:t>
            </w:r>
          </w:p>
        </w:tc>
      </w:tr>
      <w:tr>
        <w:trPr>
          <w:trHeight w:val="402" w:hRule="exact"/>
        </w:trPr>
        <w:tc>
          <w:tcPr>
            <w:tcW w:w="17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151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428" w:type="dxa"/>
            <w:tcBorders>
              <w:top w:val="single" w:sz="4" w:space="0" w:color="000000"/>
              <w:left w:val="single" w:sz="9" w:space="0" w:color="CCE8CC"/>
              <w:bottom w:val="single" w:sz="4" w:space="0" w:color="000000"/>
              <w:right w:val="single" w:sz="4" w:space="0" w:color="000000"/>
            </w:tcBorders>
          </w:tcPr>
          <w:p>
            <w:pPr>
              <w:pStyle w:val="TableParagraph"/>
              <w:spacing w:line="240" w:lineRule="auto" w:before="49"/>
              <w:ind w:right="121"/>
              <w:jc w:val="right"/>
              <w:rPr>
                <w:rFonts w:ascii="宋体" w:hAnsi="宋体" w:cs="宋体" w:eastAsia="宋体" w:hint="default"/>
                <w:sz w:val="18"/>
                <w:szCs w:val="18"/>
              </w:rPr>
            </w:pPr>
            <w:r>
              <w:rPr>
                <w:rFonts w:ascii="宋体" w:hAnsi="宋体" w:cs="宋体" w:eastAsia="宋体" w:hint="default"/>
                <w:sz w:val="18"/>
                <w:szCs w:val="18"/>
              </w:rPr>
              <w:t>应收关联方债权</w:t>
            </w:r>
          </w:p>
        </w:tc>
        <w:tc>
          <w:tcPr>
            <w:tcW w:w="99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35"/>
              <w:jc w:val="center"/>
              <w:rPr>
                <w:rFonts w:ascii="宋体" w:hAnsi="宋体" w:cs="宋体" w:eastAsia="宋体" w:hint="default"/>
                <w:sz w:val="18"/>
                <w:szCs w:val="18"/>
              </w:rPr>
            </w:pPr>
            <w:r>
              <w:rPr>
                <w:rFonts w:ascii="宋体" w:hAnsi="宋体" w:cs="宋体" w:eastAsia="宋体" w:hint="default"/>
                <w:sz w:val="18"/>
                <w:szCs w:val="18"/>
              </w:rPr>
              <w:t>个人借支款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55.77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w:t>
            </w:r>
          </w:p>
        </w:tc>
      </w:tr>
      <w:tr>
        <w:trPr>
          <w:trHeight w:val="402" w:hRule="exact"/>
        </w:trPr>
        <w:tc>
          <w:tcPr>
            <w:tcW w:w="17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庞泰松</w:t>
            </w:r>
          </w:p>
        </w:tc>
        <w:tc>
          <w:tcPr>
            <w:tcW w:w="151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428" w:type="dxa"/>
            <w:tcBorders>
              <w:top w:val="single" w:sz="4" w:space="0" w:color="000000"/>
              <w:left w:val="single" w:sz="9" w:space="0" w:color="CCE8CC"/>
              <w:bottom w:val="single" w:sz="4" w:space="0" w:color="000000"/>
              <w:right w:val="single" w:sz="4" w:space="0" w:color="000000"/>
            </w:tcBorders>
          </w:tcPr>
          <w:p>
            <w:pPr>
              <w:pStyle w:val="TableParagraph"/>
              <w:spacing w:line="240" w:lineRule="auto" w:before="50"/>
              <w:ind w:right="121"/>
              <w:jc w:val="right"/>
              <w:rPr>
                <w:rFonts w:ascii="宋体" w:hAnsi="宋体" w:cs="宋体" w:eastAsia="宋体" w:hint="default"/>
                <w:sz w:val="18"/>
                <w:szCs w:val="18"/>
              </w:rPr>
            </w:pPr>
            <w:r>
              <w:rPr>
                <w:rFonts w:ascii="宋体" w:hAnsi="宋体" w:cs="宋体" w:eastAsia="宋体" w:hint="default"/>
                <w:sz w:val="18"/>
                <w:szCs w:val="18"/>
              </w:rPr>
              <w:t>应收关联方债权</w:t>
            </w:r>
          </w:p>
        </w:tc>
        <w:tc>
          <w:tcPr>
            <w:tcW w:w="99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right="35"/>
              <w:jc w:val="center"/>
              <w:rPr>
                <w:rFonts w:ascii="宋体" w:hAnsi="宋体" w:cs="宋体" w:eastAsia="宋体" w:hint="default"/>
                <w:sz w:val="18"/>
                <w:szCs w:val="18"/>
              </w:rPr>
            </w:pPr>
            <w:r>
              <w:rPr>
                <w:rFonts w:ascii="宋体" w:hAnsi="宋体" w:cs="宋体" w:eastAsia="宋体" w:hint="default"/>
                <w:sz w:val="18"/>
                <w:szCs w:val="18"/>
              </w:rPr>
              <w:t>个人借支款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-18.3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4.15</w:t>
            </w:r>
          </w:p>
        </w:tc>
      </w:tr>
      <w:tr>
        <w:trPr>
          <w:trHeight w:val="402" w:hRule="exact"/>
        </w:trPr>
        <w:tc>
          <w:tcPr>
            <w:tcW w:w="17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徐德银</w:t>
            </w:r>
          </w:p>
        </w:tc>
        <w:tc>
          <w:tcPr>
            <w:tcW w:w="151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428" w:type="dxa"/>
            <w:tcBorders>
              <w:top w:val="single" w:sz="4" w:space="0" w:color="000000"/>
              <w:left w:val="single" w:sz="9" w:space="0" w:color="CCE8CC"/>
              <w:bottom w:val="single" w:sz="4" w:space="0" w:color="000000"/>
              <w:right w:val="single" w:sz="4" w:space="0" w:color="000000"/>
            </w:tcBorders>
          </w:tcPr>
          <w:p>
            <w:pPr>
              <w:pStyle w:val="TableParagraph"/>
              <w:spacing w:line="240" w:lineRule="auto" w:before="49"/>
              <w:ind w:right="121"/>
              <w:jc w:val="right"/>
              <w:rPr>
                <w:rFonts w:ascii="宋体" w:hAnsi="宋体" w:cs="宋体" w:eastAsia="宋体" w:hint="default"/>
                <w:sz w:val="18"/>
                <w:szCs w:val="18"/>
              </w:rPr>
            </w:pPr>
            <w:r>
              <w:rPr>
                <w:rFonts w:ascii="宋体" w:hAnsi="宋体" w:cs="宋体" w:eastAsia="宋体" w:hint="default"/>
                <w:sz w:val="18"/>
                <w:szCs w:val="18"/>
              </w:rPr>
              <w:t>应收关联方债权</w:t>
            </w:r>
          </w:p>
        </w:tc>
        <w:tc>
          <w:tcPr>
            <w:tcW w:w="99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35"/>
              <w:jc w:val="center"/>
              <w:rPr>
                <w:rFonts w:ascii="宋体" w:hAnsi="宋体" w:cs="宋体" w:eastAsia="宋体" w:hint="default"/>
                <w:sz w:val="18"/>
                <w:szCs w:val="18"/>
              </w:rPr>
            </w:pPr>
            <w:r>
              <w:rPr>
                <w:rFonts w:ascii="宋体" w:hAnsi="宋体" w:cs="宋体" w:eastAsia="宋体" w:hint="default"/>
                <w:sz w:val="18"/>
                <w:szCs w:val="18"/>
              </w:rPr>
              <w:t>个人借支款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w:t>
            </w:r>
          </w:p>
        </w:tc>
      </w:tr>
      <w:tr>
        <w:trPr>
          <w:trHeight w:val="402" w:hRule="exact"/>
        </w:trPr>
        <w:tc>
          <w:tcPr>
            <w:tcW w:w="17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151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428" w:type="dxa"/>
            <w:tcBorders>
              <w:top w:val="single" w:sz="4" w:space="0" w:color="000000"/>
              <w:left w:val="single" w:sz="9" w:space="0" w:color="CCE8CC"/>
              <w:bottom w:val="single" w:sz="4" w:space="0" w:color="000000"/>
              <w:right w:val="single" w:sz="4" w:space="0" w:color="000000"/>
            </w:tcBorders>
          </w:tcPr>
          <w:p>
            <w:pPr>
              <w:pStyle w:val="TableParagraph"/>
              <w:spacing w:line="240" w:lineRule="auto" w:before="50"/>
              <w:ind w:right="121"/>
              <w:jc w:val="right"/>
              <w:rPr>
                <w:rFonts w:ascii="宋体" w:hAnsi="宋体" w:cs="宋体" w:eastAsia="宋体" w:hint="default"/>
                <w:sz w:val="18"/>
                <w:szCs w:val="18"/>
              </w:rPr>
            </w:pPr>
            <w:r>
              <w:rPr>
                <w:rFonts w:ascii="宋体" w:hAnsi="宋体" w:cs="宋体" w:eastAsia="宋体" w:hint="default"/>
                <w:sz w:val="18"/>
                <w:szCs w:val="18"/>
              </w:rPr>
              <w:t>应收关联方债权</w:t>
            </w:r>
          </w:p>
        </w:tc>
        <w:tc>
          <w:tcPr>
            <w:tcW w:w="99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right="35"/>
              <w:jc w:val="center"/>
              <w:rPr>
                <w:rFonts w:ascii="宋体" w:hAnsi="宋体" w:cs="宋体" w:eastAsia="宋体" w:hint="default"/>
                <w:sz w:val="18"/>
                <w:szCs w:val="18"/>
              </w:rPr>
            </w:pPr>
            <w:r>
              <w:rPr>
                <w:rFonts w:ascii="宋体" w:hAnsi="宋体" w:cs="宋体" w:eastAsia="宋体" w:hint="default"/>
                <w:sz w:val="18"/>
                <w:szCs w:val="18"/>
              </w:rPr>
              <w:t>个人借支款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4.08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4.08</w:t>
            </w:r>
          </w:p>
        </w:tc>
      </w:tr>
      <w:tr>
        <w:trPr>
          <w:trHeight w:val="403" w:hRule="exact"/>
        </w:trPr>
        <w:tc>
          <w:tcPr>
            <w:tcW w:w="17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梁晓芹</w:t>
            </w:r>
          </w:p>
        </w:tc>
        <w:tc>
          <w:tcPr>
            <w:tcW w:w="151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428" w:type="dxa"/>
            <w:tcBorders>
              <w:top w:val="single" w:sz="4" w:space="0" w:color="000000"/>
              <w:left w:val="single" w:sz="9" w:space="0" w:color="CCE8CC"/>
              <w:bottom w:val="single" w:sz="4" w:space="0" w:color="000000"/>
              <w:right w:val="single" w:sz="4" w:space="0" w:color="000000"/>
            </w:tcBorders>
          </w:tcPr>
          <w:p>
            <w:pPr>
              <w:pStyle w:val="TableParagraph"/>
              <w:spacing w:line="240" w:lineRule="auto" w:before="49"/>
              <w:ind w:right="121"/>
              <w:jc w:val="right"/>
              <w:rPr>
                <w:rFonts w:ascii="宋体" w:hAnsi="宋体" w:cs="宋体" w:eastAsia="宋体" w:hint="default"/>
                <w:sz w:val="18"/>
                <w:szCs w:val="18"/>
              </w:rPr>
            </w:pPr>
            <w:r>
              <w:rPr>
                <w:rFonts w:ascii="宋体" w:hAnsi="宋体" w:cs="宋体" w:eastAsia="宋体" w:hint="default"/>
                <w:sz w:val="18"/>
                <w:szCs w:val="18"/>
              </w:rPr>
              <w:t>应收关联方债权</w:t>
            </w:r>
          </w:p>
        </w:tc>
        <w:tc>
          <w:tcPr>
            <w:tcW w:w="99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35"/>
              <w:jc w:val="center"/>
              <w:rPr>
                <w:rFonts w:ascii="宋体" w:hAnsi="宋体" w:cs="宋体" w:eastAsia="宋体" w:hint="default"/>
                <w:sz w:val="18"/>
                <w:szCs w:val="18"/>
              </w:rPr>
            </w:pPr>
            <w:r>
              <w:rPr>
                <w:rFonts w:ascii="宋体" w:hAnsi="宋体" w:cs="宋体" w:eastAsia="宋体" w:hint="default"/>
                <w:sz w:val="18"/>
                <w:szCs w:val="18"/>
              </w:rPr>
              <w:t>个人借支款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880"/>
        </w:sectPr>
      </w:pPr>
    </w:p>
    <w:p>
      <w:pPr>
        <w:spacing w:line="240" w:lineRule="auto" w:before="11"/>
        <w:rPr>
          <w:rFonts w:ascii="宋体" w:hAnsi="宋体" w:cs="宋体" w:eastAsia="宋体" w:hint="default"/>
          <w:sz w:val="2"/>
          <w:szCs w:val="2"/>
        </w:rPr>
      </w:pPr>
    </w:p>
    <w:tbl>
      <w:tblPr>
        <w:tblW w:w="0" w:type="auto"/>
        <w:jc w:val="left"/>
        <w:tblInd w:w="389" w:type="dxa"/>
        <w:tblLayout w:type="fixed"/>
        <w:tblCellMar>
          <w:top w:w="0" w:type="dxa"/>
          <w:left w:w="0" w:type="dxa"/>
          <w:bottom w:w="0" w:type="dxa"/>
          <w:right w:w="0" w:type="dxa"/>
        </w:tblCellMar>
        <w:tblLook w:val="01E0"/>
      </w:tblPr>
      <w:tblGrid>
        <w:gridCol w:w="3261"/>
        <w:gridCol w:w="6309"/>
      </w:tblGrid>
      <w:tr>
        <w:trPr>
          <w:trHeight w:val="334" w:hRule="exact"/>
        </w:trPr>
        <w:tc>
          <w:tcPr>
            <w:tcW w:w="3261" w:type="dxa"/>
            <w:tcBorders>
              <w:top w:val="single" w:sz="6" w:space="0" w:color="000000"/>
              <w:left w:val="nil" w:sz="6" w:space="0" w:color="auto"/>
              <w:bottom w:val="single" w:sz="4" w:space="0" w:color="000000"/>
              <w:right w:val="nil" w:sz="6" w:space="0" w:color="auto"/>
            </w:tcBorders>
          </w:tcPr>
          <w:p>
            <w:pPr/>
          </w:p>
        </w:tc>
        <w:tc>
          <w:tcPr>
            <w:tcW w:w="6309" w:type="dxa"/>
            <w:tcBorders>
              <w:top w:val="single" w:sz="6" w:space="0" w:color="000000"/>
              <w:left w:val="nil" w:sz="6" w:space="0" w:color="auto"/>
              <w:bottom w:val="single" w:sz="4" w:space="0" w:color="000000"/>
              <w:right w:val="nil" w:sz="6" w:space="0" w:color="auto"/>
            </w:tcBorders>
          </w:tcPr>
          <w:p>
            <w:pPr/>
          </w:p>
        </w:tc>
      </w:tr>
      <w:tr>
        <w:trPr>
          <w:trHeight w:val="71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68"/>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关联债权债务对公司经营成果及财务状 况的影响</w:t>
            </w:r>
          </w:p>
        </w:tc>
        <w:tc>
          <w:tcPr>
            <w:tcW w:w="630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无影响</w:t>
            </w:r>
          </w:p>
        </w:tc>
      </w:tr>
    </w:tbl>
    <w:p>
      <w:pPr>
        <w:spacing w:line="240" w:lineRule="auto" w:before="2"/>
        <w:rPr>
          <w:rFonts w:ascii="宋体" w:hAnsi="宋体" w:cs="宋体" w:eastAsia="宋体" w:hint="default"/>
          <w:sz w:val="18"/>
          <w:szCs w:val="18"/>
        </w:rPr>
      </w:pPr>
    </w:p>
    <w:p>
      <w:pPr>
        <w:spacing w:line="506" w:lineRule="auto" w:before="26"/>
        <w:ind w:left="392" w:right="5954" w:firstLine="0"/>
        <w:jc w:val="left"/>
        <w:rPr>
          <w:rFonts w:ascii="宋体" w:hAnsi="宋体" w:cs="宋体" w:eastAsia="宋体" w:hint="default"/>
          <w:sz w:val="18"/>
          <w:szCs w:val="18"/>
        </w:rPr>
      </w:pPr>
      <w:r>
        <w:rPr>
          <w:rFonts w:ascii="宋体" w:hAnsi="宋体" w:cs="宋体" w:eastAsia="宋体" w:hint="default"/>
          <w:b/>
          <w:bCs/>
          <w:sz w:val="24"/>
          <w:szCs w:val="24"/>
        </w:rPr>
        <w:t>七、重大合同及其履行情况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b/>
          <w:bCs/>
          <w:w w:val="100"/>
          <w:sz w:val="21"/>
          <w:szCs w:val="21"/>
        </w:rPr>
        <w:t> </w:t>
      </w:r>
      <w:r>
        <w:rPr>
          <w:rFonts w:ascii="宋体" w:hAnsi="宋体" w:cs="宋体" w:eastAsia="宋体" w:hint="default"/>
          <w:sz w:val="18"/>
          <w:szCs w:val="18"/>
        </w:rPr>
        <w:t>本报告期内公司无托管、承包、租赁事项情况。</w:t>
      </w:r>
    </w:p>
    <w:p>
      <w:pPr>
        <w:pStyle w:val="Heading3"/>
        <w:spacing w:line="240" w:lineRule="auto" w:before="153"/>
        <w:ind w:left="392" w:right="5954"/>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1"/>
        <w:jc w:val="right"/>
      </w:pPr>
      <w:r>
        <w:rPr/>
        <w:t>单位：万元</w:t>
      </w:r>
    </w:p>
    <w:p>
      <w:pPr>
        <w:spacing w:line="240" w:lineRule="auto" w:before="4"/>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889"/>
        <w:gridCol w:w="935"/>
        <w:gridCol w:w="940"/>
        <w:gridCol w:w="1627"/>
        <w:gridCol w:w="764"/>
        <w:gridCol w:w="1093"/>
        <w:gridCol w:w="1013"/>
        <w:gridCol w:w="671"/>
        <w:gridCol w:w="924"/>
      </w:tblGrid>
      <w:tr>
        <w:trPr>
          <w:trHeight w:val="403" w:hRule="exact"/>
        </w:trPr>
        <w:tc>
          <w:tcPr>
            <w:tcW w:w="985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23"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7"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48" w:right="24" w:hanging="423"/>
              <w:jc w:val="left"/>
              <w:rPr>
                <w:rFonts w:ascii="宋体" w:hAnsi="宋体" w:cs="宋体" w:eastAsia="宋体" w:hint="default"/>
                <w:sz w:val="18"/>
                <w:szCs w:val="18"/>
              </w:rPr>
            </w:pPr>
            <w:r>
              <w:rPr>
                <w:rFonts w:ascii="宋体" w:hAnsi="宋体" w:cs="宋体" w:eastAsia="宋体" w:hint="default"/>
                <w:spacing w:val="-7"/>
                <w:sz w:val="18"/>
                <w:szCs w:val="18"/>
              </w:rPr>
              <w:t>实际发生日期（协议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签署日）</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06" w:right="107"/>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66" w:right="53"/>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8" w:right="94"/>
              <w:jc w:val="left"/>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240" w:lineRule="auto" w:before="20"/>
              <w:ind w:left="24" w:right="-10"/>
              <w:jc w:val="left"/>
              <w:rPr>
                <w:rFonts w:ascii="宋体" w:hAnsi="宋体" w:cs="宋体" w:eastAsia="宋体" w:hint="default"/>
                <w:sz w:val="18"/>
                <w:szCs w:val="18"/>
              </w:rPr>
            </w:pPr>
            <w:r>
              <w:rPr>
                <w:rFonts w:ascii="宋体" w:hAnsi="宋体" w:cs="宋体" w:eastAsia="宋体" w:hint="default"/>
                <w:sz w:val="18"/>
                <w:szCs w:val="18"/>
              </w:rPr>
              <w:t>（是或否）</w:t>
            </w:r>
          </w:p>
        </w:tc>
      </w:tr>
      <w:tr>
        <w:trPr>
          <w:trHeight w:val="402" w:hRule="exact"/>
        </w:trPr>
        <w:tc>
          <w:tcPr>
            <w:tcW w:w="985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3"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48" w:right="24" w:hanging="423"/>
              <w:jc w:val="left"/>
              <w:rPr>
                <w:rFonts w:ascii="宋体" w:hAnsi="宋体" w:cs="宋体" w:eastAsia="宋体" w:hint="default"/>
                <w:sz w:val="18"/>
                <w:szCs w:val="18"/>
              </w:rPr>
            </w:pPr>
            <w:r>
              <w:rPr>
                <w:rFonts w:ascii="宋体" w:hAnsi="宋体" w:cs="宋体" w:eastAsia="宋体" w:hint="default"/>
                <w:spacing w:val="-7"/>
                <w:sz w:val="18"/>
                <w:szCs w:val="18"/>
              </w:rPr>
              <w:t>实际发生日期（协议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签署日）</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06" w:right="107"/>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61" w:right="59"/>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8" w:right="94"/>
              <w:jc w:val="left"/>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240" w:lineRule="auto" w:before="20"/>
              <w:ind w:left="24" w:right="-10"/>
              <w:jc w:val="left"/>
              <w:rPr>
                <w:rFonts w:ascii="宋体" w:hAnsi="宋体" w:cs="宋体" w:eastAsia="宋体" w:hint="default"/>
                <w:sz w:val="18"/>
                <w:szCs w:val="18"/>
              </w:rPr>
            </w:pPr>
            <w:r>
              <w:rPr>
                <w:rFonts w:ascii="宋体" w:hAnsi="宋体" w:cs="宋体" w:eastAsia="宋体" w:hint="default"/>
                <w:sz w:val="18"/>
                <w:szCs w:val="18"/>
              </w:rPr>
              <w:t>（是或否）</w:t>
            </w:r>
          </w:p>
        </w:tc>
      </w:tr>
      <w:tr>
        <w:trPr>
          <w:trHeight w:val="718" w:hRule="exact"/>
        </w:trPr>
        <w:tc>
          <w:tcPr>
            <w:tcW w:w="18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3"/>
              <w:ind w:left="24" w:right="53"/>
              <w:jc w:val="left"/>
              <w:rPr>
                <w:rFonts w:ascii="宋体" w:hAnsi="宋体" w:cs="宋体" w:eastAsia="宋体" w:hint="default"/>
                <w:sz w:val="18"/>
                <w:szCs w:val="18"/>
              </w:rPr>
            </w:pPr>
            <w:r>
              <w:rPr>
                <w:rFonts w:ascii="宋体" w:hAnsi="宋体" w:cs="宋体" w:eastAsia="宋体" w:hint="default"/>
                <w:sz w:val="18"/>
                <w:szCs w:val="18"/>
              </w:rPr>
              <w:t>御银科技（香港）有限 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3,831.96</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6"/>
              <w:ind w:left="27" w:right="0"/>
              <w:jc w:val="left"/>
              <w:rPr>
                <w:rFonts w:ascii="Times New Roman" w:hAnsi="Times New Roman" w:cs="Times New Roman" w:eastAsia="Times New Roman" w:hint="default"/>
                <w:sz w:val="18"/>
                <w:szCs w:val="18"/>
              </w:rPr>
            </w:pPr>
            <w:r>
              <w:rPr>
                <w:rFonts w:ascii="Times New Roman"/>
                <w:sz w:val="18"/>
              </w:rPr>
              <w:t>2011.4.19-20</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12.3.29</w:t>
            </w:r>
          </w:p>
        </w:tc>
        <w:tc>
          <w:tcPr>
            <w:tcW w:w="671"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是</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8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御银科技（香港）有限 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2,936.07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3"/>
              <w:ind w:left="27" w:right="0"/>
              <w:jc w:val="left"/>
              <w:rPr>
                <w:rFonts w:ascii="Times New Roman" w:hAnsi="Times New Roman" w:cs="Times New Roman" w:eastAsia="Times New Roman" w:hint="default"/>
                <w:sz w:val="18"/>
                <w:szCs w:val="18"/>
              </w:rPr>
            </w:pPr>
            <w:r>
              <w:rPr>
                <w:rFonts w:ascii="Times New Roman"/>
                <w:sz w:val="18"/>
              </w:rPr>
              <w:t>2011.8.29-20</w:t>
            </w:r>
          </w:p>
          <w:p>
            <w:pPr>
              <w:pStyle w:val="TableParagraph"/>
              <w:spacing w:line="240" w:lineRule="auto" w:before="103"/>
              <w:ind w:left="27" w:right="0"/>
              <w:jc w:val="left"/>
              <w:rPr>
                <w:rFonts w:ascii="Times New Roman" w:hAnsi="Times New Roman" w:cs="Times New Roman" w:eastAsia="Times New Roman" w:hint="default"/>
                <w:sz w:val="18"/>
                <w:szCs w:val="18"/>
              </w:rPr>
            </w:pPr>
            <w:r>
              <w:rPr>
                <w:rFonts w:ascii="Times New Roman"/>
                <w:sz w:val="18"/>
              </w:rPr>
              <w:t>12.7.8</w:t>
            </w:r>
          </w:p>
        </w:tc>
        <w:tc>
          <w:tcPr>
            <w:tcW w:w="671"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是</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御银科技（香港）有限 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1,885.64</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2012.3.29-2</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013.3.28</w:t>
            </w:r>
          </w:p>
        </w:tc>
        <w:tc>
          <w:tcPr>
            <w:tcW w:w="671"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否</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广州御银自动柜员机技 术有限公司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4,045.23</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r>
              <w:rPr>
                <w:rFonts w:ascii="Times New Roman" w:hAnsi="Times New Roman" w:cs="Times New Roman" w:eastAsia="Times New Roman" w:hint="default"/>
                <w:sz w:val="18"/>
                <w:szCs w:val="18"/>
              </w:rPr>
              <w:t>;</w:t>
            </w:r>
            <w:r>
              <w:rPr>
                <w:rFonts w:ascii="宋体" w:hAnsi="宋体" w:cs="宋体" w:eastAsia="宋体" w:hint="default"/>
                <w:sz w:val="18"/>
                <w:szCs w:val="18"/>
              </w:rPr>
              <w:t>抵押</w:t>
            </w:r>
          </w:p>
        </w:tc>
        <w:tc>
          <w:tcPr>
            <w:tcW w:w="101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3"/>
              <w:ind w:left="27" w:right="0"/>
              <w:jc w:val="left"/>
              <w:rPr>
                <w:rFonts w:ascii="Times New Roman" w:hAnsi="Times New Roman" w:cs="Times New Roman" w:eastAsia="Times New Roman" w:hint="default"/>
                <w:sz w:val="18"/>
                <w:szCs w:val="18"/>
              </w:rPr>
            </w:pPr>
            <w:r>
              <w:rPr>
                <w:rFonts w:ascii="Times New Roman"/>
                <w:sz w:val="18"/>
              </w:rPr>
              <w:t>2012.10.25-</w:t>
            </w:r>
          </w:p>
          <w:p>
            <w:pPr>
              <w:pStyle w:val="TableParagraph"/>
              <w:spacing w:line="240" w:lineRule="auto" w:before="102"/>
              <w:ind w:left="27" w:right="0"/>
              <w:jc w:val="left"/>
              <w:rPr>
                <w:rFonts w:ascii="Times New Roman" w:hAnsi="Times New Roman" w:cs="Times New Roman" w:eastAsia="Times New Roman" w:hint="default"/>
                <w:sz w:val="18"/>
                <w:szCs w:val="18"/>
              </w:rPr>
            </w:pPr>
            <w:r>
              <w:rPr>
                <w:rFonts w:ascii="Times New Roman"/>
                <w:sz w:val="18"/>
              </w:rPr>
              <w:t>2017.10.17</w:t>
            </w:r>
          </w:p>
        </w:tc>
        <w:tc>
          <w:tcPr>
            <w:tcW w:w="671"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否</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8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 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566"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8,500</w:t>
            </w:r>
          </w:p>
        </w:tc>
        <w:tc>
          <w:tcPr>
            <w:tcW w:w="18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5"/>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12,698.9</w:t>
            </w:r>
          </w:p>
        </w:tc>
      </w:tr>
      <w:tr>
        <w:trPr>
          <w:trHeight w:val="719" w:hRule="exact"/>
        </w:trPr>
        <w:tc>
          <w:tcPr>
            <w:tcW w:w="28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9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 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566"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33,500</w:t>
            </w:r>
          </w:p>
        </w:tc>
        <w:tc>
          <w:tcPr>
            <w:tcW w:w="18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0" w:right="25"/>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5,930.87</w:t>
            </w:r>
          </w:p>
        </w:tc>
      </w:tr>
      <w:tr>
        <w:trPr>
          <w:trHeight w:val="396" w:hRule="exact"/>
        </w:trPr>
        <w:tc>
          <w:tcPr>
            <w:tcW w:w="985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6" w:hRule="exact"/>
        </w:trPr>
        <w:tc>
          <w:tcPr>
            <w:tcW w:w="28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566"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8,500</w:t>
            </w:r>
          </w:p>
        </w:tc>
        <w:tc>
          <w:tcPr>
            <w:tcW w:w="18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0" w:right="25"/>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12,698.9</w:t>
            </w:r>
          </w:p>
        </w:tc>
      </w:tr>
      <w:tr>
        <w:trPr>
          <w:trHeight w:val="714" w:hRule="exact"/>
        </w:trPr>
        <w:tc>
          <w:tcPr>
            <w:tcW w:w="28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566"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33,500</w:t>
            </w:r>
          </w:p>
        </w:tc>
        <w:tc>
          <w:tcPr>
            <w:tcW w:w="18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25"/>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5,930.87</w:t>
            </w:r>
          </w:p>
        </w:tc>
      </w:tr>
      <w:tr>
        <w:trPr>
          <w:trHeight w:val="407" w:hRule="exact"/>
        </w:trPr>
        <w:tc>
          <w:tcPr>
            <w:tcW w:w="53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466"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4.31%</w:t>
            </w:r>
          </w:p>
        </w:tc>
      </w:tr>
      <w:tr>
        <w:trPr>
          <w:trHeight w:val="397" w:hRule="exact"/>
        </w:trPr>
        <w:tc>
          <w:tcPr>
            <w:tcW w:w="985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after="0" w:line="240" w:lineRule="auto"/>
        <w:jc w:val="left"/>
        <w:rPr>
          <w:rFonts w:ascii="宋体" w:hAnsi="宋体" w:cs="宋体" w:eastAsia="宋体" w:hint="default"/>
          <w:sz w:val="18"/>
          <w:szCs w:val="18"/>
        </w:rPr>
        <w:sectPr>
          <w:pgSz w:w="11910" w:h="16840"/>
          <w:pgMar w:header="745" w:footer="980" w:top="1060" w:bottom="1160" w:left="740" w:right="1020"/>
        </w:sectPr>
      </w:pPr>
    </w:p>
    <w:p>
      <w:pPr>
        <w:spacing w:line="240" w:lineRule="auto" w:before="11"/>
        <w:rPr>
          <w:rFonts w:ascii="宋体" w:hAnsi="宋体" w:cs="宋体" w:eastAsia="宋体" w:hint="default"/>
          <w:sz w:val="2"/>
          <w:szCs w:val="2"/>
        </w:rPr>
      </w:pPr>
    </w:p>
    <w:p>
      <w:pPr>
        <w:spacing w:line="20" w:lineRule="exact"/>
        <w:ind w:left="35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5814"/>
        <w:gridCol w:w="4043"/>
      </w:tblGrid>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814"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的被担保对象提供的债务担保金额（</w:t>
            </w:r>
            <w:r>
              <w:rPr>
                <w:rFonts w:ascii="Times New Roman" w:hAnsi="Times New Roman" w:cs="Times New Roman" w:eastAsia="Times New Roman" w:hint="default"/>
                <w:spacing w:val="-3"/>
                <w:sz w:val="18"/>
                <w:szCs w:val="18"/>
              </w:rPr>
              <w:t>D</w:t>
            </w:r>
          </w:p>
        </w:tc>
        <w:tc>
          <w:tcPr>
            <w:tcW w:w="404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04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404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left="392" w:right="0"/>
        <w:jc w:val="left"/>
        <w:rPr>
          <w:b w:val="0"/>
          <w:bCs w:val="0"/>
        </w:rPr>
      </w:pPr>
      <w:r>
        <w:rPr/>
        <w:pict>
          <v:shape style="position:absolute;margin-left:327.429993pt;margin-top:-113.040337pt;width:206.6pt;height:19.6pt;mso-position-horizontal-relative:page;mso-position-vertical-relative:paragraph;z-index:-830848" type="#_x0000_t202" filled="false" stroked="false">
            <v:textbox inset="0,0,0,0">
              <w:txbxContent>
                <w:p>
                  <w:pPr>
                    <w:pStyle w:val="BodyText"/>
                    <w:spacing w:line="240" w:lineRule="auto" w:before="49"/>
                    <w:ind w:left="0" w:right="0"/>
                    <w:jc w:val="left"/>
                  </w:pPr>
                  <w:r>
                    <w:rPr/>
                    <w:t>）</w:t>
                  </w:r>
                </w:p>
              </w:txbxContent>
            </v:textbox>
            <w10:wrap type="none"/>
          </v:shape>
        </w:pict>
      </w:r>
      <w:r>
        <w:rPr/>
        <w:pict>
          <v:shape style="position:absolute;margin-left:275.690002pt;margin-top:57.029663pt;width:91.6pt;height:22.05pt;mso-position-horizontal-relative:page;mso-position-vertical-relative:paragraph;z-index:-830776" type="#_x0000_t202" filled="false" stroked="false">
            <v:textbox inset="0,0,0,0">
              <w:txbxContent>
                <w:p>
                  <w:pPr>
                    <w:spacing w:line="240" w:lineRule="auto" w:before="9"/>
                    <w:rPr>
                      <w:rFonts w:ascii="宋体" w:hAnsi="宋体" w:cs="宋体" w:eastAsia="宋体" w:hint="default"/>
                      <w:b/>
                      <w:bCs/>
                      <w:sz w:val="15"/>
                      <w:szCs w:val="15"/>
                    </w:rPr>
                  </w:pPr>
                </w:p>
                <w:p>
                  <w:pPr>
                    <w:pStyle w:val="BodyText"/>
                    <w:spacing w:line="240" w:lineRule="auto"/>
                    <w:ind w:left="0" w:right="0"/>
                    <w:jc w:val="left"/>
                  </w:pPr>
                  <w:r>
                    <w:rPr/>
                    <w:t>日（如有）</w:t>
                  </w:r>
                </w:p>
              </w:txbxContent>
            </v:textbox>
            <w10:wrap type="none"/>
          </v:shape>
        </w:pict>
      </w:r>
      <w:r>
        <w:rPr/>
        <w:pict>
          <v:group style="position:absolute;margin-left:334.630005pt;margin-top:-113.040337pt;width:199.4pt;height:19.6pt;mso-position-horizontal-relative:page;mso-position-vertical-relative:paragraph;z-index:-830752" coordorigin="6693,-2261" coordsize="3988,392">
            <v:shape style="position:absolute;left:6693;top:-2261;width:3988;height:392" coordorigin="6693,-2261" coordsize="3988,392" path="m6693,-1869l10680,-1869,10680,-2261,6693,-2261,6693,-1869xe" filled="true" fillcolor="#ffffff" stroked="false">
              <v:path arrowok="t"/>
              <v:fill type="solid"/>
            </v:shape>
            <w10:wrap type="none"/>
          </v:group>
        </w:pict>
      </w:r>
      <w:r>
        <w:rPr>
          <w:rFonts w:ascii="Times New Roman" w:hAnsi="Times New Roman" w:cs="Times New Roman" w:eastAsia="Times New Roman" w:hint="default"/>
        </w:rPr>
        <w:t>3</w:t>
      </w:r>
      <w:r>
        <w:rPr/>
        <w:t>、其他重大合同</w:t>
      </w:r>
      <w:r>
        <w:rPr>
          <w:b w:val="0"/>
          <w:bCs w:val="0"/>
        </w:rPr>
      </w:r>
    </w:p>
    <w:p>
      <w:pPr>
        <w:spacing w:line="240" w:lineRule="auto" w:before="9"/>
        <w:rPr>
          <w:rFonts w:ascii="宋体" w:hAnsi="宋体" w:cs="宋体" w:eastAsia="宋体" w:hint="default"/>
          <w:b/>
          <w:bCs/>
          <w:sz w:val="25"/>
          <w:szCs w:val="25"/>
        </w:rPr>
      </w:pPr>
    </w:p>
    <w:tbl>
      <w:tblPr>
        <w:tblW w:w="0" w:type="auto"/>
        <w:jc w:val="left"/>
        <w:tblInd w:w="104" w:type="dxa"/>
        <w:tblLayout w:type="fixed"/>
        <w:tblCellMar>
          <w:top w:w="0" w:type="dxa"/>
          <w:left w:w="0" w:type="dxa"/>
          <w:bottom w:w="0" w:type="dxa"/>
          <w:right w:w="0" w:type="dxa"/>
        </w:tblCellMar>
        <w:tblLook w:val="01E0"/>
      </w:tblPr>
      <w:tblGrid>
        <w:gridCol w:w="1155"/>
        <w:gridCol w:w="869"/>
        <w:gridCol w:w="872"/>
        <w:gridCol w:w="869"/>
        <w:gridCol w:w="871"/>
        <w:gridCol w:w="867"/>
        <w:gridCol w:w="1020"/>
        <w:gridCol w:w="718"/>
        <w:gridCol w:w="869"/>
        <w:gridCol w:w="871"/>
        <w:gridCol w:w="869"/>
      </w:tblGrid>
      <w:tr>
        <w:trPr>
          <w:trHeight w:val="1333" w:hRule="exact"/>
        </w:trPr>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302" w:right="32" w:hanging="272"/>
              <w:jc w:val="left"/>
              <w:rPr>
                <w:rFonts w:ascii="宋体" w:hAnsi="宋体" w:cs="宋体" w:eastAsia="宋体" w:hint="default"/>
                <w:sz w:val="18"/>
                <w:szCs w:val="18"/>
              </w:rPr>
            </w:pPr>
            <w:r>
              <w:rPr>
                <w:rFonts w:ascii="宋体" w:hAnsi="宋体" w:cs="宋体" w:eastAsia="宋体" w:hint="default"/>
                <w:sz w:val="18"/>
                <w:szCs w:val="18"/>
              </w:rPr>
              <w:t>合同订立公司 方名称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firstLine="45"/>
              <w:jc w:val="both"/>
              <w:rPr>
                <w:rFonts w:ascii="宋体" w:hAnsi="宋体" w:cs="宋体" w:eastAsia="宋体" w:hint="default"/>
                <w:sz w:val="18"/>
                <w:szCs w:val="18"/>
              </w:rPr>
            </w:pPr>
            <w:r>
              <w:rPr>
                <w:rFonts w:ascii="宋体" w:hAnsi="宋体" w:cs="宋体" w:eastAsia="宋体" w:hint="default"/>
                <w:sz w:val="18"/>
                <w:szCs w:val="18"/>
              </w:rPr>
              <w:t>合同涉及 资产的账 </w:t>
            </w:r>
            <w:r>
              <w:rPr>
                <w:rFonts w:ascii="宋体" w:hAnsi="宋体" w:cs="宋体" w:eastAsia="宋体" w:hint="default"/>
                <w:spacing w:val="-18"/>
                <w:sz w:val="18"/>
                <w:szCs w:val="18"/>
              </w:rPr>
              <w:t>面价值（万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9" w:firstLine="45"/>
              <w:jc w:val="both"/>
              <w:rPr>
                <w:rFonts w:ascii="宋体" w:hAnsi="宋体" w:cs="宋体" w:eastAsia="宋体" w:hint="default"/>
                <w:sz w:val="18"/>
                <w:szCs w:val="18"/>
              </w:rPr>
            </w:pPr>
            <w:r>
              <w:rPr>
                <w:rFonts w:ascii="宋体" w:hAnsi="宋体" w:cs="宋体" w:eastAsia="宋体" w:hint="default"/>
                <w:sz w:val="18"/>
                <w:szCs w:val="18"/>
              </w:rPr>
              <w:t>合同涉及 资产的评 </w:t>
            </w:r>
            <w:r>
              <w:rPr>
                <w:rFonts w:ascii="宋体" w:hAnsi="宋体" w:cs="宋体" w:eastAsia="宋体" w:hint="default"/>
                <w:spacing w:val="-18"/>
                <w:sz w:val="18"/>
                <w:szCs w:val="18"/>
              </w:rPr>
              <w:t>估价值（万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69" w:right="71"/>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评估基准</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83" w:right="8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250" w:right="68" w:hanging="181"/>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r>
        <w:trPr>
          <w:trHeight w:val="720" w:hRule="exact"/>
        </w:trPr>
        <w:tc>
          <w:tcPr>
            <w:tcW w:w="115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3"/>
              <w:ind w:left="24" w:right="39"/>
              <w:jc w:val="left"/>
              <w:rPr>
                <w:rFonts w:ascii="宋体" w:hAnsi="宋体" w:cs="宋体" w:eastAsia="宋体" w:hint="default"/>
                <w:sz w:val="18"/>
                <w:szCs w:val="18"/>
              </w:rPr>
            </w:pPr>
            <w:r>
              <w:rPr>
                <w:rFonts w:ascii="宋体" w:hAnsi="宋体" w:cs="宋体" w:eastAsia="宋体" w:hint="default"/>
                <w:sz w:val="18"/>
                <w:szCs w:val="18"/>
              </w:rPr>
              <w:t>广州御银科技 股份有限公司</w:t>
            </w:r>
          </w:p>
        </w:tc>
        <w:tc>
          <w:tcPr>
            <w:tcW w:w="86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3"/>
              <w:ind w:left="23" w:right="113"/>
              <w:jc w:val="left"/>
              <w:rPr>
                <w:rFonts w:ascii="宋体" w:hAnsi="宋体" w:cs="宋体" w:eastAsia="宋体" w:hint="default"/>
                <w:sz w:val="18"/>
                <w:szCs w:val="18"/>
              </w:rPr>
            </w:pPr>
            <w:r>
              <w:rPr>
                <w:rFonts w:ascii="宋体" w:hAnsi="宋体" w:cs="宋体" w:eastAsia="宋体" w:hint="default"/>
                <w:sz w:val="18"/>
                <w:szCs w:val="18"/>
              </w:rPr>
              <w:t>中国邮政 集团公司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02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3"/>
              <w:ind w:left="23" w:right="84"/>
              <w:jc w:val="left"/>
              <w:rPr>
                <w:rFonts w:ascii="宋体" w:hAnsi="宋体" w:cs="宋体" w:eastAsia="宋体" w:hint="default"/>
                <w:sz w:val="18"/>
                <w:szCs w:val="18"/>
              </w:rPr>
            </w:pPr>
            <w:r>
              <w:rPr>
                <w:rFonts w:ascii="宋体" w:hAnsi="宋体" w:cs="宋体" w:eastAsia="宋体" w:hint="default"/>
                <w:sz w:val="18"/>
                <w:szCs w:val="18"/>
              </w:rPr>
              <w:t>依市场公允 价格定价</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11,528.4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line="240" w:lineRule="auto" w:before="1"/>
        <w:rPr>
          <w:rFonts w:ascii="宋体" w:hAnsi="宋体" w:cs="宋体" w:eastAsia="宋体" w:hint="default"/>
          <w:b/>
          <w:bCs/>
          <w:sz w:val="18"/>
          <w:szCs w:val="18"/>
        </w:rPr>
      </w:pPr>
    </w:p>
    <w:p>
      <w:pPr>
        <w:pStyle w:val="Heading2"/>
        <w:spacing w:line="240" w:lineRule="auto" w:before="26"/>
        <w:ind w:left="392" w:right="0"/>
        <w:jc w:val="left"/>
        <w:rPr>
          <w:b w:val="0"/>
          <w:bCs w:val="0"/>
        </w:rPr>
      </w:pPr>
      <w:r>
        <w:rPr/>
        <w:pict>
          <v:shape style="position:absolute;margin-left:154.216995pt;margin-top:-65.564377pt;width:75.2pt;height:17.55pt;mso-position-horizontal-relative:page;mso-position-vertical-relative:paragraph;z-index:-830824" type="#_x0000_t202" filled="false" stroked="false">
            <v:textbox inset="0,0,0,0">
              <w:txbxContent>
                <w:p>
                  <w:pPr>
                    <w:pStyle w:val="BodyText"/>
                    <w:spacing w:line="240" w:lineRule="auto" w:before="8"/>
                    <w:ind w:left="0" w:right="0"/>
                    <w:jc w:val="left"/>
                  </w:pPr>
                  <w:r>
                    <w:rPr/>
                    <w:t>（如有）</w:t>
                  </w:r>
                </w:p>
              </w:txbxContent>
            </v:textbox>
            <w10:wrap type="none"/>
          </v:shape>
        </w:pict>
      </w:r>
      <w:r>
        <w:rPr/>
        <w:pict>
          <v:shape style="position:absolute;margin-left:197.807007pt;margin-top:-73.36438pt;width:75.05pt;height:20pt;mso-position-horizontal-relative:page;mso-position-vertical-relative:paragraph;z-index:-830800" type="#_x0000_t202" filled="false" stroked="false">
            <v:textbox inset="0,0,0,0">
              <w:txbxContent>
                <w:p>
                  <w:pPr>
                    <w:spacing w:line="240" w:lineRule="auto" w:before="7"/>
                    <w:rPr>
                      <w:rFonts w:ascii="宋体" w:hAnsi="宋体" w:cs="宋体" w:eastAsia="宋体" w:hint="default"/>
                      <w:b/>
                      <w:bCs/>
                      <w:sz w:val="12"/>
                      <w:szCs w:val="12"/>
                    </w:rPr>
                  </w:pPr>
                </w:p>
                <w:p>
                  <w:pPr>
                    <w:pStyle w:val="BodyText"/>
                    <w:spacing w:line="240" w:lineRule="auto"/>
                    <w:ind w:left="0" w:right="0"/>
                    <w:jc w:val="left"/>
                  </w:pPr>
                  <w:r>
                    <w:rPr/>
                    <w:t>（如有）</w:t>
                  </w:r>
                </w:p>
              </w:txbxContent>
            </v:textbox>
            <w10:wrap type="none"/>
          </v:shape>
        </w:pict>
      </w:r>
      <w:r>
        <w:rPr/>
        <w:t>八、承诺事项履行情况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392" w:right="0"/>
        <w:jc w:val="left"/>
        <w:rPr>
          <w:b w:val="0"/>
          <w:bCs w:val="0"/>
        </w:rPr>
      </w:pPr>
      <w:r>
        <w:rPr>
          <w:rFonts w:ascii="Times New Roman" w:hAnsi="Times New Roman" w:cs="Times New Roman" w:eastAsia="Times New Roman" w:hint="default"/>
        </w:rPr>
        <w:t>1</w:t>
      </w:r>
      <w:r>
        <w:rPr/>
        <w:t>、公司或持股</w:t>
      </w:r>
      <w:r>
        <w:rPr>
          <w:spacing w:val="-53"/>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04" w:type="dxa"/>
        <w:tblLayout w:type="fixed"/>
        <w:tblCellMar>
          <w:top w:w="0" w:type="dxa"/>
          <w:left w:w="0" w:type="dxa"/>
          <w:bottom w:w="0" w:type="dxa"/>
          <w:right w:w="0" w:type="dxa"/>
        </w:tblCellMar>
        <w:tblLook w:val="01E0"/>
      </w:tblPr>
      <w:tblGrid>
        <w:gridCol w:w="2837"/>
        <w:gridCol w:w="1276"/>
        <w:gridCol w:w="2127"/>
        <w:gridCol w:w="1069"/>
        <w:gridCol w:w="1276"/>
        <w:gridCol w:w="1270"/>
      </w:tblGrid>
      <w:tr>
        <w:trPr>
          <w:trHeight w:val="396"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承诺方</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8"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2127"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1270"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71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2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2127"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1270"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2127"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1270"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71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控股股东杨文 江</w:t>
            </w:r>
          </w:p>
        </w:tc>
        <w:tc>
          <w:tcPr>
            <w:tcW w:w="212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避免同业竞争</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至从发行人离 任后三年期间</w:t>
            </w:r>
          </w:p>
        </w:tc>
        <w:tc>
          <w:tcPr>
            <w:tcW w:w="127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0"/>
              <w:jc w:val="center"/>
              <w:rPr>
                <w:rFonts w:ascii="宋体" w:hAnsi="宋体" w:cs="宋体" w:eastAsia="宋体" w:hint="default"/>
                <w:sz w:val="18"/>
                <w:szCs w:val="18"/>
              </w:rPr>
            </w:pPr>
            <w:r>
              <w:rPr>
                <w:rFonts w:ascii="宋体" w:hAnsi="宋体" w:cs="宋体" w:eastAsia="宋体" w:hint="default"/>
                <w:sz w:val="18"/>
                <w:szCs w:val="18"/>
              </w:rPr>
              <w:t>按照承诺履行</w:t>
            </w:r>
          </w:p>
        </w:tc>
      </w:tr>
      <w:tr>
        <w:trPr>
          <w:trHeight w:val="1651"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22"/>
              <w:jc w:val="left"/>
              <w:rPr>
                <w:rFonts w:ascii="宋体" w:hAnsi="宋体" w:cs="宋体" w:eastAsia="宋体" w:hint="default"/>
                <w:sz w:val="18"/>
                <w:szCs w:val="18"/>
              </w:rPr>
            </w:pPr>
            <w:r>
              <w:rPr>
                <w:rFonts w:ascii="宋体" w:hAnsi="宋体" w:cs="宋体" w:eastAsia="宋体" w:hint="default"/>
                <w:sz w:val="18"/>
                <w:szCs w:val="18"/>
              </w:rPr>
              <w:t>公司董事、监 </w:t>
            </w:r>
            <w:r>
              <w:rPr>
                <w:rFonts w:ascii="宋体" w:hAnsi="宋体" w:cs="宋体" w:eastAsia="宋体" w:hint="default"/>
                <w:spacing w:val="-6"/>
                <w:sz w:val="18"/>
                <w:szCs w:val="18"/>
              </w:rPr>
              <w:t>事、高级管理人</w:t>
            </w:r>
            <w:r>
              <w:rPr>
                <w:rFonts w:ascii="宋体" w:hAnsi="宋体" w:cs="宋体" w:eastAsia="宋体" w:hint="default"/>
                <w:sz w:val="18"/>
                <w:szCs w:val="18"/>
              </w:rPr>
              <w:t> 员</w:t>
            </w:r>
          </w:p>
        </w:tc>
        <w:tc>
          <w:tcPr>
            <w:tcW w:w="212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2" w:lineRule="auto" w:before="51"/>
              <w:ind w:left="24" w:right="17"/>
              <w:jc w:val="left"/>
              <w:rPr>
                <w:rFonts w:ascii="宋体" w:hAnsi="宋体" w:cs="宋体" w:eastAsia="宋体" w:hint="default"/>
                <w:sz w:val="18"/>
                <w:szCs w:val="18"/>
              </w:rPr>
            </w:pPr>
            <w:r>
              <w:rPr>
                <w:rFonts w:ascii="宋体" w:hAnsi="宋体" w:cs="宋体" w:eastAsia="宋体" w:hint="default"/>
                <w:spacing w:val="-8"/>
                <w:sz w:val="18"/>
                <w:szCs w:val="18"/>
              </w:rPr>
              <w:t>在所持股份解除限售后，每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年转让的股份将不超过所 持有发行人股份总数的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，离职半年后，不转让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其所持有的发行人股份</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161"/>
              <w:jc w:val="both"/>
              <w:rPr>
                <w:rFonts w:ascii="宋体" w:hAnsi="宋体" w:cs="宋体" w:eastAsia="宋体" w:hint="default"/>
                <w:sz w:val="18"/>
                <w:szCs w:val="18"/>
              </w:rPr>
            </w:pPr>
            <w:r>
              <w:rPr>
                <w:rFonts w:ascii="宋体" w:hAnsi="宋体" w:cs="宋体" w:eastAsia="宋体" w:hint="default"/>
                <w:sz w:val="18"/>
                <w:szCs w:val="18"/>
              </w:rPr>
              <w:t>锁定股份解禁 后及公司持续 经营期限内</w:t>
            </w:r>
          </w:p>
        </w:tc>
        <w:tc>
          <w:tcPr>
            <w:tcW w:w="127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3" w:right="154"/>
              <w:jc w:val="both"/>
              <w:rPr>
                <w:rFonts w:ascii="宋体" w:hAnsi="宋体" w:cs="宋体" w:eastAsia="宋体" w:hint="default"/>
                <w:sz w:val="18"/>
                <w:szCs w:val="18"/>
              </w:rPr>
            </w:pPr>
            <w:r>
              <w:rPr>
                <w:rFonts w:ascii="宋体" w:hAnsi="宋体" w:cs="宋体" w:eastAsia="宋体" w:hint="default"/>
                <w:sz w:val="18"/>
                <w:szCs w:val="18"/>
              </w:rPr>
              <w:t>报告期内未有 违反上述承诺 的事项发生</w:t>
            </w:r>
          </w:p>
        </w:tc>
      </w:tr>
      <w:tr>
        <w:trPr>
          <w:trHeight w:val="402" w:hRule="exact"/>
        </w:trPr>
        <w:tc>
          <w:tcPr>
            <w:tcW w:w="41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57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1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5742" w:type="dxa"/>
            <w:gridSpan w:val="4"/>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1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是否就导致的同业竞争和关联交易问题作出承诺</w:t>
            </w:r>
          </w:p>
        </w:tc>
        <w:tc>
          <w:tcPr>
            <w:tcW w:w="57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1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5742" w:type="dxa"/>
            <w:gridSpan w:val="4"/>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1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5742" w:type="dxa"/>
            <w:gridSpan w:val="4"/>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1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5742" w:type="dxa"/>
            <w:gridSpan w:val="4"/>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严格遵守承诺</w:t>
            </w:r>
          </w:p>
        </w:tc>
      </w:tr>
    </w:tbl>
    <w:p>
      <w:pPr>
        <w:spacing w:after="0" w:line="240" w:lineRule="auto"/>
        <w:jc w:val="left"/>
        <w:rPr>
          <w:rFonts w:ascii="宋体" w:hAnsi="宋体" w:cs="宋体" w:eastAsia="宋体" w:hint="default"/>
          <w:sz w:val="18"/>
          <w:szCs w:val="18"/>
        </w:rPr>
        <w:sectPr>
          <w:pgSz w:w="11910" w:h="16840"/>
          <w:pgMar w:header="745" w:footer="980" w:top="1060" w:bottom="1160" w:left="74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144"/>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4"/>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shd w:val="clear" w:color="auto" w:fill="CCE8CC"/>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shd w:val="clear" w:color="auto" w:fill="CCE8CC"/>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陈雄溢、漆江燕</w:t>
            </w:r>
          </w:p>
        </w:tc>
      </w:tr>
    </w:tbl>
    <w:p>
      <w:pPr>
        <w:pStyle w:val="BodyText"/>
        <w:spacing w:line="240" w:lineRule="auto" w:before="49"/>
        <w:ind w:right="144"/>
        <w:jc w:val="left"/>
      </w:pPr>
      <w:r>
        <w:rPr/>
        <w:t>当期是否改聘会计师事务所</w:t>
      </w:r>
    </w:p>
    <w:p>
      <w:pPr>
        <w:pStyle w:val="BodyText"/>
        <w:spacing w:line="338" w:lineRule="auto" w:before="117"/>
        <w:ind w:right="5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3"/>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4"/>
        <w:jc w:val="left"/>
        <w:rPr>
          <w:b w:val="0"/>
          <w:bCs w:val="0"/>
        </w:rPr>
      </w:pPr>
      <w:r>
        <w:rPr/>
        <w:t>十、监事会、独立董事（如适用）对会计师事务所本报告期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4"/>
        <w:jc w:val="left"/>
        <w:rPr>
          <w:b w:val="0"/>
          <w:bCs w:val="0"/>
        </w:rPr>
      </w:pPr>
      <w:r>
        <w:rPr/>
        <w:t>十一、处罚及整改情况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4"/>
        <w:jc w:val="left"/>
      </w:pPr>
      <w:r>
        <w:rPr/>
        <w:t>报告期内，不存在处罚及整改情况</w:t>
      </w:r>
    </w:p>
    <w:p>
      <w:pPr>
        <w:pStyle w:val="BodyText"/>
        <w:spacing w:line="240" w:lineRule="auto" w:before="117"/>
        <w:ind w:right="144"/>
        <w:jc w:val="left"/>
      </w:pPr>
      <w:r>
        <w:rPr/>
        <w:t>董事、监事、高级管理人员、持股</w:t>
      </w:r>
      <w:r>
        <w:rPr>
          <w:spacing w:val="-45"/>
        </w:rPr>
        <w:t> </w:t>
      </w:r>
      <w:r>
        <w:rPr>
          <w:rFonts w:ascii="Times New Roman" w:hAnsi="Times New Roman" w:cs="Times New Roman" w:eastAsia="Times New Roman" w:hint="default"/>
        </w:rPr>
        <w:t>5%</w:t>
      </w:r>
      <w:r>
        <w:rPr/>
        <w:t>以上的股东涉嫌违规买卖公司股票且公司已披露将收回涉嫌违规所得收益的情况</w:t>
      </w:r>
    </w:p>
    <w:p>
      <w:pPr>
        <w:pStyle w:val="BodyText"/>
        <w:spacing w:line="240" w:lineRule="auto" w:before="101"/>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4"/>
        <w:jc w:val="left"/>
        <w:rPr>
          <w:b w:val="0"/>
          <w:bCs w:val="0"/>
        </w:rPr>
      </w:pPr>
      <w:r>
        <w:rPr/>
        <w:t>十二、年度报告披露后面临暂停上市和终止上市情况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4"/>
        <w:jc w:val="left"/>
        <w:rPr>
          <w:b w:val="0"/>
          <w:bCs w:val="0"/>
        </w:rPr>
      </w:pPr>
      <w:r>
        <w:rPr/>
        <w:t>十三、其他重大事项的说明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144"/>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、因</w:t>
      </w:r>
      <w:r>
        <w:rPr>
          <w:rFonts w:ascii="Times New Roman" w:hAnsi="Times New Roman" w:cs="Times New Roman" w:eastAsia="Times New Roman" w:hint="default"/>
        </w:rPr>
        <w:t>2011</w:t>
      </w:r>
      <w:r>
        <w:rPr/>
        <w:t>年度资本公积金转增股本事宜，公司于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日召开</w:t>
      </w:r>
      <w:r>
        <w:rPr>
          <w:rFonts w:ascii="Times New Roman" w:hAnsi="Times New Roman" w:cs="Times New Roman" w:eastAsia="Times New Roman" w:hint="default"/>
        </w:rPr>
        <w:t>2011</w:t>
      </w:r>
      <w:r>
        <w:rPr/>
        <w:t>年度股东大会，会议审议通过了《关于修订</w:t>
      </w:r>
      <w:r>
        <w:rPr>
          <w:rFonts w:ascii="Times New Roman" w:hAnsi="Times New Roman" w:cs="Times New Roman" w:eastAsia="Times New Roman" w:hint="default"/>
        </w:rPr>
        <w:t>&lt;</w:t>
      </w:r>
    </w:p>
    <w:p>
      <w:pPr>
        <w:pStyle w:val="BodyText"/>
        <w:spacing w:line="240" w:lineRule="auto" w:before="63"/>
        <w:ind w:right="144"/>
        <w:jc w:val="left"/>
      </w:pPr>
      <w:r>
        <w:rPr/>
        <w:t>公司章程</w:t>
      </w:r>
      <w:r>
        <w:rPr>
          <w:rFonts w:ascii="Times New Roman" w:hAnsi="Times New Roman" w:cs="Times New Roman" w:eastAsia="Times New Roman" w:hint="default"/>
        </w:rPr>
        <w:t>&gt;</w:t>
      </w:r>
      <w:r>
        <w:rPr/>
        <w:t>的议案》，根据审议结果，对《公司章程》中的注册资本相关条款进行修订并办理工商变更。</w:t>
      </w:r>
    </w:p>
    <w:p>
      <w:pPr>
        <w:pStyle w:val="BodyText"/>
        <w:spacing w:line="240" w:lineRule="auto" w:before="63"/>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、因建立公司的分红制度，公司于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日召开了</w:t>
      </w:r>
      <w:r>
        <w:rPr>
          <w:rFonts w:ascii="Times New Roman" w:hAnsi="Times New Roman" w:cs="Times New Roman" w:eastAsia="Times New Roman" w:hint="default"/>
        </w:rPr>
        <w:t>2012</w:t>
      </w:r>
      <w:r>
        <w:rPr/>
        <w:t>年第一次临时股东大会，会议审议并通过了《关于修订</w:t>
      </w:r>
      <w:r>
        <w:rPr>
          <w:rFonts w:ascii="Times New Roman" w:hAnsi="Times New Roman" w:cs="Times New Roman" w:eastAsia="Times New Roman" w:hint="default"/>
        </w:rPr>
        <w:t>&lt;</w:t>
      </w:r>
    </w:p>
    <w:p>
      <w:pPr>
        <w:pStyle w:val="BodyText"/>
        <w:spacing w:line="240" w:lineRule="auto" w:before="63"/>
        <w:ind w:right="144"/>
        <w:jc w:val="left"/>
      </w:pPr>
      <w:r>
        <w:rPr/>
        <w:t>公司章程</w:t>
      </w:r>
      <w:r>
        <w:rPr>
          <w:rFonts w:ascii="Times New Roman" w:hAnsi="Times New Roman" w:cs="Times New Roman" w:eastAsia="Times New Roman" w:hint="default"/>
        </w:rPr>
        <w:t>&gt;</w:t>
      </w:r>
      <w:r>
        <w:rPr>
          <w:rFonts w:ascii="Times New Roman" w:hAnsi="Times New Roman" w:cs="Times New Roman" w:eastAsia="Times New Roman" w:hint="default"/>
          <w:spacing w:val="26"/>
        </w:rPr>
        <w:t> </w:t>
      </w:r>
      <w:r>
        <w:rPr/>
        <w:t>的议案》，根据审议结果，对《公司章程》有关公司利润分配的相应条款进行了修改。</w:t>
      </w:r>
    </w:p>
    <w:p>
      <w:pPr>
        <w:pStyle w:val="BodyText"/>
        <w:spacing w:line="240" w:lineRule="auto" w:before="63"/>
        <w:ind w:left="513" w:right="0"/>
        <w:jc w:val="left"/>
      </w:pPr>
      <w:r>
        <w:rPr>
          <w:rFonts w:ascii="Times New Roman" w:hAnsi="Times New Roman" w:cs="Times New Roman" w:eastAsia="Times New Roman" w:hint="default"/>
        </w:rPr>
        <w:t>3</w:t>
      </w:r>
      <w:r>
        <w:rPr/>
        <w:t>、公司董事王志杰先生因个人原因辞职，公司于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日召开</w:t>
      </w:r>
      <w:r>
        <w:rPr>
          <w:rFonts w:ascii="Times New Roman" w:hAnsi="Times New Roman" w:cs="Times New Roman" w:eastAsia="Times New Roman" w:hint="default"/>
        </w:rPr>
        <w:t>2012</w:t>
      </w:r>
      <w:r>
        <w:rPr/>
        <w:t>年第二次临时股东大会，会议审议并通过了</w:t>
      </w:r>
    </w:p>
    <w:p>
      <w:pPr>
        <w:pStyle w:val="BodyText"/>
        <w:spacing w:line="300" w:lineRule="auto" w:before="63"/>
        <w:ind w:right="140"/>
        <w:jc w:val="left"/>
      </w:pPr>
      <w:r>
        <w:rPr/>
        <w:t>《关于修订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rFonts w:ascii="Times New Roman" w:hAnsi="Times New Roman" w:cs="Times New Roman" w:eastAsia="Times New Roman" w:hint="default"/>
          <w:spacing w:val="26"/>
        </w:rPr>
        <w:t> </w:t>
      </w:r>
      <w:r>
        <w:rPr/>
        <w:t>的议案》及《关于增补徐印州先生为第四届董事会独立董事的议案》，根据审议结果，对《公司章 程》有关公司董事会人员组成的相应条款进行了修改。</w:t>
      </w:r>
    </w:p>
    <w:p>
      <w:pPr>
        <w:spacing w:line="240" w:lineRule="auto" w:before="11"/>
        <w:rPr>
          <w:rFonts w:ascii="宋体" w:hAnsi="宋体" w:cs="宋体" w:eastAsia="宋体" w:hint="default"/>
          <w:sz w:val="21"/>
          <w:szCs w:val="21"/>
        </w:rPr>
      </w:pPr>
    </w:p>
    <w:p>
      <w:pPr>
        <w:pStyle w:val="Heading2"/>
        <w:spacing w:line="240" w:lineRule="auto"/>
        <w:ind w:right="144"/>
        <w:jc w:val="left"/>
        <w:rPr>
          <w:b w:val="0"/>
          <w:bCs w:val="0"/>
        </w:rPr>
      </w:pPr>
      <w:r>
        <w:rPr/>
        <w:t>十四、公司子公司重要事项</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50"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23</w:t>
      </w:r>
      <w:r>
        <w:rPr>
          <w:spacing w:val="-2"/>
        </w:rPr>
        <w:t>日，公司第四届董事会第二次会议审议通过了《关于全资子公司广州御银自动柜员机技术有限公司增资</w:t>
      </w:r>
      <w:r>
        <w:rPr/>
        <w:t> 的议案》，通过公司全资子公司广州御新以现金出资方式对御银自动柜员机增资</w:t>
      </w:r>
      <w:r>
        <w:rPr>
          <w:rFonts w:ascii="Times New Roman" w:hAnsi="Times New Roman" w:cs="Times New Roman" w:eastAsia="Times New Roman" w:hint="default"/>
        </w:rPr>
        <w:t>3,000</w:t>
      </w:r>
      <w:r>
        <w:rPr/>
        <w:t>万元。本次增资完成后，御银自动柜</w:t>
      </w:r>
      <w:r>
        <w:rPr>
          <w:spacing w:val="-40"/>
        </w:rPr>
        <w:t> </w:t>
      </w:r>
      <w:r>
        <w:rPr>
          <w:spacing w:val="-40"/>
        </w:rPr>
      </w:r>
      <w:r>
        <w:rPr>
          <w:spacing w:val="-2"/>
        </w:rPr>
        <w:t>员机的注册资本由原来的人民币</w:t>
      </w:r>
      <w:r>
        <w:rPr>
          <w:rFonts w:ascii="Times New Roman" w:hAnsi="Times New Roman" w:cs="Times New Roman" w:eastAsia="Times New Roman" w:hint="default"/>
          <w:spacing w:val="-2"/>
        </w:rPr>
        <w:t>2,000</w:t>
      </w:r>
      <w:r>
        <w:rPr>
          <w:spacing w:val="-2"/>
        </w:rPr>
        <w:t>万元变更为人民币</w:t>
      </w:r>
      <w:r>
        <w:rPr>
          <w:rFonts w:ascii="Times New Roman" w:hAnsi="Times New Roman" w:cs="Times New Roman" w:eastAsia="Times New Roman" w:hint="default"/>
          <w:spacing w:val="-2"/>
        </w:rPr>
        <w:t>5,000</w:t>
      </w:r>
      <w:r>
        <w:rPr>
          <w:spacing w:val="-2"/>
        </w:rPr>
        <w:t>万元，并于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29</w:t>
      </w:r>
      <w:r>
        <w:rPr>
          <w:spacing w:val="-2"/>
        </w:rPr>
        <w:t>日完成注册资本变更登记。详见刊登于</w:t>
      </w:r>
      <w:r>
        <w:rPr>
          <w:spacing w:val="-54"/>
        </w:rPr>
        <w:t> </w:t>
      </w:r>
      <w:r>
        <w:rPr>
          <w:spacing w:val="-54"/>
        </w:rPr>
      </w:r>
      <w:r>
        <w:rPr>
          <w:spacing w:val="5"/>
        </w:rPr>
        <w:t>巨潮资讯网</w:t>
      </w:r>
      <w:hyperlink r:id="rId13">
        <w:r>
          <w:rPr>
            <w:rFonts w:ascii="Times New Roman" w:hAnsi="Times New Roman" w:cs="Times New Roman" w:eastAsia="Times New Roman" w:hint="default"/>
            <w:spacing w:val="5"/>
          </w:rPr>
          <w:t>http://www.cninfo.com.cn</w:t>
        </w:r>
        <w:r>
          <w:rPr>
            <w:spacing w:val="5"/>
          </w:rPr>
          <w:t>的</w:t>
        </w:r>
      </w:hyperlink>
      <w:r>
        <w:rPr>
          <w:spacing w:val="5"/>
        </w:rPr>
        <w:t>《关于全资子公司广州御银自动柜员机技术有限公司增资的公告》（公告编号：</w:t>
      </w:r>
      <w:r>
        <w:rPr>
          <w:spacing w:val="-75"/>
        </w:rPr>
        <w:t> </w:t>
      </w:r>
      <w:r>
        <w:rPr>
          <w:spacing w:val="-75"/>
        </w:rPr>
      </w:r>
      <w:r>
        <w:rPr>
          <w:rFonts w:ascii="Times New Roman" w:hAnsi="Times New Roman" w:cs="Times New Roman" w:eastAsia="Times New Roman" w:hint="default"/>
        </w:rPr>
        <w:t>2012-038</w:t>
      </w:r>
      <w:r>
        <w:rPr/>
        <w:t>）。</w:t>
      </w:r>
    </w:p>
    <w:p>
      <w:pPr>
        <w:spacing w:after="0" w:line="300" w:lineRule="auto"/>
        <w:jc w:val="both"/>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150"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spacing w:val="-2"/>
        </w:rPr>
        <w:t>日，公司第四届董事会第四次会议审议通过了《关于同意广州御银科技股份有限公司向招商银行股份有</w:t>
      </w:r>
      <w:r>
        <w:rPr/>
        <w:t> </w:t>
      </w:r>
      <w:r>
        <w:rPr>
          <w:spacing w:val="-3"/>
          <w:w w:val="100"/>
        </w:rPr>
        <w:t>限公司深圳松岗支行申请综合授信额度的议案》</w:t>
      </w:r>
      <w:r>
        <w:rPr>
          <w:rFonts w:ascii="Times New Roman" w:hAnsi="Times New Roman" w:cs="Times New Roman" w:eastAsia="Times New Roman" w:hint="default"/>
          <w:spacing w:val="-3"/>
          <w:w w:val="100"/>
        </w:rPr>
        <w:t>,</w:t>
      </w:r>
      <w:r>
        <w:rPr>
          <w:spacing w:val="-3"/>
          <w:w w:val="100"/>
        </w:rPr>
        <w:t>贷款金额为不超过</w:t>
      </w:r>
      <w:r>
        <w:rPr>
          <w:rFonts w:ascii="Times New Roman" w:hAnsi="Times New Roman" w:cs="Times New Roman" w:eastAsia="Times New Roman" w:hint="default"/>
          <w:spacing w:val="-3"/>
          <w:w w:val="100"/>
        </w:rPr>
        <w:t>8,500</w:t>
      </w:r>
      <w:r>
        <w:rPr>
          <w:spacing w:val="-3"/>
          <w:w w:val="100"/>
        </w:rPr>
        <w:t>万元固定资产贷款，贷款仅限用于</w:t>
      </w:r>
      <w:r>
        <w:rPr>
          <w:rFonts w:ascii="Times New Roman" w:hAnsi="Times New Roman" w:cs="Times New Roman" w:eastAsia="Times New Roman" w:hint="default"/>
          <w:spacing w:val="-3"/>
          <w:w w:val="100"/>
        </w:rPr>
        <w:t>“</w:t>
      </w:r>
      <w:r>
        <w:rPr>
          <w:spacing w:val="-3"/>
          <w:w w:val="100"/>
        </w:rPr>
        <w:t>柜员机产能扩充</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spacing w:val="-23"/>
          <w:w w:val="100"/>
        </w:rPr>
        <w:t> </w:t>
      </w:r>
      <w:r>
        <w:rPr/>
        <w:t>项目建设。详见刊登于巨潮资讯网</w:t>
      </w:r>
      <w:hyperlink r:id="rId13">
        <w:r>
          <w:rPr>
            <w:rFonts w:ascii="Times New Roman" w:hAnsi="Times New Roman" w:cs="Times New Roman" w:eastAsia="Times New Roman" w:hint="default"/>
          </w:rPr>
          <w:t>http://www.cninfo.com.cn</w:t>
        </w:r>
        <w:r>
          <w:rPr/>
          <w:t>的</w:t>
        </w:r>
      </w:hyperlink>
      <w:r>
        <w:rPr/>
        <w:t>《关于为其控股子公司向中国工商银行股份有限公司广州工业</w:t>
      </w:r>
      <w:r>
        <w:rPr/>
        <w:t> 大道支行申请固定资产贷款提供担保的公告》（公告编号：</w:t>
      </w:r>
      <w:r>
        <w:rPr>
          <w:rFonts w:ascii="Times New Roman" w:hAnsi="Times New Roman" w:cs="Times New Roman" w:eastAsia="Times New Roman" w:hint="default"/>
        </w:rPr>
        <w:t>2012-047</w:t>
      </w:r>
      <w:r>
        <w:rPr/>
        <w:t>）。</w:t>
      </w:r>
    </w:p>
    <w:p>
      <w:pPr>
        <w:spacing w:line="240" w:lineRule="auto" w:before="5"/>
        <w:rPr>
          <w:rFonts w:ascii="宋体" w:hAnsi="宋体" w:cs="宋体" w:eastAsia="宋体" w:hint="default"/>
          <w:sz w:val="20"/>
          <w:szCs w:val="20"/>
        </w:rPr>
      </w:pPr>
    </w:p>
    <w:p>
      <w:pPr>
        <w:pStyle w:val="Heading2"/>
        <w:spacing w:line="240" w:lineRule="auto"/>
        <w:ind w:right="144"/>
        <w:jc w:val="left"/>
        <w:rPr>
          <w:b w:val="0"/>
          <w:bCs w:val="0"/>
        </w:rPr>
      </w:pPr>
      <w:r>
        <w:rPr/>
        <w:t>十五、公司发行公司债券的情况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4"/>
        <w:jc w:val="left"/>
      </w:pPr>
      <w:r>
        <w:rPr/>
        <w:t>本报告期内无发行公司债券的情况。</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85"/>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85"/>
        <w:jc w:val="left"/>
        <w:rPr>
          <w:b w:val="0"/>
          <w:bCs w:val="0"/>
        </w:rPr>
      </w:pPr>
      <w:r>
        <w:rPr/>
        <w:t>一、股份变动情况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679"/>
        <w:gridCol w:w="1005"/>
        <w:gridCol w:w="708"/>
        <w:gridCol w:w="850"/>
        <w:gridCol w:w="567"/>
        <w:gridCol w:w="994"/>
        <w:gridCol w:w="991"/>
        <w:gridCol w:w="994"/>
        <w:gridCol w:w="991"/>
        <w:gridCol w:w="776"/>
      </w:tblGrid>
      <w:tr>
        <w:trPr>
          <w:trHeight w:val="206"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0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95"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0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6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4"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1713" w:type="dxa"/>
            <w:gridSpan w:val="2"/>
            <w:vMerge/>
            <w:tcBorders>
              <w:left w:val="single" w:sz="4" w:space="0" w:color="000000"/>
              <w:bottom w:val="single" w:sz="4" w:space="0" w:color="000000"/>
              <w:right w:val="single" w:sz="4" w:space="0" w:color="000000"/>
            </w:tcBorders>
            <w:shd w:val="clear" w:color="auto" w:fill="D2D2D2"/>
          </w:tcPr>
          <w:p>
            <w:pPr/>
          </w:p>
        </w:tc>
        <w:tc>
          <w:tcPr>
            <w:tcW w:w="4395" w:type="dxa"/>
            <w:gridSpan w:val="5"/>
            <w:vMerge/>
            <w:tcBorders>
              <w:left w:val="single" w:sz="4" w:space="0" w:color="000000"/>
              <w:bottom w:val="single" w:sz="4" w:space="0" w:color="000000"/>
              <w:right w:val="single" w:sz="4" w:space="0" w:color="000000"/>
            </w:tcBorders>
            <w:shd w:val="clear" w:color="auto" w:fill="D2D2D2"/>
          </w:tcPr>
          <w:p>
            <w:pPr/>
          </w:p>
        </w:tc>
        <w:tc>
          <w:tcPr>
            <w:tcW w:w="176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679" w:type="dxa"/>
            <w:vMerge/>
            <w:tcBorders>
              <w:left w:val="single" w:sz="4" w:space="0" w:color="000000"/>
              <w:bottom w:val="nil" w:sz="6" w:space="0" w:color="auto"/>
              <w:right w:val="single" w:sz="4" w:space="0" w:color="000000"/>
            </w:tcBorders>
            <w:shd w:val="clear" w:color="auto" w:fill="D2D2D2"/>
          </w:tcPr>
          <w:p>
            <w:pPr/>
          </w:p>
        </w:tc>
        <w:tc>
          <w:tcPr>
            <w:tcW w:w="10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6" w:hRule="exact"/>
        </w:trPr>
        <w:tc>
          <w:tcPr>
            <w:tcW w:w="1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5"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77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139,332,678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40.45%</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center"/>
              <w:rPr>
                <w:rFonts w:ascii="Times New Roman" w:hAnsi="Times New Roman" w:cs="Times New Roman" w:eastAsia="Times New Roman" w:hint="default"/>
                <w:sz w:val="18"/>
                <w:szCs w:val="18"/>
              </w:rPr>
            </w:pPr>
            <w:r>
              <w:rPr>
                <w:rFonts w:ascii="Times New Roman"/>
                <w:sz w:val="18"/>
              </w:rPr>
              <w:t>88,964,544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-12,478,300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center"/>
              <w:rPr>
                <w:rFonts w:ascii="Times New Roman" w:hAnsi="Times New Roman" w:cs="Times New Roman" w:eastAsia="Times New Roman" w:hint="default"/>
                <w:sz w:val="18"/>
                <w:szCs w:val="18"/>
              </w:rPr>
            </w:pPr>
            <w:r>
              <w:rPr>
                <w:rFonts w:ascii="Times New Roman"/>
                <w:sz w:val="18"/>
              </w:rPr>
              <w:t>76,486,244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215,818,922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36.86%</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139,332,678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40.45%</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center"/>
              <w:rPr>
                <w:rFonts w:ascii="Times New Roman" w:hAnsi="Times New Roman" w:cs="Times New Roman" w:eastAsia="Times New Roman" w:hint="default"/>
                <w:sz w:val="18"/>
                <w:szCs w:val="18"/>
              </w:rPr>
            </w:pPr>
            <w:r>
              <w:rPr>
                <w:rFonts w:ascii="Times New Roman"/>
                <w:sz w:val="18"/>
              </w:rPr>
              <w:t>88,964,544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-12,478,300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center"/>
              <w:rPr>
                <w:rFonts w:ascii="Times New Roman" w:hAnsi="Times New Roman" w:cs="Times New Roman" w:eastAsia="Times New Roman" w:hint="default"/>
                <w:sz w:val="18"/>
                <w:szCs w:val="18"/>
              </w:rPr>
            </w:pPr>
            <w:r>
              <w:rPr>
                <w:rFonts w:ascii="Times New Roman"/>
                <w:sz w:val="18"/>
              </w:rPr>
              <w:t>76,486,244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215,818,922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36.86%</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205,097,772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59.55%</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152,136,771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12,478,300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164,615,071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369,712,843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63.14%</w:t>
            </w:r>
          </w:p>
        </w:tc>
      </w:tr>
      <w:tr>
        <w:trPr>
          <w:trHeight w:val="404"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205,097,772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59.55%</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152,136,771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12,478,300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164,615,071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369,712,843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63.14%</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344,430,450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241,101,315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241,101,315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585,531,765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185"/>
        <w:jc w:val="left"/>
      </w:pPr>
      <w:r>
        <w:rPr/>
        <w:t>股份变动的原因</w:t>
      </w:r>
    </w:p>
    <w:p>
      <w:pPr>
        <w:pStyle w:val="BodyText"/>
        <w:spacing w:line="319" w:lineRule="auto" w:before="117"/>
        <w:ind w:right="274" w:firstLine="36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日，公司完成权益分派，以</w:t>
      </w:r>
      <w:r>
        <w:rPr>
          <w:rFonts w:ascii="Times New Roman" w:hAnsi="Times New Roman" w:cs="Times New Roman" w:eastAsia="Times New Roman" w:hint="default"/>
        </w:rPr>
        <w:t>2011</w:t>
      </w:r>
      <w:r>
        <w:rPr/>
        <w:t>年末总股本</w:t>
      </w:r>
      <w:r>
        <w:rPr>
          <w:rFonts w:ascii="Times New Roman" w:hAnsi="Times New Roman" w:cs="Times New Roman" w:eastAsia="Times New Roman" w:hint="default"/>
        </w:rPr>
        <w:t>34,443.045</w:t>
      </w:r>
      <w:r>
        <w:rPr/>
        <w:t>万股为基础，用资本公积金向全体股东每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 </w:t>
      </w:r>
      <w:r>
        <w:rPr/>
        <w:t>股，同时，每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0.50</w:t>
      </w:r>
      <w:r>
        <w:rPr/>
        <w:t>元（含税），送转完成后，公司总股本增至</w:t>
      </w:r>
      <w:r>
        <w:rPr>
          <w:rFonts w:ascii="Times New Roman" w:hAnsi="Times New Roman" w:cs="Times New Roman" w:eastAsia="Times New Roman" w:hint="default"/>
        </w:rPr>
        <w:t>58,553.18</w:t>
      </w:r>
      <w:r>
        <w:rPr/>
        <w:t>万股。 股份变动的批准情况</w:t>
      </w:r>
    </w:p>
    <w:p>
      <w:pPr>
        <w:pStyle w:val="BodyText"/>
        <w:spacing w:line="240" w:lineRule="auto" w:before="55"/>
        <w:ind w:right="1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0" w:firstLine="360"/>
        <w:jc w:val="left"/>
      </w:pP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2</w:t>
      </w:r>
      <w:r>
        <w:rPr>
          <w:spacing w:val="-5"/>
        </w:rPr>
        <w:t>月</w:t>
      </w:r>
      <w:r>
        <w:rPr>
          <w:rFonts w:ascii="Times New Roman" w:hAnsi="Times New Roman" w:cs="Times New Roman" w:eastAsia="Times New Roman" w:hint="default"/>
          <w:spacing w:val="-5"/>
        </w:rPr>
        <w:t>16</w:t>
      </w:r>
      <w:r>
        <w:rPr>
          <w:spacing w:val="-5"/>
        </w:rPr>
        <w:t>日，公司第三届董事会第三十次会议审议通过了《公司</w:t>
      </w:r>
      <w:r>
        <w:rPr>
          <w:rFonts w:ascii="Times New Roman" w:hAnsi="Times New Roman" w:cs="Times New Roman" w:eastAsia="Times New Roman" w:hint="default"/>
          <w:spacing w:val="-5"/>
        </w:rPr>
        <w:t>2011</w:t>
      </w:r>
      <w:r>
        <w:rPr>
          <w:spacing w:val="-5"/>
        </w:rPr>
        <w:t>年度利润分配及资本公积转增股份预案的议案》，</w:t>
      </w:r>
      <w:r>
        <w:rPr/>
        <w:t> 该议案后经于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日召开的公司</w:t>
      </w:r>
      <w:r>
        <w:rPr>
          <w:rFonts w:ascii="Times New Roman" w:hAnsi="Times New Roman" w:cs="Times New Roman" w:eastAsia="Times New Roman" w:hint="default"/>
        </w:rPr>
        <w:t>2011</w:t>
      </w:r>
      <w:r>
        <w:rPr/>
        <w:t>年年度股东大会审议通过，具体内容详见</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日刊登在《证券时报》、</w:t>
      </w:r>
    </w:p>
    <w:p>
      <w:pPr>
        <w:pStyle w:val="BodyText"/>
        <w:spacing w:line="340" w:lineRule="auto" w:before="13"/>
        <w:ind w:right="99"/>
        <w:jc w:val="left"/>
      </w:pPr>
      <w:r>
        <w:rPr>
          <w:spacing w:val="-1"/>
        </w:rPr>
        <w:t>《中国证券报》、《上海证券报》和巨潮资讯网（</w:t>
      </w:r>
      <w:hyperlink r:id="rId12">
        <w:r>
          <w:rPr>
            <w:rFonts w:ascii="Times New Roman" w:hAnsi="Times New Roman" w:cs="Times New Roman" w:eastAsia="Times New Roman" w:hint="default"/>
            <w:spacing w:val="-1"/>
          </w:rPr>
          <w:t>http://www.cninfo.com.cn</w:t>
        </w:r>
      </w:hyperlink>
      <w:r>
        <w:rPr>
          <w:spacing w:val="-1"/>
        </w:rPr>
        <w:t>）的</w:t>
      </w:r>
      <w:r>
        <w:rPr>
          <w:rFonts w:ascii="Times New Roman" w:hAnsi="Times New Roman" w:cs="Times New Roman" w:eastAsia="Times New Roman" w:hint="default"/>
          <w:spacing w:val="-1"/>
        </w:rPr>
        <w:t>2012-015</w:t>
      </w:r>
      <w:r>
        <w:rPr>
          <w:spacing w:val="-1"/>
        </w:rPr>
        <w:t>号《</w:t>
      </w:r>
      <w:r>
        <w:rPr>
          <w:rFonts w:ascii="Times New Roman" w:hAnsi="Times New Roman" w:cs="Times New Roman" w:eastAsia="Times New Roman" w:hint="default"/>
          <w:spacing w:val="-1"/>
        </w:rPr>
        <w:t>2011</w:t>
      </w:r>
      <w:r>
        <w:rPr>
          <w:spacing w:val="-1"/>
        </w:rPr>
        <w:t>年度权益分派实施公告》。</w:t>
      </w:r>
      <w:r>
        <w:rPr/>
        <w:t> 股份变动的过户情况</w:t>
      </w:r>
    </w:p>
    <w:p>
      <w:pPr>
        <w:pStyle w:val="BodyText"/>
        <w:spacing w:line="319" w:lineRule="auto" w:before="39"/>
        <w:ind w:right="185" w:firstLine="360"/>
        <w:jc w:val="left"/>
      </w:pPr>
      <w:r>
        <w:rPr>
          <w:spacing w:val="-2"/>
        </w:rPr>
        <w:t>目前，公司已在广东省工商行政管理局办理完毕变更登记手续和《公司章程》的备案，并取得了广东省工商行政管理局</w:t>
      </w:r>
      <w:r>
        <w:rPr/>
        <w:t> 换发的《企业法人营业执照》。注册号码为</w:t>
      </w:r>
      <w:r>
        <w:rPr>
          <w:rFonts w:ascii="Times New Roman" w:hAnsi="Times New Roman" w:cs="Times New Roman" w:eastAsia="Times New Roman" w:hint="default"/>
        </w:rPr>
        <w:t>440101000034373,</w:t>
      </w:r>
      <w:r>
        <w:rPr/>
        <w:t>注册资本和实收资本均由人民币</w:t>
      </w:r>
      <w:r>
        <w:rPr>
          <w:rFonts w:ascii="Times New Roman" w:hAnsi="Times New Roman" w:cs="Times New Roman" w:eastAsia="Times New Roman" w:hint="default"/>
        </w:rPr>
        <w:t>344,430,450</w:t>
      </w:r>
      <w:r>
        <w:rPr/>
        <w:t>元变更为人民币 </w:t>
      </w:r>
      <w:r>
        <w:rPr>
          <w:rFonts w:ascii="Times New Roman" w:hAnsi="Times New Roman" w:cs="Times New Roman" w:eastAsia="Times New Roman" w:hint="default"/>
        </w:rPr>
        <w:t>585,531,765</w:t>
      </w:r>
      <w:r>
        <w:rPr/>
        <w:t>元。其他登记事项不变。 股份变动对最近一年和最近一期基本每股收益和稀释每股收益、归属于公司普通股股东的每股净资产等财务指标的影响</w:t>
      </w:r>
    </w:p>
    <w:p>
      <w:pPr>
        <w:pStyle w:val="BodyText"/>
        <w:spacing w:line="340" w:lineRule="auto" w:before="55"/>
        <w:ind w:left="513" w:right="988"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公司实施</w:t>
      </w:r>
      <w:r>
        <w:rPr>
          <w:rFonts w:ascii="Times New Roman" w:hAnsi="Times New Roman" w:cs="Times New Roman" w:eastAsia="Times New Roman" w:hint="default"/>
        </w:rPr>
        <w:t>2011</w:t>
      </w:r>
      <w:r>
        <w:rPr/>
        <w:t>年度利润分配方案后，按新股本</w:t>
      </w:r>
      <w:r>
        <w:rPr>
          <w:rFonts w:ascii="Times New Roman" w:hAnsi="Times New Roman" w:cs="Times New Roman" w:eastAsia="Times New Roman" w:hint="default"/>
        </w:rPr>
        <w:t>585,531,765</w:t>
      </w:r>
      <w:r>
        <w:rPr/>
        <w:t>股摊薄计算，</w:t>
      </w:r>
      <w:r>
        <w:rPr>
          <w:rFonts w:ascii="Times New Roman" w:hAnsi="Times New Roman" w:cs="Times New Roman" w:eastAsia="Times New Roman" w:hint="default"/>
        </w:rPr>
        <w:t>2011</w:t>
      </w:r>
      <w:r>
        <w:rPr/>
        <w:t>年度公司每股收益为</w:t>
      </w:r>
      <w:r>
        <w:rPr>
          <w:rFonts w:ascii="Times New Roman" w:hAnsi="Times New Roman" w:cs="Times New Roman" w:eastAsia="Times New Roman" w:hint="default"/>
        </w:rPr>
        <w:t>0.31</w:t>
      </w:r>
      <w:r>
        <w:rPr/>
        <w:t>元</w:t>
      </w:r>
      <w:r>
        <w:rPr>
          <w:rFonts w:ascii="Times New Roman" w:hAnsi="Times New Roman" w:cs="Times New Roman" w:eastAsia="Times New Roman" w:hint="default"/>
        </w:rPr>
        <w:t>/</w:t>
      </w:r>
      <w:r>
        <w:rPr/>
        <w:t>股。</w:t>
      </w:r>
    </w:p>
    <w:p>
      <w:pPr>
        <w:pStyle w:val="BodyText"/>
        <w:spacing w:line="357" w:lineRule="auto" w:before="20"/>
        <w:ind w:left="513" w:right="5854" w:hanging="361"/>
        <w:jc w:val="left"/>
      </w:pPr>
      <w:r>
        <w:rPr/>
        <w:t>公司认为必要或证券监管机构要求披露的其他内容 无</w:t>
      </w:r>
    </w:p>
    <w:p>
      <w:pPr>
        <w:spacing w:line="240" w:lineRule="auto" w:before="7"/>
        <w:rPr>
          <w:rFonts w:ascii="宋体" w:hAnsi="宋体" w:cs="宋体" w:eastAsia="宋体" w:hint="default"/>
          <w:sz w:val="18"/>
          <w:szCs w:val="18"/>
        </w:rPr>
      </w:pPr>
    </w:p>
    <w:p>
      <w:pPr>
        <w:pStyle w:val="Heading2"/>
        <w:spacing w:line="240" w:lineRule="auto"/>
        <w:ind w:right="185"/>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85"/>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85"/>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9"/>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日，公司</w:t>
      </w:r>
      <w:r>
        <w:rPr>
          <w:rFonts w:ascii="Times New Roman" w:hAnsi="Times New Roman" w:cs="Times New Roman" w:eastAsia="Times New Roman" w:hint="default"/>
        </w:rPr>
        <w:t>2011</w:t>
      </w:r>
      <w:r>
        <w:rPr/>
        <w:t>年年度股东大会审议通过了</w:t>
      </w:r>
      <w:r>
        <w:rPr>
          <w:rFonts w:ascii="Times New Roman" w:hAnsi="Times New Roman" w:cs="Times New Roman" w:eastAsia="Times New Roman" w:hint="default"/>
        </w:rPr>
        <w:t>2011</w:t>
      </w:r>
      <w:r>
        <w:rPr/>
        <w:t>年度权益分派方案，以总股本</w:t>
      </w:r>
      <w:r>
        <w:rPr>
          <w:rFonts w:ascii="Times New Roman" w:hAnsi="Times New Roman" w:cs="Times New Roman" w:eastAsia="Times New Roman" w:hint="default"/>
        </w:rPr>
        <w:t>34,443.045</w:t>
      </w:r>
      <w:r>
        <w:rPr/>
        <w:t>万股为基础，用资本</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44"/>
        <w:jc w:val="left"/>
      </w:pPr>
      <w:r>
        <w:rPr>
          <w:spacing w:val="-5"/>
        </w:rPr>
        <w:t>公积金向全体股东每</w:t>
      </w:r>
      <w:r>
        <w:rPr>
          <w:rFonts w:ascii="Times New Roman" w:hAnsi="Times New Roman" w:cs="Times New Roman" w:eastAsia="Times New Roman" w:hint="default"/>
          <w:spacing w:val="-5"/>
        </w:rPr>
        <w:t>10</w:t>
      </w:r>
      <w:r>
        <w:rPr>
          <w:spacing w:val="-5"/>
        </w:rPr>
        <w:t>股转增</w:t>
      </w:r>
      <w:r>
        <w:rPr>
          <w:rFonts w:ascii="Times New Roman" w:hAnsi="Times New Roman" w:cs="Times New Roman" w:eastAsia="Times New Roman" w:hint="default"/>
          <w:spacing w:val="-5"/>
        </w:rPr>
        <w:t>7</w:t>
      </w:r>
      <w:r>
        <w:rPr>
          <w:spacing w:val="-5"/>
        </w:rPr>
        <w:t>股，同时，每</w:t>
      </w:r>
      <w:r>
        <w:rPr>
          <w:rFonts w:ascii="Times New Roman" w:hAnsi="Times New Roman" w:cs="Times New Roman" w:eastAsia="Times New Roman" w:hint="default"/>
          <w:spacing w:val="-5"/>
        </w:rPr>
        <w:t>10</w:t>
      </w:r>
      <w:r>
        <w:rPr>
          <w:spacing w:val="-5"/>
        </w:rPr>
        <w:t>股派发现金股利人民币</w:t>
      </w:r>
      <w:r>
        <w:rPr>
          <w:rFonts w:ascii="Times New Roman" w:hAnsi="Times New Roman" w:cs="Times New Roman" w:eastAsia="Times New Roman" w:hint="default"/>
          <w:spacing w:val="-5"/>
        </w:rPr>
        <w:t>0.50</w:t>
      </w:r>
      <w:r>
        <w:rPr>
          <w:spacing w:val="-5"/>
        </w:rPr>
        <w:t>元（含税），送转完成后，公司总股本由</w:t>
      </w:r>
      <w:r>
        <w:rPr>
          <w:rFonts w:ascii="Times New Roman" w:hAnsi="Times New Roman" w:cs="Times New Roman" w:eastAsia="Times New Roman" w:hint="default"/>
          <w:spacing w:val="-5"/>
        </w:rPr>
        <w:t>344,430,450</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t>股增至</w:t>
      </w:r>
      <w:r>
        <w:rPr>
          <w:rFonts w:ascii="Times New Roman" w:hAnsi="Times New Roman" w:cs="Times New Roman" w:eastAsia="Times New Roman" w:hint="default"/>
        </w:rPr>
        <w:t>585,531,765</w:t>
      </w:r>
      <w:r>
        <w:rPr/>
        <w:t>股，该权益分派方案已于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日实施完毕。公司股东结构、资产和负债结构均未发生变动。</w:t>
      </w:r>
    </w:p>
    <w:p>
      <w:pPr>
        <w:spacing w:line="240" w:lineRule="auto" w:before="5"/>
        <w:rPr>
          <w:rFonts w:ascii="宋体" w:hAnsi="宋体" w:cs="宋体" w:eastAsia="宋体" w:hint="default"/>
          <w:sz w:val="20"/>
          <w:szCs w:val="20"/>
        </w:rPr>
      </w:pPr>
    </w:p>
    <w:p>
      <w:pPr>
        <w:pStyle w:val="Heading2"/>
        <w:spacing w:line="240" w:lineRule="auto"/>
        <w:ind w:right="144"/>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4"/>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850"/>
        <w:gridCol w:w="166"/>
        <w:gridCol w:w="545"/>
        <w:gridCol w:w="847"/>
        <w:gridCol w:w="144"/>
        <w:gridCol w:w="992"/>
        <w:gridCol w:w="1277"/>
        <w:gridCol w:w="1419"/>
        <w:gridCol w:w="250"/>
        <w:gridCol w:w="600"/>
        <w:gridCol w:w="780"/>
      </w:tblGrid>
      <w:tr>
        <w:trPr>
          <w:trHeight w:val="406" w:hRule="exact"/>
        </w:trPr>
        <w:tc>
          <w:tcPr>
            <w:tcW w:w="2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92"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left="842" w:right="0"/>
              <w:jc w:val="left"/>
              <w:rPr>
                <w:rFonts w:ascii="Times New Roman" w:hAnsi="Times New Roman" w:cs="Times New Roman" w:eastAsia="Times New Roman" w:hint="default"/>
                <w:sz w:val="18"/>
                <w:szCs w:val="18"/>
              </w:rPr>
            </w:pPr>
            <w:r>
              <w:rPr>
                <w:rFonts w:ascii="Times New Roman"/>
                <w:sz w:val="18"/>
              </w:rPr>
              <w:t>45,799</w:t>
            </w:r>
          </w:p>
        </w:tc>
        <w:tc>
          <w:tcPr>
            <w:tcW w:w="40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2" w:right="0"/>
              <w:jc w:val="left"/>
              <w:rPr>
                <w:rFonts w:ascii="Times New Roman" w:hAnsi="Times New Roman" w:cs="Times New Roman" w:eastAsia="Times New Roman" w:hint="default"/>
                <w:sz w:val="18"/>
                <w:szCs w:val="18"/>
              </w:rPr>
            </w:pPr>
            <w:r>
              <w:rPr>
                <w:rFonts w:ascii="Times New Roman"/>
                <w:sz w:val="18"/>
              </w:rPr>
              <w:t>44,686</w:t>
            </w:r>
          </w:p>
        </w:tc>
      </w:tr>
      <w:tr>
        <w:trPr>
          <w:trHeight w:val="394"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211"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23" w:right="-13" w:firstLine="55"/>
              <w:jc w:val="left"/>
              <w:rPr>
                <w:rFonts w:ascii="宋体" w:hAnsi="宋体" w:cs="宋体" w:eastAsia="宋体"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220" w:right="3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40" w:right="3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95" w:right="89"/>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254" w:right="74" w:hanging="180"/>
              <w:jc w:val="left"/>
              <w:rPr>
                <w:rFonts w:ascii="宋体" w:hAnsi="宋体" w:cs="宋体" w:eastAsia="宋体" w:hint="default"/>
                <w:sz w:val="18"/>
                <w:szCs w:val="18"/>
              </w:rPr>
            </w:pPr>
            <w:r>
              <w:rPr>
                <w:rFonts w:ascii="宋体" w:hAnsi="宋体" w:cs="宋体" w:eastAsia="宋体" w:hint="default"/>
                <w:sz w:val="18"/>
                <w:szCs w:val="18"/>
              </w:rPr>
              <w:t>持有无限售条件 的股份数量</w:t>
            </w:r>
          </w:p>
        </w:tc>
        <w:tc>
          <w:tcPr>
            <w:tcW w:w="163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0" w:hRule="exact"/>
        </w:trPr>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10"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1630"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702"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710"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0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84"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3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3" w:right="94"/>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10"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43.15%</w:t>
            </w:r>
          </w:p>
        </w:tc>
        <w:tc>
          <w:tcPr>
            <w:tcW w:w="991"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252,649,008</w:t>
            </w:r>
          </w:p>
        </w:tc>
        <w:tc>
          <w:tcPr>
            <w:tcW w:w="992"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83,608,259</w:t>
            </w:r>
          </w:p>
        </w:tc>
        <w:tc>
          <w:tcPr>
            <w:tcW w:w="1277"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215,526,955</w:t>
            </w:r>
          </w:p>
        </w:tc>
        <w:tc>
          <w:tcPr>
            <w:tcW w:w="1419"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37,122,053</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9,619,688</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吴彪</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0.82%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4,793,490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1,973,790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4,793,490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中融国际信托有限公 司－中融增强３０号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0.74%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4,309,508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4,309,508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4,309,508</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罗灿裕</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0.32%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1,870,000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531,390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1,870,000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黄撒谷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0.31%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1,805,033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717,249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1,805,033</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林庆吉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0.29%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1,712,500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1,712,500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1,712,500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邰崇荣</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0.28%</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1,630,000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877,143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1,630,000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陈春杰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0.27%</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1,603,362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1,603,362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1,603,362</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徐嘉韵</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0.22%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1,287,070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529,970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1,287,070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吴志强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0.21%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1,220,000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1,220,000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pacing w:val="-12"/>
                <w:sz w:val="18"/>
                <w:szCs w:val="18"/>
              </w:rPr>
              <w:t>名股东的情况（如</w:t>
            </w:r>
            <w:r>
              <w:rPr>
                <w:rFonts w:ascii="宋体" w:hAnsi="宋体" w:cs="宋体" w:eastAsia="宋体" w:hint="default"/>
                <w:sz w:val="18"/>
                <w:szCs w:val="18"/>
              </w:rPr>
              <w:t> 有）</w:t>
            </w:r>
          </w:p>
        </w:tc>
        <w:tc>
          <w:tcPr>
            <w:tcW w:w="7019" w:type="dxa"/>
            <w:gridSpan w:val="10"/>
            <w:tcBorders>
              <w:top w:val="single" w:sz="4" w:space="0" w:color="000000"/>
              <w:left w:val="single" w:sz="10" w:space="0" w:color="D2D2D2"/>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1" w:hRule="exact"/>
        </w:trPr>
        <w:tc>
          <w:tcPr>
            <w:tcW w:w="255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019" w:type="dxa"/>
            <w:gridSpan w:val="10"/>
            <w:vMerge w:val="restart"/>
            <w:tcBorders>
              <w:top w:val="single" w:sz="4" w:space="0" w:color="000000"/>
              <w:left w:val="single" w:sz="10" w:space="0" w:color="D2D2D2"/>
              <w:right w:val="single" w:sz="4" w:space="0" w:color="000000"/>
            </w:tcBorders>
            <w:shd w:val="clear" w:color="auto" w:fill="CCE8CC"/>
          </w:tcPr>
          <w:p>
            <w:pPr>
              <w:pStyle w:val="TableParagraph"/>
              <w:spacing w:line="316" w:lineRule="auto" w:before="49"/>
              <w:ind w:left="16" w:right="22"/>
              <w:jc w:val="both"/>
              <w:rPr>
                <w:rFonts w:ascii="宋体" w:hAnsi="宋体" w:cs="宋体" w:eastAsia="宋体" w:hint="default"/>
                <w:sz w:val="18"/>
                <w:szCs w:val="18"/>
              </w:rPr>
            </w:pPr>
            <w:r>
              <w:rPr>
                <w:rFonts w:ascii="宋体" w:hAnsi="宋体" w:cs="宋体" w:eastAsia="宋体" w:hint="default"/>
                <w:spacing w:val="-2"/>
                <w:sz w:val="18"/>
                <w:szCs w:val="18"/>
              </w:rPr>
              <w:t>本公司发起人杨文江、吴彪、罗灿裕之间不存在关联关系，也不属于《上市公司股东持股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变动信息披露管理办法》规定的一致行动人；未知其他股东之间是否存在关联关系，也未</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知是否属于《上市公司股东持股变动信息披露管理办法》规定的一致行动人。</w:t>
            </w:r>
          </w:p>
        </w:tc>
      </w:tr>
      <w:tr>
        <w:trPr>
          <w:trHeight w:val="706" w:hRule="exact"/>
        </w:trPr>
        <w:tc>
          <w:tcPr>
            <w:tcW w:w="255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19" w:type="dxa"/>
            <w:gridSpan w:val="10"/>
            <w:vMerge/>
            <w:tcBorders>
              <w:left w:val="single" w:sz="10" w:space="0" w:color="D2D2D2"/>
              <w:right w:val="single" w:sz="4" w:space="0" w:color="000000"/>
            </w:tcBorders>
            <w:shd w:val="clear" w:color="auto" w:fill="CCE8CC"/>
          </w:tcPr>
          <w:p>
            <w:pPr/>
          </w:p>
        </w:tc>
      </w:tr>
      <w:tr>
        <w:trPr>
          <w:trHeight w:val="161" w:hRule="exact"/>
        </w:trPr>
        <w:tc>
          <w:tcPr>
            <w:tcW w:w="255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019" w:type="dxa"/>
            <w:gridSpan w:val="10"/>
            <w:vMerge/>
            <w:tcBorders>
              <w:left w:val="single" w:sz="10" w:space="0" w:color="D2D2D2"/>
              <w:bottom w:val="single" w:sz="4" w:space="0" w:color="000000"/>
              <w:right w:val="single" w:sz="4" w:space="0" w:color="000000"/>
            </w:tcBorders>
            <w:shd w:val="clear" w:color="auto" w:fill="CCE8CC"/>
          </w:tcPr>
          <w:p>
            <w:pP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546"/>
        <w:gridCol w:w="3288"/>
        <w:gridCol w:w="1369"/>
        <w:gridCol w:w="1368"/>
      </w:tblGrid>
      <w:tr>
        <w:trPr>
          <w:trHeight w:val="402" w:hRule="exact"/>
        </w:trPr>
        <w:tc>
          <w:tcPr>
            <w:tcW w:w="35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2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3546" w:type="dxa"/>
            <w:vMerge/>
            <w:tcBorders>
              <w:left w:val="single" w:sz="4" w:space="0" w:color="000000"/>
              <w:bottom w:val="single" w:sz="4" w:space="0" w:color="000000"/>
              <w:right w:val="single" w:sz="4" w:space="0" w:color="000000"/>
            </w:tcBorders>
            <w:shd w:val="clear" w:color="auto" w:fill="D2D2D2"/>
          </w:tcPr>
          <w:p>
            <w:pPr/>
          </w:p>
        </w:tc>
        <w:tc>
          <w:tcPr>
            <w:tcW w:w="328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17"/>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37,122,053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37,122,053</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吴彪</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4,793,490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4,793,490</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中融国际信托有限公司－中融增强３０号</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4,309,508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4,309,508</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罗灿裕</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1,870,000</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黄撒谷</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1,805,033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1,805,033</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林庆吉</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1,712,500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1,712,500</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邰崇荣</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1,630,000</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陈春杰</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1,603,362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1,603,362</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徐嘉韵</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1,287,070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1,287,070</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吴志强</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1,220,000</w:t>
            </w:r>
          </w:p>
        </w:tc>
      </w:tr>
      <w:tr>
        <w:trPr>
          <w:trHeight w:val="1338" w:hRule="exact"/>
        </w:trPr>
        <w:tc>
          <w:tcPr>
            <w:tcW w:w="3546" w:type="dxa"/>
            <w:tcBorders>
              <w:top w:val="single" w:sz="4" w:space="0" w:color="000000"/>
              <w:left w:val="single" w:sz="4" w:space="0" w:color="000000"/>
              <w:bottom w:val="single" w:sz="4" w:space="0" w:color="000000"/>
              <w:right w:val="single" w:sz="10" w:space="0" w:color="CCE8CC"/>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300" w:lineRule="auto" w:before="63"/>
              <w:ind w:left="24" w:right="15"/>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名股东之间关联 关系或一致行动的说明</w:t>
            </w:r>
          </w:p>
        </w:tc>
        <w:tc>
          <w:tcPr>
            <w:tcW w:w="6025" w:type="dxa"/>
            <w:gridSpan w:val="3"/>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3" w:right="49"/>
              <w:jc w:val="both"/>
              <w:rPr>
                <w:rFonts w:ascii="宋体" w:hAnsi="宋体" w:cs="宋体" w:eastAsia="宋体" w:hint="default"/>
                <w:sz w:val="18"/>
                <w:szCs w:val="18"/>
              </w:rPr>
            </w:pPr>
            <w:r>
              <w:rPr>
                <w:rFonts w:ascii="宋体" w:hAnsi="宋体" w:cs="宋体" w:eastAsia="宋体" w:hint="default"/>
                <w:sz w:val="18"/>
                <w:szCs w:val="18"/>
              </w:rPr>
              <w:t>本公司发起人杨文江、吴彪、罗灿裕之间不存在关联关系，也不属于《上市 公司股东持股变动信息披露管理办法》规定的一致行动人；未知其他股东之 间是否存在关联关系，也未知是否属于《上市公司股东持股变动信息披露管 理办法》规定的一致行动人。</w:t>
            </w:r>
          </w:p>
        </w:tc>
      </w:tr>
      <w:tr>
        <w:trPr>
          <w:trHeight w:val="402" w:hRule="exact"/>
        </w:trPr>
        <w:tc>
          <w:tcPr>
            <w:tcW w:w="3546" w:type="dxa"/>
            <w:tcBorders>
              <w:top w:val="single" w:sz="4" w:space="0" w:color="000000"/>
              <w:left w:val="single" w:sz="4" w:space="0" w:color="000000"/>
              <w:bottom w:val="single" w:sz="4" w:space="0" w:color="000000"/>
              <w:right w:val="single" w:sz="10" w:space="0" w:color="CCE8CC"/>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参与融资融券业务股东情况说明（如有）</w:t>
            </w:r>
          </w:p>
        </w:tc>
        <w:tc>
          <w:tcPr>
            <w:tcW w:w="6025" w:type="dxa"/>
            <w:gridSpan w:val="3"/>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4"/>
        <w:jc w:val="left"/>
      </w:pPr>
      <w:r>
        <w:rPr/>
        <w:t>自然人</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37"/>
        <w:gridCol w:w="2057"/>
        <w:gridCol w:w="4177"/>
      </w:tblGrid>
      <w:tr>
        <w:trPr>
          <w:trHeight w:val="398"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4" w:right="0"/>
              <w:jc w:val="left"/>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7" w:hRule="exact"/>
        </w:trPr>
        <w:tc>
          <w:tcPr>
            <w:tcW w:w="333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杨文江</w:t>
            </w:r>
          </w:p>
        </w:tc>
        <w:tc>
          <w:tcPr>
            <w:tcW w:w="205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3"/>
              <w:ind w:left="84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337" w:type="dxa"/>
            <w:tcBorders>
              <w:top w:val="single" w:sz="4" w:space="0" w:color="000000"/>
              <w:left w:val="single" w:sz="4" w:space="0" w:color="000000"/>
              <w:bottom w:val="single" w:sz="4" w:space="0" w:color="000000"/>
              <w:right w:val="single" w:sz="10" w:space="0" w:color="CCE8CC"/>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r>
      <w:tr>
        <w:trPr>
          <w:trHeight w:val="402" w:hRule="exact"/>
        </w:trPr>
        <w:tc>
          <w:tcPr>
            <w:tcW w:w="3337" w:type="dxa"/>
            <w:tcBorders>
              <w:top w:val="single" w:sz="4" w:space="0" w:color="000000"/>
              <w:left w:val="single" w:sz="4" w:space="0" w:color="000000"/>
              <w:bottom w:val="single" w:sz="4" w:space="0" w:color="000000"/>
              <w:right w:val="single" w:sz="10" w:space="0" w:color="CCE8CC"/>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0"/>
        <w:ind w:right="144"/>
        <w:jc w:val="left"/>
      </w:pPr>
      <w:r>
        <w:rPr/>
        <w:t>报告期控股股东变更</w:t>
      </w:r>
    </w:p>
    <w:p>
      <w:pPr>
        <w:spacing w:line="544" w:lineRule="auto" w:before="115"/>
        <w:ind w:left="152" w:right="7561" w:firstLine="0"/>
        <w:jc w:val="left"/>
        <w:rPr>
          <w:rFonts w:ascii="宋体" w:hAnsi="宋体" w:cs="宋体" w:eastAsia="宋体" w:hint="default"/>
          <w:sz w:val="18"/>
          <w:szCs w:val="18"/>
        </w:rPr>
      </w:pPr>
      <w:r>
        <w:rPr/>
        <w:pict>
          <v:shape style="position:absolute;margin-left:56.400002pt;margin-top:84.184753pt;width:479.3pt;height:80.9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49"/>
                    <w:gridCol w:w="2045"/>
                    <w:gridCol w:w="4177"/>
                  </w:tblGrid>
                  <w:tr>
                    <w:trPr>
                      <w:trHeight w:val="399" w:hRule="exact"/>
                    </w:trPr>
                    <w:tc>
                      <w:tcPr>
                        <w:tcW w:w="3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2" w:right="0"/>
                          <w:jc w:val="left"/>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6" w:hRule="exact"/>
                    </w:trPr>
                    <w:tc>
                      <w:tcPr>
                        <w:tcW w:w="334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3"/>
                          <w:ind w:right="12"/>
                          <w:jc w:val="center"/>
                          <w:rPr>
                            <w:rFonts w:ascii="宋体" w:hAnsi="宋体" w:cs="宋体" w:eastAsia="宋体" w:hint="default"/>
                            <w:sz w:val="18"/>
                            <w:szCs w:val="18"/>
                          </w:rPr>
                        </w:pPr>
                        <w:r>
                          <w:rPr>
                            <w:rFonts w:ascii="宋体" w:hAnsi="宋体" w:cs="宋体" w:eastAsia="宋体" w:hint="default"/>
                            <w:sz w:val="18"/>
                            <w:szCs w:val="18"/>
                          </w:rPr>
                          <w:t>杨文江</w:t>
                        </w:r>
                      </w:p>
                    </w:tc>
                    <w:tc>
                      <w:tcPr>
                        <w:tcW w:w="204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3"/>
                          <w:ind w:left="83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349" w:type="dxa"/>
                        <w:tcBorders>
                          <w:top w:val="single" w:sz="4" w:space="0" w:color="000000"/>
                          <w:left w:val="single" w:sz="4" w:space="0" w:color="000000"/>
                          <w:bottom w:val="single" w:sz="4" w:space="0" w:color="000000"/>
                          <w:right w:val="single" w:sz="10" w:space="0" w:color="CCE8CC"/>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22" w:type="dxa"/>
                        <w:gridSpan w:val="2"/>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r>
                  <w:tr>
                    <w:trPr>
                      <w:trHeight w:val="401" w:hRule="exact"/>
                    </w:trPr>
                    <w:tc>
                      <w:tcPr>
                        <w:tcW w:w="3349" w:type="dxa"/>
                        <w:tcBorders>
                          <w:top w:val="single" w:sz="4" w:space="0" w:color="000000"/>
                          <w:left w:val="single" w:sz="4" w:space="0" w:color="000000"/>
                          <w:bottom w:val="single" w:sz="4" w:space="0" w:color="000000"/>
                          <w:right w:val="single" w:sz="10" w:space="0" w:color="CCE8CC"/>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22" w:type="dxa"/>
                        <w:gridSpan w:val="2"/>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100"/>
          <w:sz w:val="21"/>
          <w:szCs w:val="21"/>
        </w:rPr>
        <w:t> </w:t>
      </w: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44"/>
        <w:ind w:right="144"/>
        <w:jc w:val="left"/>
      </w:pPr>
      <w:r>
        <w:rPr/>
        <w:t>报告期实际控制人变更</w:t>
      </w:r>
    </w:p>
    <w:p>
      <w:pPr>
        <w:pStyle w:val="BodyText"/>
        <w:spacing w:line="240" w:lineRule="auto" w:before="117"/>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44"/>
        <w:jc w:val="left"/>
      </w:pPr>
      <w:r>
        <w:rPr/>
        <w:t>公司与实际控制人之间的产权及控制关系的方框图</w:t>
      </w:r>
    </w:p>
    <w:p>
      <w:pPr>
        <w:spacing w:line="240" w:lineRule="auto" w:before="4"/>
        <w:rPr>
          <w:rFonts w:ascii="宋体" w:hAnsi="宋体" w:cs="宋体" w:eastAsia="宋体" w:hint="default"/>
          <w:sz w:val="21"/>
          <w:szCs w:val="21"/>
        </w:rPr>
      </w:pPr>
    </w:p>
    <w:p>
      <w:pPr>
        <w:spacing w:line="2475" w:lineRule="exact"/>
        <w:ind w:left="2860" w:right="0" w:firstLine="0"/>
        <w:rPr>
          <w:rFonts w:ascii="宋体" w:hAnsi="宋体" w:cs="宋体" w:eastAsia="宋体" w:hint="default"/>
          <w:sz w:val="20"/>
          <w:szCs w:val="20"/>
        </w:rPr>
      </w:pPr>
      <w:r>
        <w:rPr>
          <w:rFonts w:ascii="宋体" w:hAnsi="宋体" w:cs="宋体" w:eastAsia="宋体" w:hint="default"/>
          <w:position w:val="-49"/>
          <w:sz w:val="20"/>
          <w:szCs w:val="20"/>
        </w:rPr>
        <w:drawing>
          <wp:inline distT="0" distB="0" distL="0" distR="0">
            <wp:extent cx="2680074" cy="15716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2680074" cy="1571625"/>
                    </a:xfrm>
                    <a:prstGeom prst="rect">
                      <a:avLst/>
                    </a:prstGeom>
                  </pic:spPr>
                </pic:pic>
              </a:graphicData>
            </a:graphic>
          </wp:inline>
        </w:drawing>
      </w:r>
      <w:r>
        <w:rPr>
          <w:rFonts w:ascii="宋体" w:hAnsi="宋体" w:cs="宋体" w:eastAsia="宋体" w:hint="default"/>
          <w:position w:val="-49"/>
          <w:sz w:val="20"/>
          <w:szCs w:val="20"/>
        </w:rPr>
      </w:r>
    </w:p>
    <w:p>
      <w:pPr>
        <w:spacing w:line="240" w:lineRule="auto" w:before="12"/>
        <w:rPr>
          <w:rFonts w:ascii="宋体" w:hAnsi="宋体" w:cs="宋体" w:eastAsia="宋体" w:hint="default"/>
          <w:sz w:val="16"/>
          <w:szCs w:val="16"/>
        </w:rPr>
      </w:pPr>
    </w:p>
    <w:p>
      <w:pPr>
        <w:pStyle w:val="BodyText"/>
        <w:spacing w:line="240" w:lineRule="auto"/>
        <w:ind w:right="144"/>
        <w:jc w:val="left"/>
      </w:pPr>
      <w:r>
        <w:rPr/>
        <w:t>实际控制人通过信托或其他资产管理方式控制公司</w:t>
      </w:r>
    </w:p>
    <w:p>
      <w:pPr>
        <w:spacing w:line="240" w:lineRule="auto" w:before="12"/>
        <w:rPr>
          <w:rFonts w:ascii="宋体" w:hAnsi="宋体" w:cs="宋体" w:eastAsia="宋体" w:hint="default"/>
          <w:sz w:val="20"/>
          <w:szCs w:val="20"/>
        </w:rPr>
      </w:pPr>
    </w:p>
    <w:p>
      <w:pPr>
        <w:pStyle w:val="BodyText"/>
        <w:spacing w:line="240" w:lineRule="auto"/>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059" w:right="0"/>
        <w:jc w:val="left"/>
        <w:rPr>
          <w:b w:val="0"/>
          <w:bCs w:val="0"/>
        </w:rPr>
      </w:pPr>
      <w:bookmarkStart w:name="_TOC_250004" w:id="7"/>
      <w:r>
        <w:rPr/>
        <w:t>第七节</w:t>
      </w:r>
      <w:r>
        <w:rPr>
          <w:spacing w:val="-8"/>
        </w:rPr>
        <w:t> </w:t>
      </w:r>
      <w:r>
        <w:rPr/>
        <w:t>董事、监事、高级管理人员和员工情况</w:t>
      </w:r>
      <w:bookmarkEnd w:id="7"/>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532" w:right="0"/>
        <w:jc w:val="left"/>
        <w:rPr>
          <w:b w:val="0"/>
          <w:bCs w:val="0"/>
        </w:rPr>
      </w:pPr>
      <w:r>
        <w:rPr/>
        <w:pict>
          <v:shape style="position:absolute;margin-left:415.506989pt;margin-top:50.615597pt;width:74.6pt;height:17.650pt;mso-position-horizontal-relative:page;mso-position-vertical-relative:paragraph;z-index:-830704" type="#_x0000_t202" filled="false" stroked="false">
            <v:textbox inset="0,0,0,0">
              <w:txbxContent>
                <w:p>
                  <w:pPr>
                    <w:pStyle w:val="BodyText"/>
                    <w:spacing w:line="240" w:lineRule="auto" w:before="8"/>
                    <w:ind w:left="0" w:right="0"/>
                    <w:jc w:val="left"/>
                  </w:pPr>
                  <w:r>
                    <w:rPr/>
                    <w:t>（股）</w:t>
                  </w:r>
                </w:p>
              </w:txbxContent>
            </v:textbox>
            <w10:wrap type="none"/>
          </v:shape>
        </w:pict>
      </w:r>
      <w:r>
        <w:rPr/>
        <w:pict>
          <v:shape style="position:absolute;margin-left:467.619995pt;margin-top:50.615597pt;width:76.850pt;height:17.650pt;mso-position-horizontal-relative:page;mso-position-vertical-relative:paragraph;z-index:-830680" type="#_x0000_t202" filled="false" stroked="false">
            <v:textbox inset="0,0,0,0">
              <w:txbxContent>
                <w:p>
                  <w:pPr>
                    <w:pStyle w:val="BodyText"/>
                    <w:spacing w:line="240" w:lineRule="auto" w:before="8"/>
                    <w:ind w:left="0" w:right="0"/>
                    <w:jc w:val="left"/>
                  </w:pPr>
                  <w:r>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710"/>
        <w:gridCol w:w="994"/>
        <w:gridCol w:w="425"/>
        <w:gridCol w:w="425"/>
        <w:gridCol w:w="425"/>
        <w:gridCol w:w="1560"/>
        <w:gridCol w:w="1560"/>
        <w:gridCol w:w="991"/>
        <w:gridCol w:w="994"/>
        <w:gridCol w:w="1039"/>
        <w:gridCol w:w="78"/>
        <w:gridCol w:w="1007"/>
      </w:tblGrid>
      <w:tr>
        <w:trPr>
          <w:trHeight w:val="715"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1" w:firstLine="16"/>
              <w:jc w:val="left"/>
              <w:rPr>
                <w:rFonts w:ascii="宋体" w:hAnsi="宋体" w:cs="宋体" w:eastAsia="宋体" w:hint="default"/>
                <w:sz w:val="18"/>
                <w:szCs w:val="18"/>
              </w:rPr>
            </w:pPr>
            <w:r>
              <w:rPr>
                <w:rFonts w:ascii="宋体" w:hAnsi="宋体" w:cs="宋体" w:eastAsia="宋体" w:hint="default"/>
                <w:sz w:val="18"/>
                <w:szCs w:val="18"/>
              </w:rPr>
              <w:t>本期增持股 份数量</w:t>
            </w:r>
          </w:p>
        </w:tc>
        <w:tc>
          <w:tcPr>
            <w:tcW w:w="1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62" w:firstLine="40"/>
              <w:jc w:val="left"/>
              <w:rPr>
                <w:rFonts w:ascii="宋体" w:hAnsi="宋体" w:cs="宋体" w:eastAsia="宋体" w:hint="default"/>
                <w:sz w:val="18"/>
                <w:szCs w:val="18"/>
              </w:rPr>
            </w:pPr>
            <w:r>
              <w:rPr>
                <w:rFonts w:ascii="宋体" w:hAnsi="宋体" w:cs="宋体" w:eastAsia="宋体" w:hint="default"/>
                <w:sz w:val="18"/>
                <w:szCs w:val="18"/>
              </w:rPr>
              <w:t>本期减持股 份数量</w:t>
            </w:r>
          </w:p>
        </w:tc>
        <w:tc>
          <w:tcPr>
            <w:tcW w:w="78" w:type="dxa"/>
            <w:tcBorders>
              <w:top w:val="single" w:sz="4" w:space="0" w:color="000000"/>
              <w:left w:val="single" w:sz="4" w:space="0" w:color="000000"/>
              <w:bottom w:val="single" w:sz="4" w:space="0" w:color="000000"/>
              <w:right w:val="nil" w:sz="6" w:space="0" w:color="auto"/>
            </w:tcBorders>
            <w:shd w:val="clear" w:color="auto" w:fill="D2D2D2"/>
          </w:tcPr>
          <w:p>
            <w:pPr/>
          </w:p>
        </w:tc>
        <w:tc>
          <w:tcPr>
            <w:tcW w:w="100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right="69"/>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69"/>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3" w:hRule="exact"/>
        </w:trPr>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9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4" w:lineRule="auto" w:before="49"/>
              <w:ind w:left="23" w:right="57"/>
              <w:jc w:val="left"/>
              <w:rPr>
                <w:rFonts w:ascii="宋体" w:hAnsi="宋体" w:cs="宋体" w:eastAsia="宋体" w:hint="default"/>
                <w:sz w:val="18"/>
                <w:szCs w:val="18"/>
              </w:rPr>
            </w:pPr>
            <w:r>
              <w:rPr>
                <w:rFonts w:ascii="宋体" w:hAnsi="宋体" w:cs="宋体" w:eastAsia="宋体" w:hint="default"/>
                <w:sz w:val="18"/>
                <w:szCs w:val="18"/>
              </w:rPr>
              <w:t>董事长；总 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169,040,749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116,062,172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32,453,913</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252,649,008</w:t>
            </w:r>
          </w:p>
        </w:tc>
      </w:tr>
      <w:tr>
        <w:trPr>
          <w:trHeight w:val="1028" w:hRule="exact"/>
        </w:trPr>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 w:right="0"/>
              <w:jc w:val="left"/>
              <w:rPr>
                <w:rFonts w:ascii="宋体" w:hAnsi="宋体" w:cs="宋体" w:eastAsia="宋体" w:hint="default"/>
                <w:sz w:val="18"/>
                <w:szCs w:val="18"/>
              </w:rPr>
            </w:pPr>
            <w:r>
              <w:rPr>
                <w:rFonts w:ascii="宋体" w:hAnsi="宋体" w:cs="宋体" w:eastAsia="宋体" w:hint="default"/>
                <w:sz w:val="18"/>
                <w:szCs w:val="18"/>
              </w:rPr>
              <w:t>谭 </w:t>
            </w:r>
            <w:r>
              <w:rPr>
                <w:rFonts w:ascii="宋体" w:hAnsi="宋体" w:cs="宋体" w:eastAsia="宋体" w:hint="default"/>
                <w:spacing w:val="2"/>
                <w:sz w:val="18"/>
                <w:szCs w:val="18"/>
              </w:rPr>
              <w:t> </w:t>
            </w:r>
            <w:r>
              <w:rPr>
                <w:rFonts w:ascii="宋体" w:hAnsi="宋体" w:cs="宋体" w:eastAsia="宋体" w:hint="default"/>
                <w:sz w:val="18"/>
                <w:szCs w:val="18"/>
              </w:rPr>
              <w:t>骅</w:t>
            </w:r>
          </w:p>
        </w:tc>
        <w:tc>
          <w:tcPr>
            <w:tcW w:w="9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9" w:lineRule="auto" w:before="49"/>
              <w:ind w:left="23" w:right="57"/>
              <w:jc w:val="both"/>
              <w:rPr>
                <w:rFonts w:ascii="宋体" w:hAnsi="宋体" w:cs="宋体" w:eastAsia="宋体" w:hint="default"/>
                <w:sz w:val="18"/>
                <w:szCs w:val="18"/>
              </w:rPr>
            </w:pPr>
            <w:r>
              <w:rPr>
                <w:rFonts w:ascii="宋体" w:hAnsi="宋体" w:cs="宋体" w:eastAsia="宋体" w:hint="default"/>
                <w:sz w:val="18"/>
                <w:szCs w:val="18"/>
              </w:rPr>
              <w:t>董事；副总 经理；董事 会秘书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85"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石本仁</w:t>
            </w:r>
          </w:p>
        </w:tc>
        <w:tc>
          <w:tcPr>
            <w:tcW w:w="9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85"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华</w:t>
            </w:r>
          </w:p>
        </w:tc>
        <w:tc>
          <w:tcPr>
            <w:tcW w:w="9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85"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徐印州</w:t>
            </w:r>
          </w:p>
        </w:tc>
        <w:tc>
          <w:tcPr>
            <w:tcW w:w="9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85"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梁晓芹</w:t>
            </w:r>
          </w:p>
        </w:tc>
        <w:tc>
          <w:tcPr>
            <w:tcW w:w="9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85"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龚穗娟</w:t>
            </w:r>
          </w:p>
        </w:tc>
        <w:tc>
          <w:tcPr>
            <w:tcW w:w="9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85"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张成虎</w:t>
            </w:r>
          </w:p>
        </w:tc>
        <w:tc>
          <w:tcPr>
            <w:tcW w:w="9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85"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庞泰松</w:t>
            </w:r>
          </w:p>
        </w:tc>
        <w:tc>
          <w:tcPr>
            <w:tcW w:w="9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85"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9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85"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徐德银</w:t>
            </w:r>
          </w:p>
        </w:tc>
        <w:tc>
          <w:tcPr>
            <w:tcW w:w="9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85"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9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85"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李克福</w:t>
            </w:r>
          </w:p>
        </w:tc>
        <w:tc>
          <w:tcPr>
            <w:tcW w:w="9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85"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吴 </w:t>
            </w:r>
            <w:r>
              <w:rPr>
                <w:rFonts w:ascii="宋体" w:hAnsi="宋体" w:cs="宋体" w:eastAsia="宋体" w:hint="default"/>
                <w:spacing w:val="2"/>
                <w:sz w:val="18"/>
                <w:szCs w:val="18"/>
              </w:rPr>
              <w:t> </w:t>
            </w:r>
            <w:r>
              <w:rPr>
                <w:rFonts w:ascii="宋体" w:hAnsi="宋体" w:cs="宋体" w:eastAsia="宋体" w:hint="default"/>
                <w:sz w:val="18"/>
                <w:szCs w:val="18"/>
              </w:rPr>
              <w:t>宁</w:t>
            </w:r>
          </w:p>
        </w:tc>
        <w:tc>
          <w:tcPr>
            <w:tcW w:w="9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3" w:right="57"/>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292,536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204,775</w:t>
            </w:r>
          </w:p>
        </w:tc>
        <w:tc>
          <w:tcPr>
            <w:tcW w:w="1039" w:type="dxa"/>
            <w:tcBorders>
              <w:top w:val="single" w:sz="4" w:space="0" w:color="000000"/>
              <w:left w:val="single" w:sz="4" w:space="0" w:color="000000"/>
              <w:bottom w:val="single" w:sz="4" w:space="0" w:color="000000"/>
              <w:right w:val="single" w:sz="4" w:space="0" w:color="000000"/>
            </w:tcBorders>
          </w:tcPr>
          <w:p>
            <w:pP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497,311</w:t>
            </w:r>
          </w:p>
        </w:tc>
      </w:tr>
      <w:tr>
        <w:trPr>
          <w:trHeight w:val="1025" w:hRule="exact"/>
        </w:trPr>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 w:right="0"/>
              <w:jc w:val="left"/>
              <w:rPr>
                <w:rFonts w:ascii="宋体" w:hAnsi="宋体" w:cs="宋体" w:eastAsia="宋体" w:hint="default"/>
                <w:sz w:val="18"/>
                <w:szCs w:val="18"/>
              </w:rPr>
            </w:pPr>
            <w:r>
              <w:rPr>
                <w:rFonts w:ascii="宋体" w:hAnsi="宋体" w:cs="宋体" w:eastAsia="宋体" w:hint="default"/>
                <w:sz w:val="18"/>
                <w:szCs w:val="18"/>
              </w:rPr>
              <w:t>王志杰</w:t>
            </w:r>
          </w:p>
        </w:tc>
        <w:tc>
          <w:tcPr>
            <w:tcW w:w="9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3" w:right="57"/>
              <w:jc w:val="both"/>
              <w:rPr>
                <w:rFonts w:ascii="宋体" w:hAnsi="宋体" w:cs="宋体" w:eastAsia="宋体" w:hint="default"/>
                <w:sz w:val="18"/>
                <w:szCs w:val="18"/>
              </w:rPr>
            </w:pPr>
            <w:r>
              <w:rPr>
                <w:rFonts w:ascii="宋体" w:hAnsi="宋体" w:cs="宋体" w:eastAsia="宋体" w:hint="default"/>
                <w:sz w:val="18"/>
                <w:szCs w:val="18"/>
              </w:rPr>
              <w:t>董事；副总 经理、财务 总监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25,477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17,834</w:t>
            </w:r>
          </w:p>
        </w:tc>
        <w:tc>
          <w:tcPr>
            <w:tcW w:w="1039" w:type="dxa"/>
            <w:tcBorders>
              <w:top w:val="single" w:sz="4" w:space="0" w:color="000000"/>
              <w:left w:val="single" w:sz="4" w:space="0" w:color="000000"/>
              <w:bottom w:val="single" w:sz="4" w:space="0" w:color="000000"/>
              <w:right w:val="single" w:sz="4" w:space="0" w:color="000000"/>
            </w:tcBorders>
          </w:tcPr>
          <w:p>
            <w:pP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68" w:right="0"/>
              <w:jc w:val="left"/>
              <w:rPr>
                <w:rFonts w:ascii="Times New Roman" w:hAnsi="Times New Roman" w:cs="Times New Roman" w:eastAsia="Times New Roman" w:hint="default"/>
                <w:sz w:val="18"/>
                <w:szCs w:val="18"/>
              </w:rPr>
            </w:pPr>
            <w:r>
              <w:rPr>
                <w:rFonts w:ascii="Times New Roman"/>
                <w:sz w:val="18"/>
              </w:rPr>
              <w:t>43,311</w:t>
            </w:r>
          </w:p>
        </w:tc>
      </w:tr>
      <w:tr>
        <w:trPr>
          <w:trHeight w:val="403"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169,358,762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116,284,781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32,453,913</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253,189,630</w:t>
            </w:r>
          </w:p>
        </w:tc>
      </w:tr>
    </w:tbl>
    <w:p>
      <w:pPr>
        <w:spacing w:line="240" w:lineRule="auto" w:before="1"/>
        <w:rPr>
          <w:rFonts w:ascii="宋体" w:hAnsi="宋体" w:cs="宋体" w:eastAsia="宋体" w:hint="default"/>
          <w:b/>
          <w:bCs/>
          <w:sz w:val="18"/>
          <w:szCs w:val="18"/>
        </w:rPr>
      </w:pPr>
    </w:p>
    <w:p>
      <w:pPr>
        <w:pStyle w:val="Heading2"/>
        <w:spacing w:line="240" w:lineRule="auto" w:before="26"/>
        <w:ind w:left="532" w:right="0"/>
        <w:jc w:val="left"/>
        <w:rPr>
          <w:b w:val="0"/>
          <w:bCs w:val="0"/>
        </w:rPr>
      </w:pPr>
      <w:r>
        <w:rPr/>
        <w:t>二、任职情况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2" w:right="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240" w:lineRule="auto" w:before="103"/>
        <w:ind w:left="893" w:right="0"/>
        <w:jc w:val="left"/>
      </w:pPr>
      <w:r>
        <w:rPr>
          <w:rFonts w:ascii="Times New Roman" w:hAnsi="Times New Roman" w:cs="Times New Roman" w:eastAsia="Times New Roman" w:hint="default"/>
        </w:rPr>
        <w:t>1</w:t>
      </w:r>
      <w:r>
        <w:rPr/>
        <w:t>、董事</w:t>
      </w:r>
    </w:p>
    <w:p>
      <w:pPr>
        <w:pStyle w:val="BodyText"/>
        <w:spacing w:line="300" w:lineRule="auto" w:before="63"/>
        <w:ind w:left="532" w:right="246" w:firstLine="360"/>
        <w:jc w:val="both"/>
      </w:pPr>
      <w:r>
        <w:rPr/>
        <w:t>（</w:t>
      </w:r>
      <w:r>
        <w:rPr>
          <w:rFonts w:ascii="Times New Roman" w:hAnsi="Times New Roman" w:cs="Times New Roman" w:eastAsia="Times New Roman" w:hint="default"/>
        </w:rPr>
        <w:t>1</w:t>
      </w:r>
      <w:r>
        <w:rPr/>
        <w:t>）杨文江先生：公司董事长、总经理，男，</w:t>
      </w:r>
      <w:r>
        <w:rPr>
          <w:rFonts w:ascii="Times New Roman" w:hAnsi="Times New Roman" w:cs="Times New Roman" w:eastAsia="Times New Roman" w:hint="default"/>
        </w:rPr>
        <w:t>1972</w:t>
      </w:r>
      <w:r>
        <w:rPr/>
        <w:t>年生，管理学硕士，公司创始人和控股股东。</w:t>
      </w:r>
      <w:r>
        <w:rPr>
          <w:rFonts w:ascii="Times New Roman" w:hAnsi="Times New Roman" w:cs="Times New Roman" w:eastAsia="Times New Roman" w:hint="default"/>
        </w:rPr>
        <w:t>1995</w:t>
      </w:r>
      <w:r>
        <w:rPr/>
        <w:t>年至</w:t>
      </w:r>
      <w:r>
        <w:rPr>
          <w:rFonts w:ascii="Times New Roman" w:hAnsi="Times New Roman" w:cs="Times New Roman" w:eastAsia="Times New Roman" w:hint="default"/>
        </w:rPr>
        <w:t>1997</w:t>
      </w:r>
      <w:r>
        <w:rPr/>
        <w:t>年任广 </w:t>
      </w:r>
      <w:r>
        <w:rPr>
          <w:spacing w:val="-2"/>
        </w:rPr>
        <w:t>东省金安汽车工业制造有限公司副总经理，</w:t>
      </w:r>
      <w:r>
        <w:rPr>
          <w:rFonts w:ascii="Times New Roman" w:hAnsi="Times New Roman" w:cs="Times New Roman" w:eastAsia="Times New Roman" w:hint="default"/>
          <w:spacing w:val="-2"/>
        </w:rPr>
        <w:t>2000</w:t>
      </w:r>
      <w:r>
        <w:rPr>
          <w:spacing w:val="-2"/>
        </w:rPr>
        <w:t>年到</w:t>
      </w:r>
      <w:r>
        <w:rPr>
          <w:rFonts w:ascii="Times New Roman" w:hAnsi="Times New Roman" w:cs="Times New Roman" w:eastAsia="Times New Roman" w:hint="default"/>
          <w:spacing w:val="-2"/>
        </w:rPr>
        <w:t>2001</w:t>
      </w:r>
      <w:r>
        <w:rPr>
          <w:spacing w:val="-2"/>
        </w:rPr>
        <w:t>年任广州市宝龙特种汽车股份有限公司总经理，</w:t>
      </w:r>
      <w:r>
        <w:rPr>
          <w:rFonts w:ascii="Times New Roman" w:hAnsi="Times New Roman" w:cs="Times New Roman" w:eastAsia="Times New Roman" w:hint="default"/>
          <w:spacing w:val="-2"/>
        </w:rPr>
        <w:t>2001</w:t>
      </w:r>
      <w:r>
        <w:rPr>
          <w:spacing w:val="-2"/>
        </w:rPr>
        <w:t>年至今任公司</w:t>
      </w:r>
      <w:r>
        <w:rPr>
          <w:spacing w:val="-56"/>
        </w:rPr>
        <w:t> </w:t>
      </w:r>
      <w:r>
        <w:rPr>
          <w:spacing w:val="-56"/>
        </w:rPr>
      </w:r>
      <w:r>
        <w:rPr/>
        <w:t>及前身御银有限董事长，</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日当选为公司总经理。</w:t>
      </w:r>
    </w:p>
    <w:p>
      <w:pPr>
        <w:pStyle w:val="BodyText"/>
        <w:spacing w:line="240" w:lineRule="auto" w:before="13"/>
        <w:ind w:left="893" w:right="0"/>
        <w:jc w:val="left"/>
        <w:rPr>
          <w:rFonts w:ascii="Times New Roman" w:hAnsi="Times New Roman" w:cs="Times New Roman" w:eastAsia="Times New Roman" w:hint="default"/>
        </w:rPr>
      </w:pPr>
      <w:r>
        <w:rPr>
          <w:spacing w:val="-5"/>
        </w:rPr>
        <w:t>（</w:t>
      </w:r>
      <w:r>
        <w:rPr>
          <w:rFonts w:ascii="Times New Roman" w:hAnsi="Times New Roman" w:cs="Times New Roman" w:eastAsia="Times New Roman" w:hint="default"/>
          <w:spacing w:val="-5"/>
        </w:rPr>
        <w:t>2</w:t>
      </w:r>
      <w:r>
        <w:rPr>
          <w:spacing w:val="-5"/>
        </w:rPr>
        <w:t>）谭骅先生：公司董事、副总经理、董事会秘书，男，</w:t>
      </w:r>
      <w:r>
        <w:rPr>
          <w:rFonts w:ascii="Times New Roman" w:hAnsi="Times New Roman" w:cs="Times New Roman" w:eastAsia="Times New Roman" w:hint="default"/>
          <w:spacing w:val="-5"/>
        </w:rPr>
        <w:t>1972</w:t>
      </w:r>
      <w:r>
        <w:rPr>
          <w:spacing w:val="-5"/>
        </w:rPr>
        <w:t>年生，武汉大学工商管理硕士，经济师。</w:t>
      </w:r>
      <w:r>
        <w:rPr>
          <w:rFonts w:ascii="Times New Roman" w:hAnsi="Times New Roman" w:cs="Times New Roman" w:eastAsia="Times New Roman" w:hint="default"/>
          <w:spacing w:val="-5"/>
        </w:rPr>
        <w:t>1995</w:t>
      </w:r>
      <w:r>
        <w:rPr>
          <w:spacing w:val="-5"/>
        </w:rPr>
        <w:t>年</w:t>
      </w:r>
      <w:r>
        <w:rPr>
          <w:rFonts w:ascii="Times New Roman" w:hAnsi="Times New Roman" w:cs="Times New Roman" w:eastAsia="Times New Roman" w:hint="default"/>
          <w:spacing w:val="-5"/>
        </w:rPr>
        <w:t>7</w:t>
      </w:r>
      <w:r>
        <w:rPr>
          <w:spacing w:val="-5"/>
        </w:rPr>
        <w:t>月至</w:t>
      </w:r>
      <w:r>
        <w:rPr>
          <w:rFonts w:ascii="Times New Roman" w:hAnsi="Times New Roman" w:cs="Times New Roman" w:eastAsia="Times New Roman" w:hint="default"/>
          <w:spacing w:val="-5"/>
        </w:rPr>
        <w:t>2011</w:t>
      </w:r>
    </w:p>
    <w:p>
      <w:pPr>
        <w:spacing w:after="0" w:line="240" w:lineRule="auto"/>
        <w:jc w:val="left"/>
        <w:rPr>
          <w:rFonts w:ascii="Times New Roman" w:hAnsi="Times New Roman" w:cs="Times New Roman" w:eastAsia="Times New Roman" w:hint="default"/>
        </w:rPr>
        <w:sectPr>
          <w:pgSz w:w="11910" w:h="16840"/>
          <w:pgMar w:header="745" w:footer="980" w:top="1060" w:bottom="1160" w:left="600" w:right="88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right="185"/>
        <w:jc w:val="left"/>
      </w:pPr>
      <w:r>
        <w:rPr/>
        <w:t>年</w:t>
      </w:r>
      <w:r>
        <w:rPr>
          <w:rFonts w:ascii="Times New Roman" w:hAnsi="Times New Roman" w:cs="Times New Roman" w:eastAsia="Times New Roman" w:hint="default"/>
        </w:rPr>
        <w:t>4</w:t>
      </w:r>
      <w:r>
        <w:rPr/>
        <w:t>月任职于中国农业银行广州市分行。</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月加入公司，现任公司董事、副总经理、董事会秘书。</w:t>
      </w:r>
    </w:p>
    <w:p>
      <w:pPr>
        <w:pStyle w:val="BodyText"/>
        <w:spacing w:line="300" w:lineRule="auto" w:before="63"/>
        <w:ind w:right="94" w:firstLine="360"/>
        <w:jc w:val="left"/>
      </w:pPr>
      <w:r>
        <w:rPr/>
        <w:t>（</w:t>
      </w:r>
      <w:r>
        <w:rPr>
          <w:rFonts w:ascii="Times New Roman" w:hAnsi="Times New Roman" w:cs="Times New Roman" w:eastAsia="Times New Roman" w:hint="default"/>
        </w:rPr>
        <w:t>3</w:t>
      </w:r>
      <w:r>
        <w:rPr/>
        <w:t>）石本仁先生：公司独立董事，男，</w:t>
      </w:r>
      <w:r>
        <w:rPr>
          <w:rFonts w:ascii="Times New Roman" w:hAnsi="Times New Roman" w:cs="Times New Roman" w:eastAsia="Times New Roman" w:hint="default"/>
        </w:rPr>
        <w:t>1964</w:t>
      </w:r>
      <w:r>
        <w:rPr/>
        <w:t>年生，博士，会计学教授。</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10</w:t>
      </w:r>
      <w:r>
        <w:rPr/>
        <w:t>月，武汉供销学校任教。 </w:t>
      </w:r>
      <w:r>
        <w:rPr>
          <w:rFonts w:ascii="Times New Roman" w:hAnsi="Times New Roman" w:cs="Times New Roman" w:eastAsia="Times New Roman" w:hint="default"/>
          <w:spacing w:val="-2"/>
        </w:rPr>
        <w:t>1989</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1</w:t>
      </w:r>
      <w:r>
        <w:rPr>
          <w:spacing w:val="-2"/>
        </w:rPr>
        <w:t>月，武汉工业大学任教。</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1</w:t>
      </w:r>
      <w:r>
        <w:rPr>
          <w:spacing w:val="-2"/>
        </w:rPr>
        <w:t>月至今，广州暨南大学会计系任教。</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10</w:t>
      </w:r>
      <w:r>
        <w:rPr>
          <w:spacing w:val="-2"/>
        </w:rPr>
        <w:t>月至今，任广州暨南大</w:t>
      </w:r>
      <w:r>
        <w:rPr>
          <w:spacing w:val="-47"/>
        </w:rPr>
        <w:t> </w:t>
      </w:r>
      <w:r>
        <w:rPr>
          <w:spacing w:val="-47"/>
        </w:rPr>
      </w:r>
      <w:r>
        <w:rPr/>
        <w:t>学会计研究所副所长；石本仁先生于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月起担任本公司独立董事。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月当选为广州发展实业控股集团股份有限</w:t>
      </w:r>
      <w:r>
        <w:rPr>
          <w:spacing w:val="-86"/>
        </w:rPr>
        <w:t> </w:t>
      </w:r>
      <w:r>
        <w:rPr>
          <w:spacing w:val="-86"/>
        </w:rPr>
      </w:r>
      <w:r>
        <w:rPr/>
        <w:t>公司独立董事。</w:t>
      </w:r>
    </w:p>
    <w:p>
      <w:pPr>
        <w:pStyle w:val="BodyText"/>
        <w:spacing w:line="312" w:lineRule="auto" w:before="31"/>
        <w:ind w:right="190" w:firstLine="360"/>
        <w:jc w:val="both"/>
      </w:pPr>
      <w:r>
        <w:rPr/>
        <w:t>（</w:t>
      </w:r>
      <w:r>
        <w:rPr>
          <w:rFonts w:ascii="Times New Roman" w:hAnsi="Times New Roman" w:cs="Times New Roman" w:eastAsia="Times New Roman" w:hint="default"/>
        </w:rPr>
        <w:t>4</w:t>
      </w:r>
      <w:r>
        <w:rPr/>
        <w:t>）张华先生：公司独立董事，男，</w:t>
      </w:r>
      <w:r>
        <w:rPr>
          <w:rFonts w:ascii="Times New Roman" w:hAnsi="Times New Roman" w:cs="Times New Roman" w:eastAsia="Times New Roman" w:hint="default"/>
        </w:rPr>
        <w:t>1965</w:t>
      </w:r>
      <w:r>
        <w:rPr/>
        <w:t>年生，经济学硕士，现任广州德瑞投资有限责任公司副总经理，兼任深圳东 </w:t>
      </w:r>
      <w:r>
        <w:rPr>
          <w:spacing w:val="-2"/>
        </w:rPr>
        <w:t>盈瑞通投资管理合伙企业副总经理。曾在国家开发银行广东省分行、广东金手指投资顾问有限公司、广州市宝鑫控股集团有</w:t>
      </w:r>
      <w:r>
        <w:rPr>
          <w:spacing w:val="-63"/>
        </w:rPr>
        <w:t> </w:t>
      </w:r>
      <w:r>
        <w:rPr>
          <w:spacing w:val="-63"/>
        </w:rPr>
      </w:r>
      <w:r>
        <w:rPr>
          <w:spacing w:val="-2"/>
        </w:rPr>
        <w:t>限公司、君华集团有限公司、广州市英智财华投资有限公司等单位工作，历任业务主管、分析师、总监、总裁助理、副总经</w:t>
      </w:r>
      <w:r>
        <w:rPr>
          <w:spacing w:val="-73"/>
        </w:rPr>
        <w:t> </w:t>
      </w:r>
      <w:r>
        <w:rPr>
          <w:spacing w:val="-73"/>
        </w:rPr>
      </w:r>
      <w:r>
        <w:rPr/>
        <w:t>理等职务。张华先生于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月起担任本公司独立董事。</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月当选为广东电力发展股份有限公司独立董事。</w:t>
      </w:r>
    </w:p>
    <w:p>
      <w:pPr>
        <w:pStyle w:val="BodyText"/>
        <w:spacing w:line="300" w:lineRule="auto" w:before="3"/>
        <w:ind w:right="192" w:firstLine="360"/>
        <w:jc w:val="both"/>
      </w:pPr>
      <w:r>
        <w:rPr/>
        <w:t>（</w:t>
      </w:r>
      <w:r>
        <w:rPr>
          <w:rFonts w:ascii="Times New Roman" w:hAnsi="Times New Roman" w:cs="Times New Roman" w:eastAsia="Times New Roman" w:hint="default"/>
        </w:rPr>
        <w:t>5</w:t>
      </w:r>
      <w:r>
        <w:rPr/>
        <w:t>）徐印州先生：公司独立董事，男，</w:t>
      </w:r>
      <w:r>
        <w:rPr>
          <w:rFonts w:ascii="Times New Roman" w:hAnsi="Times New Roman" w:cs="Times New Roman" w:eastAsia="Times New Roman" w:hint="default"/>
        </w:rPr>
        <w:t>1946</w:t>
      </w:r>
      <w:r>
        <w:rPr/>
        <w:t>年出生，硕士生导师，现任广东商学院教授，广东省商业经济学会会长、 中国商业经济学会副会长、广东省综合改革发展研究院院长。徐印州先生于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月起担任本公司独立董事。</w:t>
      </w:r>
    </w:p>
    <w:p>
      <w:pPr>
        <w:pStyle w:val="BodyText"/>
        <w:spacing w:line="300" w:lineRule="auto" w:before="13"/>
        <w:ind w:right="109" w:firstLine="360"/>
        <w:jc w:val="both"/>
      </w:pPr>
      <w:r>
        <w:rPr>
          <w:spacing w:val="-3"/>
        </w:rPr>
        <w:t>（</w:t>
      </w:r>
      <w:r>
        <w:rPr>
          <w:rFonts w:ascii="Times New Roman" w:hAnsi="Times New Roman" w:cs="Times New Roman" w:eastAsia="Times New Roman" w:hint="default"/>
          <w:spacing w:val="-3"/>
        </w:rPr>
        <w:t>6</w:t>
      </w:r>
      <w:r>
        <w:rPr>
          <w:spacing w:val="-3"/>
        </w:rPr>
        <w:t>）吴宁先生：公司董事（离任），男，</w:t>
      </w:r>
      <w:r>
        <w:rPr>
          <w:rFonts w:ascii="Times New Roman" w:hAnsi="Times New Roman" w:cs="Times New Roman" w:eastAsia="Times New Roman" w:hint="default"/>
          <w:spacing w:val="-3"/>
        </w:rPr>
        <w:t>1972</w:t>
      </w:r>
      <w:r>
        <w:rPr>
          <w:spacing w:val="-3"/>
        </w:rPr>
        <w:t>年生，硕士。</w:t>
      </w:r>
      <w:r>
        <w:rPr>
          <w:rFonts w:ascii="Times New Roman" w:hAnsi="Times New Roman" w:cs="Times New Roman" w:eastAsia="Times New Roman" w:hint="default"/>
          <w:spacing w:val="-3"/>
        </w:rPr>
        <w:t>1993</w:t>
      </w:r>
      <w:r>
        <w:rPr>
          <w:spacing w:val="-3"/>
        </w:rPr>
        <w:t>年</w:t>
      </w:r>
      <w:r>
        <w:rPr>
          <w:rFonts w:ascii="Times New Roman" w:hAnsi="Times New Roman" w:cs="Times New Roman" w:eastAsia="Times New Roman" w:hint="default"/>
          <w:spacing w:val="-3"/>
        </w:rPr>
        <w:t>8</w:t>
      </w:r>
      <w:r>
        <w:rPr>
          <w:spacing w:val="-3"/>
        </w:rPr>
        <w:t>月至</w:t>
      </w:r>
      <w:r>
        <w:rPr>
          <w:rFonts w:ascii="Times New Roman" w:hAnsi="Times New Roman" w:cs="Times New Roman" w:eastAsia="Times New Roman" w:hint="default"/>
          <w:spacing w:val="-3"/>
        </w:rPr>
        <w:t>1997</w:t>
      </w:r>
      <w:r>
        <w:rPr>
          <w:spacing w:val="-3"/>
        </w:rPr>
        <w:t>年</w:t>
      </w:r>
      <w:r>
        <w:rPr>
          <w:rFonts w:ascii="Times New Roman" w:hAnsi="Times New Roman" w:cs="Times New Roman" w:eastAsia="Times New Roman" w:hint="default"/>
          <w:spacing w:val="-3"/>
        </w:rPr>
        <w:t>12</w:t>
      </w:r>
      <w:r>
        <w:rPr>
          <w:spacing w:val="-3"/>
        </w:rPr>
        <w:t>月任职于三星公司，</w:t>
      </w:r>
      <w:r>
        <w:rPr>
          <w:rFonts w:ascii="Times New Roman" w:hAnsi="Times New Roman" w:cs="Times New Roman" w:eastAsia="Times New Roman" w:hint="default"/>
          <w:spacing w:val="-3"/>
        </w:rPr>
        <w:t>1998</w:t>
      </w:r>
      <w:r>
        <w:rPr>
          <w:spacing w:val="-3"/>
        </w:rPr>
        <w:t>年</w:t>
      </w:r>
      <w:r>
        <w:rPr>
          <w:rFonts w:ascii="Times New Roman" w:hAnsi="Times New Roman" w:cs="Times New Roman" w:eastAsia="Times New Roman" w:hint="default"/>
          <w:spacing w:val="-3"/>
        </w:rPr>
        <w:t>1</w:t>
      </w:r>
      <w:r>
        <w:rPr>
          <w:spacing w:val="-3"/>
        </w:rPr>
        <w:t>月至</w:t>
      </w:r>
      <w:r>
        <w:rPr>
          <w:rFonts w:ascii="Times New Roman" w:hAnsi="Times New Roman" w:cs="Times New Roman" w:eastAsia="Times New Roman" w:hint="default"/>
          <w:spacing w:val="-3"/>
        </w:rPr>
        <w:t>2000</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3</w:t>
      </w:r>
      <w:r>
        <w:rPr>
          <w:spacing w:val="-2"/>
        </w:rPr>
        <w:t>月任广州伍尔特有限公司销售人员，</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5</w:t>
      </w:r>
      <w:r>
        <w:rPr>
          <w:spacing w:val="-2"/>
        </w:rPr>
        <w:t>月任广州宝龙特种汽车股份有限公司销售经理。</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9</w:t>
      </w:r>
      <w:r>
        <w:rPr>
          <w:spacing w:val="-2"/>
        </w:rPr>
        <w:t>月加入</w:t>
      </w:r>
      <w:r>
        <w:rPr>
          <w:spacing w:val="-55"/>
        </w:rPr>
        <w:t> </w:t>
      </w:r>
      <w:r>
        <w:rPr>
          <w:spacing w:val="-55"/>
        </w:rPr>
      </w:r>
      <w:r>
        <w:rPr/>
        <w:t>御银有限，</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日当选为公司第三届董事会董事、总经理，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日辞去公司董事职务，现任公司董事长助理。</w:t>
      </w:r>
    </w:p>
    <w:p>
      <w:pPr>
        <w:pStyle w:val="BodyText"/>
        <w:spacing w:line="300" w:lineRule="auto" w:before="13"/>
        <w:ind w:right="190" w:firstLine="288"/>
        <w:jc w:val="both"/>
      </w:pPr>
      <w:r>
        <w:rPr/>
        <w:t>（</w:t>
      </w:r>
      <w:r>
        <w:rPr>
          <w:rFonts w:ascii="Times New Roman" w:hAnsi="Times New Roman" w:cs="Times New Roman" w:eastAsia="Times New Roman" w:hint="default"/>
        </w:rPr>
        <w:t>7</w:t>
      </w:r>
      <w:r>
        <w:rPr/>
        <w:t>）王志杰先生：公司董事（离任），男，</w:t>
      </w:r>
      <w:r>
        <w:rPr>
          <w:rFonts w:ascii="Times New Roman" w:hAnsi="Times New Roman" w:cs="Times New Roman" w:eastAsia="Times New Roman" w:hint="default"/>
        </w:rPr>
        <w:t>1976</w:t>
      </w:r>
      <w:r>
        <w:rPr/>
        <w:t>年生，本科学历，会计师，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6</w:t>
      </w:r>
      <w:r>
        <w:rPr/>
        <w:t>月任广东华美投资集 团有限公司财务主管，</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8</w:t>
      </w:r>
      <w:r>
        <w:rPr/>
        <w:t>月任金鹏通信有限责任公司财务主管。</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8</w:t>
      </w:r>
      <w:r>
        <w:rPr/>
        <w:t>月加入公司，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日辞 去公司董事职务。</w:t>
      </w:r>
    </w:p>
    <w:p>
      <w:pPr>
        <w:spacing w:line="240" w:lineRule="auto" w:before="3"/>
        <w:rPr>
          <w:rFonts w:ascii="宋体" w:hAnsi="宋体" w:cs="宋体" w:eastAsia="宋体" w:hint="default"/>
          <w:sz w:val="26"/>
          <w:szCs w:val="26"/>
        </w:rPr>
      </w:pPr>
    </w:p>
    <w:p>
      <w:pPr>
        <w:pStyle w:val="BodyText"/>
        <w:spacing w:line="240" w:lineRule="auto"/>
        <w:ind w:left="513" w:right="185"/>
        <w:jc w:val="left"/>
      </w:pPr>
      <w:r>
        <w:rPr>
          <w:rFonts w:ascii="Times New Roman" w:hAnsi="Times New Roman" w:cs="Times New Roman" w:eastAsia="Times New Roman" w:hint="default"/>
        </w:rPr>
        <w:t>2</w:t>
      </w:r>
      <w:r>
        <w:rPr/>
        <w:t>、监事</w:t>
      </w:r>
    </w:p>
    <w:p>
      <w:pPr>
        <w:pStyle w:val="BodyText"/>
        <w:spacing w:line="300" w:lineRule="auto" w:before="63"/>
        <w:ind w:right="186" w:firstLine="360"/>
        <w:jc w:val="both"/>
      </w:pPr>
      <w:r>
        <w:rPr/>
        <w:t>（</w:t>
      </w:r>
      <w:r>
        <w:rPr>
          <w:rFonts w:ascii="Times New Roman" w:hAnsi="Times New Roman" w:cs="Times New Roman" w:eastAsia="Times New Roman" w:hint="default"/>
        </w:rPr>
        <w:t>1</w:t>
      </w:r>
      <w:r>
        <w:rPr/>
        <w:t>）梁晓芹女士：公司监事，女，</w:t>
      </w:r>
      <w:r>
        <w:rPr>
          <w:rFonts w:ascii="Times New Roman" w:hAnsi="Times New Roman" w:cs="Times New Roman" w:eastAsia="Times New Roman" w:hint="default"/>
        </w:rPr>
        <w:t>1977</w:t>
      </w:r>
      <w:r>
        <w:rPr/>
        <w:t>年生，贸易经济和工业分析双专业本科学历。</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月任广州市 惠普音响科技有限公司行政人事主管。</w:t>
      </w:r>
      <w:r>
        <w:rPr>
          <w:rFonts w:ascii="Times New Roman" w:hAnsi="Times New Roman" w:cs="Times New Roman" w:eastAsia="Times New Roman" w:hint="default"/>
        </w:rPr>
        <w:t>2001</w:t>
      </w:r>
      <w:r>
        <w:rPr/>
        <w:t>年加入御银有限，现任公司人力资源部人事经理，第四届监事会主席。</w:t>
      </w:r>
    </w:p>
    <w:p>
      <w:pPr>
        <w:pStyle w:val="BodyText"/>
        <w:spacing w:line="300" w:lineRule="auto" w:before="13"/>
        <w:ind w:right="191" w:firstLine="360"/>
        <w:jc w:val="both"/>
      </w:pPr>
      <w:r>
        <w:rPr/>
        <w:t>（</w:t>
      </w:r>
      <w:r>
        <w:rPr>
          <w:rFonts w:ascii="Times New Roman" w:hAnsi="Times New Roman" w:cs="Times New Roman" w:eastAsia="Times New Roman" w:hint="default"/>
        </w:rPr>
        <w:t>2</w:t>
      </w:r>
      <w:r>
        <w:rPr/>
        <w:t>）龚穗娟女士：公司监事，女，</w:t>
      </w:r>
      <w:r>
        <w:rPr>
          <w:rFonts w:ascii="Times New Roman" w:hAnsi="Times New Roman" w:cs="Times New Roman" w:eastAsia="Times New Roman" w:hint="default"/>
        </w:rPr>
        <w:t>1973</w:t>
      </w:r>
      <w:r>
        <w:rPr/>
        <w:t>年生，大专学历。</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11</w:t>
      </w:r>
      <w:r>
        <w:rPr/>
        <w:t>月至今任广州利讯汽车配件有限公司会计，现任公 司股东代表监事。</w:t>
      </w:r>
    </w:p>
    <w:p>
      <w:pPr>
        <w:pStyle w:val="BodyText"/>
        <w:spacing w:line="300" w:lineRule="auto" w:before="31"/>
        <w:ind w:right="191" w:firstLine="360"/>
        <w:jc w:val="both"/>
      </w:pPr>
      <w:r>
        <w:rPr/>
        <w:t>（</w:t>
      </w:r>
      <w:r>
        <w:rPr>
          <w:rFonts w:ascii="Times New Roman" w:hAnsi="Times New Roman" w:cs="Times New Roman" w:eastAsia="Times New Roman" w:hint="default"/>
        </w:rPr>
        <w:t>3</w:t>
      </w:r>
      <w:r>
        <w:rPr/>
        <w:t>）张成虎先生：公司职工代表监事，男，</w:t>
      </w:r>
      <w:r>
        <w:rPr>
          <w:rFonts w:ascii="Times New Roman" w:hAnsi="Times New Roman" w:cs="Times New Roman" w:eastAsia="Times New Roman" w:hint="default"/>
        </w:rPr>
        <w:t>1975</w:t>
      </w:r>
      <w:r>
        <w:rPr/>
        <w:t>年生，高中学历。</w:t>
      </w:r>
      <w:r>
        <w:rPr>
          <w:rFonts w:ascii="Times New Roman" w:hAnsi="Times New Roman" w:cs="Times New Roman" w:eastAsia="Times New Roman" w:hint="default"/>
        </w:rPr>
        <w:t>1997</w:t>
      </w:r>
      <w:r>
        <w:rPr/>
        <w:t>年至</w:t>
      </w:r>
      <w:r>
        <w:rPr>
          <w:rFonts w:ascii="Times New Roman" w:hAnsi="Times New Roman" w:cs="Times New Roman" w:eastAsia="Times New Roman" w:hint="default"/>
        </w:rPr>
        <w:t>2009</w:t>
      </w:r>
      <w:r>
        <w:rPr/>
        <w:t>年在广州宝龙集团有限公司行政部工 作，</w:t>
      </w:r>
      <w:r>
        <w:rPr>
          <w:rFonts w:ascii="Times New Roman" w:hAnsi="Times New Roman" w:cs="Times New Roman" w:eastAsia="Times New Roman" w:hint="default"/>
        </w:rPr>
        <w:t>2009</w:t>
      </w:r>
      <w:r>
        <w:rPr/>
        <w:t>年加入公司，现任公司行政主管、职工代表监事。</w:t>
      </w:r>
    </w:p>
    <w:p>
      <w:pPr>
        <w:spacing w:line="240" w:lineRule="auto" w:before="11"/>
        <w:rPr>
          <w:rFonts w:ascii="宋体" w:hAnsi="宋体" w:cs="宋体" w:eastAsia="宋体" w:hint="default"/>
          <w:sz w:val="24"/>
          <w:szCs w:val="24"/>
        </w:rPr>
      </w:pPr>
    </w:p>
    <w:p>
      <w:pPr>
        <w:pStyle w:val="BodyText"/>
        <w:spacing w:line="240" w:lineRule="auto"/>
        <w:ind w:left="513" w:right="185"/>
        <w:jc w:val="left"/>
      </w:pPr>
      <w:r>
        <w:rPr>
          <w:rFonts w:ascii="Times New Roman" w:hAnsi="Times New Roman" w:cs="Times New Roman" w:eastAsia="Times New Roman" w:hint="default"/>
        </w:rPr>
        <w:t>3</w:t>
      </w:r>
      <w:r>
        <w:rPr/>
        <w:t>、高级管理人员</w:t>
      </w:r>
    </w:p>
    <w:p>
      <w:pPr>
        <w:pStyle w:val="BodyText"/>
        <w:spacing w:line="240" w:lineRule="auto" w:before="63"/>
        <w:ind w:left="513" w:right="185"/>
        <w:jc w:val="left"/>
      </w:pPr>
      <w:r>
        <w:rPr/>
        <w:t>（</w:t>
      </w:r>
      <w:r>
        <w:rPr>
          <w:rFonts w:ascii="Times New Roman" w:hAnsi="Times New Roman" w:cs="Times New Roman" w:eastAsia="Times New Roman" w:hint="default"/>
        </w:rPr>
        <w:t>1</w:t>
      </w:r>
      <w:r>
        <w:rPr/>
        <w:t>）杨文江先生：公司总经理（简历见前述董事介绍）</w:t>
      </w:r>
    </w:p>
    <w:p>
      <w:pPr>
        <w:pStyle w:val="BodyText"/>
        <w:spacing w:line="240" w:lineRule="auto" w:before="63"/>
        <w:ind w:left="513" w:right="185"/>
        <w:jc w:val="left"/>
      </w:pPr>
      <w:r>
        <w:rPr/>
        <w:t>（</w:t>
      </w:r>
      <w:r>
        <w:rPr>
          <w:rFonts w:ascii="Times New Roman" w:hAnsi="Times New Roman" w:cs="Times New Roman" w:eastAsia="Times New Roman" w:hint="default"/>
        </w:rPr>
        <w:t>2</w:t>
      </w:r>
      <w:r>
        <w:rPr/>
        <w:t>）谭骅先生：公司副总经理、董事会秘书（简历见前述董事介绍）</w:t>
      </w:r>
    </w:p>
    <w:p>
      <w:pPr>
        <w:pStyle w:val="BodyText"/>
        <w:spacing w:line="300" w:lineRule="auto" w:before="63"/>
        <w:ind w:right="103" w:firstLine="360"/>
        <w:jc w:val="both"/>
      </w:pPr>
      <w:r>
        <w:rPr/>
        <w:t>（</w:t>
      </w:r>
      <w:r>
        <w:rPr>
          <w:rFonts w:ascii="Times New Roman" w:hAnsi="Times New Roman" w:cs="Times New Roman" w:eastAsia="Times New Roman" w:hint="default"/>
        </w:rPr>
        <w:t>3</w:t>
      </w:r>
      <w:r>
        <w:rPr/>
        <w:t>）高永坚先生：男，</w:t>
      </w:r>
      <w:r>
        <w:rPr>
          <w:rFonts w:ascii="Times New Roman" w:hAnsi="Times New Roman" w:cs="Times New Roman" w:eastAsia="Times New Roman" w:hint="default"/>
        </w:rPr>
        <w:t>1968</w:t>
      </w:r>
      <w:r>
        <w:rPr/>
        <w:t>年生，研究生学历，曾在广州石油化工总厂、君兰国际高尔夫发展有限公司、广州德杏苑 </w:t>
      </w:r>
      <w:r>
        <w:rPr>
          <w:spacing w:val="-4"/>
        </w:rPr>
        <w:t>健康发展有限公司等单位任职，历任市场经理助理、销售部经理、市场部经理等职务，</w:t>
      </w:r>
      <w:r>
        <w:rPr>
          <w:rFonts w:ascii="Times New Roman" w:hAnsi="Times New Roman" w:cs="Times New Roman" w:eastAsia="Times New Roman" w:hint="default"/>
          <w:spacing w:val="-4"/>
        </w:rPr>
        <w:t>2001</w:t>
      </w:r>
      <w:r>
        <w:rPr>
          <w:spacing w:val="-4"/>
        </w:rPr>
        <w:t>年加入公司，现任公司副总经理。</w:t>
      </w:r>
    </w:p>
    <w:p>
      <w:pPr>
        <w:pStyle w:val="BodyText"/>
        <w:spacing w:line="300" w:lineRule="auto" w:before="13"/>
        <w:ind w:right="190" w:firstLine="360"/>
        <w:jc w:val="both"/>
      </w:pPr>
      <w:r>
        <w:rPr>
          <w:spacing w:val="2"/>
        </w:rPr>
        <w:t>（</w:t>
      </w:r>
      <w:r>
        <w:rPr>
          <w:rFonts w:ascii="Times New Roman" w:hAnsi="Times New Roman" w:cs="Times New Roman" w:eastAsia="Times New Roman" w:hint="default"/>
          <w:spacing w:val="2"/>
        </w:rPr>
        <w:t>4</w:t>
      </w:r>
      <w:r>
        <w:rPr>
          <w:spacing w:val="2"/>
        </w:rPr>
        <w:t>）庞泰松先生：男，</w:t>
      </w:r>
      <w:r>
        <w:rPr>
          <w:rFonts w:ascii="Times New Roman" w:hAnsi="Times New Roman" w:cs="Times New Roman" w:eastAsia="Times New Roman" w:hint="default"/>
          <w:spacing w:val="2"/>
        </w:rPr>
        <w:t>1971</w:t>
      </w:r>
      <w:r>
        <w:rPr>
          <w:spacing w:val="2"/>
        </w:rPr>
        <w:t>年生，本科学历，加拿大国籍，曾在广州东方宝龙特种汽车股份有限公司、多伦多</w:t>
      </w:r>
      <w:r>
        <w:rPr>
          <w:rFonts w:ascii="Times New Roman" w:hAnsi="Times New Roman" w:cs="Times New Roman" w:eastAsia="Times New Roman" w:hint="default"/>
          <w:spacing w:val="2"/>
        </w:rPr>
        <w:t>PC24</w:t>
      </w:r>
      <w:r>
        <w:rPr>
          <w:rFonts w:ascii="Times New Roman" w:hAnsi="Times New Roman" w:cs="Times New Roman" w:eastAsia="Times New Roman" w:hint="default"/>
        </w:rPr>
        <w:t> Company</w:t>
      </w:r>
      <w:r>
        <w:rPr/>
        <w:t>、多伦多</w:t>
      </w:r>
      <w:r>
        <w:rPr>
          <w:rFonts w:ascii="Times New Roman" w:hAnsi="Times New Roman" w:cs="Times New Roman" w:eastAsia="Times New Roman" w:hint="default"/>
        </w:rPr>
        <w:t>ROADSPORT</w:t>
      </w:r>
      <w:r>
        <w:rPr/>
        <w:t>本田车行工作，</w:t>
      </w:r>
      <w:r>
        <w:rPr>
          <w:rFonts w:ascii="Times New Roman" w:hAnsi="Times New Roman" w:cs="Times New Roman" w:eastAsia="Times New Roman" w:hint="default"/>
        </w:rPr>
        <w:t>2011</w:t>
      </w:r>
      <w:r>
        <w:rPr/>
        <w:t>年加入公司，现任公司副总经理。</w:t>
      </w:r>
    </w:p>
    <w:p>
      <w:pPr>
        <w:pStyle w:val="BodyText"/>
        <w:spacing w:line="300" w:lineRule="auto" w:before="13"/>
        <w:ind w:right="188" w:firstLine="288"/>
        <w:jc w:val="both"/>
      </w:pPr>
      <w:r>
        <w:rPr/>
        <w:t>（</w:t>
      </w:r>
      <w:r>
        <w:rPr>
          <w:rFonts w:ascii="Times New Roman" w:hAnsi="Times New Roman" w:cs="Times New Roman" w:eastAsia="Times New Roman" w:hint="default"/>
        </w:rPr>
        <w:t>5</w:t>
      </w:r>
      <w:r>
        <w:rPr/>
        <w:t>）徐德银先生：男，</w:t>
      </w:r>
      <w:r>
        <w:rPr>
          <w:rFonts w:ascii="Times New Roman" w:hAnsi="Times New Roman" w:cs="Times New Roman" w:eastAsia="Times New Roman" w:hint="default"/>
        </w:rPr>
        <w:t>1976</w:t>
      </w:r>
      <w:r>
        <w:rPr/>
        <w:t>年生，本科。</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5</w:t>
      </w:r>
      <w:r>
        <w:rPr/>
        <w:t>月任职于雅思商务；</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月任职于广东 金宇恒科技有限公司，担任研发中心经理。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月加入公司，历任公司软件品管部经理、软件总监、客户服务总监，现</w:t>
      </w:r>
      <w:r>
        <w:rPr>
          <w:spacing w:val="-85"/>
        </w:rPr>
        <w:t> </w:t>
      </w:r>
      <w:r>
        <w:rPr>
          <w:spacing w:val="-85"/>
        </w:rPr>
      </w:r>
      <w:r>
        <w:rPr/>
        <w:t>任公司副总经理。</w:t>
      </w:r>
    </w:p>
    <w:p>
      <w:pPr>
        <w:pStyle w:val="BodyText"/>
        <w:spacing w:line="300" w:lineRule="auto" w:before="31"/>
        <w:ind w:right="138" w:firstLine="288"/>
        <w:jc w:val="both"/>
      </w:pPr>
      <w:r>
        <w:rPr/>
        <w:t>（</w:t>
      </w:r>
      <w:r>
        <w:rPr>
          <w:rFonts w:ascii="Times New Roman" w:hAnsi="Times New Roman" w:cs="Times New Roman" w:eastAsia="Times New Roman" w:hint="default"/>
        </w:rPr>
        <w:t>6</w:t>
      </w:r>
      <w:r>
        <w:rPr/>
        <w:t>）陈国军先生：男，</w:t>
      </w:r>
      <w:r>
        <w:rPr>
          <w:rFonts w:ascii="Times New Roman" w:hAnsi="Times New Roman" w:cs="Times New Roman" w:eastAsia="Times New Roman" w:hint="default"/>
        </w:rPr>
        <w:t>1978</w:t>
      </w:r>
      <w:r>
        <w:rPr/>
        <w:t>年生，本科学历，中国注册会计师。</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月任中山大学达安基因股份有限 公司财务主管，</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月任广东大地电影院线有限公司财务经理。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月加入广州御银科技股份有限公司， 现任公司财务总监。</w:t>
      </w:r>
    </w:p>
    <w:p>
      <w:pPr>
        <w:pStyle w:val="BodyText"/>
        <w:spacing w:line="300" w:lineRule="auto" w:before="31"/>
        <w:ind w:right="191" w:firstLine="288"/>
        <w:jc w:val="both"/>
      </w:pPr>
      <w:r>
        <w:rPr>
          <w:spacing w:val="-1"/>
        </w:rPr>
        <w:t>（</w:t>
      </w:r>
      <w:r>
        <w:rPr>
          <w:rFonts w:ascii="Times New Roman" w:hAnsi="Times New Roman" w:cs="Times New Roman" w:eastAsia="Times New Roman" w:hint="default"/>
          <w:spacing w:val="-1"/>
        </w:rPr>
        <w:t>7</w:t>
      </w:r>
      <w:r>
        <w:rPr>
          <w:spacing w:val="-1"/>
        </w:rPr>
        <w:t>）李克福先生：男，</w:t>
      </w:r>
      <w:r>
        <w:rPr>
          <w:rFonts w:ascii="Times New Roman" w:hAnsi="Times New Roman" w:cs="Times New Roman" w:eastAsia="Times New Roman" w:hint="default"/>
          <w:spacing w:val="-1"/>
        </w:rPr>
        <w:t>1968</w:t>
      </w:r>
      <w:r>
        <w:rPr>
          <w:spacing w:val="-1"/>
        </w:rPr>
        <w:t>年生，本科学历，</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4</w:t>
      </w:r>
      <w:r>
        <w:rPr>
          <w:spacing w:val="-1"/>
        </w:rPr>
        <w:t>月加入广州御银科技股份有限公司，历任公司行政主管、行政经</w:t>
      </w:r>
      <w:r>
        <w:rPr/>
        <w:t> 理、行政总监，现任公司公共事务部总监，</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日聘为公司副总经理。</w:t>
      </w:r>
    </w:p>
    <w:p>
      <w:pPr>
        <w:pStyle w:val="BodyText"/>
        <w:spacing w:line="240" w:lineRule="auto" w:before="13"/>
        <w:ind w:left="513" w:right="185"/>
        <w:jc w:val="left"/>
      </w:pPr>
      <w:r>
        <w:rPr/>
        <w:t>（</w:t>
      </w:r>
      <w:r>
        <w:rPr>
          <w:rFonts w:ascii="Times New Roman" w:hAnsi="Times New Roman" w:cs="Times New Roman" w:eastAsia="Times New Roman" w:hint="default"/>
        </w:rPr>
        <w:t>8</w:t>
      </w:r>
      <w:r>
        <w:rPr/>
        <w:t>）吴宁先生：公司总经理（离任，建议见前述董事介绍），</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日辞去公司总经理职务。</w:t>
      </w:r>
    </w:p>
    <w:p>
      <w:pPr>
        <w:pStyle w:val="BodyText"/>
        <w:spacing w:line="300" w:lineRule="auto" w:before="63"/>
        <w:ind w:right="191" w:firstLine="288"/>
        <w:jc w:val="both"/>
      </w:pPr>
      <w:r>
        <w:rPr>
          <w:spacing w:val="-1"/>
        </w:rPr>
        <w:t>（</w:t>
      </w:r>
      <w:r>
        <w:rPr>
          <w:rFonts w:ascii="Times New Roman" w:hAnsi="Times New Roman" w:cs="Times New Roman" w:eastAsia="Times New Roman" w:hint="default"/>
          <w:spacing w:val="-1"/>
        </w:rPr>
        <w:t>9</w:t>
      </w:r>
      <w:r>
        <w:rPr>
          <w:spacing w:val="-1"/>
        </w:rPr>
        <w:t>）王志杰先生：公司副总经理、财务总监（离任，建议见前述董事介绍），</w:t>
      </w:r>
      <w:r>
        <w:rPr>
          <w:rFonts w:ascii="Times New Roman" w:hAnsi="Times New Roman" w:cs="Times New Roman" w:eastAsia="Times New Roman" w:hint="default"/>
          <w:spacing w:val="-1"/>
        </w:rPr>
        <w:t>2012</w:t>
      </w:r>
      <w:r>
        <w:rPr>
          <w:spacing w:val="-1"/>
        </w:rPr>
        <w:t>您</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27</w:t>
      </w:r>
      <w:r>
        <w:rPr>
          <w:spacing w:val="-1"/>
        </w:rPr>
        <w:t>日辞去公司副总经理、财务</w:t>
      </w:r>
      <w:r>
        <w:rPr/>
        <w:t> 总监职务。</w:t>
      </w:r>
    </w:p>
    <w:p>
      <w:pPr>
        <w:spacing w:after="0" w:line="300"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85"/>
        <w:jc w:val="left"/>
      </w:pPr>
      <w:r>
        <w:rPr/>
        <w:t>在股东单位任职情况</w:t>
      </w:r>
    </w:p>
    <w:p>
      <w:pPr>
        <w:pStyle w:val="BodyText"/>
        <w:spacing w:line="240" w:lineRule="auto" w:before="117"/>
        <w:ind w:right="1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2"/>
        <w:gridCol w:w="2977"/>
        <w:gridCol w:w="1136"/>
        <w:gridCol w:w="1699"/>
        <w:gridCol w:w="1561"/>
        <w:gridCol w:w="1349"/>
      </w:tblGrid>
      <w:tr>
        <w:trPr>
          <w:trHeight w:val="710"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0" w:right="60"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11"/>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6" w:hRule="exact"/>
        </w:trPr>
        <w:tc>
          <w:tcPr>
            <w:tcW w:w="85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谭 </w:t>
            </w:r>
            <w:r>
              <w:rPr>
                <w:rFonts w:ascii="宋体" w:hAnsi="宋体" w:cs="宋体" w:eastAsia="宋体" w:hint="default"/>
                <w:spacing w:val="2"/>
                <w:sz w:val="18"/>
                <w:szCs w:val="18"/>
              </w:rPr>
              <w:t> </w:t>
            </w:r>
            <w:r>
              <w:rPr>
                <w:rFonts w:ascii="宋体" w:hAnsi="宋体" w:cs="宋体" w:eastAsia="宋体" w:hint="default"/>
                <w:sz w:val="18"/>
                <w:szCs w:val="18"/>
              </w:rPr>
              <w:t>骅</w:t>
            </w:r>
          </w:p>
        </w:tc>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3"/>
              <w:ind w:right="36"/>
              <w:jc w:val="center"/>
              <w:rPr>
                <w:rFonts w:ascii="宋体" w:hAnsi="宋体" w:cs="宋体" w:eastAsia="宋体" w:hint="default"/>
                <w:sz w:val="18"/>
                <w:szCs w:val="18"/>
              </w:rPr>
            </w:pPr>
            <w:r>
              <w:rPr>
                <w:rFonts w:ascii="宋体" w:hAnsi="宋体" w:cs="宋体" w:eastAsia="宋体" w:hint="default"/>
                <w:sz w:val="18"/>
                <w:szCs w:val="18"/>
              </w:rPr>
              <w:t>广州花都稠州村镇银行股份有限公司</w:t>
            </w:r>
          </w:p>
        </w:tc>
        <w:tc>
          <w:tcPr>
            <w:tcW w:w="113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99"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829" w:type="dxa"/>
            <w:gridSpan w:val="2"/>
            <w:tcBorders>
              <w:top w:val="single" w:sz="4" w:space="0" w:color="000000"/>
              <w:left w:val="single" w:sz="4" w:space="0" w:color="000000"/>
              <w:bottom w:val="single" w:sz="4" w:space="0" w:color="000000"/>
              <w:right w:val="single" w:sz="13" w:space="0" w:color="CCE8CC"/>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在股东单位任职情况的说明</w:t>
            </w:r>
          </w:p>
        </w:tc>
        <w:tc>
          <w:tcPr>
            <w:tcW w:w="5745" w:type="dxa"/>
            <w:gridSpan w:val="4"/>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85"/>
        <w:jc w:val="left"/>
      </w:pPr>
      <w:r>
        <w:rPr/>
        <w:t>在其他单位任职情况</w:t>
      </w:r>
    </w:p>
    <w:p>
      <w:pPr>
        <w:pStyle w:val="BodyText"/>
        <w:spacing w:line="240" w:lineRule="auto" w:before="115"/>
        <w:ind w:right="1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64"/>
        <w:gridCol w:w="2977"/>
        <w:gridCol w:w="1112"/>
        <w:gridCol w:w="1699"/>
        <w:gridCol w:w="1573"/>
        <w:gridCol w:w="1347"/>
      </w:tblGrid>
      <w:tr>
        <w:trPr>
          <w:trHeight w:val="708"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168" w:hRule="exact"/>
        </w:trPr>
        <w:tc>
          <w:tcPr>
            <w:tcW w:w="864" w:type="dxa"/>
            <w:tcBorders>
              <w:top w:val="single" w:sz="4" w:space="0" w:color="000000"/>
              <w:left w:val="single" w:sz="4" w:space="0" w:color="000000"/>
              <w:bottom w:val="nil" w:sz="6" w:space="0" w:color="auto"/>
              <w:right w:val="single" w:sz="4" w:space="0" w:color="000000"/>
            </w:tcBorders>
            <w:shd w:val="clear" w:color="auto" w:fill="CCE8CC"/>
          </w:tcPr>
          <w:p>
            <w:pPr/>
          </w:p>
        </w:tc>
        <w:tc>
          <w:tcPr>
            <w:tcW w:w="2977" w:type="dxa"/>
            <w:tcBorders>
              <w:top w:val="single" w:sz="4" w:space="0" w:color="000000"/>
              <w:left w:val="single" w:sz="4" w:space="0" w:color="000000"/>
              <w:bottom w:val="nil" w:sz="6" w:space="0" w:color="auto"/>
              <w:right w:val="single" w:sz="4" w:space="0" w:color="000000"/>
            </w:tcBorders>
            <w:shd w:val="clear" w:color="auto" w:fill="CCE8CC"/>
          </w:tcPr>
          <w:p>
            <w:pPr/>
          </w:p>
        </w:tc>
        <w:tc>
          <w:tcPr>
            <w:tcW w:w="1112" w:type="dxa"/>
            <w:vMerge w:val="restart"/>
            <w:tcBorders>
              <w:top w:val="single" w:sz="4" w:space="0" w:color="000000"/>
              <w:left w:val="single" w:sz="4" w:space="0" w:color="000000"/>
              <w:right w:val="single" w:sz="4" w:space="0" w:color="000000"/>
            </w:tcBorders>
            <w:shd w:val="clear" w:color="auto" w:fill="CCE8CC"/>
          </w:tcPr>
          <w:p>
            <w:pPr>
              <w:pStyle w:val="TableParagraph"/>
              <w:spacing w:line="316" w:lineRule="auto" w:before="56"/>
              <w:ind w:left="11" w:right="189"/>
              <w:jc w:val="left"/>
              <w:rPr>
                <w:rFonts w:ascii="宋体" w:hAnsi="宋体" w:cs="宋体" w:eastAsia="宋体" w:hint="default"/>
                <w:sz w:val="18"/>
                <w:szCs w:val="18"/>
              </w:rPr>
            </w:pPr>
            <w:r>
              <w:rPr>
                <w:rFonts w:ascii="宋体" w:hAnsi="宋体" w:cs="宋体" w:eastAsia="宋体" w:hint="default"/>
                <w:sz w:val="18"/>
                <w:szCs w:val="18"/>
              </w:rPr>
              <w:t>法定代表人 兼执行董事</w:t>
            </w:r>
          </w:p>
        </w:tc>
        <w:tc>
          <w:tcPr>
            <w:tcW w:w="1699" w:type="dxa"/>
            <w:vMerge w:val="restart"/>
            <w:tcBorders>
              <w:top w:val="single" w:sz="4" w:space="0" w:color="000000"/>
              <w:left w:val="single" w:sz="13" w:space="0" w:color="CCE8CC"/>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7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34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864" w:type="dxa"/>
            <w:tcBorders>
              <w:top w:val="nil" w:sz="6" w:space="0" w:color="auto"/>
              <w:left w:val="single" w:sz="4" w:space="0" w:color="000000"/>
              <w:bottom w:val="nil" w:sz="6" w:space="0" w:color="auto"/>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2977" w:type="dxa"/>
            <w:tcBorders>
              <w:top w:val="nil" w:sz="6" w:space="0" w:color="auto"/>
              <w:left w:val="single" w:sz="4" w:space="0" w:color="000000"/>
              <w:bottom w:val="nil" w:sz="6" w:space="0" w:color="auto"/>
              <w:right w:val="single" w:sz="4" w:space="0" w:color="000000"/>
            </w:tcBorders>
            <w:shd w:val="clear" w:color="auto" w:fill="CCE8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广州御新软件有限公司</w:t>
            </w:r>
          </w:p>
        </w:tc>
        <w:tc>
          <w:tcPr>
            <w:tcW w:w="1112" w:type="dxa"/>
            <w:vMerge/>
            <w:tcBorders>
              <w:left w:val="single" w:sz="4" w:space="0" w:color="000000"/>
              <w:right w:val="single" w:sz="4" w:space="0" w:color="000000"/>
            </w:tcBorders>
            <w:shd w:val="clear" w:color="auto" w:fill="CCE8CC"/>
          </w:tcPr>
          <w:p>
            <w:pPr/>
          </w:p>
        </w:tc>
        <w:tc>
          <w:tcPr>
            <w:tcW w:w="1699" w:type="dxa"/>
            <w:vMerge/>
            <w:tcBorders>
              <w:left w:val="single" w:sz="13" w:space="0" w:color="CCE8CC"/>
              <w:right w:val="single" w:sz="4" w:space="0" w:color="000000"/>
            </w:tcBorders>
          </w:tcPr>
          <w:p>
            <w:pPr/>
          </w:p>
        </w:tc>
        <w:tc>
          <w:tcPr>
            <w:tcW w:w="1573" w:type="dxa"/>
            <w:vMerge/>
            <w:tcBorders>
              <w:left w:val="single" w:sz="4" w:space="0" w:color="000000"/>
              <w:right w:val="single" w:sz="4" w:space="0" w:color="000000"/>
            </w:tcBorders>
          </w:tcPr>
          <w:p>
            <w:pPr/>
          </w:p>
        </w:tc>
        <w:tc>
          <w:tcPr>
            <w:tcW w:w="1347" w:type="dxa"/>
            <w:vMerge/>
            <w:tcBorders>
              <w:left w:val="single" w:sz="4" w:space="0" w:color="000000"/>
              <w:right w:val="single" w:sz="4" w:space="0" w:color="000000"/>
            </w:tcBorders>
          </w:tcPr>
          <w:p>
            <w:pPr/>
          </w:p>
        </w:tc>
      </w:tr>
      <w:tr>
        <w:trPr>
          <w:trHeight w:val="161" w:hRule="exact"/>
        </w:trPr>
        <w:tc>
          <w:tcPr>
            <w:tcW w:w="864" w:type="dxa"/>
            <w:tcBorders>
              <w:top w:val="nil" w:sz="6" w:space="0" w:color="auto"/>
              <w:left w:val="single" w:sz="4" w:space="0" w:color="000000"/>
              <w:bottom w:val="single" w:sz="4" w:space="0" w:color="000000"/>
              <w:right w:val="single" w:sz="4" w:space="0" w:color="000000"/>
            </w:tcBorders>
            <w:shd w:val="clear" w:color="auto" w:fill="CCE8CC"/>
          </w:tcPr>
          <w:p>
            <w:pPr/>
          </w:p>
        </w:tc>
        <w:tc>
          <w:tcPr>
            <w:tcW w:w="2977" w:type="dxa"/>
            <w:tcBorders>
              <w:top w:val="nil" w:sz="6" w:space="0" w:color="auto"/>
              <w:left w:val="single" w:sz="4" w:space="0" w:color="000000"/>
              <w:bottom w:val="single" w:sz="4" w:space="0" w:color="000000"/>
              <w:right w:val="single" w:sz="4" w:space="0" w:color="000000"/>
            </w:tcBorders>
            <w:shd w:val="clear" w:color="auto" w:fill="CCE8CC"/>
          </w:tcPr>
          <w:p>
            <w:pPr/>
          </w:p>
        </w:tc>
        <w:tc>
          <w:tcPr>
            <w:tcW w:w="1112" w:type="dxa"/>
            <w:vMerge/>
            <w:tcBorders>
              <w:left w:val="single" w:sz="4" w:space="0" w:color="000000"/>
              <w:bottom w:val="single" w:sz="4" w:space="0" w:color="000000"/>
              <w:right w:val="single" w:sz="4" w:space="0" w:color="000000"/>
            </w:tcBorders>
            <w:shd w:val="clear" w:color="auto" w:fill="CCE8CC"/>
          </w:tcPr>
          <w:p>
            <w:pPr/>
          </w:p>
        </w:tc>
        <w:tc>
          <w:tcPr>
            <w:tcW w:w="1699" w:type="dxa"/>
            <w:vMerge/>
            <w:tcBorders>
              <w:left w:val="single" w:sz="13" w:space="0" w:color="CCE8CC"/>
              <w:bottom w:val="single" w:sz="4" w:space="0" w:color="000000"/>
              <w:right w:val="single" w:sz="4" w:space="0" w:color="000000"/>
            </w:tcBorders>
          </w:tcPr>
          <w:p>
            <w:pPr/>
          </w:p>
        </w:tc>
        <w:tc>
          <w:tcPr>
            <w:tcW w:w="1573" w:type="dxa"/>
            <w:vMerge/>
            <w:tcBorders>
              <w:left w:val="single" w:sz="4" w:space="0" w:color="000000"/>
              <w:bottom w:val="single" w:sz="4" w:space="0" w:color="000000"/>
              <w:right w:val="single" w:sz="4" w:space="0" w:color="000000"/>
            </w:tcBorders>
          </w:tcPr>
          <w:p>
            <w:pPr/>
          </w:p>
        </w:tc>
        <w:tc>
          <w:tcPr>
            <w:tcW w:w="1347" w:type="dxa"/>
            <w:vMerge/>
            <w:tcBorders>
              <w:left w:val="single" w:sz="4" w:space="0" w:color="000000"/>
              <w:bottom w:val="single" w:sz="4" w:space="0" w:color="000000"/>
              <w:right w:val="single" w:sz="4" w:space="0" w:color="000000"/>
            </w:tcBorders>
          </w:tcPr>
          <w:p>
            <w:pP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c>
          <w:tcPr>
            <w:tcW w:w="111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699"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2" w:hRule="exact"/>
        </w:trPr>
        <w:tc>
          <w:tcPr>
            <w:tcW w:w="864" w:type="dxa"/>
            <w:tcBorders>
              <w:top w:val="single" w:sz="4" w:space="0" w:color="000000"/>
              <w:left w:val="single" w:sz="4" w:space="0" w:color="000000"/>
              <w:bottom w:val="nil" w:sz="6" w:space="0" w:color="auto"/>
              <w:right w:val="single" w:sz="4" w:space="0" w:color="000000"/>
            </w:tcBorders>
            <w:shd w:val="clear" w:color="auto" w:fill="CCE8CC"/>
          </w:tcPr>
          <w:p>
            <w:pPr/>
          </w:p>
        </w:tc>
        <w:tc>
          <w:tcPr>
            <w:tcW w:w="2977" w:type="dxa"/>
            <w:tcBorders>
              <w:top w:val="single" w:sz="4" w:space="0" w:color="000000"/>
              <w:left w:val="single" w:sz="4" w:space="0" w:color="000000"/>
              <w:bottom w:val="nil" w:sz="6" w:space="0" w:color="auto"/>
              <w:right w:val="single" w:sz="4" w:space="0" w:color="000000"/>
            </w:tcBorders>
            <w:shd w:val="clear" w:color="auto" w:fill="CCE8CC"/>
          </w:tcPr>
          <w:p>
            <w:pPr/>
          </w:p>
        </w:tc>
        <w:tc>
          <w:tcPr>
            <w:tcW w:w="1112" w:type="dxa"/>
            <w:vMerge w:val="restart"/>
            <w:tcBorders>
              <w:top w:val="single" w:sz="4" w:space="0" w:color="000000"/>
              <w:left w:val="single" w:sz="4" w:space="0" w:color="000000"/>
              <w:right w:val="single" w:sz="4" w:space="0" w:color="000000"/>
            </w:tcBorders>
            <w:shd w:val="clear" w:color="auto" w:fill="CCE8CC"/>
          </w:tcPr>
          <w:p>
            <w:pPr>
              <w:pStyle w:val="TableParagraph"/>
              <w:spacing w:line="314" w:lineRule="auto" w:before="50"/>
              <w:ind w:left="11" w:right="189"/>
              <w:jc w:val="left"/>
              <w:rPr>
                <w:rFonts w:ascii="宋体" w:hAnsi="宋体" w:cs="宋体" w:eastAsia="宋体" w:hint="default"/>
                <w:sz w:val="18"/>
                <w:szCs w:val="18"/>
              </w:rPr>
            </w:pPr>
            <w:r>
              <w:rPr>
                <w:rFonts w:ascii="宋体" w:hAnsi="宋体" w:cs="宋体" w:eastAsia="宋体" w:hint="default"/>
                <w:sz w:val="18"/>
                <w:szCs w:val="18"/>
              </w:rPr>
              <w:t>法定代表人 兼执行董事</w:t>
            </w:r>
          </w:p>
        </w:tc>
        <w:tc>
          <w:tcPr>
            <w:tcW w:w="1699" w:type="dxa"/>
            <w:vMerge w:val="restart"/>
            <w:tcBorders>
              <w:top w:val="single" w:sz="4" w:space="0" w:color="000000"/>
              <w:left w:val="single" w:sz="13" w:space="0" w:color="CCE8CC"/>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7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4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864" w:type="dxa"/>
            <w:tcBorders>
              <w:top w:val="nil" w:sz="6" w:space="0" w:color="auto"/>
              <w:left w:val="single" w:sz="4" w:space="0" w:color="000000"/>
              <w:bottom w:val="nil" w:sz="6" w:space="0" w:color="auto"/>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2977" w:type="dxa"/>
            <w:tcBorders>
              <w:top w:val="nil" w:sz="6" w:space="0" w:color="auto"/>
              <w:left w:val="single" w:sz="4" w:space="0" w:color="000000"/>
              <w:bottom w:val="nil" w:sz="6" w:space="0" w:color="auto"/>
              <w:right w:val="single" w:sz="4" w:space="0" w:color="000000"/>
            </w:tcBorders>
            <w:shd w:val="clear" w:color="auto" w:fill="CCE8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广州杰萃投资有限公司</w:t>
            </w:r>
          </w:p>
        </w:tc>
        <w:tc>
          <w:tcPr>
            <w:tcW w:w="1112" w:type="dxa"/>
            <w:vMerge/>
            <w:tcBorders>
              <w:left w:val="single" w:sz="4" w:space="0" w:color="000000"/>
              <w:right w:val="single" w:sz="4" w:space="0" w:color="000000"/>
            </w:tcBorders>
            <w:shd w:val="clear" w:color="auto" w:fill="CCE8CC"/>
          </w:tcPr>
          <w:p>
            <w:pPr/>
          </w:p>
        </w:tc>
        <w:tc>
          <w:tcPr>
            <w:tcW w:w="1699" w:type="dxa"/>
            <w:vMerge/>
            <w:tcBorders>
              <w:left w:val="single" w:sz="13" w:space="0" w:color="CCE8CC"/>
              <w:right w:val="single" w:sz="4" w:space="0" w:color="000000"/>
            </w:tcBorders>
          </w:tcPr>
          <w:p>
            <w:pPr/>
          </w:p>
        </w:tc>
        <w:tc>
          <w:tcPr>
            <w:tcW w:w="1573" w:type="dxa"/>
            <w:vMerge/>
            <w:tcBorders>
              <w:left w:val="single" w:sz="4" w:space="0" w:color="000000"/>
              <w:right w:val="single" w:sz="4" w:space="0" w:color="000000"/>
            </w:tcBorders>
          </w:tcPr>
          <w:p>
            <w:pPr/>
          </w:p>
        </w:tc>
        <w:tc>
          <w:tcPr>
            <w:tcW w:w="1347" w:type="dxa"/>
            <w:vMerge/>
            <w:tcBorders>
              <w:left w:val="single" w:sz="4" w:space="0" w:color="000000"/>
              <w:right w:val="single" w:sz="4" w:space="0" w:color="000000"/>
            </w:tcBorders>
          </w:tcPr>
          <w:p>
            <w:pPr/>
          </w:p>
        </w:tc>
      </w:tr>
      <w:tr>
        <w:trPr>
          <w:trHeight w:val="161" w:hRule="exact"/>
        </w:trPr>
        <w:tc>
          <w:tcPr>
            <w:tcW w:w="864" w:type="dxa"/>
            <w:tcBorders>
              <w:top w:val="nil" w:sz="6" w:space="0" w:color="auto"/>
              <w:left w:val="single" w:sz="4" w:space="0" w:color="000000"/>
              <w:bottom w:val="single" w:sz="4" w:space="0" w:color="000000"/>
              <w:right w:val="single" w:sz="4" w:space="0" w:color="000000"/>
            </w:tcBorders>
            <w:shd w:val="clear" w:color="auto" w:fill="CCE8CC"/>
          </w:tcPr>
          <w:p>
            <w:pPr/>
          </w:p>
        </w:tc>
        <w:tc>
          <w:tcPr>
            <w:tcW w:w="2977" w:type="dxa"/>
            <w:tcBorders>
              <w:top w:val="nil" w:sz="6" w:space="0" w:color="auto"/>
              <w:left w:val="single" w:sz="4" w:space="0" w:color="000000"/>
              <w:bottom w:val="single" w:sz="4" w:space="0" w:color="000000"/>
              <w:right w:val="single" w:sz="4" w:space="0" w:color="000000"/>
            </w:tcBorders>
            <w:shd w:val="clear" w:color="auto" w:fill="CCE8CC"/>
          </w:tcPr>
          <w:p>
            <w:pPr/>
          </w:p>
        </w:tc>
        <w:tc>
          <w:tcPr>
            <w:tcW w:w="1112" w:type="dxa"/>
            <w:vMerge/>
            <w:tcBorders>
              <w:left w:val="single" w:sz="4" w:space="0" w:color="000000"/>
              <w:bottom w:val="single" w:sz="4" w:space="0" w:color="000000"/>
              <w:right w:val="single" w:sz="4" w:space="0" w:color="000000"/>
            </w:tcBorders>
            <w:shd w:val="clear" w:color="auto" w:fill="CCE8CC"/>
          </w:tcPr>
          <w:p>
            <w:pPr/>
          </w:p>
        </w:tc>
        <w:tc>
          <w:tcPr>
            <w:tcW w:w="1699" w:type="dxa"/>
            <w:vMerge/>
            <w:tcBorders>
              <w:left w:val="single" w:sz="13" w:space="0" w:color="CCE8CC"/>
              <w:bottom w:val="single" w:sz="4" w:space="0" w:color="000000"/>
              <w:right w:val="single" w:sz="4" w:space="0" w:color="000000"/>
            </w:tcBorders>
          </w:tcPr>
          <w:p>
            <w:pPr/>
          </w:p>
        </w:tc>
        <w:tc>
          <w:tcPr>
            <w:tcW w:w="1573" w:type="dxa"/>
            <w:vMerge/>
            <w:tcBorders>
              <w:left w:val="single" w:sz="4" w:space="0" w:color="000000"/>
              <w:bottom w:val="single" w:sz="4" w:space="0" w:color="000000"/>
              <w:right w:val="single" w:sz="4" w:space="0" w:color="000000"/>
            </w:tcBorders>
          </w:tcPr>
          <w:p>
            <w:pPr/>
          </w:p>
        </w:tc>
        <w:tc>
          <w:tcPr>
            <w:tcW w:w="1347" w:type="dxa"/>
            <w:vMerge/>
            <w:tcBorders>
              <w:left w:val="single" w:sz="4" w:space="0" w:color="000000"/>
              <w:bottom w:val="single" w:sz="4" w:space="0" w:color="000000"/>
              <w:right w:val="single" w:sz="4" w:space="0" w:color="000000"/>
            </w:tcBorders>
          </w:tcPr>
          <w:p>
            <w:pP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c>
          <w:tcPr>
            <w:tcW w:w="111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99"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2" w:hRule="exact"/>
        </w:trPr>
        <w:tc>
          <w:tcPr>
            <w:tcW w:w="864" w:type="dxa"/>
            <w:tcBorders>
              <w:top w:val="single" w:sz="4" w:space="0" w:color="000000"/>
              <w:left w:val="single" w:sz="4" w:space="0" w:color="000000"/>
              <w:bottom w:val="nil" w:sz="6" w:space="0" w:color="auto"/>
              <w:right w:val="single" w:sz="4" w:space="0" w:color="000000"/>
            </w:tcBorders>
            <w:shd w:val="clear" w:color="auto" w:fill="CCE8CC"/>
          </w:tcPr>
          <w:p>
            <w:pPr/>
          </w:p>
        </w:tc>
        <w:tc>
          <w:tcPr>
            <w:tcW w:w="2977" w:type="dxa"/>
            <w:tcBorders>
              <w:top w:val="single" w:sz="4" w:space="0" w:color="000000"/>
              <w:left w:val="single" w:sz="4" w:space="0" w:color="000000"/>
              <w:bottom w:val="nil" w:sz="6" w:space="0" w:color="auto"/>
              <w:right w:val="single" w:sz="4" w:space="0" w:color="000000"/>
            </w:tcBorders>
            <w:shd w:val="clear" w:color="auto" w:fill="CCE8CC"/>
          </w:tcPr>
          <w:p>
            <w:pPr/>
          </w:p>
        </w:tc>
        <w:tc>
          <w:tcPr>
            <w:tcW w:w="1112" w:type="dxa"/>
            <w:vMerge w:val="restart"/>
            <w:tcBorders>
              <w:top w:val="single" w:sz="4" w:space="0" w:color="000000"/>
              <w:left w:val="single" w:sz="4" w:space="0" w:color="000000"/>
              <w:right w:val="single" w:sz="4" w:space="0" w:color="000000"/>
            </w:tcBorders>
            <w:shd w:val="clear" w:color="auto" w:fill="CCE8CC"/>
          </w:tcPr>
          <w:p>
            <w:pPr>
              <w:pStyle w:val="TableParagraph"/>
              <w:spacing w:line="314" w:lineRule="auto" w:before="50"/>
              <w:ind w:left="11" w:right="189"/>
              <w:jc w:val="left"/>
              <w:rPr>
                <w:rFonts w:ascii="宋体" w:hAnsi="宋体" w:cs="宋体" w:eastAsia="宋体" w:hint="default"/>
                <w:sz w:val="18"/>
                <w:szCs w:val="18"/>
              </w:rPr>
            </w:pPr>
            <w:r>
              <w:rPr>
                <w:rFonts w:ascii="宋体" w:hAnsi="宋体" w:cs="宋体" w:eastAsia="宋体" w:hint="default"/>
                <w:sz w:val="18"/>
                <w:szCs w:val="18"/>
              </w:rPr>
              <w:t>法定代表人 兼执行董事</w:t>
            </w:r>
          </w:p>
        </w:tc>
        <w:tc>
          <w:tcPr>
            <w:tcW w:w="1699" w:type="dxa"/>
            <w:vMerge w:val="restart"/>
            <w:tcBorders>
              <w:top w:val="single" w:sz="4" w:space="0" w:color="000000"/>
              <w:left w:val="single" w:sz="13" w:space="0" w:color="CCE8CC"/>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7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34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864" w:type="dxa"/>
            <w:tcBorders>
              <w:top w:val="nil" w:sz="6" w:space="0" w:color="auto"/>
              <w:left w:val="single" w:sz="4" w:space="0" w:color="000000"/>
              <w:bottom w:val="nil" w:sz="6" w:space="0" w:color="auto"/>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庞泰松</w:t>
            </w:r>
          </w:p>
        </w:tc>
        <w:tc>
          <w:tcPr>
            <w:tcW w:w="2977" w:type="dxa"/>
            <w:tcBorders>
              <w:top w:val="nil" w:sz="6" w:space="0" w:color="auto"/>
              <w:left w:val="single" w:sz="4" w:space="0" w:color="000000"/>
              <w:bottom w:val="nil" w:sz="6" w:space="0" w:color="auto"/>
              <w:right w:val="single" w:sz="4" w:space="0" w:color="000000"/>
            </w:tcBorders>
            <w:shd w:val="clear" w:color="auto" w:fill="CCE8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广州御银自动柜员机技术有限公司</w:t>
            </w:r>
          </w:p>
        </w:tc>
        <w:tc>
          <w:tcPr>
            <w:tcW w:w="1112" w:type="dxa"/>
            <w:vMerge/>
            <w:tcBorders>
              <w:left w:val="single" w:sz="4" w:space="0" w:color="000000"/>
              <w:right w:val="single" w:sz="4" w:space="0" w:color="000000"/>
            </w:tcBorders>
            <w:shd w:val="clear" w:color="auto" w:fill="CCE8CC"/>
          </w:tcPr>
          <w:p>
            <w:pPr/>
          </w:p>
        </w:tc>
        <w:tc>
          <w:tcPr>
            <w:tcW w:w="1699" w:type="dxa"/>
            <w:vMerge/>
            <w:tcBorders>
              <w:left w:val="single" w:sz="13" w:space="0" w:color="CCE8CC"/>
              <w:right w:val="single" w:sz="4" w:space="0" w:color="000000"/>
            </w:tcBorders>
          </w:tcPr>
          <w:p>
            <w:pPr/>
          </w:p>
        </w:tc>
        <w:tc>
          <w:tcPr>
            <w:tcW w:w="1573" w:type="dxa"/>
            <w:vMerge/>
            <w:tcBorders>
              <w:left w:val="single" w:sz="4" w:space="0" w:color="000000"/>
              <w:right w:val="single" w:sz="4" w:space="0" w:color="000000"/>
            </w:tcBorders>
          </w:tcPr>
          <w:p>
            <w:pPr/>
          </w:p>
        </w:tc>
        <w:tc>
          <w:tcPr>
            <w:tcW w:w="1347" w:type="dxa"/>
            <w:vMerge/>
            <w:tcBorders>
              <w:left w:val="single" w:sz="4" w:space="0" w:color="000000"/>
              <w:right w:val="single" w:sz="4" w:space="0" w:color="000000"/>
            </w:tcBorders>
          </w:tcPr>
          <w:p>
            <w:pPr/>
          </w:p>
        </w:tc>
      </w:tr>
      <w:tr>
        <w:trPr>
          <w:trHeight w:val="161" w:hRule="exact"/>
        </w:trPr>
        <w:tc>
          <w:tcPr>
            <w:tcW w:w="864" w:type="dxa"/>
            <w:tcBorders>
              <w:top w:val="nil" w:sz="6" w:space="0" w:color="auto"/>
              <w:left w:val="single" w:sz="4" w:space="0" w:color="000000"/>
              <w:bottom w:val="single" w:sz="4" w:space="0" w:color="000000"/>
              <w:right w:val="single" w:sz="4" w:space="0" w:color="000000"/>
            </w:tcBorders>
            <w:shd w:val="clear" w:color="auto" w:fill="CCE8CC"/>
          </w:tcPr>
          <w:p>
            <w:pPr/>
          </w:p>
        </w:tc>
        <w:tc>
          <w:tcPr>
            <w:tcW w:w="2977" w:type="dxa"/>
            <w:tcBorders>
              <w:top w:val="nil" w:sz="6" w:space="0" w:color="auto"/>
              <w:left w:val="single" w:sz="4" w:space="0" w:color="000000"/>
              <w:bottom w:val="single" w:sz="4" w:space="0" w:color="000000"/>
              <w:right w:val="single" w:sz="4" w:space="0" w:color="000000"/>
            </w:tcBorders>
            <w:shd w:val="clear" w:color="auto" w:fill="CCE8CC"/>
          </w:tcPr>
          <w:p>
            <w:pPr/>
          </w:p>
        </w:tc>
        <w:tc>
          <w:tcPr>
            <w:tcW w:w="1112" w:type="dxa"/>
            <w:vMerge/>
            <w:tcBorders>
              <w:left w:val="single" w:sz="4" w:space="0" w:color="000000"/>
              <w:bottom w:val="single" w:sz="4" w:space="0" w:color="000000"/>
              <w:right w:val="single" w:sz="4" w:space="0" w:color="000000"/>
            </w:tcBorders>
            <w:shd w:val="clear" w:color="auto" w:fill="CCE8CC"/>
          </w:tcPr>
          <w:p>
            <w:pPr/>
          </w:p>
        </w:tc>
        <w:tc>
          <w:tcPr>
            <w:tcW w:w="1699" w:type="dxa"/>
            <w:vMerge/>
            <w:tcBorders>
              <w:left w:val="single" w:sz="13" w:space="0" w:color="CCE8CC"/>
              <w:bottom w:val="single" w:sz="4" w:space="0" w:color="000000"/>
              <w:right w:val="single" w:sz="4" w:space="0" w:color="000000"/>
            </w:tcBorders>
          </w:tcPr>
          <w:p>
            <w:pPr/>
          </w:p>
        </w:tc>
        <w:tc>
          <w:tcPr>
            <w:tcW w:w="1573" w:type="dxa"/>
            <w:vMerge/>
            <w:tcBorders>
              <w:left w:val="single" w:sz="4" w:space="0" w:color="000000"/>
              <w:bottom w:val="single" w:sz="4" w:space="0" w:color="000000"/>
              <w:right w:val="single" w:sz="4" w:space="0" w:color="000000"/>
            </w:tcBorders>
          </w:tcPr>
          <w:p>
            <w:pPr/>
          </w:p>
        </w:tc>
        <w:tc>
          <w:tcPr>
            <w:tcW w:w="1347" w:type="dxa"/>
            <w:vMerge/>
            <w:tcBorders>
              <w:left w:val="single" w:sz="4" w:space="0" w:color="000000"/>
              <w:bottom w:val="single" w:sz="4" w:space="0" w:color="000000"/>
              <w:right w:val="single" w:sz="4" w:space="0" w:color="000000"/>
            </w:tcBorders>
          </w:tcPr>
          <w:p>
            <w:pP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石本仁</w:t>
            </w:r>
          </w:p>
        </w:tc>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暨南大学</w:t>
            </w:r>
          </w:p>
        </w:tc>
        <w:tc>
          <w:tcPr>
            <w:tcW w:w="111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699"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石本仁</w:t>
            </w:r>
          </w:p>
        </w:tc>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广州发展实业控股集团股份有限公司</w:t>
            </w:r>
          </w:p>
        </w:tc>
        <w:tc>
          <w:tcPr>
            <w:tcW w:w="111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99"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华</w:t>
            </w:r>
          </w:p>
        </w:tc>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广东电力发展股份有限公司</w:t>
            </w:r>
          </w:p>
        </w:tc>
        <w:tc>
          <w:tcPr>
            <w:tcW w:w="111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99"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华</w:t>
            </w:r>
          </w:p>
        </w:tc>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广州德瑞投资有限责任公司</w:t>
            </w:r>
          </w:p>
        </w:tc>
        <w:tc>
          <w:tcPr>
            <w:tcW w:w="111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699"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华</w:t>
            </w:r>
          </w:p>
        </w:tc>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深圳东盈瑞通投资管理合伙企业</w:t>
            </w:r>
          </w:p>
        </w:tc>
        <w:tc>
          <w:tcPr>
            <w:tcW w:w="111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699"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徐印州</w:t>
            </w:r>
          </w:p>
        </w:tc>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广东商学院</w:t>
            </w:r>
          </w:p>
        </w:tc>
        <w:tc>
          <w:tcPr>
            <w:tcW w:w="111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699"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841" w:type="dxa"/>
            <w:gridSpan w:val="2"/>
            <w:tcBorders>
              <w:top w:val="single" w:sz="4" w:space="0" w:color="000000"/>
              <w:left w:val="single" w:sz="4" w:space="0" w:color="000000"/>
              <w:bottom w:val="single" w:sz="4" w:space="0" w:color="000000"/>
              <w:right w:val="single" w:sz="13" w:space="0" w:color="CCE8CC"/>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在股东单位任职情况的说明</w:t>
            </w:r>
          </w:p>
        </w:tc>
        <w:tc>
          <w:tcPr>
            <w:tcW w:w="5730" w:type="dxa"/>
            <w:gridSpan w:val="4"/>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2"/>
        <w:spacing w:line="240" w:lineRule="auto" w:before="26"/>
        <w:ind w:right="185"/>
        <w:jc w:val="left"/>
        <w:rPr>
          <w:b w:val="0"/>
          <w:bCs w:val="0"/>
        </w:rPr>
      </w:pPr>
      <w:r>
        <w:rPr/>
        <w:t>三、董事、监事、高级管理人员报酬情况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185" w:hanging="361"/>
        <w:jc w:val="left"/>
      </w:pPr>
      <w:r>
        <w:rPr/>
        <w:t>董事、监事、高级管理人员报酬的决策程序、确定依据 </w:t>
      </w:r>
      <w:r>
        <w:rPr>
          <w:spacing w:val="-2"/>
        </w:rPr>
        <w:t>在公司任职的内部董事、监事和高级管理人员按其行政岗位及职务，根据公司现行的工资制度领取薪酬，高级管理人员</w:t>
      </w:r>
    </w:p>
    <w:p>
      <w:pPr>
        <w:pStyle w:val="BodyText"/>
        <w:spacing w:line="236" w:lineRule="exact"/>
        <w:ind w:right="0"/>
        <w:jc w:val="left"/>
      </w:pPr>
      <w:r>
        <w:rPr/>
        <w:t>实行年薪制，年薪与年度经营指标完成情况挂钩。经公司董事会、股东大会审议批准，公司独立董事津贴为</w:t>
      </w:r>
      <w:r>
        <w:rPr>
          <w:rFonts w:ascii="Times New Roman" w:hAnsi="Times New Roman" w:cs="Times New Roman" w:eastAsia="Times New Roman" w:hint="default"/>
        </w:rPr>
        <w:t>6</w:t>
      </w:r>
      <w:r>
        <w:rPr/>
        <w:t>万元</w:t>
      </w:r>
      <w:r>
        <w:rPr>
          <w:rFonts w:ascii="Times New Roman" w:hAnsi="Times New Roman" w:cs="Times New Roman" w:eastAsia="Times New Roman" w:hint="default"/>
        </w:rPr>
        <w:t>/</w:t>
      </w:r>
      <w:r>
        <w:rPr/>
        <w:t>年</w:t>
      </w:r>
      <w:r>
        <w:rPr>
          <w:rFonts w:ascii="Times New Roman" w:hAnsi="Times New Roman" w:cs="Times New Roman" w:eastAsia="Times New Roman" w:hint="default"/>
        </w:rPr>
        <w:t>(</w:t>
      </w:r>
      <w:r>
        <w:rPr/>
        <w:t>税前</w:t>
      </w:r>
      <w:r>
        <w:rPr>
          <w:rFonts w:ascii="Times New Roman" w:hAnsi="Times New Roman" w:cs="Times New Roman" w:eastAsia="Times New Roman" w:hint="default"/>
        </w:rPr>
        <w:t>)</w:t>
      </w:r>
      <w:r>
        <w:rPr/>
        <w:t>，</w:t>
      </w:r>
    </w:p>
    <w:p>
      <w:pPr>
        <w:pStyle w:val="BodyText"/>
        <w:spacing w:line="319" w:lineRule="auto" w:before="63"/>
        <w:ind w:right="185"/>
        <w:jc w:val="left"/>
      </w:pPr>
      <w:r>
        <w:rPr>
          <w:spacing w:val="-2"/>
        </w:rPr>
        <w:t>独立董事津贴均按具体任职时间及规定发放。董事、监事、高级管理人员为参加会议发生的差旅费、办公费等履职费用由公</w:t>
      </w:r>
      <w:r>
        <w:rPr>
          <w:spacing w:val="-66"/>
        </w:rPr>
        <w:t> </w:t>
      </w:r>
      <w:r>
        <w:rPr>
          <w:spacing w:val="-66"/>
        </w:rPr>
      </w:r>
      <w:r>
        <w:rPr/>
        <w:t>司承担。</w:t>
      </w:r>
    </w:p>
    <w:p>
      <w:pPr>
        <w:pStyle w:val="BodyText"/>
        <w:spacing w:line="240" w:lineRule="auto" w:before="58"/>
        <w:ind w:right="185"/>
        <w:jc w:val="left"/>
      </w:pPr>
      <w:r>
        <w:rPr/>
        <w:t>公司报告期内董事、监事和高级管理人员报酬情况</w:t>
      </w:r>
    </w:p>
    <w:p>
      <w:pPr>
        <w:pStyle w:val="BodyText"/>
        <w:spacing w:line="240" w:lineRule="auto" w:before="115"/>
        <w:ind w:left="0" w:right="19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925"/>
        <w:gridCol w:w="708"/>
        <w:gridCol w:w="708"/>
        <w:gridCol w:w="852"/>
        <w:gridCol w:w="1392"/>
        <w:gridCol w:w="1395"/>
        <w:gridCol w:w="1395"/>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2" w:right="59" w:hanging="180"/>
              <w:jc w:val="left"/>
              <w:rPr>
                <w:rFonts w:ascii="宋体" w:hAnsi="宋体" w:cs="宋体" w:eastAsia="宋体" w:hint="default"/>
                <w:sz w:val="18"/>
                <w:szCs w:val="18"/>
              </w:rPr>
            </w:pPr>
            <w:r>
              <w:rPr>
                <w:rFonts w:ascii="宋体" w:hAnsi="宋体" w:cs="宋体" w:eastAsia="宋体" w:hint="default"/>
                <w:sz w:val="18"/>
                <w:szCs w:val="18"/>
              </w:rPr>
              <w:t>从公司获得的应 付报酬总额</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2" w:right="62" w:hanging="180"/>
              <w:jc w:val="left"/>
              <w:rPr>
                <w:rFonts w:ascii="宋体" w:hAnsi="宋体" w:cs="宋体" w:eastAsia="宋体" w:hint="default"/>
                <w:sz w:val="18"/>
                <w:szCs w:val="18"/>
              </w:rPr>
            </w:pPr>
            <w:r>
              <w:rPr>
                <w:rFonts w:ascii="宋体" w:hAnsi="宋体" w:cs="宋体" w:eastAsia="宋体" w:hint="default"/>
                <w:sz w:val="18"/>
                <w:szCs w:val="18"/>
              </w:rPr>
              <w:t>从股东单位获得 的报酬总额</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22" w:right="60" w:hanging="360"/>
              <w:jc w:val="left"/>
              <w:rPr>
                <w:rFonts w:ascii="宋体" w:hAnsi="宋体" w:cs="宋体" w:eastAsia="宋体" w:hint="default"/>
                <w:sz w:val="18"/>
                <w:szCs w:val="18"/>
              </w:rPr>
            </w:pPr>
            <w:r>
              <w:rPr>
                <w:rFonts w:ascii="宋体" w:hAnsi="宋体" w:cs="宋体" w:eastAsia="宋体" w:hint="default"/>
                <w:sz w:val="18"/>
                <w:szCs w:val="18"/>
              </w:rPr>
              <w:t>报告期末实际获 得报酬</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192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708"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45.85</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45.85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4"/>
        <w:gridCol w:w="1913"/>
        <w:gridCol w:w="720"/>
        <w:gridCol w:w="708"/>
        <w:gridCol w:w="852"/>
        <w:gridCol w:w="1392"/>
        <w:gridCol w:w="1395"/>
        <w:gridCol w:w="1395"/>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谭 </w:t>
            </w:r>
            <w:r>
              <w:rPr>
                <w:rFonts w:ascii="宋体" w:hAnsi="宋体" w:cs="宋体" w:eastAsia="宋体" w:hint="default"/>
                <w:spacing w:val="2"/>
                <w:sz w:val="18"/>
                <w:szCs w:val="18"/>
              </w:rPr>
              <w:t> </w:t>
            </w:r>
            <w:r>
              <w:rPr>
                <w:rFonts w:ascii="宋体" w:hAnsi="宋体" w:cs="宋体" w:eastAsia="宋体" w:hint="default"/>
                <w:sz w:val="18"/>
                <w:szCs w:val="18"/>
              </w:rPr>
              <w:t>骅</w:t>
            </w:r>
          </w:p>
        </w:tc>
        <w:tc>
          <w:tcPr>
            <w:tcW w:w="191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9"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董事、副总经理、董事 会秘书</w:t>
            </w:r>
          </w:p>
        </w:tc>
        <w:tc>
          <w:tcPr>
            <w:tcW w:w="720"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41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34.44</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34.44</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徐印州</w:t>
            </w:r>
          </w:p>
        </w:tc>
        <w:tc>
          <w:tcPr>
            <w:tcW w:w="191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20"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9" w:right="0"/>
              <w:jc w:val="left"/>
              <w:rPr>
                <w:rFonts w:ascii="Times New Roman" w:hAnsi="Times New Roman" w:cs="Times New Roman" w:eastAsia="Times New Roman" w:hint="default"/>
                <w:sz w:val="18"/>
                <w:szCs w:val="18"/>
              </w:rPr>
            </w:pPr>
            <w:r>
              <w:rPr>
                <w:rFonts w:ascii="Times New Roman"/>
                <w:sz w:val="18"/>
              </w:rPr>
              <w:t>67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0.34</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0.34</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石本仁</w:t>
            </w:r>
          </w:p>
        </w:tc>
        <w:tc>
          <w:tcPr>
            <w:tcW w:w="191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20"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49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华</w:t>
            </w:r>
          </w:p>
        </w:tc>
        <w:tc>
          <w:tcPr>
            <w:tcW w:w="191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20"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9" w:right="0"/>
              <w:jc w:val="left"/>
              <w:rPr>
                <w:rFonts w:ascii="Times New Roman" w:hAnsi="Times New Roman" w:cs="Times New Roman" w:eastAsia="Times New Roman" w:hint="default"/>
                <w:sz w:val="18"/>
                <w:szCs w:val="18"/>
              </w:rPr>
            </w:pPr>
            <w:r>
              <w:rPr>
                <w:rFonts w:ascii="Times New Roman"/>
                <w:sz w:val="18"/>
              </w:rPr>
              <w:t>48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梁晓芹</w:t>
            </w:r>
          </w:p>
        </w:tc>
        <w:tc>
          <w:tcPr>
            <w:tcW w:w="191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20"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19.44</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19.44</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龚穗娟</w:t>
            </w:r>
          </w:p>
        </w:tc>
        <w:tc>
          <w:tcPr>
            <w:tcW w:w="191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20"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9" w:right="0"/>
              <w:jc w:val="left"/>
              <w:rPr>
                <w:rFonts w:ascii="Times New Roman" w:hAnsi="Times New Roman" w:cs="Times New Roman" w:eastAsia="Times New Roman" w:hint="default"/>
                <w:sz w:val="18"/>
                <w:szCs w:val="18"/>
              </w:rPr>
            </w:pPr>
            <w:r>
              <w:rPr>
                <w:rFonts w:ascii="Times New Roman"/>
                <w:sz w:val="18"/>
              </w:rPr>
              <w:t>40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1.2</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张成虎</w:t>
            </w:r>
          </w:p>
        </w:tc>
        <w:tc>
          <w:tcPr>
            <w:tcW w:w="191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20"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38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9.4</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庞泰松</w:t>
            </w:r>
          </w:p>
        </w:tc>
        <w:tc>
          <w:tcPr>
            <w:tcW w:w="191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20"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9" w:right="0"/>
              <w:jc w:val="left"/>
              <w:rPr>
                <w:rFonts w:ascii="Times New Roman" w:hAnsi="Times New Roman" w:cs="Times New Roman" w:eastAsia="Times New Roman" w:hint="default"/>
                <w:sz w:val="18"/>
                <w:szCs w:val="18"/>
              </w:rPr>
            </w:pPr>
            <w:r>
              <w:rPr>
                <w:rFonts w:ascii="Times New Roman"/>
                <w:sz w:val="18"/>
              </w:rPr>
              <w:t>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30.4</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30.4</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191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20"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35.53</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35.53</w:t>
            </w:r>
          </w:p>
        </w:tc>
      </w:tr>
      <w:tr>
        <w:trPr>
          <w:trHeight w:val="404"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徐德银</w:t>
            </w:r>
          </w:p>
        </w:tc>
        <w:tc>
          <w:tcPr>
            <w:tcW w:w="191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20"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52"/>
              <w:ind w:left="2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59" w:right="0"/>
              <w:jc w:val="left"/>
              <w:rPr>
                <w:rFonts w:ascii="Times New Roman" w:hAnsi="Times New Roman" w:cs="Times New Roman" w:eastAsia="Times New Roman" w:hint="default"/>
                <w:sz w:val="18"/>
                <w:szCs w:val="18"/>
              </w:rPr>
            </w:pPr>
            <w:r>
              <w:rPr>
                <w:rFonts w:ascii="Times New Roman"/>
                <w:sz w:val="18"/>
              </w:rPr>
              <w:t>37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42.92</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42.92</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191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20"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25.07</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25.07</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李克福</w:t>
            </w:r>
          </w:p>
        </w:tc>
        <w:tc>
          <w:tcPr>
            <w:tcW w:w="191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20"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9" w:right="0"/>
              <w:jc w:val="left"/>
              <w:rPr>
                <w:rFonts w:ascii="Times New Roman" w:hAnsi="Times New Roman" w:cs="Times New Roman" w:eastAsia="Times New Roman" w:hint="default"/>
                <w:sz w:val="18"/>
                <w:szCs w:val="18"/>
              </w:rPr>
            </w:pPr>
            <w:r>
              <w:rPr>
                <w:rFonts w:ascii="Times New Roman"/>
                <w:sz w:val="18"/>
              </w:rPr>
              <w:t>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20.99</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20.99</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吴宁</w:t>
            </w:r>
          </w:p>
        </w:tc>
        <w:tc>
          <w:tcPr>
            <w:tcW w:w="191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离任</w:t>
            </w:r>
            <w:r>
              <w:rPr>
                <w:rFonts w:ascii="Times New Roman" w:hAnsi="Times New Roman" w:cs="Times New Roman" w:eastAsia="Times New Roman" w:hint="default"/>
                <w:sz w:val="18"/>
                <w:szCs w:val="18"/>
              </w:rPr>
              <w:t>)</w:t>
            </w:r>
          </w:p>
        </w:tc>
        <w:tc>
          <w:tcPr>
            <w:tcW w:w="720"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41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48.07</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48.07</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王志杰</w:t>
            </w:r>
          </w:p>
        </w:tc>
        <w:tc>
          <w:tcPr>
            <w:tcW w:w="191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4" w:lineRule="auto" w:before="51"/>
              <w:ind w:left="23"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董事、副总经理、财务 总监</w:t>
            </w:r>
            <w:r>
              <w:rPr>
                <w:rFonts w:ascii="Times New Roman" w:hAnsi="Times New Roman" w:cs="Times New Roman" w:eastAsia="Times New Roman" w:hint="default"/>
                <w:sz w:val="18"/>
                <w:szCs w:val="18"/>
              </w:rPr>
              <w:t>(</w:t>
            </w:r>
            <w:r>
              <w:rPr>
                <w:rFonts w:ascii="宋体" w:hAnsi="宋体" w:cs="宋体" w:eastAsia="宋体" w:hint="default"/>
                <w:sz w:val="18"/>
                <w:szCs w:val="18"/>
              </w:rPr>
              <w:t>离任</w:t>
            </w:r>
            <w:r>
              <w:rPr>
                <w:rFonts w:ascii="Times New Roman" w:hAnsi="Times New Roman" w:cs="Times New Roman" w:eastAsia="Times New Roman" w:hint="default"/>
                <w:sz w:val="18"/>
                <w:szCs w:val="18"/>
              </w:rPr>
              <w:t>)</w:t>
            </w:r>
          </w:p>
        </w:tc>
        <w:tc>
          <w:tcPr>
            <w:tcW w:w="720" w:type="dxa"/>
            <w:tcBorders>
              <w:top w:val="single" w:sz="4" w:space="0" w:color="000000"/>
              <w:left w:val="single" w:sz="13" w:space="0" w:color="CCE8C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37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58.87</w:t>
            </w:r>
          </w:p>
        </w:tc>
        <w:tc>
          <w:tcPr>
            <w:tcW w:w="1395"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58.87</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384.52</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384.52</w:t>
            </w:r>
          </w:p>
        </w:tc>
      </w:tr>
    </w:tbl>
    <w:p>
      <w:pPr>
        <w:pStyle w:val="BodyText"/>
        <w:spacing w:line="240" w:lineRule="auto" w:before="49"/>
        <w:ind w:right="144"/>
        <w:jc w:val="left"/>
      </w:pPr>
      <w:r>
        <w:rPr/>
        <w:t>公司董事、监事、高级管理人员报告期内被授予的股权激励情况</w:t>
      </w:r>
    </w:p>
    <w:p>
      <w:pPr>
        <w:pStyle w:val="BodyText"/>
        <w:spacing w:line="240" w:lineRule="auto" w:before="115"/>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816"/>
        <w:gridCol w:w="1277"/>
        <w:gridCol w:w="850"/>
        <w:gridCol w:w="886"/>
        <w:gridCol w:w="958"/>
        <w:gridCol w:w="958"/>
        <w:gridCol w:w="958"/>
      </w:tblGrid>
      <w:tr>
        <w:trPr>
          <w:trHeight w:val="102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9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9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2" w:right="20" w:hanging="89"/>
              <w:jc w:val="left"/>
              <w:rPr>
                <w:rFonts w:ascii="宋体" w:hAnsi="宋体" w:cs="宋体" w:eastAsia="宋体" w:hint="default"/>
                <w:sz w:val="18"/>
                <w:szCs w:val="18"/>
              </w:rPr>
            </w:pPr>
            <w:r>
              <w:rPr>
                <w:rFonts w:ascii="宋体" w:hAnsi="宋体" w:cs="宋体" w:eastAsia="宋体" w:hint="default"/>
                <w:sz w:val="18"/>
                <w:szCs w:val="18"/>
              </w:rPr>
              <w:t>报告期内可 行权股数</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 w:right="41"/>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3"/>
              <w:jc w:val="both"/>
              <w:rPr>
                <w:rFonts w:ascii="宋体" w:hAnsi="宋体" w:cs="宋体" w:eastAsia="宋体" w:hint="default"/>
                <w:sz w:val="18"/>
                <w:szCs w:val="18"/>
              </w:rPr>
            </w:pPr>
            <w:r>
              <w:rPr>
                <w:rFonts w:ascii="宋体" w:hAnsi="宋体" w:cs="宋体" w:eastAsia="宋体" w:hint="default"/>
                <w:sz w:val="18"/>
                <w:szCs w:val="18"/>
              </w:rPr>
              <w:t>报告期内已行 权股数行权价 格（元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35" w:right="33"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4"/>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19"/>
              <w:ind w:left="88"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403" w:hRule="exact"/>
        </w:trPr>
        <w:tc>
          <w:tcPr>
            <w:tcW w:w="95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吴 </w:t>
            </w:r>
            <w:r>
              <w:rPr>
                <w:rFonts w:ascii="宋体" w:hAnsi="宋体" w:cs="宋体" w:eastAsia="宋体" w:hint="default"/>
                <w:spacing w:val="2"/>
                <w:sz w:val="18"/>
                <w:szCs w:val="18"/>
              </w:rPr>
              <w:t> </w:t>
            </w:r>
            <w:r>
              <w:rPr>
                <w:rFonts w:ascii="宋体" w:hAnsi="宋体" w:cs="宋体" w:eastAsia="宋体" w:hint="default"/>
                <w:sz w:val="18"/>
                <w:szCs w:val="18"/>
              </w:rPr>
              <w:t>宁</w:t>
            </w:r>
          </w:p>
        </w:tc>
        <w:tc>
          <w:tcPr>
            <w:tcW w:w="95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董事长助理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5.12</w:t>
            </w:r>
          </w:p>
        </w:tc>
        <w:tc>
          <w:tcPr>
            <w:tcW w:w="88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5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王志杰</w:t>
            </w:r>
          </w:p>
        </w:tc>
        <w:tc>
          <w:tcPr>
            <w:tcW w:w="95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00" w:lineRule="auto" w:before="49"/>
              <w:ind w:left="24" w:right="82"/>
              <w:jc w:val="both"/>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 经理</w:t>
            </w:r>
            <w:r>
              <w:rPr>
                <w:rFonts w:ascii="Times New Roman" w:hAnsi="Times New Roman" w:cs="Times New Roman" w:eastAsia="Times New Roman" w:hint="default"/>
                <w:sz w:val="18"/>
                <w:szCs w:val="18"/>
              </w:rPr>
              <w:t>;</w:t>
            </w:r>
            <w:r>
              <w:rPr>
                <w:rFonts w:ascii="宋体" w:hAnsi="宋体" w:cs="宋体" w:eastAsia="宋体" w:hint="default"/>
                <w:sz w:val="18"/>
                <w:szCs w:val="18"/>
              </w:rPr>
              <w:t>财务 总监</w:t>
            </w:r>
            <w:r>
              <w:rPr>
                <w:rFonts w:ascii="Times New Roman" w:hAnsi="Times New Roman" w:cs="Times New Roman" w:eastAsia="Times New Roman" w:hint="default"/>
                <w:sz w:val="18"/>
                <w:szCs w:val="18"/>
              </w:rPr>
              <w:t>(</w:t>
            </w:r>
            <w:r>
              <w:rPr>
                <w:rFonts w:ascii="宋体" w:hAnsi="宋体" w:cs="宋体" w:eastAsia="宋体" w:hint="default"/>
                <w:sz w:val="18"/>
                <w:szCs w:val="18"/>
              </w:rPr>
              <w:t>离任</w:t>
            </w:r>
            <w:r>
              <w:rPr>
                <w:rFonts w:ascii="Times New Roman" w:hAnsi="Times New Roman" w:cs="Times New Roman" w:eastAsia="Times New Roman"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66,300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5.12</w:t>
            </w:r>
          </w:p>
        </w:tc>
        <w:tc>
          <w:tcPr>
            <w:tcW w:w="88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95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5.12</w:t>
            </w:r>
          </w:p>
        </w:tc>
        <w:tc>
          <w:tcPr>
            <w:tcW w:w="88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徐德银</w:t>
            </w:r>
          </w:p>
        </w:tc>
        <w:tc>
          <w:tcPr>
            <w:tcW w:w="95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5.12</w:t>
            </w:r>
          </w:p>
        </w:tc>
        <w:tc>
          <w:tcPr>
            <w:tcW w:w="88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95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5.12</w:t>
            </w:r>
          </w:p>
        </w:tc>
        <w:tc>
          <w:tcPr>
            <w:tcW w:w="88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李克福</w:t>
            </w:r>
          </w:p>
        </w:tc>
        <w:tc>
          <w:tcPr>
            <w:tcW w:w="95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5.12</w:t>
            </w:r>
          </w:p>
        </w:tc>
        <w:tc>
          <w:tcPr>
            <w:tcW w:w="88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309,400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144"/>
        <w:jc w:val="left"/>
        <w:rPr>
          <w:b w:val="0"/>
          <w:bCs w:val="0"/>
        </w:rPr>
      </w:pPr>
      <w:r>
        <w:rPr/>
        <w:t>四、公司董事、监事、高级管理人员离职和解聘情况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2583"/>
        <w:gridCol w:w="1052"/>
        <w:gridCol w:w="2693"/>
        <w:gridCol w:w="1911"/>
      </w:tblGrid>
      <w:tr>
        <w:trPr>
          <w:trHeight w:val="397"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37"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6" w:hRule="exact"/>
        </w:trPr>
        <w:tc>
          <w:tcPr>
            <w:tcW w:w="133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吴 </w:t>
            </w:r>
            <w:r>
              <w:rPr>
                <w:rFonts w:ascii="宋体" w:hAnsi="宋体" w:cs="宋体" w:eastAsia="宋体" w:hint="default"/>
                <w:spacing w:val="2"/>
                <w:sz w:val="18"/>
                <w:szCs w:val="18"/>
              </w:rPr>
              <w:t> </w:t>
            </w:r>
            <w:r>
              <w:rPr>
                <w:rFonts w:ascii="宋体" w:hAnsi="宋体" w:cs="宋体" w:eastAsia="宋体" w:hint="default"/>
                <w:sz w:val="18"/>
                <w:szCs w:val="18"/>
              </w:rPr>
              <w:t>宁</w:t>
            </w:r>
          </w:p>
        </w:tc>
        <w:tc>
          <w:tcPr>
            <w:tcW w:w="258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052" w:type="dxa"/>
            <w:tcBorders>
              <w:top w:val="single" w:sz="4" w:space="0" w:color="000000"/>
              <w:left w:val="single" w:sz="10" w:space="0" w:color="CCE8CC"/>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现任董事长助理</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29"/>
        <w:gridCol w:w="2572"/>
        <w:gridCol w:w="1063"/>
        <w:gridCol w:w="2693"/>
        <w:gridCol w:w="1911"/>
      </w:tblGrid>
      <w:tr>
        <w:trPr>
          <w:trHeight w:val="403" w:hRule="exact"/>
        </w:trPr>
        <w:tc>
          <w:tcPr>
            <w:tcW w:w="132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王志杰</w:t>
            </w:r>
          </w:p>
        </w:tc>
        <w:tc>
          <w:tcPr>
            <w:tcW w:w="257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财务总监</w:t>
            </w:r>
          </w:p>
        </w:tc>
        <w:tc>
          <w:tcPr>
            <w:tcW w:w="1063" w:type="dxa"/>
            <w:tcBorders>
              <w:top w:val="single" w:sz="4" w:space="0" w:color="000000"/>
              <w:left w:val="single" w:sz="10" w:space="0" w:color="CCE8CC"/>
              <w:bottom w:val="single" w:sz="4" w:space="0" w:color="000000"/>
              <w:right w:val="single" w:sz="4" w:space="0" w:color="000000"/>
            </w:tcBorders>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1"/>
        <w:rPr>
          <w:rFonts w:ascii="宋体" w:hAnsi="宋体" w:cs="宋体" w:eastAsia="宋体" w:hint="default"/>
          <w:b/>
          <w:bCs/>
          <w:sz w:val="18"/>
          <w:szCs w:val="18"/>
        </w:rPr>
      </w:pPr>
    </w:p>
    <w:p>
      <w:pPr>
        <w:pStyle w:val="Heading2"/>
        <w:spacing w:line="240" w:lineRule="auto" w:before="26"/>
        <w:ind w:right="144"/>
        <w:jc w:val="left"/>
        <w:rPr>
          <w:b w:val="0"/>
          <w:bCs w:val="0"/>
        </w:rPr>
      </w:pPr>
      <w:r>
        <w:rPr/>
        <w:t>五、报告期核心技术团队或关键技术人员变动情况（非董事、监事、高级管理人员）</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44"/>
        <w:jc w:val="left"/>
      </w:pPr>
      <w:r>
        <w:rPr/>
        <w:t>报告期核心技术团队或关键技术人员无变动</w:t>
      </w:r>
    </w:p>
    <w:p>
      <w:pPr>
        <w:spacing w:line="240" w:lineRule="auto" w:before="3"/>
        <w:rPr>
          <w:rFonts w:ascii="宋体" w:hAnsi="宋体" w:cs="宋体" w:eastAsia="宋体" w:hint="default"/>
          <w:sz w:val="25"/>
          <w:szCs w:val="25"/>
        </w:rPr>
      </w:pPr>
    </w:p>
    <w:p>
      <w:pPr>
        <w:pStyle w:val="Heading2"/>
        <w:spacing w:line="240" w:lineRule="auto"/>
        <w:ind w:left="23" w:right="7735"/>
        <w:jc w:val="center"/>
        <w:rPr>
          <w:b w:val="0"/>
          <w:bCs w:val="0"/>
        </w:rPr>
      </w:pP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144"/>
        <w:jc w:val="left"/>
      </w:pPr>
      <w:r>
        <w:rPr/>
        <w:t>公司员工情况</w:t>
      </w:r>
    </w:p>
    <w:p>
      <w:pPr>
        <w:pStyle w:val="BodyText"/>
        <w:spacing w:line="240" w:lineRule="auto" w:before="76"/>
        <w:ind w:left="513" w:right="144"/>
        <w:jc w:val="left"/>
      </w:pPr>
      <w:r>
        <w:rPr/>
        <w:t>（一）截止报告期末，公司在职员工为</w:t>
      </w:r>
      <w:r>
        <w:rPr>
          <w:rFonts w:ascii="Times New Roman" w:hAnsi="Times New Roman" w:cs="Times New Roman" w:eastAsia="Times New Roman" w:hint="default"/>
        </w:rPr>
        <w:t>503</w:t>
      </w:r>
      <w:r>
        <w:rPr/>
        <w:t>人，其专业、受教育程度分布如下：</w:t>
      </w:r>
    </w:p>
    <w:p>
      <w:pPr>
        <w:pStyle w:val="BodyText"/>
        <w:spacing w:line="240" w:lineRule="auto" w:before="63"/>
        <w:ind w:left="513" w:right="144"/>
        <w:jc w:val="left"/>
      </w:pPr>
      <w:r>
        <w:rPr>
          <w:rFonts w:ascii="Times New Roman" w:hAnsi="Times New Roman" w:cs="Times New Roman" w:eastAsia="Times New Roman" w:hint="default"/>
        </w:rPr>
        <w:t>1</w:t>
      </w:r>
      <w:r>
        <w:rPr/>
        <w:t>、专业构成情况</w:t>
      </w:r>
    </w:p>
    <w:p>
      <w:pPr>
        <w:spacing w:line="240" w:lineRule="auto" w:before="1"/>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756"/>
        <w:gridCol w:w="2753"/>
        <w:gridCol w:w="2953"/>
      </w:tblGrid>
      <w:tr>
        <w:trPr>
          <w:trHeight w:val="334" w:hRule="exact"/>
        </w:trPr>
        <w:tc>
          <w:tcPr>
            <w:tcW w:w="275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c>
          <w:tcPr>
            <w:tcW w:w="275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295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占员工总数比例（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9" w:hRule="exact"/>
        </w:trPr>
        <w:tc>
          <w:tcPr>
            <w:tcW w:w="275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212</w:t>
            </w:r>
          </w:p>
        </w:tc>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42.15</w:t>
            </w:r>
          </w:p>
        </w:tc>
      </w:tr>
      <w:tr>
        <w:trPr>
          <w:trHeight w:val="346" w:hRule="exact"/>
        </w:trPr>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9.94</w:t>
            </w:r>
          </w:p>
        </w:tc>
      </w:tr>
      <w:tr>
        <w:trPr>
          <w:trHeight w:val="348" w:hRule="exact"/>
        </w:trPr>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23</w:t>
            </w:r>
          </w:p>
        </w:tc>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4.57</w:t>
            </w:r>
          </w:p>
        </w:tc>
      </w:tr>
      <w:tr>
        <w:trPr>
          <w:trHeight w:val="348" w:hRule="exact"/>
        </w:trPr>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53</w:t>
            </w:r>
          </w:p>
        </w:tc>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10.54</w:t>
            </w:r>
          </w:p>
        </w:tc>
      </w:tr>
      <w:tr>
        <w:trPr>
          <w:trHeight w:val="346" w:hRule="exact"/>
        </w:trPr>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其他人员</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165</w:t>
            </w:r>
          </w:p>
        </w:tc>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33.80</w:t>
            </w:r>
          </w:p>
        </w:tc>
      </w:tr>
    </w:tbl>
    <w:p>
      <w:pPr>
        <w:spacing w:line="240" w:lineRule="auto" w:before="3"/>
        <w:rPr>
          <w:rFonts w:ascii="宋体" w:hAnsi="宋体" w:cs="宋体" w:eastAsia="宋体" w:hint="default"/>
          <w:sz w:val="10"/>
          <w:szCs w:val="10"/>
        </w:rPr>
      </w:pPr>
    </w:p>
    <w:p>
      <w:pPr>
        <w:spacing w:line="4410" w:lineRule="exact"/>
        <w:ind w:left="923" w:right="0" w:firstLine="0"/>
        <w:rPr>
          <w:rFonts w:ascii="宋体" w:hAnsi="宋体" w:cs="宋体" w:eastAsia="宋体" w:hint="default"/>
          <w:sz w:val="20"/>
          <w:szCs w:val="20"/>
        </w:rPr>
      </w:pPr>
      <w:r>
        <w:rPr>
          <w:rFonts w:ascii="宋体" w:hAnsi="宋体" w:cs="宋体" w:eastAsia="宋体" w:hint="default"/>
          <w:position w:val="-87"/>
          <w:sz w:val="20"/>
          <w:szCs w:val="20"/>
        </w:rPr>
        <w:drawing>
          <wp:inline distT="0" distB="0" distL="0" distR="0">
            <wp:extent cx="4590644" cy="280035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4590644" cy="2800350"/>
                    </a:xfrm>
                    <a:prstGeom prst="rect">
                      <a:avLst/>
                    </a:prstGeom>
                  </pic:spPr>
                </pic:pic>
              </a:graphicData>
            </a:graphic>
          </wp:inline>
        </w:drawing>
      </w:r>
      <w:r>
        <w:rPr>
          <w:rFonts w:ascii="宋体" w:hAnsi="宋体" w:cs="宋体" w:eastAsia="宋体" w:hint="default"/>
          <w:position w:val="-87"/>
          <w:sz w:val="20"/>
          <w:szCs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left="633" w:right="144"/>
        <w:jc w:val="left"/>
      </w:pPr>
      <w:r>
        <w:rPr>
          <w:rFonts w:ascii="Times New Roman" w:hAnsi="Times New Roman" w:cs="Times New Roman" w:eastAsia="Times New Roman" w:hint="default"/>
        </w:rPr>
        <w:t>2</w:t>
      </w:r>
      <w:r>
        <w:rPr/>
        <w:t>、教育程度</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2811"/>
        <w:gridCol w:w="2811"/>
        <w:gridCol w:w="2811"/>
      </w:tblGrid>
      <w:tr>
        <w:trPr>
          <w:trHeight w:val="331" w:hRule="exact"/>
        </w:trPr>
        <w:tc>
          <w:tcPr>
            <w:tcW w:w="281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受教育程度</w:t>
            </w:r>
          </w:p>
        </w:tc>
        <w:tc>
          <w:tcPr>
            <w:tcW w:w="281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281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占员工总数比例（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5" w:hRule="exact"/>
        </w:trPr>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本科以上</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sz w:val="18"/>
              </w:rPr>
              <w:t>224</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5" w:right="0"/>
              <w:jc w:val="center"/>
              <w:rPr>
                <w:rFonts w:ascii="Times New Roman" w:hAnsi="Times New Roman" w:cs="Times New Roman" w:eastAsia="Times New Roman" w:hint="default"/>
                <w:sz w:val="18"/>
                <w:szCs w:val="18"/>
              </w:rPr>
            </w:pPr>
            <w:r>
              <w:rPr>
                <w:rFonts w:ascii="Times New Roman"/>
                <w:sz w:val="18"/>
              </w:rPr>
              <w:t>44.53</w:t>
            </w:r>
          </w:p>
        </w:tc>
      </w:tr>
      <w:tr>
        <w:trPr>
          <w:trHeight w:val="346" w:hRule="exact"/>
        </w:trPr>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217</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43.14</w:t>
            </w:r>
          </w:p>
        </w:tc>
      </w:tr>
      <w:tr>
        <w:trPr>
          <w:trHeight w:val="348" w:hRule="exact"/>
        </w:trPr>
        <w:tc>
          <w:tcPr>
            <w:tcW w:w="2811" w:type="dxa"/>
            <w:tcBorders>
              <w:top w:val="single" w:sz="6" w:space="0" w:color="000000"/>
              <w:left w:val="single" w:sz="6" w:space="0" w:color="000000"/>
              <w:bottom w:val="single" w:sz="6" w:space="0" w:color="000000"/>
              <w:right w:val="single" w:sz="6" w:space="0" w:color="000000"/>
            </w:tcBorders>
          </w:tcPr>
          <w:p>
            <w:pPr>
              <w:pStyle w:val="TableParagraph"/>
              <w:tabs>
                <w:tab w:pos="470" w:val="left" w:leader="none"/>
              </w:tabs>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其</w:t>
              <w:tab/>
              <w:t>他</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62</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12.33</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395" w:lineRule="exact"/>
        <w:ind w:left="731" w:right="0" w:firstLine="0"/>
        <w:rPr>
          <w:rFonts w:ascii="宋体" w:hAnsi="宋体" w:cs="宋体" w:eastAsia="宋体" w:hint="default"/>
          <w:sz w:val="20"/>
          <w:szCs w:val="20"/>
        </w:rPr>
      </w:pPr>
      <w:r>
        <w:rPr>
          <w:rFonts w:ascii="宋体" w:hAnsi="宋体" w:cs="宋体" w:eastAsia="宋体" w:hint="default"/>
          <w:position w:val="-87"/>
          <w:sz w:val="20"/>
          <w:szCs w:val="20"/>
        </w:rPr>
        <w:drawing>
          <wp:inline distT="0" distB="0" distL="0" distR="0">
            <wp:extent cx="4620676" cy="279082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6" cstate="print"/>
                    <a:stretch>
                      <a:fillRect/>
                    </a:stretch>
                  </pic:blipFill>
                  <pic:spPr>
                    <a:xfrm>
                      <a:off x="0" y="0"/>
                      <a:ext cx="4620676" cy="2790825"/>
                    </a:xfrm>
                    <a:prstGeom prst="rect">
                      <a:avLst/>
                    </a:prstGeom>
                  </pic:spPr>
                </pic:pic>
              </a:graphicData>
            </a:graphic>
          </wp:inline>
        </w:drawing>
      </w:r>
      <w:r>
        <w:rPr>
          <w:rFonts w:ascii="宋体" w:hAnsi="宋体" w:cs="宋体" w:eastAsia="宋体" w:hint="default"/>
          <w:position w:val="-87"/>
          <w:sz w:val="20"/>
          <w:szCs w:val="20"/>
        </w:rPr>
      </w:r>
    </w:p>
    <w:p>
      <w:pPr>
        <w:spacing w:line="240" w:lineRule="auto" w:before="3"/>
        <w:rPr>
          <w:rFonts w:ascii="宋体" w:hAnsi="宋体" w:cs="宋体" w:eastAsia="宋体" w:hint="default"/>
          <w:sz w:val="8"/>
          <w:szCs w:val="8"/>
        </w:rPr>
      </w:pPr>
    </w:p>
    <w:p>
      <w:pPr>
        <w:pStyle w:val="BodyText"/>
        <w:spacing w:line="240" w:lineRule="auto" w:before="44"/>
        <w:ind w:left="513" w:right="185"/>
        <w:jc w:val="left"/>
      </w:pPr>
      <w:r>
        <w:rPr/>
        <w:t>此外，截止至报告期末，本公司通过劳务派遣公司使用劳务人员</w:t>
      </w:r>
      <w:r>
        <w:rPr>
          <w:rFonts w:ascii="Times New Roman" w:hAnsi="Times New Roman" w:cs="Times New Roman" w:eastAsia="Times New Roman" w:hint="default"/>
        </w:rPr>
        <w:t>1291</w:t>
      </w:r>
      <w:r>
        <w:rPr/>
        <w:t>人，年度共支付报酬总额为</w:t>
      </w:r>
      <w:r>
        <w:rPr>
          <w:rFonts w:ascii="Times New Roman" w:hAnsi="Times New Roman" w:cs="Times New Roman" w:eastAsia="Times New Roman" w:hint="default"/>
        </w:rPr>
        <w:t>44,966,738.17</w:t>
      </w:r>
      <w:r>
        <w:rPr/>
        <w:t>元。</w:t>
      </w:r>
    </w:p>
    <w:p>
      <w:pPr>
        <w:spacing w:line="240" w:lineRule="auto" w:before="0"/>
        <w:rPr>
          <w:rFonts w:ascii="宋体" w:hAnsi="宋体" w:cs="宋体" w:eastAsia="宋体" w:hint="default"/>
          <w:sz w:val="18"/>
          <w:szCs w:val="18"/>
        </w:rPr>
      </w:pPr>
    </w:p>
    <w:p>
      <w:pPr>
        <w:pStyle w:val="BodyText"/>
        <w:spacing w:line="309" w:lineRule="auto" w:before="139"/>
        <w:ind w:left="513" w:right="185"/>
        <w:jc w:val="left"/>
      </w:pPr>
      <w:r>
        <w:rPr/>
        <w:t>（二）员工薪酬政策和培训计划 </w:t>
      </w:r>
      <w:r>
        <w:rPr>
          <w:rFonts w:ascii="Times New Roman" w:hAnsi="Times New Roman" w:cs="Times New Roman" w:eastAsia="Times New Roman" w:hint="default"/>
        </w:rPr>
        <w:t>2012</w:t>
      </w:r>
      <w:r>
        <w:rPr/>
        <w:t>年，在薪酬发放上，公司依法准时发放员工工资，至今未发生一起薪酬拖欠事件。 </w:t>
      </w:r>
      <w:r>
        <w:rPr>
          <w:spacing w:val="-2"/>
        </w:rPr>
        <w:t>我们员工薪酬符合国家与当地相应法律法规要求。为充分发掘员工潜力，调动员工的工作积极性，我们一直致力于构建</w:t>
      </w:r>
    </w:p>
    <w:p>
      <w:pPr>
        <w:pStyle w:val="BodyText"/>
        <w:spacing w:line="316" w:lineRule="auto" w:before="24"/>
        <w:ind w:left="513" w:right="185" w:hanging="361"/>
        <w:jc w:val="left"/>
      </w:pPr>
      <w:r>
        <w:rPr/>
        <w:t>具有竞争力的薪酬体系，并提供激励性的绩效考核方案。 </w:t>
      </w:r>
      <w:r>
        <w:rPr>
          <w:spacing w:val="-2"/>
        </w:rPr>
        <w:t>公司在发展壮大的同时，也在不断完善公司福利体系。一方面，根据国家建设多层次社保体系的总体要求以及企业实际</w:t>
      </w:r>
    </w:p>
    <w:p>
      <w:pPr>
        <w:pStyle w:val="BodyText"/>
        <w:spacing w:line="309" w:lineRule="auto" w:before="19"/>
        <w:ind w:right="193"/>
        <w:jc w:val="both"/>
      </w:pPr>
      <w:r>
        <w:rPr/>
        <w:t>人员结构状况，我们为员工依法足额缴纳各项法定保险，覆盖率为</w:t>
      </w:r>
      <w:r>
        <w:rPr>
          <w:rFonts w:ascii="Times New Roman" w:hAnsi="Times New Roman" w:cs="Times New Roman" w:eastAsia="Times New Roman" w:hint="default"/>
        </w:rPr>
        <w:t>100%</w:t>
      </w:r>
      <w:r>
        <w:rPr/>
        <w:t>，保证员工退休、看病、生育等合法权益。另一方</w:t>
      </w:r>
      <w:r>
        <w:rPr>
          <w:spacing w:val="-57"/>
        </w:rPr>
        <w:t> </w:t>
      </w:r>
      <w:r>
        <w:rPr>
          <w:spacing w:val="-57"/>
        </w:rPr>
      </w:r>
      <w:r>
        <w:rPr>
          <w:spacing w:val="-2"/>
        </w:rPr>
        <w:t>面，公司为员工缴纳商业保险为员工提供更全面的健康、人身安全保障。另外，公司提供餐费津贴、团队活动费用、每逢端</w:t>
      </w:r>
      <w:r>
        <w:rPr>
          <w:spacing w:val="-68"/>
        </w:rPr>
        <w:t> </w:t>
      </w:r>
      <w:r>
        <w:rPr>
          <w:spacing w:val="-68"/>
        </w:rPr>
      </w:r>
      <w:r>
        <w:rPr/>
        <w:t>午节、中秋节、元旦等节假日，公司会发放礼金或礼品给全体员工。</w:t>
      </w:r>
    </w:p>
    <w:p>
      <w:pPr>
        <w:pStyle w:val="BodyText"/>
        <w:spacing w:line="316" w:lineRule="auto" w:before="24"/>
        <w:ind w:right="185" w:firstLine="360"/>
        <w:jc w:val="left"/>
      </w:pPr>
      <w:r>
        <w:rPr>
          <w:spacing w:val="-2"/>
        </w:rPr>
        <w:t>公司积极拓展员工个人发展空间，为员工提供技术、业务、管理三条晋升通道，使员工在充分挖掘自身潜力的基础上更</w:t>
      </w:r>
      <w:r>
        <w:rPr/>
        <w:t> 好的实现自身价值，并与企业核心价值相结合，实现与公司共同成长，</w:t>
      </w:r>
    </w:p>
    <w:p>
      <w:pPr>
        <w:pStyle w:val="BodyText"/>
        <w:spacing w:line="316" w:lineRule="auto" w:before="19"/>
        <w:ind w:right="99" w:firstLine="360"/>
        <w:jc w:val="left"/>
      </w:pPr>
      <w:r>
        <w:rPr>
          <w:spacing w:val="-2"/>
        </w:rPr>
        <w:t>公司已制定完善的职业培训计划，借助丰富的师资力量，能够为员工提供各类专业培训，帮助员工实现价值提升。公司</w:t>
      </w:r>
      <w:r>
        <w:rPr/>
        <w:t> </w:t>
      </w:r>
      <w:r>
        <w:rPr>
          <w:spacing w:val="-1"/>
        </w:rPr>
        <w:t>培训计划主要包括新员工导向、职业素质、职业能力、综合能力、综合管理技能、办公软件、产品</w:t>
      </w:r>
      <w:r>
        <w:rPr>
          <w:rFonts w:ascii="Times New Roman" w:hAnsi="Times New Roman" w:cs="Times New Roman" w:eastAsia="Times New Roman" w:hint="default"/>
          <w:spacing w:val="-1"/>
        </w:rPr>
        <w:t>/</w:t>
      </w:r>
      <w:r>
        <w:rPr>
          <w:spacing w:val="-1"/>
        </w:rPr>
        <w:t>流程、培训项目八大类。</w:t>
      </w:r>
    </w:p>
    <w:p>
      <w:pPr>
        <w:spacing w:line="240" w:lineRule="auto" w:before="10"/>
        <w:rPr>
          <w:rFonts w:ascii="宋体" w:hAnsi="宋体" w:cs="宋体" w:eastAsia="宋体" w:hint="default"/>
          <w:sz w:val="23"/>
          <w:szCs w:val="23"/>
        </w:rPr>
      </w:pPr>
    </w:p>
    <w:p>
      <w:pPr>
        <w:pStyle w:val="BodyText"/>
        <w:spacing w:line="240" w:lineRule="auto"/>
        <w:ind w:left="513" w:right="185"/>
        <w:jc w:val="left"/>
      </w:pPr>
      <w:r>
        <w:rPr/>
        <w:t>（三）公司不存在需要承担的离退休职工。</w:t>
      </w:r>
    </w:p>
    <w:p>
      <w:pPr>
        <w:spacing w:after="0" w:line="240"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751" w:right="3787"/>
        <w:jc w:val="center"/>
        <w:rPr>
          <w:b w:val="0"/>
          <w:bCs w:val="0"/>
        </w:rPr>
      </w:pPr>
      <w:bookmarkStart w:name="_TOC_250003"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85"/>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0" w:firstLine="360"/>
        <w:jc w:val="both"/>
      </w:pPr>
      <w:r>
        <w:rPr>
          <w:spacing w:val="-2"/>
        </w:rPr>
        <w:t>公司严格按照《公司法》、《证券法》和有关法律、法规、规章的要求，建立了相互制衡、科学决策、协调运作的的法</w:t>
      </w:r>
      <w:r>
        <w:rPr/>
        <w:t> </w:t>
      </w:r>
      <w:r>
        <w:rPr>
          <w:spacing w:val="-2"/>
        </w:rPr>
        <w:t>人治理结构，坚持依法运作。另外，公司的章程明确规定了股东大会、董事会、监事会和经理层的权限、职责和义务。公司</w:t>
      </w:r>
      <w:r>
        <w:rPr>
          <w:spacing w:val="-72"/>
        </w:rPr>
        <w:t> </w:t>
      </w:r>
      <w:r>
        <w:rPr>
          <w:spacing w:val="-72"/>
        </w:rPr>
      </w:r>
      <w:r>
        <w:rPr>
          <w:spacing w:val="-2"/>
        </w:rPr>
        <w:t>未来将继续根据外部经营环境的变化、相关部门和政策新规定的要求，持续不断地完善公司的内部控制制度，提高内部控制</w:t>
      </w:r>
      <w:r>
        <w:rPr>
          <w:spacing w:val="-63"/>
        </w:rPr>
        <w:t> </w:t>
      </w:r>
      <w:r>
        <w:rPr>
          <w:spacing w:val="-63"/>
        </w:rPr>
      </w:r>
      <w:r>
        <w:rPr>
          <w:spacing w:val="-2"/>
        </w:rPr>
        <w:t>的效率和效益，积极完善投资者关系管理，加强与投资者的信息交流，充分维护广大投资者的利益。截至报告期末，公司治</w:t>
      </w:r>
      <w:r>
        <w:rPr>
          <w:spacing w:val="-67"/>
        </w:rPr>
        <w:t> </w:t>
      </w:r>
      <w:r>
        <w:rPr>
          <w:spacing w:val="-67"/>
        </w:rPr>
      </w:r>
      <w:r>
        <w:rPr>
          <w:spacing w:val="-2"/>
        </w:rPr>
        <w:t>理的实际运作情况与中国证监会、深圳证券交易所上市公司治理规范性文件基本相符，不存在尚未解决的治理问题。公司报</w:t>
      </w:r>
      <w:r>
        <w:rPr>
          <w:spacing w:val="-63"/>
        </w:rPr>
        <w:t> </w:t>
      </w:r>
      <w:r>
        <w:rPr>
          <w:spacing w:val="-63"/>
        </w:rPr>
      </w:r>
      <w:r>
        <w:rPr/>
        <w:t>告期内建立的各项制度及相关公开信息披露情况如下：</w:t>
      </w:r>
    </w:p>
    <w:tbl>
      <w:tblPr>
        <w:tblW w:w="0" w:type="auto"/>
        <w:jc w:val="left"/>
        <w:tblInd w:w="145" w:type="dxa"/>
        <w:tblLayout w:type="fixed"/>
        <w:tblCellMar>
          <w:top w:w="0" w:type="dxa"/>
          <w:left w:w="0" w:type="dxa"/>
          <w:bottom w:w="0" w:type="dxa"/>
          <w:right w:w="0" w:type="dxa"/>
        </w:tblCellMar>
        <w:tblLook w:val="01E0"/>
      </w:tblPr>
      <w:tblGrid>
        <w:gridCol w:w="675"/>
        <w:gridCol w:w="6131"/>
        <w:gridCol w:w="1136"/>
        <w:gridCol w:w="1416"/>
      </w:tblGrid>
      <w:tr>
        <w:trPr>
          <w:trHeight w:val="337" w:hRule="exact"/>
        </w:trPr>
        <w:tc>
          <w:tcPr>
            <w:tcW w:w="67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613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制度名称</w:t>
            </w:r>
          </w:p>
        </w:tc>
        <w:tc>
          <w:tcPr>
            <w:tcW w:w="113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3"/>
              <w:ind w:left="20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41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披露媒体</w:t>
            </w:r>
          </w:p>
        </w:tc>
      </w:tr>
      <w:tr>
        <w:trPr>
          <w:trHeight w:val="353" w:hRule="exact"/>
        </w:trPr>
        <w:tc>
          <w:tcPr>
            <w:tcW w:w="67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w:t>
            </w:r>
          </w:p>
        </w:tc>
        <w:tc>
          <w:tcPr>
            <w:tcW w:w="613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hyperlink r:id="rId17">
              <w:r>
                <w:rPr>
                  <w:rFonts w:ascii="宋体" w:hAnsi="宋体" w:cs="宋体" w:eastAsia="宋体" w:hint="default"/>
                  <w:sz w:val="18"/>
                  <w:szCs w:val="18"/>
                </w:rPr>
                <w:t>董事、监事、高级管理人员薪酬管理制度</w:t>
              </w:r>
            </w:hyperlink>
          </w:p>
        </w:tc>
        <w:tc>
          <w:tcPr>
            <w:tcW w:w="113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2012-05-16</w:t>
            </w:r>
          </w:p>
        </w:tc>
        <w:tc>
          <w:tcPr>
            <w:tcW w:w="141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w:t>
            </w:r>
          </w:p>
        </w:tc>
        <w:tc>
          <w:tcPr>
            <w:tcW w:w="6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董事会秘书工作细则（</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月修订）</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2012-05-16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3</w:t>
            </w:r>
          </w:p>
        </w:tc>
        <w:tc>
          <w:tcPr>
            <w:tcW w:w="6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hyperlink r:id="rId18">
              <w:r>
                <w:rPr>
                  <w:rFonts w:ascii="宋体" w:hAnsi="宋体" w:cs="宋体" w:eastAsia="宋体" w:hint="default"/>
                  <w:sz w:val="18"/>
                  <w:szCs w:val="18"/>
                </w:rPr>
                <w:t>利润分配管理制度</w:t>
              </w:r>
            </w:hyperlink>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2012-05-16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4</w:t>
            </w:r>
          </w:p>
        </w:tc>
        <w:tc>
          <w:tcPr>
            <w:tcW w:w="6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董事会议事规则（</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月修订）</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2012-06-01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5</w:t>
            </w:r>
          </w:p>
        </w:tc>
        <w:tc>
          <w:tcPr>
            <w:tcW w:w="6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月修订）</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2012-06-01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6</w:t>
            </w:r>
          </w:p>
        </w:tc>
        <w:tc>
          <w:tcPr>
            <w:tcW w:w="6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重大事项内部报告制度（</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2012-08-27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7</w:t>
            </w:r>
          </w:p>
        </w:tc>
        <w:tc>
          <w:tcPr>
            <w:tcW w:w="6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hyperlink r:id="rId19">
              <w:r>
                <w:rPr>
                  <w:rFonts w:ascii="宋体" w:hAnsi="宋体" w:cs="宋体" w:eastAsia="宋体" w:hint="default"/>
                  <w:sz w:val="18"/>
                  <w:szCs w:val="18"/>
                </w:rPr>
                <w:t>内部审计制度</w:t>
              </w:r>
            </w:hyperlink>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2012-08-27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8"/>
        <w:rPr>
          <w:rFonts w:ascii="宋体" w:hAnsi="宋体" w:cs="宋体" w:eastAsia="宋体" w:hint="default"/>
          <w:sz w:val="7"/>
          <w:szCs w:val="7"/>
        </w:rPr>
      </w:pPr>
    </w:p>
    <w:p>
      <w:pPr>
        <w:pStyle w:val="BodyText"/>
        <w:spacing w:line="316" w:lineRule="auto" w:before="44"/>
        <w:ind w:left="513" w:right="185"/>
        <w:jc w:val="left"/>
      </w:pPr>
      <w:r>
        <w:rPr/>
        <w:t>（一）关于股东与股东大会 </w:t>
      </w:r>
      <w:r>
        <w:rPr>
          <w:spacing w:val="-2"/>
        </w:rPr>
        <w:t>公司严格按照《公司法》、《上市公司股东大会规则》、《公司章程》和公司《股东大会议事规则》等法律、法规及制</w:t>
      </w:r>
    </w:p>
    <w:p>
      <w:pPr>
        <w:pStyle w:val="BodyText"/>
        <w:spacing w:line="316" w:lineRule="auto" w:before="19"/>
        <w:ind w:right="94"/>
        <w:jc w:val="left"/>
      </w:pPr>
      <w:r>
        <w:rPr>
          <w:spacing w:val="-2"/>
        </w:rPr>
        <w:t>度的要求，规范股东大会的召集、召开及表决程序。出席股东大会的人员资格经过严格审查确认，股东大会的召集、召开程</w:t>
      </w:r>
      <w:r>
        <w:rPr>
          <w:spacing w:val="-66"/>
        </w:rPr>
        <w:t> </w:t>
      </w:r>
      <w:r>
        <w:rPr>
          <w:spacing w:val="-66"/>
        </w:rPr>
      </w:r>
      <w:r>
        <w:rPr/>
        <w:t>序及股东大会的表决程序均符合相关法律法规的规定，能够确保全体股东尤其是中小股东享有平等地位并充分行使股东权</w:t>
      </w:r>
      <w:r>
        <w:rPr>
          <w:spacing w:val="-11"/>
        </w:rPr>
        <w:t> </w:t>
      </w:r>
      <w:r>
        <w:rPr>
          <w:spacing w:val="-11"/>
        </w:rPr>
      </w:r>
      <w:r>
        <w:rPr/>
        <w:t>利，承担相应义务。公司还通过投资者关系管理网络平台、热线电话、传真等形式，保证了与中小股东信息交流的畅通性。 </w:t>
      </w:r>
      <w:r>
        <w:rPr>
          <w:spacing w:val="-2"/>
        </w:rPr>
        <w:t>报告期内的股东大会均由董事会召集召开，根据《公司章程》及相关法律法规的规定应由股东大会表决的事项均按照相应的</w:t>
      </w:r>
      <w:r>
        <w:rPr>
          <w:spacing w:val="-65"/>
        </w:rPr>
        <w:t> </w:t>
      </w:r>
      <w:r>
        <w:rPr>
          <w:spacing w:val="-65"/>
        </w:rPr>
      </w:r>
      <w:r>
        <w:rPr>
          <w:spacing w:val="-2"/>
        </w:rPr>
        <w:t>权限审批后交由股东大会审议，不存在越权审批的现象。股东大会审议关联交易事项时，关联股东回避表决，确保关联交易</w:t>
      </w:r>
      <w:r>
        <w:rPr>
          <w:spacing w:val="-64"/>
        </w:rPr>
        <w:t> </w:t>
      </w:r>
      <w:r>
        <w:rPr>
          <w:spacing w:val="-64"/>
        </w:rPr>
      </w:r>
      <w:r>
        <w:rPr>
          <w:spacing w:val="-2"/>
        </w:rPr>
        <w:t>公平合理，不存在损害股东利益的情况。公司通过聘请律师见证的方式保证会议召集、召开和表决程序的合法性，维护公司</w:t>
      </w:r>
      <w:r>
        <w:rPr>
          <w:spacing w:val="-64"/>
        </w:rPr>
        <w:t> </w:t>
      </w:r>
      <w:r>
        <w:rPr>
          <w:spacing w:val="-64"/>
        </w:rPr>
      </w:r>
      <w:r>
        <w:rPr/>
        <w:t>和股东的合法权益。</w:t>
      </w:r>
    </w:p>
    <w:p>
      <w:pPr>
        <w:pStyle w:val="BodyText"/>
        <w:spacing w:line="316" w:lineRule="auto" w:before="19"/>
        <w:ind w:left="513" w:right="99"/>
        <w:jc w:val="left"/>
      </w:pPr>
      <w:r>
        <w:rPr/>
        <w:t>（二）关于公司与控股股东 </w:t>
      </w:r>
      <w:r>
        <w:rPr>
          <w:spacing w:val="-4"/>
        </w:rPr>
        <w:t>公司拥有独立完整的业务及自主经营能力，在业务、人员、资产、机构、财务等方面完全独立于控股股东，公司董事会、</w:t>
      </w:r>
    </w:p>
    <w:p>
      <w:pPr>
        <w:pStyle w:val="BodyText"/>
        <w:spacing w:line="316" w:lineRule="auto" w:before="19"/>
        <w:ind w:right="190"/>
        <w:jc w:val="both"/>
      </w:pPr>
      <w:r>
        <w:rPr>
          <w:spacing w:val="-2"/>
        </w:rPr>
        <w:t>监事会和内部机构能够独立运作。报告期内，公司控股股东恪守《中小企业板上市公司控股股东、实际控制人行为指引》的</w:t>
      </w:r>
      <w:r>
        <w:rPr>
          <w:spacing w:val="-67"/>
        </w:rPr>
        <w:t> </w:t>
      </w:r>
      <w:r>
        <w:rPr>
          <w:spacing w:val="-67"/>
        </w:rPr>
      </w:r>
      <w:r>
        <w:rPr>
          <w:spacing w:val="-2"/>
        </w:rPr>
        <w:t>相关要求，依法行使权利并承担相应义务，没有超越公司股东大会直接或间接干预公司的决策和经营活动。公司与控股股东</w:t>
      </w:r>
      <w:r>
        <w:rPr>
          <w:spacing w:val="-63"/>
        </w:rPr>
        <w:t> </w:t>
      </w:r>
      <w:r>
        <w:rPr>
          <w:spacing w:val="-63"/>
        </w:rPr>
      </w:r>
      <w:r>
        <w:rPr>
          <w:spacing w:val="-2"/>
        </w:rPr>
        <w:t>之间的关联交易公平合理，审批程序符合相关法律、法规及公司《章程》的规定，不存在控股股东占用公司资金的情况，公</w:t>
      </w:r>
      <w:r>
        <w:rPr>
          <w:spacing w:val="-69"/>
        </w:rPr>
        <w:t> </w:t>
      </w:r>
      <w:r>
        <w:rPr>
          <w:spacing w:val="-69"/>
        </w:rPr>
      </w:r>
      <w:r>
        <w:rPr/>
        <w:t>司亦无为控股股东提供担保的情形。</w:t>
      </w:r>
    </w:p>
    <w:p>
      <w:pPr>
        <w:pStyle w:val="BodyText"/>
        <w:spacing w:line="316" w:lineRule="auto" w:before="19"/>
        <w:ind w:left="513" w:right="99"/>
        <w:jc w:val="left"/>
      </w:pPr>
      <w:r>
        <w:rPr/>
        <w:t>（三）关于董事和董事会 </w:t>
      </w:r>
      <w:r>
        <w:rPr>
          <w:spacing w:val="-7"/>
        </w:rPr>
        <w:t>公司董事会的人数、成员构成及董事的任职资格均符合相关法律、法规的要求。公司严格按照《公司法》、《公司章程》、</w:t>
      </w:r>
    </w:p>
    <w:p>
      <w:pPr>
        <w:pStyle w:val="BodyText"/>
        <w:spacing w:line="316" w:lineRule="auto" w:before="19"/>
        <w:ind w:right="193"/>
        <w:jc w:val="both"/>
      </w:pPr>
      <w:r>
        <w:rPr>
          <w:spacing w:val="-2"/>
        </w:rPr>
        <w:t>《董事会议事规则》等相关法律法规和制度的规定选举和聘任董事，董事选聘程序公开、公平、公正。董事会下设各专门委</w:t>
      </w:r>
      <w:r>
        <w:rPr>
          <w:spacing w:val="-67"/>
        </w:rPr>
        <w:t> </w:t>
      </w:r>
      <w:r>
        <w:rPr>
          <w:spacing w:val="-67"/>
        </w:rPr>
      </w:r>
      <w:r>
        <w:rPr>
          <w:spacing w:val="-2"/>
        </w:rPr>
        <w:t>员会各尽其责，为公司的治理和决策提供了宝贵的专业意见。报告期内，公司全体董事诚实守信、勤勉尽责，能够按照相关</w:t>
      </w:r>
      <w:r>
        <w:rPr>
          <w:spacing w:val="-67"/>
        </w:rPr>
        <w:t> </w:t>
      </w:r>
      <w:r>
        <w:rPr>
          <w:spacing w:val="-67"/>
        </w:rPr>
      </w:r>
      <w:r>
        <w:rPr>
          <w:spacing w:val="-2"/>
        </w:rPr>
        <w:t>法律、法规及规章制度的要求开展工作，认真出席董事会会议和股东大会，积极参加有关培训，熟悉有关法律法规，切实维</w:t>
      </w:r>
      <w:r>
        <w:rPr>
          <w:spacing w:val="-66"/>
        </w:rPr>
        <w:t> </w:t>
      </w:r>
      <w:r>
        <w:rPr>
          <w:spacing w:val="-66"/>
        </w:rPr>
      </w:r>
      <w:r>
        <w:rPr/>
        <w:t>护投资者的利益。</w:t>
      </w:r>
    </w:p>
    <w:p>
      <w:pPr>
        <w:pStyle w:val="BodyText"/>
        <w:spacing w:line="316" w:lineRule="auto" w:before="18"/>
        <w:ind w:left="513" w:right="185"/>
        <w:jc w:val="left"/>
      </w:pPr>
      <w:r>
        <w:rPr/>
        <w:t>（四）关于监事和监事会 </w:t>
      </w:r>
      <w:r>
        <w:rPr>
          <w:spacing w:val="-2"/>
        </w:rPr>
        <w:t>公司严格按照《公司法》、《公司章程》等有关规定选举监事，人员构成符合法律、法规的要求。监事会运作规范，监</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2"/>
        <w:jc w:val="both"/>
      </w:pPr>
      <w:r>
        <w:rPr>
          <w:spacing w:val="-2"/>
        </w:rPr>
        <w:t>事会会议的召集、召开和表决程序符合《公司法》、《公司章程》和《监事会议事规则》的规定。公司监事能够按照《监事</w:t>
      </w:r>
      <w:r>
        <w:rPr>
          <w:spacing w:val="-71"/>
        </w:rPr>
        <w:t> </w:t>
      </w:r>
      <w:r>
        <w:rPr>
          <w:spacing w:val="-71"/>
        </w:rPr>
      </w:r>
      <w:r>
        <w:rPr>
          <w:spacing w:val="-2"/>
        </w:rPr>
        <w:t>会议事规则》等制度的要求，认真履行自己的职责，对公司财务状况、内部控制执行情况、运营情况、重大事项的决策以及</w:t>
      </w:r>
      <w:r>
        <w:rPr>
          <w:spacing w:val="-68"/>
        </w:rPr>
        <w:t> </w:t>
      </w:r>
      <w:r>
        <w:rPr>
          <w:spacing w:val="-68"/>
        </w:rPr>
      </w:r>
      <w:r>
        <w:rPr/>
        <w:t>公司董事和高级管理人员履行职责的情况实施监督，积极维护公司及股东的合法权益。</w:t>
      </w:r>
    </w:p>
    <w:p>
      <w:pPr>
        <w:pStyle w:val="BodyText"/>
        <w:spacing w:line="316" w:lineRule="auto" w:before="17"/>
        <w:ind w:left="513" w:right="185"/>
        <w:jc w:val="left"/>
      </w:pPr>
      <w:r>
        <w:rPr/>
        <w:t>（五）关于绩效评价与激励约束机制 </w:t>
      </w:r>
      <w:r>
        <w:rPr>
          <w:spacing w:val="-2"/>
        </w:rPr>
        <w:t>公司高管人员的聘任公开、透明，符合法律法规的规定。公司已建立较为完善的董事、监事和高级管理人员绩效评价标</w:t>
      </w:r>
    </w:p>
    <w:p>
      <w:pPr>
        <w:pStyle w:val="BodyText"/>
        <w:spacing w:line="300" w:lineRule="auto" w:before="19"/>
        <w:ind w:right="191"/>
        <w:jc w:val="both"/>
      </w:pPr>
      <w:r>
        <w:rPr>
          <w:spacing w:val="-1"/>
        </w:rPr>
        <w:t>准和激励约束机制，通过股权激励等方式加强对公司董事、高管的激励。公司已建立关键业绩指标（</w:t>
      </w:r>
      <w:r>
        <w:rPr>
          <w:rFonts w:ascii="Times New Roman" w:hAnsi="Times New Roman" w:cs="Times New Roman" w:eastAsia="Times New Roman" w:hint="default"/>
          <w:spacing w:val="-1"/>
        </w:rPr>
        <w:t>KPI</w:t>
      </w:r>
      <w:r>
        <w:rPr>
          <w:spacing w:val="-1"/>
        </w:rPr>
        <w:t>）管理体系，制定</w:t>
      </w:r>
      <w:r>
        <w:rPr>
          <w:spacing w:val="-54"/>
        </w:rPr>
        <w:t> </w:t>
      </w:r>
      <w:r>
        <w:rPr>
          <w:spacing w:val="-54"/>
        </w:rPr>
      </w:r>
      <w:r>
        <w:rPr>
          <w:spacing w:val="-1"/>
        </w:rPr>
        <w:t>了与各工作岗位相关的关键业绩指标（</w:t>
      </w:r>
      <w:r>
        <w:rPr>
          <w:rFonts w:ascii="Times New Roman" w:hAnsi="Times New Roman" w:cs="Times New Roman" w:eastAsia="Times New Roman" w:hint="default"/>
          <w:spacing w:val="-1"/>
        </w:rPr>
        <w:t>KPI</w:t>
      </w:r>
      <w:r>
        <w:rPr>
          <w:spacing w:val="-1"/>
        </w:rPr>
        <w:t>），经营管理层和员工的收入与其工作成效挂钩。未来，公司绩效评价与激励约</w:t>
      </w:r>
      <w:r>
        <w:rPr>
          <w:spacing w:val="-52"/>
        </w:rPr>
        <w:t> </w:t>
      </w:r>
      <w:r>
        <w:rPr>
          <w:spacing w:val="-52"/>
        </w:rPr>
      </w:r>
      <w:r>
        <w:rPr/>
        <w:t>束机制将继续根据自身经营发展状况不断完善。</w:t>
      </w:r>
    </w:p>
    <w:p>
      <w:pPr>
        <w:pStyle w:val="BodyText"/>
        <w:spacing w:line="316" w:lineRule="auto" w:before="31"/>
        <w:ind w:left="513" w:right="185"/>
        <w:jc w:val="left"/>
      </w:pPr>
      <w:r>
        <w:rPr/>
        <w:t>（六）关于相关利益者 </w:t>
      </w:r>
      <w:r>
        <w:rPr>
          <w:spacing w:val="-2"/>
        </w:rPr>
        <w:t>公司在注重业绩的同时，关注所在地区环境保护、公益事业等问题，积极承担社会责任，充分尊重和维护利益相关者的</w:t>
      </w:r>
    </w:p>
    <w:p>
      <w:pPr>
        <w:pStyle w:val="BodyText"/>
        <w:spacing w:line="316" w:lineRule="auto" w:before="19"/>
        <w:ind w:right="194"/>
        <w:jc w:val="both"/>
      </w:pPr>
      <w:r>
        <w:rPr>
          <w:spacing w:val="-2"/>
        </w:rPr>
        <w:t>合法权益，积极与相关利益者合作，不断加强与各方的沟通交流，诚信对待供应商和客户，努力促进和实现公司、股东、员</w:t>
      </w:r>
      <w:r>
        <w:rPr>
          <w:spacing w:val="-69"/>
        </w:rPr>
        <w:t> </w:t>
      </w:r>
      <w:r>
        <w:rPr>
          <w:spacing w:val="-69"/>
        </w:rPr>
      </w:r>
      <w:r>
        <w:rPr/>
        <w:t>工、最终用户、社会等各方利益的均衡，推动公司持续、稳定、健康地发展。</w:t>
      </w:r>
    </w:p>
    <w:p>
      <w:pPr>
        <w:pStyle w:val="BodyText"/>
        <w:spacing w:line="319" w:lineRule="auto" w:before="19"/>
        <w:ind w:left="513" w:right="185"/>
        <w:jc w:val="left"/>
      </w:pPr>
      <w:r>
        <w:rPr/>
        <w:t>（七）关于信息披露与透明度 </w:t>
      </w:r>
      <w:r>
        <w:rPr>
          <w:spacing w:val="-2"/>
        </w:rPr>
        <w:t>公司按照《深圳证券交易所股票上市规则》、《公司章程》等相关法律、法规的规定，真实、准确、完整、及时地披露</w:t>
      </w:r>
    </w:p>
    <w:p>
      <w:pPr>
        <w:pStyle w:val="BodyText"/>
        <w:spacing w:line="314" w:lineRule="auto" w:before="17"/>
        <w:ind w:right="191"/>
        <w:jc w:val="both"/>
      </w:pPr>
      <w:r>
        <w:rPr/>
        <w:t>信息，不断健全有关公司信息披露的管理制度。公司指定《证券时报》、《中国证券报》、《上海证券报》和巨潮资讯网</w:t>
      </w:r>
      <w:r>
        <w:rPr>
          <w:spacing w:val="-11"/>
        </w:rPr>
        <w:t> </w:t>
      </w:r>
      <w:r>
        <w:rPr>
          <w:spacing w:val="-11"/>
        </w:rPr>
      </w:r>
      <w:r>
        <w:rPr>
          <w:rFonts w:ascii="Times New Roman" w:hAnsi="Times New Roman" w:cs="Times New Roman" w:eastAsia="Times New Roman" w:hint="default"/>
        </w:rPr>
        <w:t>(</w:t>
      </w:r>
      <w:hyperlink r:id="rId12">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rPr>
          <w:t>/</w:t>
        </w:r>
      </w:hyperlink>
      <w:r>
        <w:rPr>
          <w:rFonts w:ascii="Times New Roman" w:hAnsi="Times New Roman" w:cs="Times New Roman" w:eastAsia="Times New Roman" w:hint="default"/>
        </w:rPr>
        <w:t>)</w:t>
      </w:r>
      <w:r>
        <w:rPr/>
        <w:t>为公司信息披露的报纸和网站，确保公司所有股东及时、公平地获得公司相关信息。另外，公司</w:t>
      </w:r>
      <w:r>
        <w:rPr>
          <w:spacing w:val="-85"/>
        </w:rPr>
        <w:t> </w:t>
      </w:r>
      <w:r>
        <w:rPr>
          <w:spacing w:val="-85"/>
        </w:rPr>
      </w:r>
      <w:r>
        <w:rPr>
          <w:spacing w:val="-2"/>
        </w:rPr>
        <w:t>建立了畅通的沟通渠道，设立投资者专线、创建投资者关系互动平台与投资者进行沟通交流。同时，公司还进一步加强与深</w:t>
      </w:r>
      <w:r>
        <w:rPr>
          <w:spacing w:val="-64"/>
        </w:rPr>
        <w:t> </w:t>
      </w:r>
      <w:r>
        <w:rPr>
          <w:spacing w:val="-64"/>
        </w:rPr>
      </w:r>
      <w:r>
        <w:rPr>
          <w:spacing w:val="-2"/>
        </w:rPr>
        <w:t>圳证券交易所、广东证监局的经常性联系和沟通，从而更准确地理解信息披露的具体要求，不断适应新的披露规则，进一步</w:t>
      </w:r>
      <w:r>
        <w:rPr>
          <w:spacing w:val="-64"/>
        </w:rPr>
        <w:t> </w:t>
      </w:r>
      <w:r>
        <w:rPr>
          <w:spacing w:val="-64"/>
        </w:rPr>
      </w:r>
      <w:r>
        <w:rPr/>
        <w:t>提高公司的信息披露的质量。</w:t>
      </w:r>
    </w:p>
    <w:p>
      <w:pPr>
        <w:pStyle w:val="BodyText"/>
        <w:spacing w:line="316" w:lineRule="auto" w:before="20"/>
        <w:ind w:left="513" w:right="185"/>
        <w:jc w:val="left"/>
      </w:pPr>
      <w:r>
        <w:rPr/>
        <w:t>（八）内部审计制度 </w:t>
      </w:r>
      <w:r>
        <w:rPr>
          <w:spacing w:val="-2"/>
        </w:rPr>
        <w:t>公司已建立较为完善的内部审计制度，报告期内，公司的内部审计机构发挥了强化内部控制、改善经营管理、提高经济</w:t>
      </w:r>
    </w:p>
    <w:p>
      <w:pPr>
        <w:pStyle w:val="BodyText"/>
        <w:spacing w:line="319" w:lineRule="auto" w:before="19"/>
        <w:ind w:right="190"/>
        <w:jc w:val="both"/>
      </w:pPr>
      <w:r>
        <w:rPr>
          <w:spacing w:val="-2"/>
        </w:rPr>
        <w:t>效益的作用，对公司的日常运行进行了有效的内部监督，保护了投资者的合法权益。内审计机构审计部直接想向董事会审计</w:t>
      </w:r>
      <w:r>
        <w:rPr>
          <w:spacing w:val="-63"/>
        </w:rPr>
        <w:t> </w:t>
      </w:r>
      <w:r>
        <w:rPr>
          <w:spacing w:val="-63"/>
        </w:rPr>
      </w:r>
      <w:r>
        <w:rPr>
          <w:spacing w:val="-2"/>
        </w:rPr>
        <w:t>委员会负责并报告工作，不受其他部门或者个人的干涉。内部审计机构负有对本公司各内部机构、控股子公司以及具有重大</w:t>
      </w:r>
      <w:r>
        <w:rPr>
          <w:spacing w:val="-63"/>
        </w:rPr>
        <w:t> </w:t>
      </w:r>
      <w:r>
        <w:rPr>
          <w:spacing w:val="-63"/>
        </w:rPr>
      </w:r>
      <w:r>
        <w:rPr>
          <w:spacing w:val="-2"/>
        </w:rPr>
        <w:t>影响的参股公司的会计资料及其他有关的经济活动的合规性、真实性和完整性进行审计的责任；另外，内部审计机构对本公</w:t>
      </w:r>
      <w:r>
        <w:rPr>
          <w:spacing w:val="-66"/>
        </w:rPr>
        <w:t> </w:t>
      </w:r>
      <w:r>
        <w:rPr>
          <w:spacing w:val="-66"/>
        </w:rPr>
      </w:r>
      <w:r>
        <w:rPr>
          <w:spacing w:val="-2"/>
        </w:rPr>
        <w:t>司各内部机构、控股子公司以及具有重大影响的参股公司的内部控制制度的完整性、合理性及其实施的有效性进行检查和评</w:t>
      </w:r>
      <w:r>
        <w:rPr>
          <w:spacing w:val="-63"/>
        </w:rPr>
        <w:t> </w:t>
      </w:r>
      <w:r>
        <w:rPr>
          <w:spacing w:val="-63"/>
        </w:rPr>
      </w:r>
      <w:r>
        <w:rPr/>
        <w:t>估，并提出相应的改进措施。</w:t>
      </w:r>
    </w:p>
    <w:p>
      <w:pPr>
        <w:pStyle w:val="BodyText"/>
        <w:spacing w:line="314" w:lineRule="auto" w:before="17"/>
        <w:ind w:right="94" w:firstLine="360"/>
        <w:jc w:val="left"/>
      </w:pPr>
      <w:r>
        <w:rPr/>
        <w:t>（九）投资者关系 </w:t>
      </w:r>
      <w:r>
        <w:rPr>
          <w:spacing w:val="-2"/>
        </w:rPr>
        <w:t>公司一直非常重视投资者关系管理工作，严格遵守相关法律法规的规定，采取多种形式实施投资者关系管理，充分保证广大</w:t>
      </w:r>
      <w:r>
        <w:rPr>
          <w:spacing w:val="-63"/>
        </w:rPr>
        <w:t> </w:t>
      </w:r>
      <w:r>
        <w:rPr>
          <w:spacing w:val="-63"/>
        </w:rPr>
      </w:r>
      <w:r>
        <w:rPr/>
        <w:t>投资者的知情权。公司规范接待投资者的实地调研，客观、真实、准确、完整地向投资者介绍和反映公司的实际状况</w:t>
      </w:r>
      <w:r>
        <w:rPr>
          <w:rFonts w:ascii="Times New Roman" w:hAnsi="Times New Roman" w:cs="Times New Roman" w:eastAsia="Times New Roman" w:hint="default"/>
        </w:rPr>
        <w:t>,</w:t>
      </w:r>
      <w:r>
        <w:rPr/>
        <w:t>注重</w:t>
      </w:r>
      <w:r>
        <w:rPr>
          <w:spacing w:val="-40"/>
        </w:rPr>
        <w:t> </w:t>
      </w:r>
      <w:r>
        <w:rPr>
          <w:spacing w:val="-2"/>
        </w:rPr>
        <w:t>尚未公布信息及内部信息的保密；通过公司网站、投资者关系管理热线电话、电子信箱、传真、巨潮资讯网等多种渠道加强</w:t>
      </w:r>
      <w:r>
        <w:rPr>
          <w:spacing w:val="-67"/>
        </w:rPr>
        <w:t> </w:t>
      </w:r>
      <w:r>
        <w:rPr>
          <w:spacing w:val="-67"/>
        </w:rPr>
      </w:r>
      <w:r>
        <w:rPr>
          <w:spacing w:val="-2"/>
        </w:rPr>
        <w:t>与投资者、潜在投资者之间的交流，增进投资者对公司的了解和信心；认真管理投资者互动平台，根据投资者的问题指向向</w:t>
      </w:r>
      <w:r>
        <w:rPr>
          <w:spacing w:val="-64"/>
        </w:rPr>
        <w:t> </w:t>
      </w:r>
      <w:r>
        <w:rPr>
          <w:spacing w:val="-64"/>
        </w:rPr>
      </w:r>
      <w:r>
        <w:rPr/>
        <w:t>相关部门进行收集信息，真诚、详尽地回答投资者的问询，并定期将投资者提出的问题和建议整理汇总，报送公司管理层。</w:t>
      </w:r>
    </w:p>
    <w:p>
      <w:pPr>
        <w:pStyle w:val="BodyText"/>
        <w:spacing w:line="240" w:lineRule="auto" w:before="61"/>
        <w:ind w:right="0"/>
        <w:jc w:val="both"/>
      </w:pPr>
      <w:r>
        <w:rPr/>
        <w:t>公司治理与《公司法》和中国证监会相关规定的要求是否存在差异</w:t>
      </w:r>
    </w:p>
    <w:p>
      <w:pPr>
        <w:pStyle w:val="BodyText"/>
        <w:spacing w:line="340" w:lineRule="auto" w:before="115"/>
        <w:ind w:right="45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公司治理与《公司法》和中国证监会相关规定的要求不存在差异。</w:t>
      </w:r>
    </w:p>
    <w:p>
      <w:pPr>
        <w:pStyle w:val="BodyText"/>
        <w:spacing w:line="240" w:lineRule="auto" w:before="41"/>
        <w:ind w:right="0"/>
        <w:jc w:val="both"/>
      </w:pPr>
      <w:r>
        <w:rPr/>
        <w:t>公司治理专项活动开展情况以及内幕信息知情人登记管理制度的制定、实施情况</w:t>
      </w:r>
    </w:p>
    <w:p>
      <w:pPr>
        <w:pStyle w:val="BodyText"/>
        <w:spacing w:line="240" w:lineRule="auto" w:before="115"/>
        <w:ind w:left="513" w:right="185"/>
        <w:jc w:val="left"/>
      </w:pPr>
      <w:r>
        <w:rPr/>
        <w:t>（一）公司治理专项活动开展情况</w:t>
      </w:r>
    </w:p>
    <w:p>
      <w:pPr>
        <w:pStyle w:val="BodyText"/>
        <w:spacing w:line="309" w:lineRule="auto" w:before="117"/>
        <w:ind w:right="199" w:firstLine="360"/>
        <w:jc w:val="both"/>
      </w:pPr>
      <w:r>
        <w:rPr>
          <w:spacing w:val="-3"/>
        </w:rPr>
        <w:t>根据《关于进一步落实上市公司分红相关规定的通知》（广东证监</w:t>
      </w:r>
      <w:r>
        <w:rPr>
          <w:rFonts w:ascii="Times New Roman" w:hAnsi="Times New Roman" w:cs="Times New Roman" w:eastAsia="Times New Roman" w:hint="default"/>
          <w:spacing w:val="-3"/>
        </w:rPr>
        <w:t>[2012]91</w:t>
      </w:r>
      <w:r>
        <w:rPr>
          <w:rFonts w:ascii="Times New Roman" w:hAnsi="Times New Roman" w:cs="Times New Roman" w:eastAsia="Times New Roman" w:hint="default"/>
          <w:spacing w:val="26"/>
        </w:rPr>
        <w:t> </w:t>
      </w:r>
      <w:r>
        <w:rPr>
          <w:spacing w:val="-1"/>
        </w:rPr>
        <w:t>号）的要求，公司对分红管理制度和工作机</w:t>
      </w:r>
      <w:r>
        <w:rPr/>
        <w:t> </w:t>
      </w:r>
      <w:r>
        <w:rPr>
          <w:spacing w:val="-2"/>
        </w:rPr>
        <w:t>制进行了自查，并根据自查报告制定了《利润分配管理制度》，建立了科学、持续、稳定的分红决策和监督机制，引导投资</w:t>
      </w:r>
      <w:r>
        <w:rPr>
          <w:spacing w:val="-71"/>
        </w:rPr>
        <w:t> </w:t>
      </w:r>
      <w:r>
        <w:rPr>
          <w:spacing w:val="-71"/>
        </w:rPr>
      </w:r>
      <w:r>
        <w:rPr/>
        <w:t>者树立长期投资和理性投资理念。</w:t>
      </w:r>
    </w:p>
    <w:p>
      <w:pPr>
        <w:pStyle w:val="BodyText"/>
        <w:spacing w:line="309" w:lineRule="auto" w:before="65"/>
        <w:ind w:right="200" w:firstLine="360"/>
        <w:jc w:val="both"/>
      </w:pPr>
      <w:r>
        <w:rPr>
          <w:spacing w:val="-2"/>
        </w:rPr>
        <w:t>公司根据《关于开展上市公司董事会秘书工作制度落实情况专项检查的通知》（广东证监</w:t>
      </w:r>
      <w:r>
        <w:rPr>
          <w:rFonts w:ascii="Times New Roman" w:hAnsi="Times New Roman" w:cs="Times New Roman" w:eastAsia="Times New Roman" w:hint="default"/>
          <w:spacing w:val="-2"/>
        </w:rPr>
        <w:t>[2012]80</w:t>
      </w:r>
      <w:r>
        <w:rPr>
          <w:rFonts w:ascii="Times New Roman" w:hAnsi="Times New Roman" w:cs="Times New Roman" w:eastAsia="Times New Roman" w:hint="default"/>
          <w:spacing w:val="2"/>
        </w:rPr>
        <w:t> </w:t>
      </w:r>
      <w:r>
        <w:rPr/>
        <w:t>号）的要求，对董事 </w:t>
      </w:r>
      <w:r>
        <w:rPr>
          <w:spacing w:val="-2"/>
        </w:rPr>
        <w:t>会秘书工作制度的落实情况进行了严格的自查，并根据自查报告修订了《董事会秘书工作细则》，努力为董事会秘书履行职</w:t>
      </w:r>
      <w:r>
        <w:rPr>
          <w:spacing w:val="-72"/>
        </w:rPr>
        <w:t> </w:t>
      </w:r>
      <w:r>
        <w:rPr>
          <w:spacing w:val="-72"/>
        </w:rPr>
      </w:r>
      <w:r>
        <w:rPr/>
        <w:t>责创造良好的环境。</w:t>
      </w:r>
    </w:p>
    <w:p>
      <w:pPr>
        <w:spacing w:after="0" w:line="309"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r>
        <w:rPr/>
        <w:pict>
          <v:shape style="position:absolute;margin-left:332.458008pt;margin-top:602.355957pt;width:57.3pt;height:140.7pt;mso-position-horizontal-relative:page;mso-position-vertical-relative:page;z-index:-83065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5"/>
                      <w:szCs w:val="15"/>
                    </w:rPr>
                  </w:pPr>
                </w:p>
                <w:p>
                  <w:pPr>
                    <w:pStyle w:val="BodyText"/>
                    <w:spacing w:line="240" w:lineRule="auto"/>
                    <w:ind w:left="0" w:right="0"/>
                    <w:jc w:val="left"/>
                  </w:pPr>
                  <w:r>
                    <w:rPr/>
                    <w:t>案》</w:t>
                  </w:r>
                </w:p>
              </w:txbxContent>
            </v:textbox>
            <w10:wrap type="none"/>
          </v:shape>
        </w:pict>
      </w:r>
    </w:p>
    <w:p>
      <w:pPr>
        <w:pStyle w:val="BodyText"/>
        <w:spacing w:line="240" w:lineRule="auto" w:before="44"/>
        <w:ind w:left="513" w:right="113"/>
        <w:jc w:val="left"/>
      </w:pPr>
      <w:r>
        <w:rPr/>
        <w:t>中国证监会广东证监局于</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3"/>
        </w:rPr>
        <w:t>日</w:t>
      </w:r>
      <w:r>
        <w:rPr/>
        <w:t>至</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日对</w:t>
      </w:r>
      <w:r>
        <w:rPr>
          <w:spacing w:val="-3"/>
        </w:rPr>
        <w:t>本</w:t>
      </w:r>
      <w:r>
        <w:rPr/>
        <w:t>公司</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年年报信息披</w:t>
      </w:r>
      <w:r>
        <w:rPr>
          <w:spacing w:val="-3"/>
        </w:rPr>
        <w:t>露</w:t>
      </w:r>
      <w:r>
        <w:rPr>
          <w:spacing w:val="-75"/>
        </w:rPr>
        <w:t>、</w:t>
      </w:r>
      <w:r>
        <w:rPr>
          <w:spacing w:val="-3"/>
        </w:rPr>
        <w:t>公</w:t>
      </w:r>
      <w:r>
        <w:rPr/>
        <w:t>司治理等情况进行了现场检</w:t>
      </w:r>
    </w:p>
    <w:p>
      <w:pPr>
        <w:pStyle w:val="BodyText"/>
        <w:spacing w:line="300" w:lineRule="auto" w:before="63"/>
        <w:ind w:right="209"/>
        <w:jc w:val="both"/>
      </w:pPr>
      <w:r>
        <w:rPr/>
        <w:t>查</w:t>
      </w:r>
      <w:r>
        <w:rPr>
          <w:spacing w:val="-17"/>
        </w:rPr>
        <w:t>，</w:t>
      </w:r>
      <w:r>
        <w:rPr/>
        <w:t>并于</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日签</w:t>
      </w:r>
      <w:r>
        <w:rPr>
          <w:spacing w:val="-2"/>
        </w:rPr>
        <w:t>发</w:t>
      </w:r>
      <w:r>
        <w:rPr/>
        <w:t>了</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2</w:t>
      </w:r>
      <w:r>
        <w:rPr>
          <w:rFonts w:ascii="Times New Roman" w:hAnsi="Times New Roman" w:cs="Times New Roman" w:eastAsia="Times New Roman" w:hint="default"/>
        </w:rPr>
        <w:t>]</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17"/>
        </w:rPr>
        <w:t>号</w:t>
      </w:r>
      <w:r>
        <w:rPr/>
        <w:t>《中国证券监</w:t>
      </w:r>
      <w:r>
        <w:rPr>
          <w:spacing w:val="-3"/>
        </w:rPr>
        <w:t>督</w:t>
      </w:r>
      <w:r>
        <w:rPr/>
        <w:t>管理委员会广东监管局现场检查结果告知书</w:t>
      </w:r>
      <w:r>
        <w:rPr>
          <w:spacing w:val="-108"/>
        </w:rPr>
        <w:t>》</w:t>
      </w:r>
      <w:r>
        <w:rPr/>
        <w:t>（以下简</w:t>
      </w:r>
      <w:r>
        <w:rPr>
          <w:spacing w:val="-17"/>
        </w:rPr>
        <w:t>称</w:t>
      </w:r>
      <w:r>
        <w:rPr/>
        <w:t>《</w:t>
      </w:r>
      <w:r>
        <w:rPr>
          <w:spacing w:val="2"/>
        </w:rPr>
        <w:t>告</w:t>
      </w:r>
      <w:r>
        <w:rPr/>
        <w:t>知</w:t>
      </w:r>
      <w:r>
        <w:rPr/>
        <w:t> 书</w:t>
      </w:r>
      <w:r>
        <w:rPr>
          <w:spacing w:val="-92"/>
        </w:rPr>
        <w:t>》）</w:t>
      </w:r>
      <w:r>
        <w:rPr>
          <w:spacing w:val="-15"/>
        </w:rPr>
        <w:t>。</w:t>
      </w:r>
      <w:r>
        <w:rPr/>
        <w:t>公司对此次现场检查</w:t>
      </w:r>
      <w:r>
        <w:rPr>
          <w:spacing w:val="2"/>
        </w:rPr>
        <w:t>中</w:t>
      </w:r>
      <w:r>
        <w:rPr/>
        <w:t>发现的问题高度重视</w:t>
      </w:r>
      <w:r>
        <w:rPr>
          <w:spacing w:val="-15"/>
        </w:rPr>
        <w:t>，</w:t>
      </w:r>
      <w:r>
        <w:rPr/>
        <w:t>本着严肃认真</w:t>
      </w:r>
      <w:r>
        <w:rPr>
          <w:spacing w:val="-15"/>
        </w:rPr>
        <w:t>、</w:t>
      </w:r>
      <w:r>
        <w:rPr/>
        <w:t>规范高效</w:t>
      </w:r>
      <w:r>
        <w:rPr>
          <w:spacing w:val="-15"/>
        </w:rPr>
        <w:t>、</w:t>
      </w:r>
      <w:r>
        <w:rPr/>
        <w:t>及时整</w:t>
      </w:r>
      <w:r>
        <w:rPr>
          <w:spacing w:val="2"/>
        </w:rPr>
        <w:t>改</w:t>
      </w:r>
      <w:r>
        <w:rPr/>
        <w:t>的态度</w:t>
      </w:r>
      <w:r>
        <w:rPr>
          <w:spacing w:val="-15"/>
        </w:rPr>
        <w:t>，</w:t>
      </w:r>
      <w:r>
        <w:rPr/>
        <w:t>结合公司实际情况</w:t>
      </w:r>
      <w:r>
        <w:rPr>
          <w:spacing w:val="-13"/>
        </w:rPr>
        <w:t>，</w:t>
      </w:r>
      <w:r>
        <w:rPr/>
        <w:t>针对</w:t>
      </w:r>
    </w:p>
    <w:p>
      <w:pPr>
        <w:pStyle w:val="BodyText"/>
        <w:spacing w:line="316" w:lineRule="auto" w:before="31"/>
        <w:ind w:right="211"/>
        <w:jc w:val="both"/>
      </w:pPr>
      <w:r>
        <w:rPr>
          <w:spacing w:val="-2"/>
        </w:rPr>
        <w:t>《告知书》提出的问题和整改要求逐项分析，制定了相应的整改措施和整改计划，明确了整改措施的责任人及完成时间，经</w:t>
      </w:r>
      <w:r>
        <w:rPr>
          <w:spacing w:val="-64"/>
        </w:rPr>
        <w:t> </w:t>
      </w:r>
      <w:r>
        <w:rPr>
          <w:spacing w:val="-64"/>
        </w:rPr>
      </w:r>
      <w:r>
        <w:rPr/>
        <w:t>公司第四届董事会第四次会议表决，通过了整改方案。</w:t>
      </w:r>
    </w:p>
    <w:p>
      <w:pPr>
        <w:pStyle w:val="BodyText"/>
        <w:spacing w:line="357" w:lineRule="auto" w:before="59"/>
        <w:ind w:left="513" w:right="104"/>
        <w:jc w:val="left"/>
      </w:pPr>
      <w:r>
        <w:rPr/>
        <w:t>（二）内幕信息知情人登记管理制度的建立和执行情况 </w:t>
      </w:r>
      <w:r>
        <w:rPr>
          <w:spacing w:val="-14"/>
        </w:rPr>
        <w:t>根据《中华人民共和国公司法》、《中华人民共和国证券法》、《上市公司治理准则》、《上市公司信息披露管理办法</w:t>
      </w:r>
      <w:r>
        <w:rPr/>
        <w:t>  》 </w:t>
      </w:r>
      <w:r>
        <w:rPr>
          <w:spacing w:val="17"/>
        </w:rPr>
        <w:t> </w:t>
      </w:r>
      <w:r>
        <w:rPr/>
        <w:t>、</w:t>
      </w:r>
    </w:p>
    <w:p>
      <w:pPr>
        <w:pStyle w:val="BodyText"/>
        <w:spacing w:line="224" w:lineRule="exact"/>
        <w:ind w:right="0"/>
        <w:jc w:val="both"/>
      </w:pPr>
      <w:r>
        <w:rPr/>
        <w:t>《深圳证券交易所股票上市规则</w:t>
      </w:r>
      <w:r>
        <w:rPr>
          <w:spacing w:val="-92"/>
        </w:rPr>
        <w:t>》</w:t>
      </w:r>
      <w:r>
        <w:rPr>
          <w:spacing w:val="-113"/>
        </w:rPr>
        <w:t>、</w:t>
      </w:r>
      <w:r>
        <w:rPr/>
        <w:t>《深圳证</w:t>
      </w:r>
      <w:r>
        <w:rPr>
          <w:spacing w:val="2"/>
        </w:rPr>
        <w:t>券</w:t>
      </w:r>
      <w:r>
        <w:rPr/>
        <w:t>交易所中小</w:t>
      </w:r>
      <w:r>
        <w:rPr>
          <w:spacing w:val="2"/>
        </w:rPr>
        <w:t>企</w:t>
      </w:r>
      <w:r>
        <w:rPr/>
        <w:t>业板上市公司公平信息披露指引</w:t>
      </w:r>
      <w:r>
        <w:rPr>
          <w:spacing w:val="-22"/>
        </w:rPr>
        <w:t>》</w:t>
      </w:r>
      <w:r>
        <w:rPr/>
        <w:t>等有关法律</w:t>
      </w:r>
      <w:r>
        <w:rPr>
          <w:spacing w:val="-22"/>
        </w:rPr>
        <w:t>、</w:t>
      </w:r>
      <w:r>
        <w:rPr/>
        <w:t>法规</w:t>
      </w:r>
      <w:r>
        <w:rPr>
          <w:spacing w:val="-22"/>
        </w:rPr>
        <w:t>、</w:t>
      </w:r>
      <w:r>
        <w:rPr/>
        <w:t>规</w:t>
      </w:r>
      <w:r>
        <w:rPr>
          <w:spacing w:val="2"/>
        </w:rPr>
        <w:t>范</w:t>
      </w:r>
      <w:r>
        <w:rPr/>
        <w:t>性文</w:t>
      </w:r>
    </w:p>
    <w:p>
      <w:pPr>
        <w:pStyle w:val="BodyText"/>
        <w:spacing w:line="240" w:lineRule="auto" w:before="76"/>
        <w:ind w:right="0"/>
        <w:jc w:val="both"/>
      </w:pPr>
      <w:r>
        <w:rPr/>
        <w:t>件以</w:t>
      </w:r>
      <w:r>
        <w:rPr>
          <w:spacing w:val="-15"/>
        </w:rPr>
        <w:t>及</w:t>
      </w:r>
      <w:r>
        <w:rPr/>
        <w:t>《公司章程</w:t>
      </w:r>
      <w:r>
        <w:rPr>
          <w:spacing w:val="-15"/>
        </w:rPr>
        <w:t>》</w:t>
      </w:r>
      <w:r>
        <w:rPr/>
        <w:t>的规定</w:t>
      </w:r>
      <w:r>
        <w:rPr>
          <w:spacing w:val="-13"/>
        </w:rPr>
        <w:t>，</w:t>
      </w:r>
      <w:r>
        <w:rPr/>
        <w:t>公司于</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月制</w:t>
      </w:r>
      <w:r>
        <w:rPr>
          <w:spacing w:val="-15"/>
        </w:rPr>
        <w:t>定</w:t>
      </w:r>
      <w:r>
        <w:rPr/>
        <w:t>《内</w:t>
      </w:r>
      <w:r>
        <w:rPr>
          <w:spacing w:val="-3"/>
        </w:rPr>
        <w:t>幕</w:t>
      </w:r>
      <w:r>
        <w:rPr/>
        <w:t>信息知情人报备制度</w:t>
      </w:r>
      <w:r>
        <w:rPr>
          <w:spacing w:val="-92"/>
        </w:rPr>
        <w:t>》</w:t>
      </w:r>
      <w:r>
        <w:rPr>
          <w:spacing w:val="-15"/>
        </w:rPr>
        <w:t>；</w:t>
      </w:r>
      <w:r>
        <w:rPr/>
        <w:t>为进</w:t>
      </w:r>
      <w:r>
        <w:rPr>
          <w:spacing w:val="2"/>
        </w:rPr>
        <w:t>一</w:t>
      </w:r>
      <w:r>
        <w:rPr/>
        <w:t>步完善公司的治理结构</w:t>
      </w:r>
      <w:r>
        <w:rPr>
          <w:spacing w:val="-15"/>
        </w:rPr>
        <w:t>，</w:t>
      </w:r>
      <w:r>
        <w:rPr/>
        <w:t>防范内</w:t>
      </w:r>
    </w:p>
    <w:p>
      <w:pPr>
        <w:pStyle w:val="BodyText"/>
        <w:spacing w:line="240" w:lineRule="auto" w:before="63"/>
        <w:ind w:right="0"/>
        <w:jc w:val="both"/>
      </w:pPr>
      <w:r>
        <w:rPr/>
        <w:t>幕信息知情人员滥用知情权</w:t>
      </w:r>
      <w:r>
        <w:rPr>
          <w:spacing w:val="-15"/>
        </w:rPr>
        <w:t>、</w:t>
      </w:r>
      <w:r>
        <w:rPr/>
        <w:t>泄露内幕信息</w:t>
      </w:r>
      <w:r>
        <w:rPr>
          <w:spacing w:val="-15"/>
        </w:rPr>
        <w:t>、</w:t>
      </w:r>
      <w:r>
        <w:rPr/>
        <w:t>进行内幕交易</w:t>
      </w:r>
      <w:r>
        <w:rPr>
          <w:spacing w:val="-15"/>
        </w:rPr>
        <w:t>，</w:t>
      </w:r>
      <w:r>
        <w:rPr/>
        <w:t>公司于</w:t>
      </w:r>
      <w:r>
        <w:rPr>
          <w:spacing w:val="-43"/>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月修</w:t>
      </w:r>
      <w:r>
        <w:rPr>
          <w:spacing w:val="-15"/>
        </w:rPr>
        <w:t>订</w:t>
      </w:r>
      <w:r>
        <w:rPr>
          <w:spacing w:val="-3"/>
        </w:rPr>
        <w:t>《</w:t>
      </w:r>
      <w:r>
        <w:rPr/>
        <w:t>内幕信息知情人报备制度</w:t>
      </w:r>
      <w:r>
        <w:rPr>
          <w:spacing w:val="-106"/>
        </w:rPr>
        <w:t>》</w:t>
      </w:r>
      <w:r>
        <w:rPr>
          <w:spacing w:val="-92"/>
        </w:rPr>
        <w:t>（</w:t>
      </w:r>
      <w:r>
        <w:rPr>
          <w:spacing w:val="2"/>
        </w:rPr>
        <w:t>《</w:t>
      </w:r>
      <w:r>
        <w:rPr/>
        <w:t>内幕</w:t>
      </w:r>
    </w:p>
    <w:p>
      <w:pPr>
        <w:pStyle w:val="BodyText"/>
        <w:spacing w:line="240" w:lineRule="auto" w:before="63"/>
        <w:ind w:right="0"/>
        <w:jc w:val="both"/>
      </w:pPr>
      <w:r>
        <w:rPr/>
        <w:t>信息知情人报备制度》的制定于</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日刊登在巨</w:t>
      </w:r>
      <w:r>
        <w:rPr>
          <w:spacing w:val="-3"/>
        </w:rPr>
        <w:t>潮</w:t>
      </w:r>
      <w:r>
        <w:rPr/>
        <w:t>资讯网</w:t>
      </w:r>
      <w:hyperlink r:id="rId20">
        <w:r>
          <w:rPr>
            <w:rFonts w:ascii="Times New Roman" w:hAnsi="Times New Roman" w:cs="Times New Roman" w:eastAsia="Times New Roman" w:hint="default"/>
          </w:rPr>
          <w:t>(</w:t>
        </w:r>
        <w:r>
          <w:rPr>
            <w:rFonts w:ascii="Times New Roman" w:hAnsi="Times New Roman" w:cs="Times New Roman" w:eastAsia="Times New Roman" w:hint="default"/>
            <w:spacing w:val="1"/>
          </w:rPr>
          <w:t>h</w:t>
        </w:r>
        <w:r>
          <w:rPr>
            <w:rFonts w:ascii="Times New Roman" w:hAnsi="Times New Roman" w:cs="Times New Roman" w:eastAsia="Times New Roman" w:hint="default"/>
          </w:rPr>
          <w:t>tt</w:t>
        </w:r>
      </w:hyperlink>
      <w:r>
        <w:rPr>
          <w:rFonts w:ascii="Times New Roman" w:hAnsi="Times New Roman" w:cs="Times New Roman" w:eastAsia="Times New Roman" w:hint="default"/>
          <w:spacing w:val="1"/>
        </w:rPr>
        <w:t>p</w:t>
      </w:r>
      <w:hyperlink r:id="rId20">
        <w:r>
          <w:rPr>
            <w:rFonts w:ascii="Times New Roman" w:hAnsi="Times New Roman" w:cs="Times New Roman" w:eastAsia="Times New Roman" w:hint="default"/>
            <w:spacing w:val="-2"/>
          </w:rPr>
          <w:t>:</w:t>
        </w:r>
        <w:r>
          <w:rPr>
            <w:rFonts w:ascii="Times New Roman" w:hAnsi="Times New Roman" w:cs="Times New Roman" w:eastAsia="Times New Roman" w:hint="default"/>
          </w:rPr>
          <w:t>//</w:t>
        </w:r>
        <w:r>
          <w:rPr>
            <w:rFonts w:ascii="Times New Roman" w:hAnsi="Times New Roman" w:cs="Times New Roman" w:eastAsia="Times New Roman" w:hint="default"/>
            <w:w w:val="99"/>
          </w:rPr>
          <w:t>w</w:t>
        </w:r>
        <w:r>
          <w:rPr>
            <w:rFonts w:ascii="Times New Roman" w:hAnsi="Times New Roman" w:cs="Times New Roman" w:eastAsia="Times New Roman" w:hint="default"/>
            <w:spacing w:val="-1"/>
            <w:w w:val="99"/>
          </w:rPr>
          <w:t>w</w:t>
        </w:r>
        <w:r>
          <w:rPr>
            <w:rFonts w:ascii="Times New Roman" w:hAnsi="Times New Roman" w:cs="Times New Roman" w:eastAsia="Times New Roman" w:hint="default"/>
            <w:spacing w:val="-15"/>
            <w:w w:val="99"/>
          </w:rPr>
          <w:t>w</w:t>
        </w:r>
        <w:r>
          <w:rPr>
            <w:rFonts w:ascii="Times New Roman" w:hAnsi="Times New Roman" w:cs="Times New Roman" w:eastAsia="Times New Roman" w:hint="default"/>
          </w:rPr>
          <w:t>.</w:t>
        </w:r>
        <w:r>
          <w:rPr>
            <w:rFonts w:ascii="Times New Roman" w:hAnsi="Times New Roman" w:cs="Times New Roman" w:eastAsia="Times New Roman" w:hint="default"/>
            <w:spacing w:val="-1"/>
          </w:rPr>
          <w:t>c</w:t>
        </w:r>
        <w:r>
          <w:rPr>
            <w:rFonts w:ascii="Times New Roman" w:hAnsi="Times New Roman" w:cs="Times New Roman" w:eastAsia="Times New Roman" w:hint="default"/>
            <w:spacing w:val="1"/>
          </w:rPr>
          <w:t>n</w:t>
        </w:r>
        <w:r>
          <w:rPr>
            <w:rFonts w:ascii="Times New Roman" w:hAnsi="Times New Roman" w:cs="Times New Roman" w:eastAsia="Times New Roman" w:hint="default"/>
          </w:rPr>
          <w:t>i</w:t>
        </w:r>
        <w:r>
          <w:rPr>
            <w:rFonts w:ascii="Times New Roman" w:hAnsi="Times New Roman" w:cs="Times New Roman" w:eastAsia="Times New Roman" w:hint="default"/>
            <w:spacing w:val="1"/>
          </w:rPr>
          <w:t>n</w:t>
        </w:r>
        <w:r>
          <w:rPr>
            <w:rFonts w:ascii="Times New Roman" w:hAnsi="Times New Roman" w:cs="Times New Roman" w:eastAsia="Times New Roman" w:hint="default"/>
            <w:spacing w:val="-3"/>
          </w:rPr>
          <w:t>f</w:t>
        </w:r>
        <w:r>
          <w:rPr>
            <w:rFonts w:ascii="Times New Roman" w:hAnsi="Times New Roman" w:cs="Times New Roman" w:eastAsia="Times New Roman" w:hint="default"/>
            <w:spacing w:val="1"/>
          </w:rPr>
          <w:t>o</w:t>
        </w:r>
        <w:r>
          <w:rPr>
            <w:rFonts w:ascii="Times New Roman" w:hAnsi="Times New Roman" w:cs="Times New Roman" w:eastAsia="Times New Roman" w:hint="default"/>
          </w:rPr>
          <w:t>.</w:t>
        </w:r>
        <w:r>
          <w:rPr>
            <w:rFonts w:ascii="Times New Roman" w:hAnsi="Times New Roman" w:cs="Times New Roman" w:eastAsia="Times New Roman" w:hint="default"/>
            <w:spacing w:val="-1"/>
          </w:rPr>
          <w:t>c</w:t>
        </w:r>
        <w:r>
          <w:rPr>
            <w:rFonts w:ascii="Times New Roman" w:hAnsi="Times New Roman" w:cs="Times New Roman" w:eastAsia="Times New Roman" w:hint="default"/>
            <w:spacing w:val="1"/>
          </w:rPr>
          <w:t>o</w:t>
        </w:r>
        <w:r>
          <w:rPr>
            <w:rFonts w:ascii="Times New Roman" w:hAnsi="Times New Roman" w:cs="Times New Roman" w:eastAsia="Times New Roman" w:hint="default"/>
            <w:spacing w:val="-4"/>
          </w:rPr>
          <w:t>m</w:t>
        </w:r>
        <w:r>
          <w:rPr>
            <w:rFonts w:ascii="Times New Roman" w:hAnsi="Times New Roman" w:cs="Times New Roman" w:eastAsia="Times New Roman" w:hint="default"/>
          </w:rPr>
          <w:t>.</w:t>
        </w:r>
        <w:r>
          <w:rPr>
            <w:rFonts w:ascii="Times New Roman" w:hAnsi="Times New Roman" w:cs="Times New Roman" w:eastAsia="Times New Roman" w:hint="default"/>
            <w:spacing w:val="1"/>
          </w:rPr>
          <w:t>cn</w:t>
        </w:r>
        <w:r>
          <w:rPr>
            <w:rFonts w:ascii="Times New Roman" w:hAnsi="Times New Roman" w:cs="Times New Roman" w:eastAsia="Times New Roman" w:hint="default"/>
          </w:rPr>
          <w:t>/</w:t>
        </w:r>
        <w:r>
          <w:rPr>
            <w:rFonts w:ascii="Times New Roman" w:hAnsi="Times New Roman" w:cs="Times New Roman" w:eastAsia="Times New Roman" w:hint="default"/>
            <w:spacing w:val="3"/>
          </w:rPr>
          <w:t>)</w:t>
        </w:r>
        <w:r>
          <w:rPr/>
          <w:t>上</w:t>
        </w:r>
      </w:hyperlink>
      <w:r>
        <w:rPr>
          <w:spacing w:val="-92"/>
        </w:rPr>
        <w:t>；</w:t>
      </w:r>
      <w:r>
        <w:rPr/>
        <w:t>《内幕信息知情人报备制</w:t>
      </w:r>
    </w:p>
    <w:p>
      <w:pPr>
        <w:pStyle w:val="BodyText"/>
        <w:spacing w:line="340" w:lineRule="auto" w:before="63"/>
        <w:ind w:left="513" w:right="113" w:hanging="361"/>
        <w:jc w:val="left"/>
      </w:pPr>
      <w:r>
        <w:rPr/>
        <w:t>度》的修订于</w:t>
      </w:r>
      <w:r>
        <w:rPr>
          <w:spacing w:val="-44"/>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1"/>
        </w:rPr>
        <w:t>22</w:t>
      </w:r>
      <w:r>
        <w:rPr>
          <w:rFonts w:ascii="Times New Roman" w:hAnsi="Times New Roman" w:cs="Times New Roman" w:eastAsia="Times New Roman" w:hint="default"/>
        </w:rPr>
        <w:t> </w:t>
      </w:r>
      <w:r>
        <w:rPr>
          <w:spacing w:val="-3"/>
          <w:w w:val="99"/>
        </w:rPr>
        <w:t>日刊登在巨潮资讯网</w:t>
      </w:r>
      <w:hyperlink r:id="rId20">
        <w:r>
          <w:rPr>
            <w:rFonts w:ascii="Times New Roman" w:hAnsi="Times New Roman" w:cs="Times New Roman" w:eastAsia="Times New Roman" w:hint="default"/>
            <w:spacing w:val="-3"/>
            <w:w w:val="99"/>
          </w:rPr>
          <w:t>(htt</w:t>
        </w:r>
      </w:hyperlink>
      <w:r>
        <w:rPr>
          <w:rFonts w:ascii="Times New Roman" w:hAnsi="Times New Roman" w:cs="Times New Roman" w:eastAsia="Times New Roman" w:hint="default"/>
          <w:spacing w:val="-3"/>
          <w:w w:val="99"/>
        </w:rPr>
        <w:t>p</w:t>
      </w:r>
      <w:hyperlink r:id="rId20">
        <w:r>
          <w:rPr>
            <w:rFonts w:ascii="Times New Roman" w:hAnsi="Times New Roman" w:cs="Times New Roman" w:eastAsia="Times New Roman" w:hint="default"/>
            <w:spacing w:val="-3"/>
            <w:w w:val="99"/>
          </w:rPr>
          <w:t>://www.cninfo.com.cn/)</w:t>
        </w:r>
        <w:r>
          <w:rPr>
            <w:spacing w:val="-3"/>
            <w:w w:val="99"/>
          </w:rPr>
          <w:t>上</w:t>
        </w:r>
      </w:hyperlink>
      <w:r>
        <w:rPr>
          <w:spacing w:val="-3"/>
          <w:w w:val="99"/>
        </w:rPr>
        <w:t>）。</w:t>
      </w:r>
      <w:r>
        <w:rPr>
          <w:spacing w:val="-81"/>
          <w:w w:val="99"/>
        </w:rPr>
        <w:t> </w:t>
      </w:r>
      <w:r>
        <w:rPr>
          <w:spacing w:val="-81"/>
          <w:w w:val="99"/>
        </w:rPr>
      </w:r>
      <w:r>
        <w:rPr>
          <w:spacing w:val="-2"/>
        </w:rPr>
        <w:t>报告期内，公司注重尚未公布信息及内部信息的保密，规范地接待投资者来访调研、媒体采访，进行直接沟通前，要求</w:t>
      </w:r>
    </w:p>
    <w:p>
      <w:pPr>
        <w:pStyle w:val="BodyText"/>
        <w:spacing w:line="316" w:lineRule="auto" w:before="1"/>
        <w:ind w:right="210"/>
        <w:jc w:val="both"/>
      </w:pPr>
      <w:r>
        <w:rPr>
          <w:spacing w:val="-2"/>
        </w:rPr>
        <w:t>对方签署承诺书。同时，公司按照《信息披露管理制度》等的相关规定，严格执行信息外报流程的审批程序，所有信息必须</w:t>
      </w:r>
      <w:r>
        <w:rPr>
          <w:spacing w:val="-68"/>
        </w:rPr>
        <w:t> </w:t>
      </w:r>
      <w:r>
        <w:rPr>
          <w:spacing w:val="-68"/>
        </w:rPr>
      </w:r>
      <w:r>
        <w:rPr>
          <w:spacing w:val="-2"/>
        </w:rPr>
        <w:t>经公司董事会秘书批准后方可对外报送，同时向接收人员提供保密提示函，并要求对方接收人员签署回执，回执中同时列明</w:t>
      </w:r>
      <w:r>
        <w:rPr>
          <w:spacing w:val="-63"/>
        </w:rPr>
        <w:t> </w:t>
      </w:r>
      <w:r>
        <w:rPr>
          <w:spacing w:val="-63"/>
        </w:rPr>
      </w:r>
      <w:r>
        <w:rPr/>
        <w:t>使用所报送信息的人员情况，并交由公司证券部保留存档，证券部将外部单位相关人员作为内幕知情人登记备查。</w:t>
      </w:r>
    </w:p>
    <w:p>
      <w:pPr>
        <w:pStyle w:val="BodyText"/>
        <w:spacing w:line="240" w:lineRule="auto" w:before="59"/>
        <w:ind w:left="513" w:right="113"/>
        <w:jc w:val="left"/>
      </w:pPr>
      <w:r>
        <w:rPr/>
        <w:t>报告期内，公司无内幕信息知情人违规买卖公司股票的情形发生，无监管处罚记录。</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2622"/>
        <w:gridCol w:w="850"/>
        <w:gridCol w:w="1561"/>
        <w:gridCol w:w="1344"/>
      </w:tblGrid>
      <w:tr>
        <w:trPr>
          <w:trHeight w:val="39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4"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032"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00" w:lineRule="auto" w:before="53"/>
              <w:ind w:left="22" w:right="22"/>
              <w:jc w:val="left"/>
              <w:rPr>
                <w:rFonts w:ascii="宋体" w:hAnsi="宋体" w:cs="宋体" w:eastAsia="宋体" w:hint="default"/>
                <w:sz w:val="18"/>
                <w:szCs w:val="18"/>
              </w:rPr>
            </w:pPr>
            <w:r>
              <w:rPr>
                <w:rFonts w:ascii="Times New Roman" w:hAnsi="Times New Roman" w:cs="Times New Roman" w:eastAsia="Times New Roman" w:hint="default"/>
                <w:spacing w:val="-26"/>
                <w:sz w:val="18"/>
                <w:szCs w:val="18"/>
              </w:rPr>
              <w:t>1</w:t>
            </w:r>
            <w:r>
              <w:rPr>
                <w:rFonts w:ascii="宋体" w:hAnsi="宋体" w:cs="宋体" w:eastAsia="宋体" w:hint="default"/>
                <w:spacing w:val="-26"/>
                <w:sz w:val="18"/>
                <w:szCs w:val="18"/>
              </w:rPr>
              <w:t>、《公司</w:t>
            </w:r>
            <w:r>
              <w:rPr>
                <w:rFonts w:ascii="宋体" w:hAnsi="宋体" w:cs="宋体" w:eastAsia="宋体" w:hint="default"/>
                <w:spacing w:val="-43"/>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年度董事会工作报</w:t>
            </w:r>
            <w:r>
              <w:rPr>
                <w:rFonts w:ascii="宋体" w:hAnsi="宋体" w:cs="宋体" w:eastAsia="宋体" w:hint="default"/>
                <w:sz w:val="18"/>
                <w:szCs w:val="18"/>
              </w:rPr>
              <w:t> 告的议案》</w:t>
            </w:r>
          </w:p>
          <w:p>
            <w:pPr>
              <w:pStyle w:val="TableParagraph"/>
              <w:spacing w:line="300" w:lineRule="auto" w:before="72"/>
              <w:ind w:left="22" w:right="22"/>
              <w:jc w:val="left"/>
              <w:rPr>
                <w:rFonts w:ascii="宋体" w:hAnsi="宋体" w:cs="宋体" w:eastAsia="宋体" w:hint="default"/>
                <w:sz w:val="18"/>
                <w:szCs w:val="18"/>
              </w:rPr>
            </w:pPr>
            <w:r>
              <w:rPr>
                <w:rFonts w:ascii="Times New Roman" w:hAnsi="Times New Roman" w:cs="Times New Roman" w:eastAsia="Times New Roman" w:hint="default"/>
                <w:spacing w:val="-26"/>
                <w:sz w:val="18"/>
                <w:szCs w:val="18"/>
              </w:rPr>
              <w:t>2</w:t>
            </w:r>
            <w:r>
              <w:rPr>
                <w:rFonts w:ascii="宋体" w:hAnsi="宋体" w:cs="宋体" w:eastAsia="宋体" w:hint="default"/>
                <w:spacing w:val="-26"/>
                <w:sz w:val="18"/>
                <w:szCs w:val="18"/>
              </w:rPr>
              <w:t>、《公司</w:t>
            </w:r>
            <w:r>
              <w:rPr>
                <w:rFonts w:ascii="宋体" w:hAnsi="宋体" w:cs="宋体" w:eastAsia="宋体" w:hint="default"/>
                <w:spacing w:val="-43"/>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年度财务决算报告</w:t>
            </w:r>
            <w:r>
              <w:rPr>
                <w:rFonts w:ascii="宋体" w:hAnsi="宋体" w:cs="宋体" w:eastAsia="宋体" w:hint="default"/>
                <w:sz w:val="18"/>
                <w:szCs w:val="18"/>
              </w:rPr>
              <w:t> 的议案》</w:t>
            </w:r>
          </w:p>
          <w:p>
            <w:pPr>
              <w:pStyle w:val="TableParagraph"/>
              <w:spacing w:line="300" w:lineRule="auto" w:before="70"/>
              <w:ind w:left="22" w:right="22"/>
              <w:jc w:val="left"/>
              <w:rPr>
                <w:rFonts w:ascii="宋体" w:hAnsi="宋体" w:cs="宋体" w:eastAsia="宋体" w:hint="default"/>
                <w:sz w:val="18"/>
                <w:szCs w:val="18"/>
              </w:rPr>
            </w:pPr>
            <w:r>
              <w:rPr>
                <w:rFonts w:ascii="Times New Roman" w:hAnsi="Times New Roman" w:cs="Times New Roman" w:eastAsia="Times New Roman" w:hint="default"/>
                <w:spacing w:val="-26"/>
                <w:sz w:val="18"/>
                <w:szCs w:val="18"/>
              </w:rPr>
              <w:t>3</w:t>
            </w:r>
            <w:r>
              <w:rPr>
                <w:rFonts w:ascii="宋体" w:hAnsi="宋体" w:cs="宋体" w:eastAsia="宋体" w:hint="default"/>
                <w:spacing w:val="-26"/>
                <w:sz w:val="18"/>
                <w:szCs w:val="18"/>
              </w:rPr>
              <w:t>、《公司</w:t>
            </w:r>
            <w:r>
              <w:rPr>
                <w:rFonts w:ascii="宋体" w:hAnsi="宋体" w:cs="宋体" w:eastAsia="宋体" w:hint="default"/>
                <w:spacing w:val="-43"/>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年度监事会工作报</w:t>
            </w:r>
            <w:r>
              <w:rPr>
                <w:rFonts w:ascii="宋体" w:hAnsi="宋体" w:cs="宋体" w:eastAsia="宋体" w:hint="default"/>
                <w:sz w:val="18"/>
                <w:szCs w:val="18"/>
              </w:rPr>
              <w:t> 告的议案》</w:t>
            </w:r>
          </w:p>
          <w:p>
            <w:pPr>
              <w:pStyle w:val="TableParagraph"/>
              <w:spacing w:line="300" w:lineRule="auto" w:before="72"/>
              <w:ind w:left="22" w:right="21"/>
              <w:jc w:val="left"/>
              <w:rPr>
                <w:rFonts w:ascii="宋体" w:hAnsi="宋体" w:cs="宋体" w:eastAsia="宋体" w:hint="default"/>
                <w:sz w:val="18"/>
                <w:szCs w:val="18"/>
              </w:rPr>
            </w:pPr>
            <w:r>
              <w:rPr>
                <w:rFonts w:ascii="Times New Roman" w:hAnsi="Times New Roman" w:cs="Times New Roman" w:eastAsia="Times New Roman" w:hint="default"/>
                <w:spacing w:val="-26"/>
                <w:sz w:val="18"/>
                <w:szCs w:val="18"/>
              </w:rPr>
              <w:t>4</w:t>
            </w:r>
            <w:r>
              <w:rPr>
                <w:rFonts w:ascii="宋体" w:hAnsi="宋体" w:cs="宋体" w:eastAsia="宋体" w:hint="default"/>
                <w:spacing w:val="-26"/>
                <w:sz w:val="18"/>
                <w:szCs w:val="18"/>
              </w:rPr>
              <w:t>、《公司</w:t>
            </w:r>
            <w:r>
              <w:rPr>
                <w:rFonts w:ascii="宋体" w:hAnsi="宋体" w:cs="宋体" w:eastAsia="宋体" w:hint="default"/>
                <w:spacing w:val="-43"/>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年度利润分配及资</w:t>
            </w:r>
            <w:r>
              <w:rPr>
                <w:rFonts w:ascii="宋体" w:hAnsi="宋体" w:cs="宋体" w:eastAsia="宋体" w:hint="default"/>
                <w:sz w:val="18"/>
                <w:szCs w:val="18"/>
              </w:rPr>
              <w:t> 本公积金转增股本预案的议案》</w:t>
            </w:r>
          </w:p>
          <w:p>
            <w:pPr>
              <w:pStyle w:val="TableParagraph"/>
              <w:spacing w:line="300" w:lineRule="auto" w:before="72"/>
              <w:ind w:left="22" w:right="21"/>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5</w:t>
            </w:r>
            <w:r>
              <w:rPr>
                <w:rFonts w:ascii="宋体" w:hAnsi="宋体" w:cs="宋体" w:eastAsia="宋体" w:hint="default"/>
                <w:spacing w:val="-15"/>
                <w:sz w:val="18"/>
                <w:szCs w:val="18"/>
              </w:rPr>
              <w:t>、《关于批准报出</w:t>
            </w:r>
            <w:r>
              <w:rPr>
                <w:rFonts w:ascii="宋体" w:hAnsi="宋体" w:cs="宋体" w:eastAsia="宋体" w:hint="default"/>
                <w:spacing w:val="-42"/>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年度报告</w:t>
            </w:r>
            <w:r>
              <w:rPr>
                <w:rFonts w:ascii="宋体" w:hAnsi="宋体" w:cs="宋体" w:eastAsia="宋体" w:hint="default"/>
                <w:sz w:val="18"/>
                <w:szCs w:val="18"/>
              </w:rPr>
              <w:t> 及摘要的议案》</w:t>
            </w:r>
          </w:p>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t>《关于聘请立信会计师事务所</w:t>
            </w:r>
          </w:p>
          <w:p>
            <w:pPr>
              <w:pStyle w:val="TableParagraph"/>
              <w:spacing w:line="300" w:lineRule="auto" w:before="63"/>
              <w:ind w:left="22" w:right="23"/>
              <w:jc w:val="left"/>
              <w:rPr>
                <w:rFonts w:ascii="宋体" w:hAnsi="宋体" w:cs="宋体" w:eastAsia="宋体" w:hint="default"/>
                <w:sz w:val="18"/>
                <w:szCs w:val="18"/>
              </w:rPr>
            </w:pPr>
            <w:r>
              <w:rPr>
                <w:rFonts w:ascii="宋体" w:hAnsi="宋体" w:cs="宋体" w:eastAsia="宋体" w:hint="default"/>
                <w:spacing w:val="-4"/>
                <w:sz w:val="18"/>
                <w:szCs w:val="18"/>
              </w:rPr>
              <w:t>（特殊普通合伙）为公司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度财务审计机构的议案》</w:t>
            </w:r>
          </w:p>
          <w:p>
            <w:pPr>
              <w:pStyle w:val="TableParagraph"/>
              <w:spacing w:line="240" w:lineRule="auto" w:before="73"/>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7</w:t>
            </w:r>
            <w:r>
              <w:rPr>
                <w:rFonts w:ascii="宋体" w:hAnsi="宋体" w:cs="宋体" w:eastAsia="宋体" w:hint="default"/>
                <w:spacing w:val="-159"/>
                <w:sz w:val="18"/>
                <w:szCs w:val="18"/>
              </w:rPr>
              <w:t>、</w:t>
            </w:r>
            <w:r>
              <w:rPr>
                <w:rFonts w:ascii="宋体" w:hAnsi="宋体" w:cs="宋体" w:eastAsia="宋体" w:hint="default"/>
                <w:sz w:val="18"/>
                <w:szCs w:val="18"/>
              </w:rPr>
              <w:t>《关于修订</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的议</w:t>
            </w:r>
          </w:p>
          <w:p>
            <w:pPr>
              <w:pStyle w:val="TableParagraph"/>
              <w:spacing w:line="300" w:lineRule="auto" w:before="103"/>
              <w:ind w:left="22" w:right="6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8</w:t>
            </w:r>
            <w:r>
              <w:rPr>
                <w:rFonts w:ascii="宋体" w:hAnsi="宋体" w:cs="宋体" w:eastAsia="宋体" w:hint="default"/>
                <w:spacing w:val="-7"/>
                <w:sz w:val="18"/>
                <w:szCs w:val="18"/>
              </w:rPr>
              <w:t>、《关于增补谭骅先生为公司第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三届董事会非独立董事的议案》</w:t>
            </w:r>
          </w:p>
          <w:p>
            <w:pPr>
              <w:pStyle w:val="TableParagraph"/>
              <w:spacing w:line="300" w:lineRule="auto" w:before="70"/>
              <w:ind w:left="22" w:right="68"/>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9</w:t>
            </w:r>
            <w:r>
              <w:rPr>
                <w:rFonts w:ascii="宋体" w:hAnsi="宋体" w:cs="宋体" w:eastAsia="宋体" w:hint="default"/>
                <w:spacing w:val="-7"/>
                <w:sz w:val="18"/>
                <w:szCs w:val="18"/>
              </w:rPr>
              <w:t>、《关于使用自有闲置资金购买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银行理财产品的议案》</w:t>
            </w:r>
          </w:p>
        </w:tc>
        <w:tc>
          <w:tcPr>
            <w:tcW w:w="85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312" w:lineRule="exact"/>
              <w:ind w:left="23" w:right="21"/>
              <w:jc w:val="left"/>
              <w:rPr>
                <w:rFonts w:ascii="宋体" w:hAnsi="宋体" w:cs="宋体" w:eastAsia="宋体" w:hint="default"/>
                <w:sz w:val="18"/>
                <w:szCs w:val="18"/>
              </w:rPr>
            </w:pPr>
            <w:r>
              <w:rPr>
                <w:rFonts w:ascii="宋体" w:hAnsi="宋体" w:cs="宋体" w:eastAsia="宋体" w:hint="default"/>
                <w:sz w:val="18"/>
                <w:szCs w:val="18"/>
              </w:rPr>
              <w:t>具体内容详见巨 潮资讯网 </w:t>
            </w:r>
            <w:r>
              <w:rPr>
                <w:rFonts w:ascii="Times New Roman" w:hAnsi="Times New Roman" w:cs="Times New Roman" w:eastAsia="Times New Roman" w:hint="default"/>
                <w:spacing w:val="-1"/>
                <w:sz w:val="18"/>
                <w:szCs w:val="18"/>
              </w:rPr>
              <w:t>(http://www.cninf</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o.com.cn/)</w:t>
            </w:r>
            <w:r>
              <w:rPr>
                <w:rFonts w:ascii="宋体" w:hAnsi="宋体" w:cs="宋体" w:eastAsia="宋体" w:hint="default"/>
                <w:spacing w:val="-2"/>
                <w:sz w:val="18"/>
                <w:szCs w:val="18"/>
              </w:rPr>
              <w:t>及《证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3"/>
                <w:sz w:val="18"/>
                <w:szCs w:val="18"/>
              </w:rPr>
              <w:t>券时报》、《中国</w:t>
            </w:r>
            <w:r>
              <w:rPr>
                <w:rFonts w:ascii="宋体" w:hAnsi="宋体" w:cs="宋体" w:eastAsia="宋体" w:hint="default"/>
                <w:sz w:val="18"/>
                <w:szCs w:val="18"/>
              </w:rPr>
              <w:t> </w:t>
            </w:r>
            <w:r>
              <w:rPr>
                <w:rFonts w:ascii="宋体" w:hAnsi="宋体" w:cs="宋体" w:eastAsia="宋体" w:hint="default"/>
                <w:spacing w:val="-23"/>
                <w:sz w:val="18"/>
                <w:szCs w:val="18"/>
              </w:rPr>
              <w:t>证券报》、《上海</w:t>
            </w:r>
            <w:r>
              <w:rPr>
                <w:rFonts w:ascii="宋体" w:hAnsi="宋体" w:cs="宋体" w:eastAsia="宋体" w:hint="default"/>
                <w:sz w:val="18"/>
                <w:szCs w:val="18"/>
              </w:rPr>
              <w:t> 证券报》上的</w:t>
            </w:r>
          </w:p>
          <w:p>
            <w:pPr>
              <w:pStyle w:val="TableParagraph"/>
              <w:spacing w:line="300" w:lineRule="auto" w:before="39"/>
              <w:ind w:left="23"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年度股东 大会决议公告》</w:t>
            </w:r>
          </w:p>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2012-012</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20"/>
        </w:sectPr>
      </w:pPr>
    </w:p>
    <w:p>
      <w:pPr>
        <w:spacing w:line="240" w:lineRule="auto" w:before="10"/>
        <w:rPr>
          <w:rFonts w:ascii="宋体" w:hAnsi="宋体" w:cs="宋体" w:eastAsia="宋体" w:hint="default"/>
          <w:b/>
          <w:bCs/>
          <w:sz w:val="24"/>
          <w:szCs w:val="24"/>
        </w:rPr>
      </w:pPr>
    </w:p>
    <w:p>
      <w:pPr>
        <w:pStyle w:val="Heading3"/>
        <w:spacing w:line="240" w:lineRule="auto" w:before="36"/>
        <w:ind w:right="144"/>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2622"/>
        <w:gridCol w:w="850"/>
        <w:gridCol w:w="1561"/>
        <w:gridCol w:w="1344"/>
      </w:tblGrid>
      <w:tr>
        <w:trPr>
          <w:trHeight w:val="39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4"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919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300" w:lineRule="auto"/>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2" w:lineRule="auto" w:before="53"/>
              <w:ind w:left="22" w:right="69"/>
              <w:jc w:val="left"/>
              <w:rPr>
                <w:rFonts w:ascii="宋体" w:hAnsi="宋体" w:cs="宋体" w:eastAsia="宋体" w:hint="default"/>
                <w:sz w:val="18"/>
                <w:szCs w:val="18"/>
              </w:rPr>
            </w:pPr>
            <w:r>
              <w:rPr>
                <w:rFonts w:ascii="宋体" w:hAnsi="宋体" w:cs="宋体" w:eastAsia="宋体" w:hint="default"/>
                <w:sz w:val="18"/>
                <w:szCs w:val="18"/>
              </w:rPr>
              <w:t>（一）审议《关于选举公司第四 届董事会非独立董事的议案》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选举杨文江先生为第四届董 事会非独立董事</w:t>
            </w:r>
          </w:p>
          <w:p>
            <w:pPr>
              <w:pStyle w:val="TableParagraph"/>
              <w:spacing w:line="300" w:lineRule="auto" w:before="63"/>
              <w:ind w:left="22" w:right="154"/>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选举王志杰先生为第四届董 事会非独立董事</w:t>
            </w:r>
          </w:p>
          <w:p>
            <w:pPr>
              <w:pStyle w:val="TableParagraph"/>
              <w:spacing w:line="300" w:lineRule="auto" w:before="70"/>
              <w:ind w:left="22" w:right="154"/>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选举谭骅先生为第四届董事 会非独立董事</w:t>
            </w:r>
          </w:p>
          <w:p>
            <w:pPr>
              <w:pStyle w:val="TableParagraph"/>
              <w:spacing w:line="319" w:lineRule="auto" w:before="72"/>
              <w:ind w:left="22" w:right="69"/>
              <w:jc w:val="left"/>
              <w:rPr>
                <w:rFonts w:ascii="宋体" w:hAnsi="宋体" w:cs="宋体" w:eastAsia="宋体" w:hint="default"/>
                <w:sz w:val="18"/>
                <w:szCs w:val="18"/>
              </w:rPr>
            </w:pPr>
            <w:r>
              <w:rPr>
                <w:rFonts w:ascii="宋体" w:hAnsi="宋体" w:cs="宋体" w:eastAsia="宋体" w:hint="default"/>
                <w:sz w:val="18"/>
                <w:szCs w:val="18"/>
              </w:rPr>
              <w:t>（二）审议《关于选举公司第四 届董事会独立董事的议案》</w:t>
            </w:r>
          </w:p>
          <w:p>
            <w:pPr>
              <w:pStyle w:val="TableParagraph"/>
              <w:spacing w:line="300" w:lineRule="auto" w:before="17"/>
              <w:ind w:left="22" w:right="154"/>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选举石本仁先生为第四届董 事会独立董事</w:t>
            </w:r>
          </w:p>
          <w:p>
            <w:pPr>
              <w:pStyle w:val="TableParagraph"/>
              <w:spacing w:line="300" w:lineRule="auto" w:before="72"/>
              <w:ind w:left="22" w:right="154"/>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选举张华先生为第四届董事 会独立董事</w:t>
            </w:r>
          </w:p>
          <w:p>
            <w:pPr>
              <w:pStyle w:val="TableParagraph"/>
              <w:spacing w:line="312" w:lineRule="auto" w:before="70"/>
              <w:ind w:left="22" w:right="69"/>
              <w:jc w:val="left"/>
              <w:rPr>
                <w:rFonts w:ascii="宋体" w:hAnsi="宋体" w:cs="宋体" w:eastAsia="宋体" w:hint="default"/>
                <w:sz w:val="18"/>
                <w:szCs w:val="18"/>
              </w:rPr>
            </w:pPr>
            <w:r>
              <w:rPr>
                <w:rFonts w:ascii="宋体" w:hAnsi="宋体" w:cs="宋体" w:eastAsia="宋体" w:hint="default"/>
                <w:sz w:val="18"/>
                <w:szCs w:val="18"/>
              </w:rPr>
              <w:t>（三）审议《关于选举公司第四 届监事会股东代表监事的议案》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选举梁晓芹女士为第四届监 事会股东代表监事</w:t>
            </w:r>
          </w:p>
          <w:p>
            <w:pPr>
              <w:pStyle w:val="TableParagraph"/>
              <w:spacing w:line="300" w:lineRule="auto" w:before="63"/>
              <w:ind w:left="22" w:right="154"/>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选举龚穗娟女士为第四届监 事会股东代表监事</w:t>
            </w:r>
          </w:p>
          <w:p>
            <w:pPr>
              <w:pStyle w:val="TableParagraph"/>
              <w:spacing w:line="309" w:lineRule="auto" w:before="72"/>
              <w:ind w:left="22" w:right="21"/>
              <w:jc w:val="left"/>
              <w:rPr>
                <w:rFonts w:ascii="宋体" w:hAnsi="宋体" w:cs="宋体" w:eastAsia="宋体" w:hint="default"/>
                <w:sz w:val="18"/>
                <w:szCs w:val="18"/>
              </w:rPr>
            </w:pPr>
            <w:r>
              <w:rPr>
                <w:rFonts w:ascii="宋体" w:hAnsi="宋体" w:cs="宋体" w:eastAsia="宋体" w:hint="default"/>
                <w:spacing w:val="-4"/>
                <w:sz w:val="18"/>
                <w:szCs w:val="18"/>
              </w:rPr>
              <w:t>（四）审议《关于制定</w:t>
            </w:r>
            <w:r>
              <w:rPr>
                <w:rFonts w:ascii="Times New Roman" w:hAnsi="Times New Roman" w:cs="Times New Roman" w:eastAsia="Times New Roman" w:hint="default"/>
                <w:spacing w:val="-4"/>
                <w:sz w:val="18"/>
                <w:szCs w:val="18"/>
              </w:rPr>
              <w:t>&lt;</w:t>
            </w:r>
            <w:r>
              <w:rPr>
                <w:rFonts w:ascii="宋体" w:hAnsi="宋体" w:cs="宋体" w:eastAsia="宋体" w:hint="default"/>
                <w:spacing w:val="-4"/>
                <w:sz w:val="18"/>
                <w:szCs w:val="18"/>
              </w:rPr>
              <w:t>董事、监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事和高级管理人员薪酬管理制 度</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p>
            <w:pPr>
              <w:pStyle w:val="TableParagraph"/>
              <w:spacing w:line="309" w:lineRule="auto" w:before="43"/>
              <w:ind w:left="22" w:right="22"/>
              <w:jc w:val="both"/>
              <w:rPr>
                <w:rFonts w:ascii="宋体" w:hAnsi="宋体" w:cs="宋体" w:eastAsia="宋体" w:hint="default"/>
                <w:sz w:val="18"/>
                <w:szCs w:val="18"/>
              </w:rPr>
            </w:pPr>
            <w:r>
              <w:rPr>
                <w:rFonts w:ascii="宋体" w:hAnsi="宋体" w:cs="宋体" w:eastAsia="宋体" w:hint="default"/>
                <w:spacing w:val="-4"/>
                <w:sz w:val="18"/>
                <w:szCs w:val="18"/>
              </w:rPr>
              <w:t>（五）审议《关于制定</w:t>
            </w:r>
            <w:r>
              <w:rPr>
                <w:rFonts w:ascii="Times New Roman" w:hAnsi="Times New Roman" w:cs="Times New Roman" w:eastAsia="Times New Roman" w:hint="default"/>
                <w:spacing w:val="-4"/>
                <w:sz w:val="18"/>
                <w:szCs w:val="18"/>
              </w:rPr>
              <w:t>&lt;</w:t>
            </w:r>
            <w:r>
              <w:rPr>
                <w:rFonts w:ascii="宋体" w:hAnsi="宋体" w:cs="宋体" w:eastAsia="宋体" w:hint="default"/>
                <w:spacing w:val="-4"/>
                <w:sz w:val="18"/>
                <w:szCs w:val="18"/>
              </w:rPr>
              <w:t>广州御银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科技股份有限公司利润分配管理 制度</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p>
            <w:pPr>
              <w:pStyle w:val="TableParagraph"/>
              <w:spacing w:line="300" w:lineRule="auto" w:before="46"/>
              <w:ind w:left="22" w:right="21"/>
              <w:jc w:val="left"/>
              <w:rPr>
                <w:rFonts w:ascii="宋体" w:hAnsi="宋体" w:cs="宋体" w:eastAsia="宋体" w:hint="default"/>
                <w:sz w:val="18"/>
                <w:szCs w:val="18"/>
              </w:rPr>
            </w:pPr>
            <w:r>
              <w:rPr>
                <w:rFonts w:ascii="宋体" w:hAnsi="宋体" w:cs="宋体" w:eastAsia="宋体" w:hint="default"/>
                <w:spacing w:val="-10"/>
                <w:sz w:val="18"/>
                <w:szCs w:val="18"/>
              </w:rPr>
              <w:t>（六）审议《关于修订</w:t>
            </w:r>
            <w:r>
              <w:rPr>
                <w:rFonts w:ascii="Times New Roman" w:hAnsi="Times New Roman" w:cs="Times New Roman" w:eastAsia="Times New Roman" w:hint="default"/>
                <w:spacing w:val="-10"/>
                <w:sz w:val="18"/>
                <w:szCs w:val="18"/>
              </w:rPr>
              <w:t>&lt;</w:t>
            </w:r>
            <w:r>
              <w:rPr>
                <w:rFonts w:ascii="宋体" w:hAnsi="宋体" w:cs="宋体" w:eastAsia="宋体" w:hint="default"/>
                <w:spacing w:val="-10"/>
                <w:sz w:val="18"/>
                <w:szCs w:val="18"/>
              </w:rPr>
              <w:t>公司章程</w:t>
            </w:r>
            <w:r>
              <w:rPr>
                <w:rFonts w:ascii="Times New Roman" w:hAnsi="Times New Roman" w:cs="Times New Roman" w:eastAsia="Times New Roman" w:hint="default"/>
                <w:spacing w:val="-10"/>
                <w:sz w:val="18"/>
                <w:szCs w:val="18"/>
              </w:rPr>
              <w:t>&gt;</w:t>
            </w:r>
            <w:r>
              <w:rPr>
                <w:rFonts w:ascii="Times New Roman" w:hAnsi="Times New Roman" w:cs="Times New Roman" w:eastAsia="Times New Roman" w:hint="default"/>
                <w:sz w:val="18"/>
                <w:szCs w:val="18"/>
              </w:rPr>
              <w:t> </w:t>
            </w:r>
            <w:r>
              <w:rPr>
                <w:rFonts w:ascii="宋体" w:hAnsi="宋体" w:cs="宋体" w:eastAsia="宋体" w:hint="default"/>
                <w:sz w:val="18"/>
                <w:szCs w:val="18"/>
              </w:rPr>
              <w:t>的议案》</w:t>
            </w:r>
          </w:p>
        </w:tc>
        <w:tc>
          <w:tcPr>
            <w:tcW w:w="85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2"/>
                <w:szCs w:val="22"/>
              </w:rPr>
            </w:pPr>
          </w:p>
          <w:p>
            <w:pPr>
              <w:pStyle w:val="TableParagraph"/>
              <w:spacing w:line="319" w:lineRule="auto"/>
              <w:ind w:left="23" w:right="21"/>
              <w:jc w:val="both"/>
              <w:rPr>
                <w:rFonts w:ascii="宋体" w:hAnsi="宋体" w:cs="宋体" w:eastAsia="宋体" w:hint="default"/>
                <w:sz w:val="18"/>
                <w:szCs w:val="18"/>
              </w:rPr>
            </w:pPr>
            <w:r>
              <w:rPr>
                <w:rFonts w:ascii="宋体" w:hAnsi="宋体" w:cs="宋体" w:eastAsia="宋体" w:hint="default"/>
                <w:sz w:val="18"/>
                <w:szCs w:val="18"/>
              </w:rPr>
              <w:t>具体内容详见巨 潮资讯网</w:t>
            </w:r>
          </w:p>
          <w:p>
            <w:pPr>
              <w:pStyle w:val="TableParagraph"/>
              <w:spacing w:line="312" w:lineRule="auto" w:before="59"/>
              <w:ind w:left="23" w:right="21"/>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(http://www.cninf</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pacing w:val="-2"/>
                <w:sz w:val="18"/>
                <w:szCs w:val="18"/>
              </w:rPr>
              <w:t>o.com.cn/)</w:t>
            </w:r>
            <w:r>
              <w:rPr>
                <w:rFonts w:ascii="宋体" w:hAnsi="宋体" w:cs="宋体" w:eastAsia="宋体" w:hint="default"/>
                <w:spacing w:val="-2"/>
                <w:sz w:val="18"/>
                <w:szCs w:val="18"/>
              </w:rPr>
              <w:t>及《证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3"/>
                <w:sz w:val="18"/>
                <w:szCs w:val="18"/>
              </w:rPr>
              <w:t>券时报》、《中国</w:t>
            </w:r>
            <w:r>
              <w:rPr>
                <w:rFonts w:ascii="宋体" w:hAnsi="宋体" w:cs="宋体" w:eastAsia="宋体" w:hint="default"/>
                <w:sz w:val="18"/>
                <w:szCs w:val="18"/>
              </w:rPr>
              <w:t> </w:t>
            </w:r>
            <w:r>
              <w:rPr>
                <w:rFonts w:ascii="宋体" w:hAnsi="宋体" w:cs="宋体" w:eastAsia="宋体" w:hint="default"/>
                <w:spacing w:val="-23"/>
                <w:sz w:val="18"/>
                <w:szCs w:val="18"/>
              </w:rPr>
              <w:t>证券报》、《上海</w:t>
            </w:r>
            <w:r>
              <w:rPr>
                <w:rFonts w:ascii="宋体" w:hAnsi="宋体" w:cs="宋体" w:eastAsia="宋体" w:hint="default"/>
                <w:sz w:val="18"/>
                <w:szCs w:val="18"/>
              </w:rPr>
              <w:t> 证券报》上的</w:t>
            </w:r>
          </w:p>
          <w:p>
            <w:pPr>
              <w:pStyle w:val="TableParagraph"/>
              <w:spacing w:line="312" w:lineRule="auto" w:before="22"/>
              <w:ind w:left="23" w:right="17"/>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年第一次 临时股东大会决 </w:t>
            </w:r>
            <w:r>
              <w:rPr>
                <w:rFonts w:ascii="宋体" w:hAnsi="宋体" w:cs="宋体" w:eastAsia="宋体" w:hint="default"/>
                <w:spacing w:val="-20"/>
                <w:sz w:val="18"/>
                <w:szCs w:val="18"/>
              </w:rPr>
              <w:t>议公告》（公告编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2012-025</w:t>
            </w:r>
            <w:r>
              <w:rPr>
                <w:rFonts w:ascii="宋体" w:hAnsi="宋体" w:cs="宋体" w:eastAsia="宋体" w:hint="default"/>
                <w:sz w:val="18"/>
                <w:szCs w:val="18"/>
              </w:rPr>
              <w:t>）</w:t>
            </w:r>
          </w:p>
        </w:tc>
      </w:tr>
      <w:tr>
        <w:trPr>
          <w:trHeight w:val="3521"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97" w:lineRule="auto"/>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4"/>
                <w:szCs w:val="14"/>
              </w:rPr>
            </w:pPr>
          </w:p>
          <w:p>
            <w:pPr>
              <w:pStyle w:val="TableParagraph"/>
              <w:spacing w:line="312"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、审议《关于控股股东杨文江先</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生可在全年额度范围内为股份公 司及其控股子公司对外借款提供 连带责任保证的议案》 </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、审议《关于修订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 </w:t>
            </w:r>
            <w:r>
              <w:rPr>
                <w:rFonts w:ascii="宋体" w:hAnsi="宋体" w:cs="宋体" w:eastAsia="宋体" w:hint="default"/>
                <w:sz w:val="18"/>
                <w:szCs w:val="18"/>
              </w:rPr>
              <w:t>的议案》</w:t>
            </w:r>
          </w:p>
          <w:p>
            <w:pPr>
              <w:pStyle w:val="TableParagraph"/>
              <w:spacing w:line="307" w:lineRule="auto" w:before="63"/>
              <w:ind w:left="22" w:right="22"/>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、审议《关于增补徐印州先生为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第四届董事会独立董事的议案》 </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、审议《关于转让使用募集资金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建成的部分</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z w:val="18"/>
                <w:szCs w:val="18"/>
              </w:rPr>
              <w:t> </w:t>
            </w:r>
            <w:r>
              <w:rPr>
                <w:rFonts w:ascii="宋体" w:hAnsi="宋体" w:cs="宋体" w:eastAsia="宋体" w:hint="default"/>
                <w:sz w:val="18"/>
                <w:szCs w:val="18"/>
              </w:rPr>
              <w:t>设备的议案》</w:t>
            </w:r>
          </w:p>
        </w:tc>
        <w:tc>
          <w:tcPr>
            <w:tcW w:w="85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38" w:lineRule="auto" w:before="49"/>
              <w:ind w:left="23"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具体内容详见巨 潮资讯网 </w:t>
            </w:r>
            <w:r>
              <w:rPr>
                <w:rFonts w:ascii="Times New Roman" w:hAnsi="Times New Roman" w:cs="Times New Roman" w:eastAsia="Times New Roman" w:hint="default"/>
                <w:spacing w:val="-1"/>
                <w:sz w:val="18"/>
                <w:szCs w:val="18"/>
              </w:rPr>
              <w:t>(http://www.cninf</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o.com.cn/)</w:t>
            </w:r>
            <w:r>
              <w:rPr>
                <w:rFonts w:ascii="宋体" w:hAnsi="宋体" w:cs="宋体" w:eastAsia="宋体" w:hint="default"/>
                <w:spacing w:val="-2"/>
                <w:sz w:val="18"/>
                <w:szCs w:val="18"/>
              </w:rPr>
              <w:t>及《证</w:t>
            </w:r>
          </w:p>
          <w:p>
            <w:pPr>
              <w:pStyle w:val="TableParagraph"/>
              <w:spacing w:line="316" w:lineRule="auto" w:before="63"/>
              <w:ind w:left="23" w:right="51"/>
              <w:jc w:val="both"/>
              <w:rPr>
                <w:rFonts w:ascii="宋体" w:hAnsi="宋体" w:cs="宋体" w:eastAsia="宋体" w:hint="default"/>
                <w:sz w:val="18"/>
                <w:szCs w:val="18"/>
              </w:rPr>
            </w:pPr>
            <w:r>
              <w:rPr>
                <w:rFonts w:ascii="宋体" w:hAnsi="宋体" w:cs="宋体" w:eastAsia="宋体" w:hint="default"/>
                <w:spacing w:val="-23"/>
                <w:sz w:val="18"/>
                <w:szCs w:val="18"/>
              </w:rPr>
              <w:t>券时报》、《中国</w:t>
            </w:r>
            <w:r>
              <w:rPr>
                <w:rFonts w:ascii="宋体" w:hAnsi="宋体" w:cs="宋体" w:eastAsia="宋体" w:hint="default"/>
                <w:sz w:val="18"/>
                <w:szCs w:val="18"/>
              </w:rPr>
              <w:t> </w:t>
            </w:r>
            <w:r>
              <w:rPr>
                <w:rFonts w:ascii="宋体" w:hAnsi="宋体" w:cs="宋体" w:eastAsia="宋体" w:hint="default"/>
                <w:spacing w:val="-23"/>
                <w:sz w:val="18"/>
                <w:szCs w:val="18"/>
              </w:rPr>
              <w:t>证券报》、《上海</w:t>
            </w:r>
            <w:r>
              <w:rPr>
                <w:rFonts w:ascii="宋体" w:hAnsi="宋体" w:cs="宋体" w:eastAsia="宋体" w:hint="default"/>
                <w:sz w:val="18"/>
                <w:szCs w:val="18"/>
              </w:rPr>
              <w:t> 证券报》上的</w:t>
            </w:r>
          </w:p>
          <w:p>
            <w:pPr>
              <w:pStyle w:val="TableParagraph"/>
              <w:spacing w:line="312" w:lineRule="auto" w:before="19"/>
              <w:ind w:left="23" w:right="17"/>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年第二次 临时股东大会决 </w:t>
            </w:r>
            <w:r>
              <w:rPr>
                <w:rFonts w:ascii="宋体" w:hAnsi="宋体" w:cs="宋体" w:eastAsia="宋体" w:hint="default"/>
                <w:spacing w:val="-20"/>
                <w:sz w:val="18"/>
                <w:szCs w:val="18"/>
              </w:rPr>
              <w:t>议公告》（公告编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2012-055</w:t>
            </w:r>
            <w:r>
              <w:rPr>
                <w:rFonts w:ascii="宋体" w:hAnsi="宋体" w:cs="宋体" w:eastAsia="宋体" w:hint="default"/>
                <w:sz w:val="18"/>
                <w:szCs w:val="18"/>
              </w:rPr>
              <w:t>）</w:t>
            </w:r>
          </w:p>
        </w:tc>
      </w:tr>
    </w:tbl>
    <w:p>
      <w:pPr>
        <w:spacing w:after="0" w:line="312"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144"/>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4"/>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277"/>
        <w:gridCol w:w="1844"/>
        <w:gridCol w:w="1152"/>
        <w:gridCol w:w="1325"/>
        <w:gridCol w:w="1322"/>
        <w:gridCol w:w="132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47" w:right="104" w:hanging="540"/>
              <w:jc w:val="left"/>
              <w:rPr>
                <w:rFonts w:ascii="宋体" w:hAnsi="宋体" w:cs="宋体" w:eastAsia="宋体" w:hint="default"/>
                <w:sz w:val="18"/>
                <w:szCs w:val="18"/>
              </w:rPr>
            </w:pPr>
            <w:r>
              <w:rPr>
                <w:rFonts w:ascii="宋体" w:hAnsi="宋体" w:cs="宋体" w:eastAsia="宋体" w:hint="default"/>
                <w:sz w:val="18"/>
                <w:szCs w:val="18"/>
              </w:rPr>
              <w:t>本报告期应参加董事 会次数</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7" w:right="27"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石本仁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张华</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徐印州</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107" w:hRule="exact"/>
        </w:trPr>
        <w:tc>
          <w:tcPr>
            <w:tcW w:w="31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4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、独立董事石本仁先生列席股东大会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w:t>
            </w:r>
          </w:p>
          <w:p>
            <w:pPr>
              <w:pStyle w:val="TableParagraph"/>
              <w:spacing w:line="240" w:lineRule="auto" w:before="10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、独立董事张华先生列席股东大会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、独立董事徐印州先生列席股东大会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w:t>
            </w:r>
          </w:p>
        </w:tc>
      </w:tr>
    </w:tbl>
    <w:p>
      <w:pPr>
        <w:pStyle w:val="BodyText"/>
        <w:spacing w:line="357" w:lineRule="auto" w:before="49"/>
        <w:ind w:left="513" w:right="4373" w:hanging="361"/>
        <w:jc w:val="left"/>
      </w:pPr>
      <w:r>
        <w:rPr/>
        <w:t>连续两次未亲自出席董事会的说明 报告期内，公司独立董事无连续两次未亲自出席董事会的情况。</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独立董事对公司有关事项是否提出异议</w:t>
      </w:r>
    </w:p>
    <w:p>
      <w:pPr>
        <w:pStyle w:val="BodyText"/>
        <w:spacing w:line="340" w:lineRule="auto" w:before="117"/>
        <w:ind w:right="5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3"/>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40" w:lineRule="auto" w:before="117"/>
        <w:ind w:right="58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6" w:lineRule="auto" w:before="39"/>
        <w:ind w:right="151" w:firstLine="360"/>
        <w:jc w:val="both"/>
      </w:pPr>
      <w:r>
        <w:rPr>
          <w:spacing w:val="-5"/>
        </w:rPr>
        <w:t>公司独立董事能够严格按照《深圳证券交易所中小企业板上市公司规范运作指引》、《独立董事工作</w:t>
      </w:r>
      <w:r>
        <w:rPr>
          <w:spacing w:val="35"/>
        </w:rPr>
        <w:t> </w:t>
      </w:r>
      <w:r>
        <w:rPr/>
        <w:t>制度》等制度的规</w:t>
      </w:r>
      <w:r>
        <w:rPr/>
        <w:t> </w:t>
      </w:r>
      <w:r>
        <w:rPr>
          <w:spacing w:val="-2"/>
        </w:rPr>
        <w:t>定，勤勉尽责、忠实履行职务，积极出席相关会议，深入了解公司的生产经营状况和重大事项进展情况，为公司的经营、发</w:t>
      </w:r>
      <w:r>
        <w:rPr>
          <w:spacing w:val="-68"/>
        </w:rPr>
        <w:t> </w:t>
      </w:r>
      <w:r>
        <w:rPr>
          <w:spacing w:val="-68"/>
        </w:rPr>
      </w:r>
      <w:r>
        <w:rPr/>
        <w:t>展从各自专业角度提出诸多合理化意见和建议。报告期内，公司独立董事</w:t>
      </w:r>
      <w:r>
        <w:rPr>
          <w:spacing w:val="2"/>
        </w:rPr>
        <w:t> </w:t>
      </w:r>
      <w:r>
        <w:rPr/>
        <w:t>对公司内部控制自我评价、关联交易、对外担保</w:t>
      </w:r>
      <w:r>
        <w:rPr/>
        <w:t> </w:t>
      </w:r>
      <w:r>
        <w:rPr>
          <w:spacing w:val="-2"/>
        </w:rPr>
        <w:t>情况及关联方占用资金情况、募集资金存放与使用情况、提名董事和聘任高管人员、续聘审计机构、购买银行理财产品、股</w:t>
      </w:r>
      <w:r>
        <w:rPr>
          <w:spacing w:val="-66"/>
        </w:rPr>
        <w:t> </w:t>
      </w:r>
      <w:r>
        <w:rPr>
          <w:spacing w:val="-66"/>
        </w:rPr>
      </w:r>
      <w:r>
        <w:rPr>
          <w:spacing w:val="-2"/>
        </w:rPr>
        <w:t>权激励调整、年度利润分配预案、公司章程中关于利润分配政策及决策程序的相关条款的修改以及其他需要独立董事发表意</w:t>
      </w:r>
      <w:r>
        <w:rPr>
          <w:spacing w:val="-64"/>
        </w:rPr>
        <w:t> </w:t>
      </w:r>
      <w:r>
        <w:rPr>
          <w:spacing w:val="-64"/>
        </w:rPr>
      </w:r>
      <w:r>
        <w:rPr/>
        <w:t>见的事项发表了独立、公正的意见，为完善公司监督机制，维护公司和全体股东的合法权益发挥了应有的作用。</w:t>
      </w:r>
    </w:p>
    <w:p>
      <w:pPr>
        <w:spacing w:line="240" w:lineRule="auto" w:before="12"/>
        <w:rPr>
          <w:rFonts w:ascii="宋体" w:hAnsi="宋体" w:cs="宋体" w:eastAsia="宋体" w:hint="default"/>
          <w:sz w:val="20"/>
          <w:szCs w:val="20"/>
        </w:rPr>
      </w:pPr>
    </w:p>
    <w:p>
      <w:pPr>
        <w:pStyle w:val="Heading2"/>
        <w:spacing w:line="240" w:lineRule="auto"/>
        <w:ind w:right="0"/>
        <w:jc w:val="both"/>
        <w:rPr>
          <w:b w:val="0"/>
          <w:bCs w:val="0"/>
        </w:rPr>
      </w:pP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0" w:right="144"/>
        <w:jc w:val="left"/>
      </w:pPr>
      <w:r>
        <w:rPr/>
        <w:t>报告期内，公司董事会下设的专门委员会在履行职责时所提出的重要意见和建议如下： </w:t>
      </w:r>
      <w:r>
        <w:rPr>
          <w:spacing w:val="-2"/>
        </w:rPr>
        <w:t>审计委员会在年审注册会计师进场前发表审阅公司财务报表的重要书面意见如下：我们审阅了广州御银科技股份有限公</w:t>
      </w:r>
    </w:p>
    <w:p>
      <w:pPr>
        <w:pStyle w:val="BodyText"/>
        <w:spacing w:line="300" w:lineRule="auto" w:before="19"/>
        <w:ind w:right="149"/>
        <w:jc w:val="both"/>
      </w:pPr>
      <w:r>
        <w:rPr>
          <w:spacing w:val="-2"/>
        </w:rPr>
        <w:t>司审计报告（征求意见稿）中的</w:t>
      </w:r>
      <w:r>
        <w:rPr>
          <w:rFonts w:ascii="Times New Roman" w:hAnsi="Times New Roman" w:cs="Times New Roman" w:eastAsia="Times New Roman" w:hint="default"/>
          <w:spacing w:val="-2"/>
        </w:rPr>
        <w:t>2011</w:t>
      </w:r>
      <w:r>
        <w:rPr>
          <w:spacing w:val="-2"/>
        </w:rPr>
        <w:t>年度的财务报表，包括</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日的合并和公司资产负债表及合并和公司股东权益</w:t>
      </w:r>
      <w:r>
        <w:rPr>
          <w:spacing w:val="-59"/>
        </w:rPr>
        <w:t> </w:t>
      </w:r>
      <w:r>
        <w:rPr>
          <w:spacing w:val="-59"/>
        </w:rPr>
      </w:r>
      <w:r>
        <w:rPr>
          <w:spacing w:val="-2"/>
        </w:rPr>
        <w:t>变动表，</w:t>
      </w:r>
      <w:r>
        <w:rPr>
          <w:rFonts w:ascii="Times New Roman" w:hAnsi="Times New Roman" w:cs="Times New Roman" w:eastAsia="Times New Roman" w:hint="default"/>
          <w:spacing w:val="-2"/>
        </w:rPr>
        <w:t>2011</w:t>
      </w:r>
      <w:r>
        <w:rPr>
          <w:spacing w:val="-2"/>
        </w:rPr>
        <w:t>年度的合并和公司利润表，</w:t>
      </w:r>
      <w:r>
        <w:rPr>
          <w:rFonts w:ascii="Times New Roman" w:hAnsi="Times New Roman" w:cs="Times New Roman" w:eastAsia="Times New Roman" w:hint="default"/>
          <w:spacing w:val="-2"/>
        </w:rPr>
        <w:t>2011</w:t>
      </w:r>
      <w:r>
        <w:rPr>
          <w:spacing w:val="-2"/>
        </w:rPr>
        <w:t>年度的合并和公司现金流量表。我们认为公司管理层能够按照企业会计准则的</w:t>
      </w:r>
      <w:r>
        <w:rPr>
          <w:spacing w:val="-57"/>
        </w:rPr>
        <w:t> </w:t>
      </w:r>
      <w:r>
        <w:rPr>
          <w:spacing w:val="-57"/>
        </w:rPr>
      </w:r>
      <w:r>
        <w:rPr/>
        <w:t>规定设计、实施和维护财务报表，选择和运用恰当的会计政策、会计估计来编制财务报表，在所有重大方面反映公司</w:t>
      </w:r>
      <w:r>
        <w:rPr>
          <w:rFonts w:ascii="Times New Roman" w:hAnsi="Times New Roman" w:cs="Times New Roman" w:eastAsia="Times New Roman" w:hint="default"/>
        </w:rPr>
        <w:t>2011</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w:t>
      </w:r>
      <w:r>
        <w:rPr>
          <w:rFonts w:ascii="Times New Roman" w:hAnsi="Times New Roman" w:cs="Times New Roman" w:eastAsia="Times New Roman" w:hint="default"/>
        </w:rPr>
        <w:t>2011</w:t>
      </w:r>
      <w:r>
        <w:rPr/>
        <w:t>年度的经营成果和现金流量状况。</w:t>
      </w:r>
    </w:p>
    <w:p>
      <w:pPr>
        <w:spacing w:after="0" w:line="300" w:lineRule="auto"/>
        <w:jc w:val="both"/>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09" w:lineRule="auto" w:before="44"/>
        <w:ind w:right="191" w:firstLine="358"/>
        <w:jc w:val="both"/>
      </w:pPr>
      <w:r>
        <w:rPr>
          <w:spacing w:val="-2"/>
        </w:rPr>
        <w:t>战略委员会于</w:t>
      </w:r>
      <w:r>
        <w:rPr>
          <w:rFonts w:ascii="Times New Roman" w:hAnsi="Times New Roman" w:cs="Times New Roman" w:eastAsia="Times New Roman" w:hint="default"/>
          <w:spacing w:val="-2"/>
        </w:rPr>
        <w:t>2012</w:t>
      </w:r>
      <w:r>
        <w:rPr>
          <w:spacing w:val="-2"/>
        </w:rPr>
        <w:t>年第一次会议中提出：随着</w:t>
      </w:r>
      <w:r>
        <w:rPr>
          <w:rFonts w:ascii="Times New Roman" w:hAnsi="Times New Roman" w:cs="Times New Roman" w:eastAsia="Times New Roman" w:hint="default"/>
          <w:spacing w:val="-2"/>
        </w:rPr>
        <w:t>“</w:t>
      </w:r>
      <w:r>
        <w:rPr>
          <w:spacing w:val="-2"/>
        </w:rPr>
        <w:t>中国云</w:t>
      </w:r>
      <w:r>
        <w:rPr>
          <w:rFonts w:ascii="Times New Roman" w:hAnsi="Times New Roman" w:cs="Times New Roman" w:eastAsia="Times New Roman" w:hint="default"/>
          <w:spacing w:val="-2"/>
        </w:rPr>
        <w:t>”</w:t>
      </w:r>
      <w:r>
        <w:rPr>
          <w:spacing w:val="-2"/>
        </w:rPr>
        <w:t>的快速发展，行业纵深化应用与协同拓展，为公司进一步构建成</w:t>
      </w:r>
      <w:r>
        <w:rPr/>
        <w:t> </w:t>
      </w:r>
      <w:r>
        <w:rPr>
          <w:spacing w:val="-2"/>
        </w:rPr>
        <w:t>更加强大的云平台打下基础，建议公司与中国联合网络通信有限公司广州市分公司形成一种长期战略合作关系，共同搭建信</w:t>
      </w:r>
      <w:r>
        <w:rPr>
          <w:spacing w:val="-63"/>
        </w:rPr>
        <w:t> </w:t>
      </w:r>
      <w:r>
        <w:rPr>
          <w:spacing w:val="-63"/>
        </w:rPr>
      </w:r>
      <w:r>
        <w:rPr/>
        <w:t>息化平台，提升服务水平，致力于金融行业信息化服务。</w:t>
      </w:r>
    </w:p>
    <w:p>
      <w:pPr>
        <w:pStyle w:val="BodyText"/>
        <w:spacing w:line="307" w:lineRule="auto" w:before="24"/>
        <w:ind w:right="190" w:firstLine="358"/>
        <w:jc w:val="both"/>
      </w:pPr>
      <w:r>
        <w:rPr>
          <w:spacing w:val="-2"/>
        </w:rPr>
        <w:t>薪酬与考核委员会于</w:t>
      </w:r>
      <w:r>
        <w:rPr>
          <w:rFonts w:ascii="Times New Roman" w:hAnsi="Times New Roman" w:cs="Times New Roman" w:eastAsia="Times New Roman" w:hint="default"/>
          <w:spacing w:val="-2"/>
        </w:rPr>
        <w:t>2012</w:t>
      </w:r>
      <w:r>
        <w:rPr>
          <w:spacing w:val="-2"/>
        </w:rPr>
        <w:t>年第一次会议中提出：为建立和完善经营者的激励约束机制，有效地调动高级管理人员的积极</w:t>
      </w:r>
      <w:r>
        <w:rPr/>
        <w:t> </w:t>
      </w:r>
      <w:r>
        <w:rPr>
          <w:spacing w:val="-2"/>
        </w:rPr>
        <w:t>性和创造性，提高企业经营管理水平，确保公司发展战略目标的实现。经薪酬与考核委员会审慎考虑，提议依据公司所处的</w:t>
      </w:r>
      <w:r>
        <w:rPr>
          <w:spacing w:val="-65"/>
        </w:rPr>
        <w:t> </w:t>
      </w:r>
      <w:r>
        <w:rPr>
          <w:spacing w:val="-65"/>
        </w:rPr>
      </w:r>
      <w:r>
        <w:rPr/>
        <w:t>行业薪酬水平、企业规模，拟调整部分高级管理人员薪酬，总经理杨文江先生年薪调整为</w:t>
      </w:r>
      <w:r>
        <w:rPr>
          <w:rFonts w:ascii="Times New Roman" w:hAnsi="Times New Roman" w:cs="Times New Roman" w:eastAsia="Times New Roman" w:hint="default"/>
        </w:rPr>
        <w:t>55</w:t>
      </w:r>
      <w:r>
        <w:rPr/>
        <w:t>万元</w:t>
      </w:r>
      <w:r>
        <w:rPr>
          <w:rFonts w:ascii="Times New Roman" w:hAnsi="Times New Roman" w:cs="Times New Roman" w:eastAsia="Times New Roman" w:hint="default"/>
        </w:rPr>
        <w:t>/</w:t>
      </w:r>
      <w:r>
        <w:rPr/>
        <w:t>年（税前），副总经理兼</w:t>
      </w:r>
      <w:r>
        <w:rPr>
          <w:spacing w:val="-47"/>
        </w:rPr>
        <w:t> </w:t>
      </w:r>
      <w:r>
        <w:rPr>
          <w:spacing w:val="-47"/>
        </w:rPr>
      </w:r>
      <w:r>
        <w:rPr/>
        <w:t>董事会秘书谭骅先生调整为</w:t>
      </w:r>
      <w:r>
        <w:rPr>
          <w:rFonts w:ascii="Times New Roman" w:hAnsi="Times New Roman" w:cs="Times New Roman" w:eastAsia="Times New Roman" w:hint="default"/>
        </w:rPr>
        <w:t>50</w:t>
      </w:r>
      <w:r>
        <w:rPr/>
        <w:t>万元</w:t>
      </w:r>
      <w:r>
        <w:rPr>
          <w:rFonts w:ascii="Times New Roman" w:hAnsi="Times New Roman" w:cs="Times New Roman" w:eastAsia="Times New Roman" w:hint="default"/>
        </w:rPr>
        <w:t>/</w:t>
      </w:r>
      <w:r>
        <w:rPr/>
        <w:t>年（税前），副总经理徐德银先生调整为</w:t>
      </w:r>
      <w:r>
        <w:rPr>
          <w:rFonts w:ascii="Times New Roman" w:hAnsi="Times New Roman" w:cs="Times New Roman" w:eastAsia="Times New Roman" w:hint="default"/>
        </w:rPr>
        <w:t>50</w:t>
      </w:r>
      <w:r>
        <w:rPr/>
        <w:t>万元</w:t>
      </w:r>
      <w:r>
        <w:rPr>
          <w:rFonts w:ascii="Times New Roman" w:hAnsi="Times New Roman" w:cs="Times New Roman" w:eastAsia="Times New Roman" w:hint="default"/>
        </w:rPr>
        <w:t>/</w:t>
      </w:r>
      <w:r>
        <w:rPr/>
        <w:t>年（税前）。</w:t>
      </w:r>
    </w:p>
    <w:p>
      <w:pPr>
        <w:pStyle w:val="BodyText"/>
        <w:spacing w:line="300" w:lineRule="auto" w:before="48"/>
        <w:ind w:right="94" w:firstLine="360"/>
        <w:jc w:val="left"/>
      </w:pPr>
      <w:r>
        <w:rPr/>
        <w:t>提名委员会于</w:t>
      </w:r>
      <w:r>
        <w:rPr>
          <w:rFonts w:ascii="Times New Roman" w:hAnsi="Times New Roman" w:cs="Times New Roman" w:eastAsia="Times New Roman" w:hint="default"/>
        </w:rPr>
        <w:t>2012</w:t>
      </w:r>
      <w:r>
        <w:rPr/>
        <w:t>年第一次会议中提出：拟聘请杨文江先生担任公司总经理、拟增聘请徐德银先生担任公司副总经理； </w:t>
      </w:r>
      <w:r>
        <w:rPr>
          <w:spacing w:val="-2"/>
        </w:rPr>
        <w:t>于</w:t>
      </w:r>
      <w:r>
        <w:rPr>
          <w:rFonts w:ascii="Times New Roman" w:hAnsi="Times New Roman" w:cs="Times New Roman" w:eastAsia="Times New Roman" w:hint="default"/>
          <w:spacing w:val="-2"/>
        </w:rPr>
        <w:t>2012</w:t>
      </w:r>
      <w:r>
        <w:rPr>
          <w:spacing w:val="-2"/>
        </w:rPr>
        <w:t>年第二次会议中提名谭骅先生为第三届董事会非独立董事；于</w:t>
      </w:r>
      <w:r>
        <w:rPr>
          <w:rFonts w:ascii="Times New Roman" w:hAnsi="Times New Roman" w:cs="Times New Roman" w:eastAsia="Times New Roman" w:hint="default"/>
          <w:spacing w:val="-2"/>
        </w:rPr>
        <w:t>2012</w:t>
      </w:r>
      <w:r>
        <w:rPr>
          <w:spacing w:val="-2"/>
        </w:rPr>
        <w:t>年第三次会议中提名陈国军先生为第四届董事会非</w:t>
      </w:r>
      <w:r>
        <w:rPr>
          <w:spacing w:val="-60"/>
        </w:rPr>
        <w:t> </w:t>
      </w:r>
      <w:r>
        <w:rPr>
          <w:spacing w:val="-60"/>
        </w:rPr>
      </w:r>
      <w:r>
        <w:rPr/>
        <w:t>独立董事；于</w:t>
      </w:r>
      <w:r>
        <w:rPr>
          <w:rFonts w:ascii="Times New Roman" w:hAnsi="Times New Roman" w:cs="Times New Roman" w:eastAsia="Times New Roman" w:hint="default"/>
        </w:rPr>
        <w:t>2012</w:t>
      </w:r>
      <w:r>
        <w:rPr/>
        <w:t>年第四次会议中提名陈国军先生为公司财务总监、徐印州先生为公司第四届董事会独立董事。</w:t>
      </w:r>
    </w:p>
    <w:p>
      <w:pPr>
        <w:spacing w:line="240" w:lineRule="auto" w:before="3"/>
        <w:rPr>
          <w:rFonts w:ascii="宋体" w:hAnsi="宋体" w:cs="宋体" w:eastAsia="宋体" w:hint="default"/>
          <w:sz w:val="20"/>
          <w:szCs w:val="20"/>
        </w:rPr>
      </w:pPr>
    </w:p>
    <w:p>
      <w:pPr>
        <w:pStyle w:val="Heading2"/>
        <w:spacing w:line="240" w:lineRule="auto"/>
        <w:ind w:right="185"/>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85"/>
        <w:jc w:val="left"/>
      </w:pPr>
      <w:r>
        <w:rPr/>
        <w:t>监事会在报告期内的监督活动中发现公司是否存在风险</w:t>
      </w:r>
    </w:p>
    <w:p>
      <w:pPr>
        <w:pStyle w:val="BodyText"/>
        <w:spacing w:line="340" w:lineRule="auto" w:before="117"/>
        <w:ind w:right="67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185"/>
        <w:jc w:val="left"/>
        <w:rPr>
          <w:b w:val="0"/>
          <w:bCs w:val="0"/>
        </w:rPr>
      </w:pPr>
      <w:r>
        <w:rPr/>
        <w:t>六、公司相对于控股股东在业务、人员、资产、机构、财务等方面的独立完整情况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2" w:firstLine="360"/>
        <w:jc w:val="both"/>
      </w:pPr>
      <w:r>
        <w:rPr>
          <w:spacing w:val="-2"/>
        </w:rPr>
        <w:t>公司具有独立完整的业务体系及自主经营能力，与控股股东及其控制的法人不存在相互占用资产或共享客户资源及共用</w:t>
      </w:r>
      <w:r>
        <w:rPr/>
        <w:t> </w:t>
      </w:r>
      <w:r>
        <w:rPr>
          <w:spacing w:val="-2"/>
        </w:rPr>
        <w:t>技术、销售人员的行为，也不存在与其他股东及关联方相互依赖的情形，在业务、资产、机构、人员、财务等方面与控股股</w:t>
      </w:r>
      <w:r>
        <w:rPr>
          <w:spacing w:val="-73"/>
        </w:rPr>
        <w:t> </w:t>
      </w:r>
      <w:r>
        <w:rPr>
          <w:spacing w:val="-73"/>
        </w:rPr>
      </w:r>
      <w:r>
        <w:rPr/>
        <w:t>东完全分开和独立。</w:t>
      </w:r>
    </w:p>
    <w:p>
      <w:pPr>
        <w:pStyle w:val="BodyText"/>
        <w:spacing w:line="357" w:lineRule="auto" w:before="59"/>
        <w:ind w:left="513" w:right="185"/>
        <w:jc w:val="left"/>
      </w:pPr>
      <w:r>
        <w:rPr/>
        <w:t>（一）业务独立 </w:t>
      </w:r>
      <w:r>
        <w:rPr>
          <w:spacing w:val="-2"/>
        </w:rPr>
        <w:t>公司无需依赖股东及其他关联方进行生产经营活动，拥有独立的研发、采购、生产和销售系统，业务机构完整。公司独</w:t>
      </w:r>
    </w:p>
    <w:p>
      <w:pPr>
        <w:pStyle w:val="BodyText"/>
        <w:spacing w:line="224" w:lineRule="exact"/>
        <w:ind w:right="185"/>
        <w:jc w:val="left"/>
      </w:pPr>
      <w:r>
        <w:rPr/>
        <w:t>立开展业务，独立核算和决策，独立承担责任与风险。</w:t>
      </w:r>
    </w:p>
    <w:p>
      <w:pPr>
        <w:pStyle w:val="BodyText"/>
        <w:spacing w:line="360" w:lineRule="auto" w:before="117"/>
        <w:ind w:left="513" w:right="185"/>
        <w:jc w:val="left"/>
      </w:pPr>
      <w:r>
        <w:rPr/>
        <w:t>（二）人员独立 </w:t>
      </w:r>
      <w:r>
        <w:rPr>
          <w:spacing w:val="-2"/>
        </w:rPr>
        <w:t>公司在劳动、人事及工资管理方面完全独立于各股东，公司的总经理、副总经理、董事会秘书、财务总监等高级管理人</w:t>
      </w:r>
    </w:p>
    <w:p>
      <w:pPr>
        <w:pStyle w:val="BodyText"/>
        <w:spacing w:line="222" w:lineRule="exact"/>
        <w:ind w:right="185"/>
        <w:jc w:val="left"/>
      </w:pPr>
      <w:r>
        <w:rPr/>
        <w:t>员均在本公司工作，并在本公司领取报酬，未在股东单位及其关联企业领取报酬或担任除董事、监事以外的职务。</w:t>
      </w:r>
    </w:p>
    <w:p>
      <w:pPr>
        <w:pStyle w:val="BodyText"/>
        <w:spacing w:line="360" w:lineRule="auto" w:before="115"/>
        <w:ind w:left="513" w:right="185"/>
        <w:jc w:val="left"/>
      </w:pPr>
      <w:r>
        <w:rPr/>
        <w:t>（三）资产独立 </w:t>
      </w:r>
      <w:r>
        <w:rPr>
          <w:spacing w:val="-2"/>
        </w:rPr>
        <w:t>公司的资产独立完整，拥有与生产经营相关的完整的生产系统、辅助生产系统和配套设施。公司没有为任何股东的债务</w:t>
      </w:r>
    </w:p>
    <w:p>
      <w:pPr>
        <w:pStyle w:val="BodyText"/>
        <w:spacing w:line="222" w:lineRule="exact"/>
        <w:ind w:right="99"/>
        <w:jc w:val="left"/>
      </w:pPr>
      <w:r>
        <w:rPr>
          <w:spacing w:val="-4"/>
        </w:rPr>
        <w:t>提供担保，也没有将公司的借款、授信额度转借给任何股东。公司不存在资产、资金被控股股东占用而损害公司利益的情况。</w:t>
      </w:r>
    </w:p>
    <w:p>
      <w:pPr>
        <w:pStyle w:val="BodyText"/>
        <w:spacing w:line="357" w:lineRule="auto" w:before="117"/>
        <w:ind w:left="513" w:right="185"/>
        <w:jc w:val="left"/>
      </w:pPr>
      <w:r>
        <w:rPr/>
        <w:t>（四）机构独立 </w:t>
      </w:r>
      <w:r>
        <w:rPr>
          <w:spacing w:val="-2"/>
        </w:rPr>
        <w:t>公司根据《公司章程》和内部管理制度体系建立了符合公司自身发展需求、符合公司实际情况的独立、完整的经营管理</w:t>
      </w:r>
    </w:p>
    <w:p>
      <w:pPr>
        <w:pStyle w:val="BodyText"/>
        <w:spacing w:line="224" w:lineRule="exact"/>
        <w:ind w:right="0"/>
        <w:jc w:val="left"/>
      </w:pPr>
      <w:r>
        <w:rPr/>
        <w:t>机构。所有机构设置程序和机构职能独立，与其他单位办公机构及经营场所分开，不存在与控股股东混合经营、合署办公等</w:t>
      </w:r>
    </w:p>
    <w:p>
      <w:pPr>
        <w:pStyle w:val="BodyText"/>
        <w:spacing w:line="240" w:lineRule="auto" w:before="76"/>
        <w:ind w:right="185"/>
        <w:jc w:val="left"/>
      </w:pPr>
      <w:r>
        <w:rPr/>
        <w:t>情况。公司股东大会、董事会、监事会等内部机构独立运作，不存在与控股股东职能部门之间的从属关系。</w:t>
      </w:r>
    </w:p>
    <w:p>
      <w:pPr>
        <w:pStyle w:val="BodyText"/>
        <w:spacing w:line="360" w:lineRule="auto" w:before="117"/>
        <w:ind w:left="513" w:right="185"/>
        <w:jc w:val="left"/>
      </w:pPr>
      <w:r>
        <w:rPr/>
        <w:t>（五）财务独立 </w:t>
      </w:r>
      <w:r>
        <w:rPr>
          <w:spacing w:val="-2"/>
        </w:rPr>
        <w:t>公司按照《企业会计准则》的要求建立了一系列独立、完整、规范的财务会计核算体系和财务管理制度，并建立了相应</w:t>
      </w:r>
    </w:p>
    <w:p>
      <w:pPr>
        <w:pStyle w:val="BodyText"/>
        <w:spacing w:line="222" w:lineRule="exact"/>
        <w:ind w:right="0"/>
        <w:jc w:val="left"/>
      </w:pPr>
      <w:r>
        <w:rPr/>
        <w:t>的内部控制制度，独立作出财务决策。公司设立独立的财务部门和内部审计部门，配备了专职财务人员和审计人员；公司在</w:t>
      </w:r>
    </w:p>
    <w:p>
      <w:pPr>
        <w:pStyle w:val="BodyText"/>
        <w:spacing w:line="240" w:lineRule="auto" w:before="76"/>
        <w:ind w:right="185"/>
        <w:jc w:val="left"/>
      </w:pPr>
      <w:r>
        <w:rPr/>
        <w:t>银行单独开立账户，拥有独立的银行账号；公司作为独立的纳税人，依法独立纳税。</w:t>
      </w:r>
    </w:p>
    <w:p>
      <w:pPr>
        <w:spacing w:line="240" w:lineRule="auto" w:before="1"/>
        <w:rPr>
          <w:rFonts w:ascii="宋体" w:hAnsi="宋体" w:cs="宋体" w:eastAsia="宋体" w:hint="default"/>
          <w:sz w:val="25"/>
          <w:szCs w:val="25"/>
        </w:rPr>
      </w:pPr>
    </w:p>
    <w:p>
      <w:pPr>
        <w:pStyle w:val="Heading2"/>
        <w:spacing w:line="240" w:lineRule="auto"/>
        <w:ind w:right="185"/>
        <w:jc w:val="left"/>
        <w:rPr>
          <w:b w:val="0"/>
          <w:bCs w:val="0"/>
        </w:rPr>
      </w:pPr>
      <w:r>
        <w:rPr/>
        <w:t>七、同业竞争情况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0"/>
        <w:jc w:val="left"/>
      </w:pPr>
      <w:r>
        <w:rPr/>
        <w:t>公司与控股股东、实际控制人及其控制的其他企业间不存在同业竞争，目前公司主营业务与各股东单位之间均无重叠，</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44"/>
        <w:jc w:val="left"/>
      </w:pPr>
      <w:r>
        <w:rPr/>
        <w:t>公司与控股股东及其控股、参股单位不存在同业竞争或显失公平的关联交易。</w:t>
      </w:r>
    </w:p>
    <w:p>
      <w:pPr>
        <w:spacing w:line="240" w:lineRule="auto" w:before="4"/>
        <w:rPr>
          <w:rFonts w:ascii="宋体" w:hAnsi="宋体" w:cs="宋体" w:eastAsia="宋体" w:hint="default"/>
          <w:sz w:val="25"/>
          <w:szCs w:val="25"/>
        </w:rPr>
      </w:pPr>
    </w:p>
    <w:p>
      <w:pPr>
        <w:pStyle w:val="Heading2"/>
        <w:spacing w:line="240" w:lineRule="auto"/>
        <w:ind w:right="144"/>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50" w:firstLine="360"/>
        <w:jc w:val="both"/>
      </w:pPr>
      <w:r>
        <w:rPr>
          <w:spacing w:val="-2"/>
        </w:rPr>
        <w:t>公司建立了完备的绩效考评机制和激励制度，以公司年度业绩目标和战略规划为基础，制定公司各部门年度计划。公司</w:t>
      </w:r>
      <w:r>
        <w:rPr/>
        <w:t> </w:t>
      </w:r>
      <w:r>
        <w:rPr>
          <w:spacing w:val="-2"/>
        </w:rPr>
        <w:t>对高级管理人员实行年薪制，以量化的考核指标定期对高级管理人员进行业绩考核，使高级管理人员的收入与其工作绩效直</w:t>
      </w:r>
      <w:r>
        <w:rPr>
          <w:spacing w:val="-64"/>
        </w:rPr>
        <w:t> </w:t>
      </w:r>
      <w:r>
        <w:rPr>
          <w:spacing w:val="-64"/>
        </w:rPr>
      </w:r>
      <w:r>
        <w:rPr/>
        <w:t>接挂钩。</w:t>
      </w:r>
    </w:p>
    <w:p>
      <w:pPr>
        <w:pStyle w:val="BodyText"/>
        <w:spacing w:line="316" w:lineRule="auto" w:before="57"/>
        <w:ind w:right="153" w:firstLine="360"/>
        <w:jc w:val="both"/>
      </w:pPr>
      <w:r>
        <w:rPr>
          <w:spacing w:val="-2"/>
        </w:rPr>
        <w:t>此外，报告期内，为使高级管理人员在经营过程中更多地关心公司的长期价值，公司持续推进股票期权激励计划，进一</w:t>
      </w:r>
      <w:r>
        <w:rPr/>
        <w:t> 步提高了管理人员与股东利益的一致性，引导管理人员更多地着眼于公司的长期持续成长。</w:t>
      </w:r>
    </w:p>
    <w:p>
      <w:pPr>
        <w:spacing w:after="0" w:line="316"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751" w:right="3787"/>
        <w:jc w:val="center"/>
        <w:rPr>
          <w:b w:val="0"/>
          <w:bCs w:val="0"/>
        </w:rPr>
      </w:pPr>
      <w:bookmarkStart w:name="_TOC_250002" w:id="9"/>
      <w:r>
        <w:rPr/>
        <w:t>第九节</w:t>
      </w:r>
      <w:r>
        <w:rPr>
          <w:spacing w:val="-2"/>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85"/>
        <w:jc w:val="left"/>
        <w:rPr>
          <w:b w:val="0"/>
          <w:bCs w:val="0"/>
        </w:rPr>
      </w:pPr>
      <w:r>
        <w:rPr/>
        <w:t>一、内部控制建设情况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1" w:firstLine="360"/>
        <w:jc w:val="both"/>
      </w:pPr>
      <w:r>
        <w:rPr>
          <w:spacing w:val="-9"/>
        </w:rPr>
        <w:t>报告期内，公司严格按照《公司法》、《证券法》、《企业内部控制基本规范》等有关法律法规和规范性文件的要求，在生</w:t>
      </w:r>
      <w:r>
        <w:rPr/>
        <w:t> </w:t>
      </w:r>
      <w:r>
        <w:rPr>
          <w:spacing w:val="-2"/>
        </w:rPr>
        <w:t>产经营控制、财务管理控制、信息披露控制等方面严格管理、不断完善，确保公司内部控制的合理、完整、有效，有力促进</w:t>
      </w:r>
      <w:r>
        <w:rPr>
          <w:spacing w:val="-73"/>
        </w:rPr>
        <w:t> </w:t>
      </w:r>
      <w:r>
        <w:rPr>
          <w:spacing w:val="-73"/>
        </w:rPr>
      </w:r>
      <w:r>
        <w:rPr>
          <w:spacing w:val="-2"/>
        </w:rPr>
        <w:t>公司规范运作和健康发展。公司在充分考虑企业的内部环境、控制活动、信息沟通、内部监督等要素的基础上，从制度上保</w:t>
      </w:r>
      <w:r>
        <w:rPr>
          <w:spacing w:val="-64"/>
        </w:rPr>
        <w:t> </w:t>
      </w:r>
      <w:r>
        <w:rPr>
          <w:spacing w:val="-64"/>
        </w:rPr>
      </w:r>
      <w:r>
        <w:rPr/>
        <w:t>证了公司法人治理结构符合相关法律法规的要求，逐步形成完善的内部控制管理体系。</w:t>
      </w:r>
    </w:p>
    <w:p>
      <w:pPr>
        <w:pStyle w:val="BodyText"/>
        <w:spacing w:line="319" w:lineRule="auto" w:before="59"/>
        <w:ind w:right="99" w:firstLine="360"/>
        <w:jc w:val="left"/>
      </w:pPr>
      <w:r>
        <w:rPr>
          <w:spacing w:val="-2"/>
        </w:rPr>
        <w:t>公司设立了内部审计机构审计部，向董事会审计委员会负责并报告工作，具体负责对生产经营活动和内部控制执行情况</w:t>
      </w:r>
      <w:r>
        <w:rPr/>
        <w:t> </w:t>
      </w:r>
      <w:r>
        <w:rPr>
          <w:spacing w:val="-4"/>
        </w:rPr>
        <w:t>的监督、检查，包括进行审计和评价、提出改进建议和处理意见，确保内部控制制度的有效实施和生产经营活动的正常进行。</w:t>
      </w:r>
      <w:r>
        <w:rPr>
          <w:spacing w:val="-46"/>
        </w:rPr>
        <w:t> </w:t>
      </w:r>
      <w:r>
        <w:rPr>
          <w:spacing w:val="-46"/>
        </w:rPr>
      </w:r>
      <w:r>
        <w:rPr>
          <w:spacing w:val="-2"/>
        </w:rPr>
        <w:t>审计部将在检查中发现的内部控制缺陷和异常事项、改进建议及解决进展情况等形成内部审计报告，报送管理层并跟进后续</w:t>
      </w:r>
      <w:r>
        <w:rPr>
          <w:spacing w:val="-64"/>
        </w:rPr>
        <w:t> </w:t>
      </w:r>
      <w:r>
        <w:rPr>
          <w:spacing w:val="-64"/>
        </w:rPr>
      </w:r>
      <w:r>
        <w:rPr/>
        <w:t>改正事宜，定期检查改进情况。审计部定期或不定期向审计委员会报告实施审计监督的情况。</w:t>
      </w:r>
    </w:p>
    <w:p>
      <w:pPr>
        <w:pStyle w:val="BodyText"/>
        <w:spacing w:line="316" w:lineRule="auto" w:before="55"/>
        <w:ind w:right="102" w:firstLine="360"/>
        <w:jc w:val="left"/>
      </w:pPr>
      <w:r>
        <w:rPr>
          <w:spacing w:val="-13"/>
        </w:rPr>
        <w:t>在报告期内，公司制定了《利润分配管理制度》、《董事、监事和高级管理人员薪酬管理制度》、《重大信息内部报告制度》，</w:t>
      </w:r>
      <w:r>
        <w:rPr/>
        <w:t> </w:t>
      </w:r>
      <w:r>
        <w:rPr>
          <w:spacing w:val="-8"/>
        </w:rPr>
        <w:t>并对《董事会秘书工作细则》、《御银股份董事会议事规则》、《内部审计制度》进行了修订，进一步规范公司运作，提高公司</w:t>
      </w:r>
      <w:r>
        <w:rPr/>
        <w:t> 治理水平。截至报告期末，公司治理实际情况符合中国证监会发布的有关上市公司治理的规范性文件的要求。</w:t>
      </w:r>
    </w:p>
    <w:p>
      <w:pPr>
        <w:spacing w:line="240" w:lineRule="auto" w:before="11"/>
        <w:rPr>
          <w:rFonts w:ascii="宋体" w:hAnsi="宋体" w:cs="宋体" w:eastAsia="宋体" w:hint="default"/>
          <w:sz w:val="20"/>
          <w:szCs w:val="20"/>
        </w:rPr>
      </w:pPr>
    </w:p>
    <w:p>
      <w:pPr>
        <w:pStyle w:val="Heading2"/>
        <w:spacing w:line="240" w:lineRule="auto"/>
        <w:ind w:right="185"/>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85" w:firstLine="360"/>
        <w:jc w:val="left"/>
      </w:pPr>
      <w:r>
        <w:rPr>
          <w:spacing w:val="-2"/>
        </w:rPr>
        <w:t>本公司董事会及全体董事保证内部控制自我评价报告内容不存在任何虚假记载、误导性陈述或重大遗漏，并对其内容的</w:t>
      </w:r>
      <w:r>
        <w:rPr/>
        <w:t> 真实性、准确性和完整性承担个别及连带责任。</w:t>
      </w:r>
    </w:p>
    <w:p>
      <w:pPr>
        <w:spacing w:line="240" w:lineRule="auto" w:before="11"/>
        <w:rPr>
          <w:rFonts w:ascii="宋体" w:hAnsi="宋体" w:cs="宋体" w:eastAsia="宋体" w:hint="default"/>
          <w:sz w:val="20"/>
          <w:szCs w:val="20"/>
        </w:rPr>
      </w:pPr>
    </w:p>
    <w:p>
      <w:pPr>
        <w:pStyle w:val="Heading2"/>
        <w:spacing w:line="240" w:lineRule="auto"/>
        <w:ind w:right="185"/>
        <w:jc w:val="left"/>
        <w:rPr>
          <w:b w:val="0"/>
          <w:bCs w:val="0"/>
        </w:rPr>
      </w:pPr>
      <w:r>
        <w:rPr/>
        <w:t>三、建立财务报告内部控制的依据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firstLine="360"/>
        <w:jc w:val="left"/>
      </w:pPr>
      <w:r>
        <w:rPr/>
        <w:t>公司依据</w:t>
      </w:r>
      <w:r>
        <w:rPr>
          <w:spacing w:val="26"/>
        </w:rPr>
        <w:t> </w:t>
      </w:r>
      <w:r>
        <w:rPr>
          <w:spacing w:val="-8"/>
        </w:rPr>
        <w:t>《公司法》、《会计法》、《企业会计准则》和《企业内部控制基本规范》以及监管部门的相关规范性文件为依</w:t>
      </w:r>
      <w:r>
        <w:rPr/>
        <w:t> 据，建立了财务报告内部控制。报告期内，公司财务报告内部控制不存在重大缺陷。</w:t>
      </w:r>
    </w:p>
    <w:p>
      <w:pPr>
        <w:spacing w:line="240" w:lineRule="auto" w:before="9"/>
        <w:rPr>
          <w:rFonts w:ascii="宋体" w:hAnsi="宋体" w:cs="宋体" w:eastAsia="宋体" w:hint="default"/>
          <w:sz w:val="20"/>
          <w:szCs w:val="20"/>
        </w:rPr>
      </w:pPr>
    </w:p>
    <w:p>
      <w:pPr>
        <w:pStyle w:val="Heading2"/>
        <w:spacing w:line="240" w:lineRule="auto"/>
        <w:ind w:right="185"/>
        <w:jc w:val="left"/>
        <w:rPr>
          <w:b w:val="0"/>
          <w:bCs w:val="0"/>
        </w:rPr>
      </w:pPr>
      <w:r>
        <w:rPr/>
        <w:t>四、内部控制自我评价报告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88"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715"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71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0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5"/>
              <w:jc w:val="left"/>
              <w:rPr>
                <w:rFonts w:ascii="宋体" w:hAnsi="宋体" w:cs="宋体" w:eastAsia="宋体" w:hint="default"/>
                <w:sz w:val="18"/>
                <w:szCs w:val="18"/>
              </w:rPr>
            </w:pPr>
            <w:r>
              <w:rPr>
                <w:rFonts w:ascii="宋体" w:hAnsi="宋体" w:cs="宋体" w:eastAsia="宋体" w:hint="default"/>
                <w:sz w:val="18"/>
                <w:szCs w:val="18"/>
              </w:rPr>
              <w:t>详见刊登于巨潮资讯网</w:t>
            </w:r>
            <w:r>
              <w:rPr>
                <w:rFonts w:ascii="宋体" w:hAnsi="宋体" w:cs="宋体" w:eastAsia="宋体" w:hint="default"/>
                <w:spacing w:val="-54"/>
                <w:sz w:val="18"/>
                <w:szCs w:val="18"/>
              </w:rPr>
              <w:t> </w:t>
            </w: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的《</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年度内部控制自我评价报告》</w:t>
            </w:r>
          </w:p>
        </w:tc>
      </w:tr>
    </w:tbl>
    <w:p>
      <w:pPr>
        <w:spacing w:line="240" w:lineRule="auto" w:before="1"/>
        <w:rPr>
          <w:rFonts w:ascii="宋体" w:hAnsi="宋体" w:cs="宋体" w:eastAsia="宋体" w:hint="default"/>
          <w:b/>
          <w:bCs/>
          <w:sz w:val="18"/>
          <w:szCs w:val="18"/>
        </w:rPr>
      </w:pPr>
    </w:p>
    <w:p>
      <w:pPr>
        <w:pStyle w:val="Heading2"/>
        <w:spacing w:line="240" w:lineRule="auto" w:before="26"/>
        <w:ind w:right="185"/>
        <w:jc w:val="left"/>
        <w:rPr>
          <w:b w:val="0"/>
          <w:bCs w:val="0"/>
        </w:rPr>
      </w:pPr>
      <w:r>
        <w:rPr/>
        <w:t>五、内部控制审计报告</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54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会计师事务所是否出具非标准意见的内部控制审计报告</w:t>
      </w:r>
    </w:p>
    <w:p>
      <w:pPr>
        <w:pStyle w:val="BodyText"/>
        <w:spacing w:line="240" w:lineRule="auto" w:before="43"/>
        <w:ind w:right="18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85"/>
        <w:jc w:val="left"/>
      </w:pPr>
      <w:r>
        <w:rPr/>
        <w:t>会计师事务所出具的内部控制审计报告与董事会的自我评价报告意见是否一致</w:t>
      </w:r>
    </w:p>
    <w:p>
      <w:pPr>
        <w:pStyle w:val="BodyText"/>
        <w:spacing w:line="240" w:lineRule="auto" w:before="117"/>
        <w:ind w:right="18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0"/>
        <w:rPr>
          <w:rFonts w:ascii="宋体" w:hAnsi="宋体" w:cs="宋体" w:eastAsia="宋体" w:hint="default"/>
          <w:sz w:val="24"/>
          <w:szCs w:val="24"/>
        </w:rPr>
      </w:pPr>
    </w:p>
    <w:p>
      <w:pPr>
        <w:pStyle w:val="Heading2"/>
        <w:spacing w:line="240" w:lineRule="auto"/>
        <w:ind w:right="185"/>
        <w:jc w:val="left"/>
        <w:rPr>
          <w:b w:val="0"/>
          <w:bCs w:val="0"/>
        </w:rPr>
      </w:pPr>
      <w:r>
        <w:rPr/>
        <w:t>六、年度报告重大差错责任追究制度的建立与执行情况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94" w:firstLine="360"/>
        <w:jc w:val="left"/>
      </w:pPr>
      <w:r>
        <w:rPr/>
        <w:t>为提高公司的规范运作水平，增强信息披露的真实性、准确性、完整性和及时性，提高年报信息披露的质量和透明度，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spacing w:val="-3"/>
        </w:rPr>
        <w:t>日，公司第三届董事会第七次会议审议通过《年报信息披露重大差错责任追究制度》，对财务报告重大差错的</w:t>
      </w:r>
      <w:r>
        <w:rPr>
          <w:spacing w:val="-87"/>
        </w:rPr>
        <w:t> </w:t>
      </w:r>
      <w:r>
        <w:rPr>
          <w:spacing w:val="-87"/>
        </w:rPr>
      </w:r>
      <w:r>
        <w:rPr>
          <w:spacing w:val="-2"/>
        </w:rPr>
        <w:t>认定及处理程序、重大差错的责任追究做出了明确规定。报告期内，公司未发生重大会计差错更正、重大遗漏信息补充以及</w:t>
      </w:r>
      <w:r>
        <w:rPr>
          <w:spacing w:val="-65"/>
        </w:rPr>
        <w:t> </w:t>
      </w:r>
      <w:r>
        <w:rPr>
          <w:spacing w:val="-65"/>
        </w:rPr>
      </w:r>
      <w:r>
        <w:rPr/>
        <w:t>业绩预告修正等情况。</w:t>
      </w:r>
    </w:p>
    <w:p>
      <w:pPr>
        <w:spacing w:after="0" w:line="312"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 w:right="0"/>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44"/>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410211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bl>
    <w:p>
      <w:pPr>
        <w:pStyle w:val="BodyText"/>
        <w:spacing w:line="240" w:lineRule="auto" w:before="49"/>
        <w:ind w:left="0" w:right="0"/>
        <w:jc w:val="center"/>
      </w:pPr>
      <w:r>
        <w:rPr/>
        <w:t>审计报告正文</w:t>
      </w:r>
    </w:p>
    <w:p>
      <w:pPr>
        <w:spacing w:line="240" w:lineRule="auto" w:before="7"/>
        <w:rPr>
          <w:rFonts w:ascii="宋体" w:hAnsi="宋体" w:cs="宋体" w:eastAsia="宋体" w:hint="default"/>
          <w:sz w:val="13"/>
          <w:szCs w:val="13"/>
        </w:rPr>
      </w:pPr>
    </w:p>
    <w:p>
      <w:pPr>
        <w:spacing w:before="0"/>
        <w:ind w:left="23" w:right="24" w:firstLine="0"/>
        <w:jc w:val="center"/>
        <w:rPr>
          <w:rFonts w:ascii="宋体" w:hAnsi="宋体" w:cs="宋体" w:eastAsia="宋体" w:hint="default"/>
          <w:sz w:val="30"/>
          <w:szCs w:val="30"/>
        </w:rPr>
      </w:pPr>
      <w:r>
        <w:rPr>
          <w:rFonts w:ascii="宋体" w:hAnsi="宋体" w:cs="宋体" w:eastAsia="宋体" w:hint="default"/>
          <w:b/>
          <w:bCs/>
          <w:sz w:val="30"/>
          <w:szCs w:val="30"/>
        </w:rPr>
        <w:t>审计报告</w:t>
      </w:r>
      <w:r>
        <w:rPr>
          <w:rFonts w:ascii="宋体" w:hAnsi="宋体" w:cs="宋体" w:eastAsia="宋体" w:hint="default"/>
          <w:sz w:val="30"/>
          <w:szCs w:val="3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745" w:footer="980" w:top="1060" w:bottom="1160" w:left="980" w:right="980"/>
        </w:sectPr>
      </w:pPr>
    </w:p>
    <w:p>
      <w:pPr>
        <w:spacing w:line="240" w:lineRule="auto" w:before="9"/>
        <w:rPr>
          <w:rFonts w:ascii="宋体" w:hAnsi="宋体" w:cs="宋体" w:eastAsia="宋体" w:hint="default"/>
          <w:b/>
          <w:bCs/>
          <w:sz w:val="25"/>
          <w:szCs w:val="25"/>
        </w:rPr>
      </w:pPr>
    </w:p>
    <w:p>
      <w:pPr>
        <w:pStyle w:val="Heading3"/>
        <w:spacing w:line="240" w:lineRule="auto"/>
        <w:ind w:left="575" w:right="-1"/>
        <w:jc w:val="left"/>
        <w:rPr>
          <w:b w:val="0"/>
          <w:bCs w:val="0"/>
        </w:rPr>
      </w:pPr>
      <w:r>
        <w:rPr>
          <w:spacing w:val="-1"/>
        </w:rPr>
        <w:t>广州御银科技股份有限公司全体股东：</w:t>
      </w:r>
      <w:r>
        <w:rPr>
          <w:b w:val="0"/>
          <w:bCs w:val="0"/>
          <w:spacing w:val="-1"/>
        </w:rPr>
      </w:r>
    </w:p>
    <w:p>
      <w:pPr>
        <w:pStyle w:val="BodyText"/>
        <w:spacing w:line="240" w:lineRule="auto" w:before="44"/>
        <w:ind w:left="575" w:right="0"/>
        <w:jc w:val="left"/>
      </w:pPr>
      <w:r>
        <w:rPr/>
        <w:br w:type="column"/>
      </w:r>
      <w:r>
        <w:rPr/>
        <w:t>信会师报字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410211</w:t>
      </w:r>
      <w:r>
        <w:rPr/>
        <w:t>号</w:t>
      </w:r>
    </w:p>
    <w:p>
      <w:pPr>
        <w:spacing w:after="0" w:line="240" w:lineRule="auto"/>
        <w:jc w:val="left"/>
        <w:sectPr>
          <w:type w:val="continuous"/>
          <w:pgSz w:w="11910" w:h="16840"/>
          <w:pgMar w:top="1060" w:bottom="1160" w:left="980" w:right="980"/>
          <w:cols w:num="2" w:equalWidth="0">
            <w:col w:w="4162" w:space="2776"/>
            <w:col w:w="3012"/>
          </w:cols>
        </w:sectPr>
      </w:pPr>
    </w:p>
    <w:p>
      <w:pPr>
        <w:pStyle w:val="Heading4"/>
        <w:spacing w:line="256" w:lineRule="auto" w:before="37"/>
        <w:ind w:right="146" w:firstLine="420"/>
        <w:jc w:val="both"/>
      </w:pPr>
      <w:r>
        <w:rPr>
          <w:spacing w:val="-2"/>
        </w:rPr>
        <w:t>我们审计了后附的广州御银科技股份有限公司（以下简称贵公司）财务报表，包括</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w:t>
      </w:r>
      <w:r>
        <w:rPr>
          <w:spacing w:val="-3"/>
          <w:w w:val="100"/>
        </w:rPr>
        <w:t> </w:t>
      </w:r>
      <w:r>
        <w:rPr>
          <w:spacing w:val="-2"/>
        </w:rPr>
        <w:t>资产负债表和合并资产负债表、</w:t>
      </w:r>
      <w:r>
        <w:rPr>
          <w:rFonts w:ascii="Times New Roman" w:hAnsi="Times New Roman" w:cs="Times New Roman" w:eastAsia="Times New Roman" w:hint="default"/>
          <w:spacing w:val="-2"/>
        </w:rPr>
        <w:t>2012</w:t>
      </w:r>
      <w:r>
        <w:rPr>
          <w:spacing w:val="-2"/>
        </w:rPr>
        <w:t>年度的利润表和合并利润表、</w:t>
      </w:r>
      <w:r>
        <w:rPr>
          <w:rFonts w:ascii="Times New Roman" w:hAnsi="Times New Roman" w:cs="Times New Roman" w:eastAsia="Times New Roman" w:hint="default"/>
          <w:spacing w:val="-2"/>
        </w:rPr>
        <w:t>2012</w:t>
      </w:r>
      <w:r>
        <w:rPr>
          <w:spacing w:val="-2"/>
        </w:rPr>
        <w:t>年度的现金流量表和合并现金流量</w:t>
      </w:r>
      <w:r>
        <w:rPr>
          <w:spacing w:val="-34"/>
        </w:rPr>
        <w:t> </w:t>
      </w:r>
      <w:r>
        <w:rPr>
          <w:spacing w:val="-34"/>
        </w:rPr>
      </w:r>
      <w:r>
        <w:rPr/>
        <w:t>表、</w:t>
      </w:r>
      <w:r>
        <w:rPr>
          <w:rFonts w:ascii="Times New Roman" w:hAnsi="Times New Roman" w:cs="Times New Roman" w:eastAsia="Times New Roman" w:hint="default"/>
        </w:rPr>
        <w:t>2012</w:t>
      </w:r>
      <w:r>
        <w:rPr/>
        <w:t>年度的所有者权益变动表和合并所有者权益变动表以及财务报表附注。</w:t>
      </w:r>
    </w:p>
    <w:p>
      <w:pPr>
        <w:spacing w:line="624" w:lineRule="exact" w:before="63"/>
        <w:ind w:left="573" w:right="144"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z w:val="21"/>
          <w:szCs w:val="21"/>
        </w:rPr>
        <w:t>编制和公允列报财务报表是贵公司管理层的责任。这种责任包括：（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）按照企业会计准则的规定编</w:t>
      </w:r>
    </w:p>
    <w:p>
      <w:pPr>
        <w:pStyle w:val="Heading4"/>
        <w:spacing w:line="233" w:lineRule="exact"/>
        <w:ind w:right="144"/>
        <w:jc w:val="left"/>
      </w:pPr>
      <w:r>
        <w:rPr/>
        <w:t>制财务报表，并使其实现公允反映；（</w:t>
      </w:r>
      <w:r>
        <w:rPr>
          <w:rFonts w:ascii="Times New Roman" w:hAnsi="Times New Roman" w:cs="Times New Roman" w:eastAsia="Times New Roman" w:hint="default"/>
        </w:rPr>
        <w:t>2</w:t>
      </w:r>
      <w:r>
        <w:rPr/>
        <w:t>）设计、执行和维护必要的内部控制，以使财务报表不存在由于</w:t>
      </w:r>
    </w:p>
    <w:p>
      <w:pPr>
        <w:spacing w:line="544" w:lineRule="auto" w:before="21"/>
        <w:ind w:left="575" w:right="6894" w:hanging="423"/>
        <w:jc w:val="left"/>
        <w:rPr>
          <w:rFonts w:ascii="宋体" w:hAnsi="宋体" w:cs="宋体" w:eastAsia="宋体" w:hint="default"/>
          <w:sz w:val="21"/>
          <w:szCs w:val="21"/>
        </w:rPr>
      </w:pPr>
      <w:r>
        <w:rPr>
          <w:rFonts w:ascii="宋体" w:hAnsi="宋体" w:cs="宋体" w:eastAsia="宋体" w:hint="default"/>
          <w:spacing w:val="-2"/>
          <w:sz w:val="21"/>
          <w:szCs w:val="21"/>
        </w:rPr>
        <w:t>舞弊或错误导致的重大错报。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b/>
          <w:bCs/>
          <w:sz w:val="21"/>
          <w:szCs w:val="21"/>
        </w:rPr>
        <w:t>二、注册会计师的责任</w:t>
      </w:r>
      <w:r>
        <w:rPr>
          <w:rFonts w:ascii="宋体" w:hAnsi="宋体" w:cs="宋体" w:eastAsia="宋体" w:hint="default"/>
          <w:sz w:val="21"/>
          <w:szCs w:val="21"/>
        </w:rPr>
      </w:r>
    </w:p>
    <w:p>
      <w:pPr>
        <w:pStyle w:val="Heading4"/>
        <w:spacing w:line="273" w:lineRule="auto" w:before="82"/>
        <w:ind w:right="146" w:firstLine="420"/>
        <w:jc w:val="both"/>
      </w:pPr>
      <w:r>
        <w:rPr>
          <w:spacing w:val="-2"/>
        </w:rPr>
        <w:t>我们的责任是在执行审计工作的基础上对财务报表发表审计意见。我们按照中国注册会计师审计准则</w:t>
      </w:r>
      <w:r>
        <w:rPr>
          <w:w w:val="100"/>
        </w:rPr>
        <w:t> </w:t>
      </w:r>
      <w:r>
        <w:rPr>
          <w:spacing w:val="-2"/>
        </w:rPr>
        <w:t>的规定执行了审计工作。中国注册会计师审计准则要求我们遵守中国注册会计师职业道德守则，计划和执</w:t>
      </w:r>
      <w:r>
        <w:rPr>
          <w:spacing w:val="-42"/>
        </w:rPr>
        <w:t> </w:t>
      </w:r>
      <w:r>
        <w:rPr>
          <w:spacing w:val="-42"/>
        </w:rPr>
      </w:r>
      <w:r>
        <w:rPr/>
        <w:t>行审计工作以对财务报表是否不存在重大错报获取合理保证。</w:t>
      </w:r>
    </w:p>
    <w:p>
      <w:pPr>
        <w:spacing w:line="240" w:lineRule="auto" w:before="6"/>
        <w:rPr>
          <w:rFonts w:ascii="宋体" w:hAnsi="宋体" w:cs="宋体" w:eastAsia="宋体" w:hint="default"/>
          <w:sz w:val="24"/>
          <w:szCs w:val="24"/>
        </w:rPr>
      </w:pPr>
    </w:p>
    <w:p>
      <w:pPr>
        <w:pStyle w:val="Heading4"/>
        <w:spacing w:line="273" w:lineRule="auto"/>
        <w:ind w:right="146" w:firstLine="420"/>
        <w:jc w:val="both"/>
      </w:pPr>
      <w:r>
        <w:rPr>
          <w:spacing w:val="-2"/>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3"/>
        </w:rPr>
        <w:t> </w:t>
      </w:r>
      <w:r>
        <w:rPr>
          <w:spacing w:val="-43"/>
        </w:rPr>
      </w:r>
      <w:r>
        <w:rPr>
          <w:spacing w:val="-2"/>
        </w:rPr>
        <w:t>会计师考虑与财务报表编制和公允列报相关的内部控制，以设计恰当的审计程序，但目的并非对内部控制</w:t>
      </w:r>
      <w:r>
        <w:rPr>
          <w:spacing w:val="-42"/>
        </w:rPr>
        <w:t> </w:t>
      </w:r>
      <w:r>
        <w:rPr>
          <w:spacing w:val="-42"/>
        </w:rPr>
      </w:r>
      <w:r>
        <w:rPr>
          <w:spacing w:val="-2"/>
        </w:rPr>
        <w:t>的有效性发表意见。审计工作还包括评价管理层选用会计政策的恰当性和作出会计估计的合理性，以及评</w:t>
      </w:r>
      <w:r>
        <w:rPr>
          <w:spacing w:val="-43"/>
        </w:rPr>
        <w:t> </w:t>
      </w:r>
      <w:r>
        <w:rPr>
          <w:spacing w:val="-43"/>
        </w:rPr>
      </w:r>
      <w:r>
        <w:rPr/>
        <w:t>价财务报表的总体列报。</w:t>
      </w:r>
    </w:p>
    <w:p>
      <w:pPr>
        <w:spacing w:line="240" w:lineRule="auto" w:before="6"/>
        <w:rPr>
          <w:rFonts w:ascii="宋体" w:hAnsi="宋体" w:cs="宋体" w:eastAsia="宋体" w:hint="default"/>
          <w:sz w:val="24"/>
          <w:szCs w:val="24"/>
        </w:rPr>
      </w:pPr>
    </w:p>
    <w:p>
      <w:pPr>
        <w:pStyle w:val="Heading4"/>
        <w:spacing w:line="544" w:lineRule="auto"/>
        <w:ind w:left="575" w:right="1557" w:hanging="3"/>
        <w:jc w:val="left"/>
        <w:rPr>
          <w:rFonts w:ascii="宋体" w:hAnsi="宋体" w:cs="宋体" w:eastAsia="宋体" w:hint="default"/>
        </w:rPr>
      </w:pPr>
      <w:r>
        <w:rPr>
          <w:spacing w:val="-2"/>
        </w:rPr>
        <w:t>我们相信，我们获取的审计证据是充分、适当的，为发表审计意见提供了基础。</w:t>
      </w:r>
      <w:r>
        <w:rPr>
          <w:spacing w:val="-38"/>
        </w:rPr>
        <w:t> </w:t>
      </w:r>
      <w:r>
        <w:rPr>
          <w:spacing w:val="-38"/>
        </w:rPr>
      </w:r>
      <w:r>
        <w:rPr>
          <w:rFonts w:ascii="宋体" w:hAnsi="宋体" w:cs="宋体" w:eastAsia="宋体" w:hint="default"/>
          <w:b/>
          <w:bCs/>
        </w:rPr>
        <w:t>三、审计意见</w:t>
      </w:r>
      <w:r>
        <w:rPr>
          <w:rFonts w:ascii="宋体" w:hAnsi="宋体" w:cs="宋体" w:eastAsia="宋体" w:hint="default"/>
        </w:rPr>
      </w:r>
    </w:p>
    <w:p>
      <w:pPr>
        <w:spacing w:after="0" w:line="544" w:lineRule="auto"/>
        <w:jc w:val="left"/>
        <w:rPr>
          <w:rFonts w:ascii="宋体" w:hAnsi="宋体" w:cs="宋体" w:eastAsia="宋体" w:hint="default"/>
        </w:rPr>
        <w:sectPr>
          <w:type w:val="continuous"/>
          <w:pgSz w:w="11910" w:h="16840"/>
          <w:pgMar w:top="1060" w:bottom="1160" w:left="980" w:right="980"/>
        </w:sectPr>
      </w:pPr>
    </w:p>
    <w:p>
      <w:pPr>
        <w:spacing w:line="240" w:lineRule="auto" w:before="10"/>
        <w:rPr>
          <w:rFonts w:ascii="宋体" w:hAnsi="宋体" w:cs="宋体" w:eastAsia="宋体" w:hint="default"/>
          <w:b/>
          <w:bCs/>
          <w:sz w:val="24"/>
          <w:szCs w:val="24"/>
        </w:rPr>
      </w:pPr>
    </w:p>
    <w:p>
      <w:pPr>
        <w:pStyle w:val="Heading4"/>
        <w:spacing w:line="240" w:lineRule="auto" w:before="36"/>
        <w:ind w:left="573" w:right="0"/>
        <w:jc w:val="left"/>
      </w:pPr>
      <w:r>
        <w:rPr/>
        <w:t>我们认为，贵公司财务报表在所有重大方面按照企业会计准则的规定编制，公允反映了贵公司</w:t>
      </w:r>
      <w:r>
        <w:rPr>
          <w:rFonts w:ascii="Times New Roman" w:hAnsi="Times New Roman" w:cs="Times New Roman" w:eastAsia="Times New Roman" w:hint="default"/>
        </w:rPr>
        <w:t>2012</w:t>
      </w:r>
      <w:r>
        <w:rPr/>
        <w:t>年</w:t>
      </w:r>
    </w:p>
    <w:p>
      <w:pPr>
        <w:pStyle w:val="Heading4"/>
        <w:spacing w:line="240" w:lineRule="auto" w:before="21"/>
        <w:ind w:right="144"/>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2012</w:t>
      </w:r>
      <w:r>
        <w:rPr/>
        <w:t>年度的经营成果和现金流量。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30"/>
          <w:szCs w:val="30"/>
        </w:rPr>
      </w:pPr>
    </w:p>
    <w:p>
      <w:pPr>
        <w:pStyle w:val="Heading3"/>
        <w:tabs>
          <w:tab w:pos="5515" w:val="left" w:leader="none"/>
        </w:tabs>
        <w:spacing w:line="240" w:lineRule="auto"/>
        <w:ind w:left="5527" w:right="144" w:hanging="5375"/>
        <w:jc w:val="left"/>
        <w:rPr>
          <w:b w:val="0"/>
          <w:bCs w:val="0"/>
        </w:rPr>
      </w:pPr>
      <w:r>
        <w:rPr>
          <w:spacing w:val="-1"/>
        </w:rPr>
        <w:t>立信会计师事务所（特殊普通合伙）</w:t>
        <w:tab/>
        <w:t>中国注册会计师：陈雄溢</w:t>
      </w:r>
      <w:r>
        <w:rPr>
          <w:b w:val="0"/>
          <w:bCs w:val="0"/>
          <w:spacing w:val="-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Heading3"/>
        <w:spacing w:line="240" w:lineRule="auto"/>
        <w:ind w:left="5527" w:right="144"/>
        <w:jc w:val="left"/>
        <w:rPr>
          <w:b w:val="0"/>
          <w:bCs w:val="0"/>
        </w:rPr>
      </w:pPr>
      <w:r>
        <w:rPr/>
        <w:t>中国注册会计师：漆江燕</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pStyle w:val="Heading3"/>
        <w:tabs>
          <w:tab w:pos="5791" w:val="left" w:leader="none"/>
        </w:tabs>
        <w:spacing w:line="240" w:lineRule="auto"/>
        <w:ind w:left="1629" w:right="144"/>
        <w:jc w:val="left"/>
        <w:rPr>
          <w:b w:val="0"/>
          <w:bCs w:val="0"/>
        </w:rPr>
      </w:pPr>
      <w:r>
        <w:rPr>
          <w:spacing w:val="-23"/>
        </w:rPr>
        <w:t>中国</w:t>
      </w:r>
      <w:r>
        <w:rPr>
          <w:rFonts w:ascii="Times New Roman" w:hAnsi="Times New Roman" w:cs="Times New Roman" w:eastAsia="Times New Roman" w:hint="default"/>
          <w:spacing w:val="-23"/>
        </w:rPr>
        <w:t>·</w:t>
      </w:r>
      <w:r>
        <w:rPr>
          <w:spacing w:val="-23"/>
        </w:rPr>
        <w:t>上海</w:t>
        <w:tab/>
      </w:r>
      <w:r>
        <w:rPr/>
        <w:t>二</w:t>
      </w:r>
      <w:r>
        <w:rPr>
          <w:rFonts w:ascii="Times New Roman" w:hAnsi="Times New Roman" w:cs="Times New Roman" w:eastAsia="Times New Roman" w:hint="default"/>
        </w:rPr>
        <w:t>O</w:t>
      </w:r>
      <w:r>
        <w:rPr/>
        <w:t>一三年四月十九日</w:t>
      </w:r>
      <w:r>
        <w:rPr>
          <w:b w:val="0"/>
          <w:bCs w:val="0"/>
        </w:rPr>
      </w:r>
    </w:p>
    <w:p>
      <w:pPr>
        <w:spacing w:after="0" w:line="240" w:lineRule="auto"/>
        <w:jc w:val="left"/>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144"/>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4"/>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144"/>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44"/>
        <w:jc w:val="left"/>
      </w:pPr>
      <w:r>
        <w:rPr/>
        <w:t>编制单位：广州御银科技股份有限公司</w:t>
      </w:r>
    </w:p>
    <w:p>
      <w:pPr>
        <w:pStyle w:val="BodyText"/>
        <w:spacing w:line="240" w:lineRule="auto" w:before="117"/>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40"/>
        <w:gridCol w:w="3165"/>
        <w:gridCol w:w="3155"/>
      </w:tblGrid>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287,664,602.68</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183,505,395.65</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10,001,147.60</w:t>
            </w: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40,404,000.00</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137,099,458.08</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142,321,492.81</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7,118,058.27</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59,348,739.58</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27,503,661.02</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24,973,952.76</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329,830,770.82</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240,321,261.00</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41,520,542.38</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76,064,857.02</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6,647,613.61</w:t>
            </w: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847,385,854.46</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766,939,698.82</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69,856,890.72</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134,577,416.07</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149,565,620.52</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168,940,661.41</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34,860,000.00</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46,803,039.86</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336,407,305.76</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352,232,094.27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40"/>
        <w:gridCol w:w="3165"/>
        <w:gridCol w:w="3155"/>
      </w:tblGrid>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222,245,170.27</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171,295,033.52</w:t>
            </w:r>
          </w:p>
        </w:tc>
      </w:tr>
      <w:tr>
        <w:trPr>
          <w:trHeight w:val="404"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65,771,397.41</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47,711,408.56</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10,131,695.33</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7,728,500.00</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1,255,925.99</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922,027.39</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10,774,553.57</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10,251,754.61</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1,853,035.66</w:t>
            </w: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902,721,595.23</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940,461,935.69</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1,750,107,449.69</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1,707,401,634.51</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125,142,480.42</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121,789,540.00</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5,823,982.00</w:t>
            </w: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37,798,320.94</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90,699,141.17</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53,899,096.17</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59,640,951.25</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2,573,721.81</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2,396,831.72</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15,598,160.26</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36,112,112.62</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120,270.75</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456,079.36</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39,453,910.02</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14,621,793.13</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40"/>
        <w:gridCol w:w="3165"/>
        <w:gridCol w:w="3155"/>
      </w:tblGrid>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280,409,942.37</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325,716,449.25</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40,452,254.45</w:t>
            </w: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43,443,000.00</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38,949,600.00</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9,712,214.00</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28,331,320.91</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93,607,468.45</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67,280,920.91</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374,017,410.82</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392,997,370.16</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585,531,765.00</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344,430,450.00</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215,176,702.61</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501,434,266.60</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35,774,450.40</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33,831,578.49</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539,597,421.58</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434,707,969.26</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9,699.28</w:t>
            </w: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1,376,090,038.87</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1,314,404,264.35</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1,376,090,038.87</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1,314,404,264.35</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1,750,107,449.69</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1,707,401,634.51</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144"/>
        <w:jc w:val="left"/>
      </w:pPr>
      <w:r>
        <w:rPr/>
        <w:t>法定代表人：杨文江</w:t>
        <w:tab/>
      </w:r>
      <w:r>
        <w:rPr>
          <w:spacing w:val="-1"/>
        </w:rPr>
        <w:t>主管会计工作负责人：陈国军</w:t>
        <w:tab/>
      </w:r>
      <w:r>
        <w:rPr/>
        <w:t>会计机构负责人：陈国军</w:t>
      </w:r>
    </w:p>
    <w:p>
      <w:pPr>
        <w:spacing w:line="240" w:lineRule="auto" w:before="0"/>
        <w:rPr>
          <w:rFonts w:ascii="宋体" w:hAnsi="宋体" w:cs="宋体" w:eastAsia="宋体" w:hint="default"/>
          <w:sz w:val="18"/>
          <w:szCs w:val="18"/>
        </w:rPr>
      </w:pPr>
    </w:p>
    <w:p>
      <w:pPr>
        <w:pStyle w:val="Heading3"/>
        <w:spacing w:line="240" w:lineRule="auto" w:before="118"/>
        <w:ind w:right="144"/>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44"/>
        <w:jc w:val="left"/>
      </w:pPr>
      <w:r>
        <w:rPr/>
        <w:t>编制单位：广州御银科技股份有限公司</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52"/>
        <w:gridCol w:w="3153"/>
        <w:gridCol w:w="3155"/>
      </w:tblGrid>
      <w:tr>
        <w:trPr>
          <w:trHeight w:val="401"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219,859,636.81</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7" w:right="0"/>
              <w:jc w:val="left"/>
              <w:rPr>
                <w:rFonts w:ascii="Times New Roman" w:hAnsi="Times New Roman" w:cs="Times New Roman" w:eastAsia="Times New Roman" w:hint="default"/>
                <w:sz w:val="18"/>
                <w:szCs w:val="18"/>
              </w:rPr>
            </w:pPr>
            <w:r>
              <w:rPr>
                <w:rFonts w:ascii="Times New Roman"/>
                <w:sz w:val="18"/>
              </w:rPr>
              <w:t>145,712,740.71</w:t>
            </w:r>
          </w:p>
        </w:tc>
      </w:tr>
      <w:tr>
        <w:trPr>
          <w:trHeight w:val="403" w:hRule="exact"/>
        </w:trPr>
        <w:tc>
          <w:tcPr>
            <w:tcW w:w="3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10,001,147.60</w:t>
            </w:r>
          </w:p>
        </w:tc>
        <w:tc>
          <w:tcPr>
            <w:tcW w:w="31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40"/>
        <w:gridCol w:w="3165"/>
        <w:gridCol w:w="3155"/>
      </w:tblGrid>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14,404,000.00</w:t>
            </w:r>
          </w:p>
        </w:tc>
      </w:tr>
      <w:tr>
        <w:trPr>
          <w:trHeight w:val="404"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115,015,223.35</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129,154,007.87</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9,352,608.03</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48,534,926.22</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25,411,624.23</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33,249,565.25</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321,001,412.34</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259,096,944.21</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41,520,542.38</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68,268,457.02</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6,590,217.40</w:t>
            </w: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748,752,412.14</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698,420,641.28</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149,565,620.52</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154,716,107.36</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78,722,718.86</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88,665,758.72</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335,003,709.29</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350,641,744.23</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171,052,231.88</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170,520,597.78</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56,893,102.39</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38,657,515.42</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6,731,695.33</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7,728,500.00</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1,255,925.99</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922,027.39</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10,592,629.72</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12,145,247.09</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1,853,035.66</w:t>
            </w: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811,670,669.64</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823,997,497.99</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1,560,423,081.78</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1,522,418,139.27</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106,286,082.58</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5,823,982.00</w:t>
            </w:r>
          </w:p>
        </w:tc>
        <w:tc>
          <w:tcPr>
            <w:tcW w:w="31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40"/>
        <w:gridCol w:w="3165"/>
        <w:gridCol w:w="3155"/>
      </w:tblGrid>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48,813,677.37</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130,752,371.43</w:t>
            </w:r>
          </w:p>
        </w:tc>
      </w:tr>
      <w:tr>
        <w:trPr>
          <w:trHeight w:val="404"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50,733,160.35</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43,842,296.81</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2,115,449.48</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2,043,781.40</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14,125,146.94</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27,494,182.03</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242,683,943.12</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175,081,194.71</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470,581,441.84</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434,213,826.38</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43,443,000.00</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38,949,600.00</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7,495,491.00</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15,372,109.58</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50,938,491.00</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54,321,709.58</w:t>
            </w:r>
          </w:p>
        </w:tc>
      </w:tr>
      <w:tr>
        <w:trPr>
          <w:trHeight w:val="404"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521,519,932.84</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488,535,535.96</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585,531,765.00</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344,430,450.00</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202,615,272.28</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440,903,238.28</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35,774,450.40</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33,831,578.49</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214,981,661.26</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214,717,336.54</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165" w:type="dxa"/>
            <w:tcBorders>
              <w:top w:val="single" w:sz="4" w:space="0" w:color="000000"/>
              <w:left w:val="single" w:sz="9" w:space="0" w:color="D2D2D2"/>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1,038,903,148.94</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1,033,882,603.31</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31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1,560,423,081.78</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1,522,418,139.27</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144"/>
        <w:jc w:val="left"/>
      </w:pPr>
      <w:r>
        <w:rPr/>
        <w:t>法定代表人：杨文江</w:t>
        <w:tab/>
      </w:r>
      <w:r>
        <w:rPr>
          <w:spacing w:val="-1"/>
        </w:rPr>
        <w:t>主管会计工作负责人：陈国军</w:t>
        <w:tab/>
      </w:r>
      <w:r>
        <w:rPr/>
        <w:t>会计机构负责人：陈国军</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4"/>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44"/>
        <w:jc w:val="left"/>
      </w:pPr>
      <w:r>
        <w:rPr/>
        <w:t>编制单位：广州御银科技股份有限公司</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1"/>
        <w:gridCol w:w="2668"/>
        <w:gridCol w:w="2660"/>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749,911,314.16</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741,457,812.06</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749,911,314.16</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741,457,812.06</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625,519,642.40</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564,185,329.67</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404,850,462.22</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353,299,726.98</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18,725,872.67</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25,086,782.68</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87,172,618.05</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81,494,548.73</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106,070,896.07</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91,570,668.91</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4,673,412.14</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7,164,382.12</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4,026,381.25</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5,569,220.25</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1,147.60</w:t>
            </w: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9,146,699.18</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4,007,724.57</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133,539,518.54</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181,280,206.96</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27,261,054.15</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23,317,124.35</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26,790,576.87</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4,986,821.00</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23,396,042.16</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2,361,736.68</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134,009,995.82</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199,610,510.31</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9,956,149.09</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20,800,927.30</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124,053,846.73</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178,809,583.01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231"/>
        <w:gridCol w:w="2668"/>
        <w:gridCol w:w="2660"/>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其中：被合并方在合并前实现的净利润</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66,042,550.75</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124,053,846.73</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178,809,583.01</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2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0.21</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0.31</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0.21</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0.31</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-47,959,898.71</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-107,713,721.68</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76,093,948.02</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71,095,861.33</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76,093,948.02</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71,095,861.33</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44"/>
        <w:jc w:val="left"/>
      </w:pPr>
      <w:r>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pStyle w:val="BodyText"/>
        <w:tabs>
          <w:tab w:pos="3578" w:val="left" w:leader="none"/>
          <w:tab w:pos="7721" w:val="left" w:leader="none"/>
        </w:tabs>
        <w:spacing w:line="240" w:lineRule="auto" w:before="138"/>
        <w:ind w:right="144"/>
        <w:jc w:val="left"/>
      </w:pPr>
      <w:r>
        <w:rPr/>
        <w:t>法定代表人：杨文江</w:t>
        <w:tab/>
      </w:r>
      <w:r>
        <w:rPr>
          <w:spacing w:val="-1"/>
        </w:rPr>
        <w:t>主管会计工作负责人：陈国军</w:t>
        <w:tab/>
      </w:r>
      <w:r>
        <w:rPr/>
        <w:t>会计机构负责人：陈国军</w:t>
      </w:r>
    </w:p>
    <w:p>
      <w:pPr>
        <w:spacing w:line="240" w:lineRule="auto" w:before="0"/>
        <w:rPr>
          <w:rFonts w:ascii="宋体" w:hAnsi="宋体" w:cs="宋体" w:eastAsia="宋体" w:hint="default"/>
          <w:sz w:val="18"/>
          <w:szCs w:val="18"/>
        </w:rPr>
      </w:pPr>
    </w:p>
    <w:p>
      <w:pPr>
        <w:pStyle w:val="Heading3"/>
        <w:spacing w:line="240" w:lineRule="auto" w:before="120"/>
        <w:ind w:right="144"/>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44"/>
        <w:jc w:val="left"/>
      </w:pPr>
      <w:r>
        <w:rPr/>
        <w:t>编制单位：广州御银科技股份有限公司</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1"/>
        <w:gridCol w:w="2668"/>
        <w:gridCol w:w="2660"/>
      </w:tblGrid>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667,695,471.45</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630,953,222.70</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468,847,829.52</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364,099,076.08</w:t>
            </w:r>
          </w:p>
        </w:tc>
      </w:tr>
      <w:tr>
        <w:trPr>
          <w:trHeight w:val="40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16,059,045.06</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22,223,329.25</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71,113,762.05</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68,944,417.23</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86,014,137.49</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73,017,872.44</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2,466,458.74</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6,687,631.13</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-11,342,560.81</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18,919,671.94</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9"/>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1,147.60</w:t>
            </w: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69,140.14</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-3,119,206.04</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6"/>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34,607,087.14</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73,942,018.59</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11,368,832.00</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6,667,652.65</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24,899,511.14</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4,936,571.00</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22,189,584.30</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2,297,013.86</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21,076,408.00</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75,673,100.24</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1,647,688.87</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9,630,549.49</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19,428,719.13</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66,042,550.75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231"/>
        <w:gridCol w:w="2668"/>
        <w:gridCol w:w="2660"/>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2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226"/>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0.03</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26"/>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0.03</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19,428,719.13</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66,042,550.75</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144"/>
        <w:jc w:val="left"/>
      </w:pPr>
      <w:r>
        <w:rPr/>
        <w:t>法定代表人：杨文江</w:t>
        <w:tab/>
      </w:r>
      <w:r>
        <w:rPr>
          <w:spacing w:val="-1"/>
        </w:rPr>
        <w:t>主管会计工作负责人：陈国军</w:t>
        <w:tab/>
      </w:r>
      <w:r>
        <w:rPr/>
        <w:t>会计机构负责人：陈国军</w:t>
      </w:r>
    </w:p>
    <w:p>
      <w:pPr>
        <w:spacing w:line="240" w:lineRule="auto" w:before="0"/>
        <w:rPr>
          <w:rFonts w:ascii="宋体" w:hAnsi="宋体" w:cs="宋体" w:eastAsia="宋体" w:hint="default"/>
          <w:sz w:val="18"/>
          <w:szCs w:val="18"/>
        </w:rPr>
      </w:pPr>
    </w:p>
    <w:p>
      <w:pPr>
        <w:pStyle w:val="Heading3"/>
        <w:spacing w:line="240" w:lineRule="auto" w:before="118"/>
        <w:ind w:right="144"/>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44"/>
        <w:jc w:val="left"/>
      </w:pPr>
      <w:r>
        <w:rPr/>
        <w:t>编制单位：广州御银科技股份有限公司</w:t>
      </w:r>
    </w:p>
    <w:p>
      <w:pPr>
        <w:pStyle w:val="BodyText"/>
        <w:spacing w:line="240" w:lineRule="auto" w:before="117"/>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081"/>
        <w:gridCol w:w="2243"/>
        <w:gridCol w:w="2235"/>
      </w:tblGrid>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884,957,953.60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644,531,464.93</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96"/>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243"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243"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96"/>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243"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243"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243"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243"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2243"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243"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243"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243"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19,632,714.21</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19,578,481.45</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63,334,556.35</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58,414,599.60</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967,925,224.16</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722,524,545.98</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457,719,043.72</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424,661,794.63</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243"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96"/>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243"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243"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243"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243"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96"/>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45,838,721.20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36,570,399.23</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80,795,788.57</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51,414,396.81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081"/>
        <w:gridCol w:w="2243"/>
        <w:gridCol w:w="2235"/>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154,553,623.11</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159,391,624.51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738,907,176.60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672,038,215.18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229,018,047.56</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50,486,330.80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9,200,848.79</w:t>
            </w: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9,089,739.04</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7,308.00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293,454.61</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243"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43"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18,584,042.44</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154,308.00</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157,501,574.77</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196,514,803.42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243"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243"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243"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243"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157,501,574.77</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221,514,803.42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-138,917,532.33</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-221,360,495.42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243"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243"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252,274,924.62</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473,691,340.00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243"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243"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252,274,924.62</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473,691,340.00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209,678,888.69</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350,195,610.00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21,626,221.82</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6,667,005.17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243"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243"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231,305,110.51</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356,862,615.17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20,969,814.11</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116,828,724.83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243"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111,070,329.34</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-54,045,439.79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170,868,135.82</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224,913,575.61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281,938,465.16</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170,868,135.82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3"/>
        <w:rPr>
          <w:rFonts w:ascii="Times New Roman" w:hAnsi="Times New Roman" w:cs="Times New Roman" w:eastAsia="Times New Roman" w:hint="default"/>
          <w:sz w:val="29"/>
          <w:szCs w:val="29"/>
        </w:rPr>
      </w:pPr>
    </w:p>
    <w:p>
      <w:pPr>
        <w:pStyle w:val="BodyText"/>
        <w:tabs>
          <w:tab w:pos="3578" w:val="left" w:leader="none"/>
          <w:tab w:pos="7721" w:val="left" w:leader="none"/>
        </w:tabs>
        <w:spacing w:line="240" w:lineRule="auto" w:before="44"/>
        <w:ind w:right="144"/>
        <w:jc w:val="left"/>
      </w:pPr>
      <w:r>
        <w:rPr/>
        <w:t>法定代表人：杨文江</w:t>
        <w:tab/>
      </w:r>
      <w:r>
        <w:rPr>
          <w:spacing w:val="-1"/>
        </w:rPr>
        <w:t>主管会计工作负责人：陈国军</w:t>
        <w:tab/>
      </w:r>
      <w:r>
        <w:rPr/>
        <w:t>会计机构负责人：陈国军</w:t>
      </w:r>
    </w:p>
    <w:p>
      <w:pPr>
        <w:spacing w:line="240" w:lineRule="auto" w:before="0"/>
        <w:rPr>
          <w:rFonts w:ascii="宋体" w:hAnsi="宋体" w:cs="宋体" w:eastAsia="宋体" w:hint="default"/>
          <w:sz w:val="18"/>
          <w:szCs w:val="18"/>
        </w:rPr>
      </w:pPr>
    </w:p>
    <w:p>
      <w:pPr>
        <w:pStyle w:val="Heading3"/>
        <w:spacing w:line="240" w:lineRule="auto" w:before="120"/>
        <w:ind w:right="144"/>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44"/>
        <w:jc w:val="left"/>
      </w:pPr>
      <w:r>
        <w:rPr/>
        <w:t>编制单位：广州御银科技股份有限公司</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077"/>
        <w:gridCol w:w="2247"/>
        <w:gridCol w:w="2235"/>
      </w:tblGrid>
      <w:tr>
        <w:trPr>
          <w:trHeight w:val="402" w:hRule="exact"/>
        </w:trPr>
        <w:tc>
          <w:tcPr>
            <w:tcW w:w="5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24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808,519,333.83</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583,774,280.88</w:t>
            </w:r>
          </w:p>
        </w:tc>
      </w:tr>
      <w:tr>
        <w:trPr>
          <w:trHeight w:val="402" w:hRule="exact"/>
        </w:trPr>
        <w:tc>
          <w:tcPr>
            <w:tcW w:w="5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24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6,505,022.45</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4,332,842.36</w:t>
            </w:r>
          </w:p>
        </w:tc>
      </w:tr>
      <w:tr>
        <w:trPr>
          <w:trHeight w:val="402" w:hRule="exact"/>
        </w:trPr>
        <w:tc>
          <w:tcPr>
            <w:tcW w:w="5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4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34,892,725.36</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63,392,840.81</w:t>
            </w:r>
          </w:p>
        </w:tc>
      </w:tr>
      <w:tr>
        <w:trPr>
          <w:trHeight w:val="403" w:hRule="exact"/>
        </w:trPr>
        <w:tc>
          <w:tcPr>
            <w:tcW w:w="5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4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849,917,081.64</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651,499,964.05</w:t>
            </w:r>
          </w:p>
        </w:tc>
      </w:tr>
      <w:tr>
        <w:trPr>
          <w:trHeight w:val="402" w:hRule="exact"/>
        </w:trPr>
        <w:tc>
          <w:tcPr>
            <w:tcW w:w="5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24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497,568,273.37</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399,125,820.96</w:t>
            </w:r>
          </w:p>
        </w:tc>
      </w:tr>
      <w:tr>
        <w:trPr>
          <w:trHeight w:val="402" w:hRule="exact"/>
        </w:trPr>
        <w:tc>
          <w:tcPr>
            <w:tcW w:w="5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24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40,109,810.00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32,140,507.49</w:t>
            </w:r>
          </w:p>
        </w:tc>
      </w:tr>
      <w:tr>
        <w:trPr>
          <w:trHeight w:val="402" w:hRule="exact"/>
        </w:trPr>
        <w:tc>
          <w:tcPr>
            <w:tcW w:w="5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24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38,561,099.85</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35,014,537.41</w:t>
            </w:r>
          </w:p>
        </w:tc>
      </w:tr>
      <w:tr>
        <w:trPr>
          <w:trHeight w:val="402" w:hRule="exact"/>
        </w:trPr>
        <w:tc>
          <w:tcPr>
            <w:tcW w:w="5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24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123,359,353.38</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98,318,625.15</w:t>
            </w:r>
          </w:p>
        </w:tc>
      </w:tr>
      <w:tr>
        <w:trPr>
          <w:trHeight w:val="402" w:hRule="exact"/>
        </w:trPr>
        <w:tc>
          <w:tcPr>
            <w:tcW w:w="5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4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699,598,536.60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564,599,491.01</w:t>
            </w:r>
          </w:p>
        </w:tc>
      </w:tr>
      <w:tr>
        <w:trPr>
          <w:trHeight w:val="402" w:hRule="exact"/>
        </w:trPr>
        <w:tc>
          <w:tcPr>
            <w:tcW w:w="5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4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150,318,545.04</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86,900,473.04</w:t>
            </w:r>
          </w:p>
        </w:tc>
      </w:tr>
      <w:tr>
        <w:trPr>
          <w:trHeight w:val="402" w:hRule="exact"/>
        </w:trPr>
        <w:tc>
          <w:tcPr>
            <w:tcW w:w="5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24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24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7,308.00</w:t>
            </w:r>
          </w:p>
        </w:tc>
      </w:tr>
      <w:tr>
        <w:trPr>
          <w:trHeight w:val="402" w:hRule="exact"/>
        </w:trPr>
        <w:tc>
          <w:tcPr>
            <w:tcW w:w="5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24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293,454.61</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147,000.00</w:t>
            </w:r>
          </w:p>
        </w:tc>
      </w:tr>
      <w:tr>
        <w:trPr>
          <w:trHeight w:val="402" w:hRule="exact"/>
        </w:trPr>
        <w:tc>
          <w:tcPr>
            <w:tcW w:w="5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247"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156,197.88</w:t>
            </w:r>
          </w:p>
        </w:tc>
      </w:tr>
      <w:tr>
        <w:trPr>
          <w:trHeight w:val="402" w:hRule="exact"/>
        </w:trPr>
        <w:tc>
          <w:tcPr>
            <w:tcW w:w="5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47"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4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3,305,634.61</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310,505.88</w:t>
            </w:r>
          </w:p>
        </w:tc>
      </w:tr>
      <w:tr>
        <w:trPr>
          <w:trHeight w:val="402" w:hRule="exact"/>
        </w:trPr>
        <w:tc>
          <w:tcPr>
            <w:tcW w:w="5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4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103,348,116.57</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157,382,771.20</w:t>
            </w:r>
          </w:p>
        </w:tc>
      </w:tr>
      <w:tr>
        <w:trPr>
          <w:trHeight w:val="402" w:hRule="exact"/>
        </w:trPr>
        <w:tc>
          <w:tcPr>
            <w:tcW w:w="5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247"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402" w:hRule="exact"/>
        </w:trPr>
        <w:tc>
          <w:tcPr>
            <w:tcW w:w="5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247"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247"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4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103,348,116.57</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202,382,771.20</w:t>
            </w:r>
          </w:p>
        </w:tc>
      </w:tr>
      <w:tr>
        <w:trPr>
          <w:trHeight w:val="403" w:hRule="exact"/>
        </w:trPr>
        <w:tc>
          <w:tcPr>
            <w:tcW w:w="5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4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-100,042,481.96</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-202,072,265.32</w:t>
            </w:r>
          </w:p>
        </w:tc>
      </w:tr>
      <w:tr>
        <w:trPr>
          <w:trHeight w:val="402" w:hRule="exact"/>
        </w:trPr>
        <w:tc>
          <w:tcPr>
            <w:tcW w:w="5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247"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24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192,934,180.73</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405,000,000.00</w:t>
            </w:r>
          </w:p>
        </w:tc>
      </w:tr>
      <w:tr>
        <w:trPr>
          <w:trHeight w:val="403" w:hRule="exact"/>
        </w:trPr>
        <w:tc>
          <w:tcPr>
            <w:tcW w:w="5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247" w:type="dxa"/>
            <w:tcBorders>
              <w:top w:val="single" w:sz="4" w:space="0" w:color="000000"/>
              <w:left w:val="single" w:sz="10" w:space="0" w:color="D2D2D2"/>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103"/>
        <w:gridCol w:w="2233"/>
        <w:gridCol w:w="2235"/>
      </w:tblGrid>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233"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192,934,180.73</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405,000,000.00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141,705,421.91</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350,195,610.00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20,446,803.49</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6,640,651.09</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233"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162,152,225.40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356,836,261.09</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30,781,955.33</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48,163,738.91</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233"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81,058,018.41</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-67,008,053.37</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133,075,480.88</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200,083,534.25</w:t>
            </w:r>
          </w:p>
        </w:tc>
      </w:tr>
      <w:tr>
        <w:trPr>
          <w:trHeight w:val="404"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214,133,499.29</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133,075,480.88</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144"/>
        <w:jc w:val="left"/>
      </w:pPr>
      <w:r>
        <w:rPr/>
        <w:t>法定代表人：杨文江</w:t>
        <w:tab/>
      </w:r>
      <w:r>
        <w:rPr>
          <w:spacing w:val="-1"/>
        </w:rPr>
        <w:t>主管会计工作负责人：陈国军</w:t>
        <w:tab/>
      </w:r>
      <w:r>
        <w:rPr/>
        <w:t>会计机构负责人：陈国军</w:t>
      </w:r>
    </w:p>
    <w:p>
      <w:pPr>
        <w:spacing w:line="240" w:lineRule="auto" w:before="0"/>
        <w:rPr>
          <w:rFonts w:ascii="宋体" w:hAnsi="宋体" w:cs="宋体" w:eastAsia="宋体" w:hint="default"/>
          <w:sz w:val="18"/>
          <w:szCs w:val="18"/>
        </w:rPr>
      </w:pPr>
    </w:p>
    <w:p>
      <w:pPr>
        <w:pStyle w:val="Heading3"/>
        <w:spacing w:line="240" w:lineRule="auto" w:before="118"/>
        <w:ind w:right="144"/>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360" w:lineRule="auto" w:before="44"/>
        <w:ind w:right="-20"/>
        <w:jc w:val="left"/>
      </w:pPr>
      <w:r>
        <w:rPr/>
        <w:t>编制单位：广州御银科技股份有限公司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3213" w:space="5707"/>
            <w:col w:w="103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15"/>
        <w:gridCol w:w="927"/>
        <w:gridCol w:w="775"/>
        <w:gridCol w:w="598"/>
        <w:gridCol w:w="538"/>
        <w:gridCol w:w="833"/>
        <w:gridCol w:w="684"/>
        <w:gridCol w:w="687"/>
        <w:gridCol w:w="686"/>
        <w:gridCol w:w="818"/>
        <w:gridCol w:w="893"/>
      </w:tblGrid>
      <w:tr>
        <w:trPr>
          <w:trHeight w:val="403" w:hRule="exact"/>
        </w:trPr>
        <w:tc>
          <w:tcPr>
            <w:tcW w:w="2115" w:type="dxa"/>
            <w:vMerge w:val="restart"/>
            <w:tcBorders>
              <w:top w:val="single" w:sz="4" w:space="0" w:color="000000"/>
              <w:left w:val="single" w:sz="4" w:space="0" w:color="000000"/>
              <w:right w:val="single" w:sz="4" w:space="0" w:color="000000"/>
            </w:tcBorders>
            <w:shd w:val="clear" w:color="auto" w:fill="D2D2D2"/>
          </w:tcPr>
          <w:p>
            <w:pPr/>
          </w:p>
        </w:tc>
        <w:tc>
          <w:tcPr>
            <w:tcW w:w="744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84" w:hRule="exact"/>
        </w:trPr>
        <w:tc>
          <w:tcPr>
            <w:tcW w:w="2115" w:type="dxa"/>
            <w:vMerge/>
            <w:tcBorders>
              <w:left w:val="single" w:sz="4" w:space="0" w:color="000000"/>
              <w:bottom w:val="nil" w:sz="6" w:space="0" w:color="auto"/>
              <w:right w:val="single" w:sz="4" w:space="0" w:color="000000"/>
            </w:tcBorders>
            <w:shd w:val="clear" w:color="auto" w:fill="D2D2D2"/>
          </w:tcPr>
          <w:p>
            <w:pPr/>
          </w:p>
        </w:tc>
        <w:tc>
          <w:tcPr>
            <w:tcW w:w="5728" w:type="dxa"/>
            <w:gridSpan w:val="8"/>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87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12" w:hRule="exact"/>
        </w:trPr>
        <w:tc>
          <w:tcPr>
            <w:tcW w:w="21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5728" w:type="dxa"/>
            <w:gridSpan w:val="8"/>
            <w:vMerge/>
            <w:tcBorders>
              <w:left w:val="single" w:sz="4" w:space="0" w:color="000000"/>
              <w:bottom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172" w:right="81"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61" w:hRule="exact"/>
        </w:trPr>
        <w:tc>
          <w:tcPr>
            <w:tcW w:w="2115" w:type="dxa"/>
            <w:vMerge/>
            <w:tcBorders>
              <w:left w:val="single" w:sz="4" w:space="0" w:color="000000"/>
              <w:bottom w:val="nil" w:sz="6" w:space="0" w:color="auto"/>
              <w:right w:val="single" w:sz="4" w:space="0" w:color="000000"/>
            </w:tcBorders>
            <w:shd w:val="clear" w:color="auto" w:fill="D2D2D2"/>
          </w:tcPr>
          <w:p>
            <w:pPr/>
          </w:p>
        </w:tc>
        <w:tc>
          <w:tcPr>
            <w:tcW w:w="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9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3" w:right="-7"/>
              <w:jc w:val="left"/>
              <w:rPr>
                <w:rFonts w:ascii="宋体" w:hAnsi="宋体" w:cs="宋体" w:eastAsia="宋体" w:hint="default"/>
                <w:sz w:val="18"/>
                <w:szCs w:val="18"/>
              </w:rPr>
            </w:pPr>
            <w:r>
              <w:rPr>
                <w:rFonts w:ascii="宋体" w:hAnsi="宋体" w:cs="宋体" w:eastAsia="宋体" w:hint="default"/>
                <w:sz w:val="18"/>
                <w:szCs w:val="18"/>
              </w:rPr>
              <w:t>（或股本）</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112" w:right="23"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5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83" w:right="82"/>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8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160"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72" w:hRule="exact"/>
        </w:trPr>
        <w:tc>
          <w:tcPr>
            <w:tcW w:w="2115" w:type="dxa"/>
            <w:vMerge w:val="restart"/>
            <w:tcBorders>
              <w:top w:val="nil" w:sz="6" w:space="0" w:color="auto"/>
              <w:left w:val="single" w:sz="4" w:space="0" w:color="000000"/>
              <w:right w:val="single" w:sz="4" w:space="0" w:color="000000"/>
            </w:tcBorders>
            <w:shd w:val="clear" w:color="auto" w:fill="D2D2D2"/>
          </w:tcPr>
          <w:p>
            <w:pPr/>
          </w:p>
        </w:tc>
        <w:tc>
          <w:tcPr>
            <w:tcW w:w="927" w:type="dxa"/>
            <w:vMerge/>
            <w:tcBorders>
              <w:left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资本公积</w:t>
            </w:r>
          </w:p>
        </w:tc>
        <w:tc>
          <w:tcPr>
            <w:tcW w:w="598" w:type="dxa"/>
            <w:vMerge/>
            <w:tcBorders>
              <w:left w:val="single" w:sz="4" w:space="0" w:color="000000"/>
              <w:right w:val="single" w:sz="4" w:space="0" w:color="000000"/>
            </w:tcBorders>
            <w:shd w:val="clear" w:color="auto" w:fill="D2D2D2"/>
          </w:tcPr>
          <w:p>
            <w:pPr/>
          </w:p>
        </w:tc>
        <w:tc>
          <w:tcPr>
            <w:tcW w:w="538" w:type="dxa"/>
            <w:vMerge/>
            <w:tcBorders>
              <w:left w:val="single" w:sz="4" w:space="0" w:color="000000"/>
              <w:right w:val="single" w:sz="4" w:space="0" w:color="000000"/>
            </w:tcBorders>
            <w:shd w:val="clear" w:color="auto" w:fill="D2D2D2"/>
          </w:tcPr>
          <w:p>
            <w:pPr/>
          </w:p>
        </w:tc>
        <w:tc>
          <w:tcPr>
            <w:tcW w:w="8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5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84"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172" w:hRule="exact"/>
        </w:trPr>
        <w:tc>
          <w:tcPr>
            <w:tcW w:w="2115" w:type="dxa"/>
            <w:vMerge/>
            <w:tcBorders>
              <w:left w:val="single" w:sz="4" w:space="0" w:color="000000"/>
              <w:bottom w:val="single" w:sz="4" w:space="0" w:color="000000"/>
              <w:right w:val="single" w:sz="4" w:space="0" w:color="000000"/>
            </w:tcBorders>
            <w:shd w:val="clear" w:color="auto" w:fill="D2D2D2"/>
          </w:tcPr>
          <w:p>
            <w:pPr/>
          </w:p>
        </w:tc>
        <w:tc>
          <w:tcPr>
            <w:tcW w:w="927"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598" w:type="dxa"/>
            <w:vMerge/>
            <w:tcBorders>
              <w:left w:val="single" w:sz="4" w:space="0" w:color="000000"/>
              <w:bottom w:val="single" w:sz="4" w:space="0" w:color="000000"/>
              <w:right w:val="single" w:sz="4" w:space="0" w:color="000000"/>
            </w:tcBorders>
            <w:shd w:val="clear" w:color="auto" w:fill="D2D2D2"/>
          </w:tcPr>
          <w:p>
            <w:pPr/>
          </w:p>
        </w:tc>
        <w:tc>
          <w:tcPr>
            <w:tcW w:w="538" w:type="dxa"/>
            <w:vMerge/>
            <w:tcBorders>
              <w:left w:val="single" w:sz="4" w:space="0" w:color="000000"/>
              <w:bottom w:val="single" w:sz="4" w:space="0" w:color="000000"/>
              <w:right w:val="single" w:sz="4" w:space="0" w:color="000000"/>
            </w:tcBorders>
            <w:shd w:val="clear" w:color="auto" w:fill="D2D2D2"/>
          </w:tcPr>
          <w:p>
            <w:pPr/>
          </w:p>
        </w:tc>
        <w:tc>
          <w:tcPr>
            <w:tcW w:w="8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9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115" w:type="dxa"/>
            <w:tcBorders>
              <w:top w:val="single" w:sz="4" w:space="0" w:color="000000"/>
              <w:left w:val="single" w:sz="4" w:space="0" w:color="000000"/>
              <w:bottom w:val="nil" w:sz="6" w:space="0" w:color="auto"/>
              <w:right w:val="single" w:sz="4" w:space="0" w:color="000000"/>
            </w:tcBorders>
            <w:shd w:val="clear" w:color="auto" w:fill="D2D2D2"/>
          </w:tcPr>
          <w:p>
            <w:pPr/>
          </w:p>
        </w:tc>
        <w:tc>
          <w:tcPr>
            <w:tcW w:w="927" w:type="dxa"/>
            <w:vMerge w:val="restart"/>
            <w:tcBorders>
              <w:top w:val="single" w:sz="4" w:space="0" w:color="000000"/>
              <w:left w:val="single" w:sz="10" w:space="0" w:color="D2D2D2"/>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344,430,45</w:t>
            </w:r>
          </w:p>
          <w:p>
            <w:pPr>
              <w:pStyle w:val="TableParagraph"/>
              <w:spacing w:line="240" w:lineRule="auto" w:before="105"/>
              <w:ind w:left="571" w:right="0"/>
              <w:jc w:val="left"/>
              <w:rPr>
                <w:rFonts w:ascii="Times New Roman" w:hAnsi="Times New Roman" w:cs="Times New Roman" w:eastAsia="Times New Roman" w:hint="default"/>
                <w:sz w:val="18"/>
                <w:szCs w:val="18"/>
              </w:rPr>
            </w:pPr>
            <w:r>
              <w:rPr>
                <w:rFonts w:ascii="Times New Roman"/>
                <w:sz w:val="18"/>
              </w:rPr>
              <w:t>0.00</w:t>
            </w:r>
          </w:p>
        </w:tc>
        <w:tc>
          <w:tcPr>
            <w:tcW w:w="775"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501,434,2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66.60</w:t>
            </w:r>
          </w:p>
        </w:tc>
        <w:tc>
          <w:tcPr>
            <w:tcW w:w="598" w:type="dxa"/>
            <w:vMerge w:val="restart"/>
            <w:tcBorders>
              <w:top w:val="single" w:sz="4" w:space="0" w:color="000000"/>
              <w:left w:val="single" w:sz="4" w:space="0" w:color="000000"/>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c>
          <w:tcPr>
            <w:tcW w:w="833"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33,831,57</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8.49</w:t>
            </w: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434,707,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969.26</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1,314,404,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264.35</w:t>
            </w:r>
          </w:p>
        </w:tc>
      </w:tr>
      <w:tr>
        <w:trPr>
          <w:trHeight w:val="391" w:hRule="exact"/>
        </w:trPr>
        <w:tc>
          <w:tcPr>
            <w:tcW w:w="21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927" w:type="dxa"/>
            <w:vMerge/>
            <w:tcBorders>
              <w:left w:val="single" w:sz="10" w:space="0" w:color="D2D2D2"/>
              <w:right w:val="single" w:sz="4" w:space="0" w:color="000000"/>
            </w:tcBorders>
          </w:tcPr>
          <w:p>
            <w:pPr/>
          </w:p>
        </w:tc>
        <w:tc>
          <w:tcPr>
            <w:tcW w:w="775" w:type="dxa"/>
            <w:vMerge/>
            <w:tcBorders>
              <w:left w:val="single" w:sz="4" w:space="0" w:color="000000"/>
              <w:right w:val="single" w:sz="4" w:space="0" w:color="000000"/>
            </w:tcBorders>
          </w:tcPr>
          <w:p>
            <w:pPr/>
          </w:p>
        </w:tc>
        <w:tc>
          <w:tcPr>
            <w:tcW w:w="598"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c>
          <w:tcPr>
            <w:tcW w:w="83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115" w:type="dxa"/>
            <w:tcBorders>
              <w:top w:val="nil" w:sz="6" w:space="0" w:color="auto"/>
              <w:left w:val="single" w:sz="4" w:space="0" w:color="000000"/>
              <w:bottom w:val="single" w:sz="4" w:space="0" w:color="000000"/>
              <w:right w:val="single" w:sz="4" w:space="0" w:color="000000"/>
            </w:tcBorders>
            <w:shd w:val="clear" w:color="auto" w:fill="D2D2D2"/>
          </w:tcPr>
          <w:p>
            <w:pPr/>
          </w:p>
        </w:tc>
        <w:tc>
          <w:tcPr>
            <w:tcW w:w="927" w:type="dxa"/>
            <w:vMerge/>
            <w:tcBorders>
              <w:left w:val="single" w:sz="10" w:space="0" w:color="D2D2D2"/>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598" w:type="dxa"/>
            <w:vMerge/>
            <w:tcBorders>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c>
          <w:tcPr>
            <w:tcW w:w="83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927" w:type="dxa"/>
            <w:tcBorders>
              <w:top w:val="single" w:sz="4" w:space="0" w:color="000000"/>
              <w:left w:val="single" w:sz="10" w:space="0" w:color="D2D2D2"/>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927" w:type="dxa"/>
            <w:tcBorders>
              <w:top w:val="single" w:sz="4" w:space="0" w:color="000000"/>
              <w:left w:val="single" w:sz="10" w:space="0" w:color="D2D2D2"/>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8"/>
              <w:jc w:val="center"/>
              <w:rPr>
                <w:rFonts w:ascii="宋体" w:hAnsi="宋体" w:cs="宋体" w:eastAsia="宋体" w:hint="default"/>
                <w:sz w:val="18"/>
                <w:szCs w:val="18"/>
              </w:rPr>
            </w:pPr>
            <w:r>
              <w:rPr>
                <w:rFonts w:ascii="宋体" w:hAnsi="宋体" w:cs="宋体" w:eastAsia="宋体" w:hint="default"/>
                <w:sz w:val="18"/>
                <w:szCs w:val="18"/>
              </w:rPr>
              <w:t>其他</w:t>
            </w:r>
          </w:p>
        </w:tc>
        <w:tc>
          <w:tcPr>
            <w:tcW w:w="927" w:type="dxa"/>
            <w:tcBorders>
              <w:top w:val="single" w:sz="4" w:space="0" w:color="000000"/>
              <w:left w:val="single" w:sz="10" w:space="0" w:color="D2D2D2"/>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115" w:type="dxa"/>
            <w:tcBorders>
              <w:top w:val="single" w:sz="4" w:space="0" w:color="000000"/>
              <w:left w:val="single" w:sz="4" w:space="0" w:color="000000"/>
              <w:bottom w:val="nil" w:sz="6" w:space="0" w:color="auto"/>
              <w:right w:val="single" w:sz="4" w:space="0" w:color="000000"/>
            </w:tcBorders>
            <w:shd w:val="clear" w:color="auto" w:fill="D2D2D2"/>
          </w:tcPr>
          <w:p>
            <w:pPr/>
          </w:p>
        </w:tc>
        <w:tc>
          <w:tcPr>
            <w:tcW w:w="927" w:type="dxa"/>
            <w:vMerge w:val="restart"/>
            <w:tcBorders>
              <w:top w:val="single" w:sz="4" w:space="0" w:color="000000"/>
              <w:left w:val="single" w:sz="10" w:space="0" w:color="D2D2D2"/>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344,430,45</w:t>
            </w:r>
          </w:p>
          <w:p>
            <w:pPr>
              <w:pStyle w:val="TableParagraph"/>
              <w:spacing w:line="240" w:lineRule="auto" w:before="105"/>
              <w:ind w:left="571" w:right="0"/>
              <w:jc w:val="left"/>
              <w:rPr>
                <w:rFonts w:ascii="Times New Roman" w:hAnsi="Times New Roman" w:cs="Times New Roman" w:eastAsia="Times New Roman" w:hint="default"/>
                <w:sz w:val="18"/>
                <w:szCs w:val="18"/>
              </w:rPr>
            </w:pPr>
            <w:r>
              <w:rPr>
                <w:rFonts w:ascii="Times New Roman"/>
                <w:sz w:val="18"/>
              </w:rPr>
              <w:t>0.00</w:t>
            </w:r>
          </w:p>
        </w:tc>
        <w:tc>
          <w:tcPr>
            <w:tcW w:w="775"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501,434,2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66.60</w:t>
            </w:r>
          </w:p>
        </w:tc>
        <w:tc>
          <w:tcPr>
            <w:tcW w:w="598" w:type="dxa"/>
            <w:vMerge w:val="restart"/>
            <w:tcBorders>
              <w:top w:val="single" w:sz="4" w:space="0" w:color="000000"/>
              <w:left w:val="single" w:sz="4" w:space="0" w:color="000000"/>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c>
          <w:tcPr>
            <w:tcW w:w="833"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33,831,57</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8.49</w:t>
            </w: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434,707,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969.26</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1,314,404,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264.35</w:t>
            </w:r>
          </w:p>
        </w:tc>
      </w:tr>
      <w:tr>
        <w:trPr>
          <w:trHeight w:val="391" w:hRule="exact"/>
        </w:trPr>
        <w:tc>
          <w:tcPr>
            <w:tcW w:w="21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927" w:type="dxa"/>
            <w:vMerge/>
            <w:tcBorders>
              <w:left w:val="single" w:sz="10" w:space="0" w:color="D2D2D2"/>
              <w:right w:val="single" w:sz="4" w:space="0" w:color="000000"/>
            </w:tcBorders>
          </w:tcPr>
          <w:p>
            <w:pPr/>
          </w:p>
        </w:tc>
        <w:tc>
          <w:tcPr>
            <w:tcW w:w="775" w:type="dxa"/>
            <w:vMerge/>
            <w:tcBorders>
              <w:left w:val="single" w:sz="4" w:space="0" w:color="000000"/>
              <w:right w:val="single" w:sz="4" w:space="0" w:color="000000"/>
            </w:tcBorders>
          </w:tcPr>
          <w:p>
            <w:pPr/>
          </w:p>
        </w:tc>
        <w:tc>
          <w:tcPr>
            <w:tcW w:w="598"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c>
          <w:tcPr>
            <w:tcW w:w="83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115" w:type="dxa"/>
            <w:tcBorders>
              <w:top w:val="nil" w:sz="6" w:space="0" w:color="auto"/>
              <w:left w:val="single" w:sz="4" w:space="0" w:color="000000"/>
              <w:bottom w:val="single" w:sz="4" w:space="0" w:color="000000"/>
              <w:right w:val="single" w:sz="4" w:space="0" w:color="000000"/>
            </w:tcBorders>
            <w:shd w:val="clear" w:color="auto" w:fill="D2D2D2"/>
          </w:tcPr>
          <w:p>
            <w:pPr/>
          </w:p>
        </w:tc>
        <w:tc>
          <w:tcPr>
            <w:tcW w:w="927" w:type="dxa"/>
            <w:vMerge/>
            <w:tcBorders>
              <w:left w:val="single" w:sz="10" w:space="0" w:color="D2D2D2"/>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598" w:type="dxa"/>
            <w:vMerge/>
            <w:tcBorders>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c>
          <w:tcPr>
            <w:tcW w:w="83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6"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22"/>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241,101,31</w:t>
            </w:r>
          </w:p>
          <w:p>
            <w:pPr>
              <w:pStyle w:val="TableParagraph"/>
              <w:spacing w:line="240" w:lineRule="auto" w:before="105"/>
              <w:ind w:left="571" w:right="0"/>
              <w:jc w:val="left"/>
              <w:rPr>
                <w:rFonts w:ascii="Times New Roman" w:hAnsi="Times New Roman" w:cs="Times New Roman" w:eastAsia="Times New Roman" w:hint="default"/>
                <w:sz w:val="18"/>
                <w:szCs w:val="18"/>
              </w:rPr>
            </w:pPr>
            <w:r>
              <w:rPr>
                <w:rFonts w:ascii="Times New Roman"/>
                <w:sz w:val="18"/>
              </w:rPr>
              <w:t>5.00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-286,257,</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563.99</w:t>
            </w: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1,942,871.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104,889,</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452.32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9,699.28</w:t>
            </w: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61,685,774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r>
      <w:tr>
        <w:trPr>
          <w:trHeight w:val="161" w:hRule="exact"/>
        </w:trPr>
        <w:tc>
          <w:tcPr>
            <w:tcW w:w="2115" w:type="dxa"/>
            <w:tcBorders>
              <w:top w:val="single" w:sz="4" w:space="0" w:color="000000"/>
              <w:left w:val="single" w:sz="4" w:space="0" w:color="000000"/>
              <w:bottom w:val="nil" w:sz="6" w:space="0" w:color="auto"/>
              <w:right w:val="single" w:sz="4" w:space="0" w:color="000000"/>
            </w:tcBorders>
            <w:shd w:val="clear" w:color="auto" w:fill="D2D2D2"/>
          </w:tcPr>
          <w:p>
            <w:pPr/>
          </w:p>
        </w:tc>
        <w:tc>
          <w:tcPr>
            <w:tcW w:w="927" w:type="dxa"/>
            <w:vMerge w:val="restart"/>
            <w:tcBorders>
              <w:top w:val="single" w:sz="4" w:space="0" w:color="000000"/>
              <w:left w:val="single" w:sz="10" w:space="0" w:color="D2D2D2"/>
              <w:right w:val="single" w:sz="4" w:space="0" w:color="000000"/>
            </w:tcBorders>
          </w:tcPr>
          <w:p>
            <w:pPr/>
          </w:p>
        </w:tc>
        <w:tc>
          <w:tcPr>
            <w:tcW w:w="775" w:type="dxa"/>
            <w:vMerge w:val="restart"/>
            <w:tcBorders>
              <w:top w:val="single" w:sz="4" w:space="0" w:color="000000"/>
              <w:left w:val="single" w:sz="4" w:space="0" w:color="000000"/>
              <w:right w:val="single" w:sz="4" w:space="0" w:color="000000"/>
            </w:tcBorders>
          </w:tcPr>
          <w:p>
            <w:pPr/>
          </w:p>
        </w:tc>
        <w:tc>
          <w:tcPr>
            <w:tcW w:w="598" w:type="dxa"/>
            <w:vMerge w:val="restart"/>
            <w:tcBorders>
              <w:top w:val="single" w:sz="4" w:space="0" w:color="000000"/>
              <w:left w:val="single" w:sz="4" w:space="0" w:color="000000"/>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c>
          <w:tcPr>
            <w:tcW w:w="83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124,053,</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846.73</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124,053,84</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6.73</w:t>
            </w:r>
          </w:p>
        </w:tc>
      </w:tr>
      <w:tr>
        <w:trPr>
          <w:trHeight w:val="391" w:hRule="exact"/>
        </w:trPr>
        <w:tc>
          <w:tcPr>
            <w:tcW w:w="21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927" w:type="dxa"/>
            <w:vMerge/>
            <w:tcBorders>
              <w:left w:val="single" w:sz="10" w:space="0" w:color="D2D2D2"/>
              <w:right w:val="single" w:sz="4" w:space="0" w:color="000000"/>
            </w:tcBorders>
          </w:tcPr>
          <w:p>
            <w:pPr/>
          </w:p>
        </w:tc>
        <w:tc>
          <w:tcPr>
            <w:tcW w:w="775" w:type="dxa"/>
            <w:vMerge/>
            <w:tcBorders>
              <w:left w:val="single" w:sz="4" w:space="0" w:color="000000"/>
              <w:right w:val="single" w:sz="4" w:space="0" w:color="000000"/>
            </w:tcBorders>
          </w:tcPr>
          <w:p>
            <w:pPr/>
          </w:p>
        </w:tc>
        <w:tc>
          <w:tcPr>
            <w:tcW w:w="598"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c>
          <w:tcPr>
            <w:tcW w:w="83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115" w:type="dxa"/>
            <w:tcBorders>
              <w:top w:val="nil" w:sz="6" w:space="0" w:color="auto"/>
              <w:left w:val="single" w:sz="4" w:space="0" w:color="000000"/>
              <w:bottom w:val="single" w:sz="4" w:space="0" w:color="000000"/>
              <w:right w:val="single" w:sz="4" w:space="0" w:color="000000"/>
            </w:tcBorders>
            <w:shd w:val="clear" w:color="auto" w:fill="D2D2D2"/>
          </w:tcPr>
          <w:p>
            <w:pPr/>
          </w:p>
        </w:tc>
        <w:tc>
          <w:tcPr>
            <w:tcW w:w="927" w:type="dxa"/>
            <w:vMerge/>
            <w:tcBorders>
              <w:left w:val="single" w:sz="10" w:space="0" w:color="D2D2D2"/>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598" w:type="dxa"/>
            <w:vMerge/>
            <w:tcBorders>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c>
          <w:tcPr>
            <w:tcW w:w="83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115" w:type="dxa"/>
            <w:tcBorders>
              <w:top w:val="single" w:sz="4" w:space="0" w:color="000000"/>
              <w:left w:val="single" w:sz="4" w:space="0" w:color="000000"/>
              <w:bottom w:val="nil" w:sz="6" w:space="0" w:color="auto"/>
              <w:right w:val="single" w:sz="4" w:space="0" w:color="000000"/>
            </w:tcBorders>
            <w:shd w:val="clear" w:color="auto" w:fill="D2D2D2"/>
          </w:tcPr>
          <w:p>
            <w:pPr/>
          </w:p>
        </w:tc>
        <w:tc>
          <w:tcPr>
            <w:tcW w:w="927" w:type="dxa"/>
            <w:vMerge w:val="restart"/>
            <w:tcBorders>
              <w:top w:val="single" w:sz="4" w:space="0" w:color="000000"/>
              <w:left w:val="single" w:sz="10" w:space="0" w:color="D2D2D2"/>
              <w:right w:val="single" w:sz="4" w:space="0" w:color="000000"/>
            </w:tcBorders>
          </w:tcPr>
          <w:p>
            <w:pPr/>
          </w:p>
        </w:tc>
        <w:tc>
          <w:tcPr>
            <w:tcW w:w="775" w:type="dxa"/>
            <w:vMerge w:val="restart"/>
            <w:tcBorders>
              <w:top w:val="single" w:sz="4" w:space="0" w:color="000000"/>
              <w:left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-47,969,5</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97.99</w:t>
            </w:r>
          </w:p>
        </w:tc>
        <w:tc>
          <w:tcPr>
            <w:tcW w:w="598" w:type="dxa"/>
            <w:vMerge w:val="restart"/>
            <w:tcBorders>
              <w:top w:val="single" w:sz="4" w:space="0" w:color="000000"/>
              <w:left w:val="single" w:sz="4" w:space="0" w:color="000000"/>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c>
          <w:tcPr>
            <w:tcW w:w="83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9,699.28</w:t>
            </w: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-47,959,89</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8.71</w:t>
            </w:r>
          </w:p>
        </w:tc>
      </w:tr>
      <w:tr>
        <w:trPr>
          <w:trHeight w:val="394" w:hRule="exact"/>
        </w:trPr>
        <w:tc>
          <w:tcPr>
            <w:tcW w:w="21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927" w:type="dxa"/>
            <w:vMerge/>
            <w:tcBorders>
              <w:left w:val="single" w:sz="10" w:space="0" w:color="D2D2D2"/>
              <w:right w:val="single" w:sz="4" w:space="0" w:color="000000"/>
            </w:tcBorders>
          </w:tcPr>
          <w:p>
            <w:pPr/>
          </w:p>
        </w:tc>
        <w:tc>
          <w:tcPr>
            <w:tcW w:w="775" w:type="dxa"/>
            <w:vMerge/>
            <w:tcBorders>
              <w:left w:val="single" w:sz="4" w:space="0" w:color="000000"/>
              <w:right w:val="single" w:sz="4" w:space="0" w:color="000000"/>
            </w:tcBorders>
          </w:tcPr>
          <w:p>
            <w:pPr/>
          </w:p>
        </w:tc>
        <w:tc>
          <w:tcPr>
            <w:tcW w:w="598"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c>
          <w:tcPr>
            <w:tcW w:w="83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115" w:type="dxa"/>
            <w:tcBorders>
              <w:top w:val="nil" w:sz="6" w:space="0" w:color="auto"/>
              <w:left w:val="single" w:sz="4" w:space="0" w:color="000000"/>
              <w:bottom w:val="single" w:sz="4" w:space="0" w:color="000000"/>
              <w:right w:val="single" w:sz="4" w:space="0" w:color="000000"/>
            </w:tcBorders>
            <w:shd w:val="clear" w:color="auto" w:fill="D2D2D2"/>
          </w:tcPr>
          <w:p>
            <w:pPr/>
          </w:p>
        </w:tc>
        <w:tc>
          <w:tcPr>
            <w:tcW w:w="927" w:type="dxa"/>
            <w:vMerge/>
            <w:tcBorders>
              <w:left w:val="single" w:sz="10" w:space="0" w:color="D2D2D2"/>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598" w:type="dxa"/>
            <w:vMerge/>
            <w:tcBorders>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c>
          <w:tcPr>
            <w:tcW w:w="83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927" w:type="dxa"/>
            <w:tcBorders>
              <w:top w:val="single" w:sz="4" w:space="0" w:color="000000"/>
              <w:left w:val="single" w:sz="10" w:space="0" w:color="D2D2D2"/>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-47,969,5</w:t>
            </w: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 w:right="0"/>
              <w:jc w:val="left"/>
              <w:rPr>
                <w:rFonts w:ascii="Times New Roman" w:hAnsi="Times New Roman" w:cs="Times New Roman" w:eastAsia="Times New Roman" w:hint="default"/>
                <w:sz w:val="18"/>
                <w:szCs w:val="18"/>
              </w:rPr>
            </w:pPr>
            <w:r>
              <w:rPr>
                <w:rFonts w:ascii="Times New Roman"/>
                <w:sz w:val="18"/>
              </w:rPr>
              <w:t>124,053,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9,699.28</w:t>
            </w: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 w:right="0"/>
              <w:jc w:val="left"/>
              <w:rPr>
                <w:rFonts w:ascii="Times New Roman" w:hAnsi="Times New Roman" w:cs="Times New Roman" w:eastAsia="Times New Roman" w:hint="default"/>
                <w:sz w:val="18"/>
                <w:szCs w:val="18"/>
              </w:rPr>
            </w:pPr>
            <w:r>
              <w:rPr>
                <w:rFonts w:ascii="Times New Roman"/>
                <w:sz w:val="18"/>
              </w:rPr>
              <w:t>76,093,948</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6"/>
        <w:gridCol w:w="927"/>
        <w:gridCol w:w="775"/>
        <w:gridCol w:w="598"/>
        <w:gridCol w:w="538"/>
        <w:gridCol w:w="833"/>
        <w:gridCol w:w="684"/>
        <w:gridCol w:w="687"/>
        <w:gridCol w:w="686"/>
        <w:gridCol w:w="818"/>
        <w:gridCol w:w="893"/>
      </w:tblGrid>
      <w:tr>
        <w:trPr>
          <w:trHeight w:val="362"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8" w:right="0"/>
              <w:jc w:val="left"/>
              <w:rPr>
                <w:rFonts w:ascii="Times New Roman" w:hAnsi="Times New Roman" w:cs="Times New Roman" w:eastAsia="Times New Roman" w:hint="default"/>
                <w:sz w:val="18"/>
                <w:szCs w:val="18"/>
              </w:rPr>
            </w:pPr>
            <w:r>
              <w:rPr>
                <w:rFonts w:ascii="Times New Roman"/>
                <w:sz w:val="18"/>
              </w:rPr>
              <w:t>97.99</w:t>
            </w: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3" w:right="0"/>
              <w:jc w:val="left"/>
              <w:rPr>
                <w:rFonts w:ascii="Times New Roman" w:hAnsi="Times New Roman" w:cs="Times New Roman" w:eastAsia="Times New Roman" w:hint="default"/>
                <w:sz w:val="18"/>
                <w:szCs w:val="18"/>
              </w:rPr>
            </w:pPr>
            <w:r>
              <w:rPr>
                <w:rFonts w:ascii="Times New Roman"/>
                <w:sz w:val="18"/>
              </w:rPr>
              <w:t>846.73</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.02</w:t>
            </w: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8"/>
                <w:sz w:val="18"/>
                <w:szCs w:val="18"/>
              </w:rPr>
              <w:t>（三）所有者投入和减少资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2,813,349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2,813,349.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 益的金额</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2,813,349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2,813,349.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1,942,871.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-19,164,</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394.41</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-17,221,52</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2.50</w:t>
            </w:r>
          </w:p>
        </w:tc>
      </w:tr>
      <w:tr>
        <w:trPr>
          <w:trHeight w:val="715"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1,942,871.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-1,942,8</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71.91</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 分配</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-17,221,</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522.50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-17,221,52</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2.50</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9"/>
                <w:sz w:val="18"/>
                <w:szCs w:val="18"/>
              </w:rPr>
              <w:t>）</w:t>
            </w:r>
            <w:r>
              <w:rPr>
                <w:rFonts w:ascii="宋体" w:hAnsi="宋体" w:cs="宋体" w:eastAsia="宋体" w:hint="default"/>
                <w:sz w:val="18"/>
                <w:szCs w:val="18"/>
              </w:rPr>
              <w:t>所有者权益内部结转</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241,101,31</w:t>
            </w:r>
          </w:p>
          <w:p>
            <w:pPr>
              <w:pStyle w:val="TableParagraph"/>
              <w:spacing w:line="240" w:lineRule="auto" w:before="105"/>
              <w:ind w:left="578" w:right="0"/>
              <w:jc w:val="left"/>
              <w:rPr>
                <w:rFonts w:ascii="Times New Roman" w:hAnsi="Times New Roman" w:cs="Times New Roman" w:eastAsia="Times New Roman" w:hint="default"/>
                <w:sz w:val="18"/>
                <w:szCs w:val="18"/>
              </w:rPr>
            </w:pPr>
            <w:r>
              <w:rPr>
                <w:rFonts w:ascii="Times New Roman"/>
                <w:sz w:val="18"/>
              </w:rPr>
              <w:t>5.00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-241,101,</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315.00</w:t>
            </w: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 股本）</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241,101,31</w:t>
            </w:r>
          </w:p>
          <w:p>
            <w:pPr>
              <w:pStyle w:val="TableParagraph"/>
              <w:spacing w:line="240" w:lineRule="auto" w:before="105"/>
              <w:ind w:left="578" w:right="0"/>
              <w:jc w:val="left"/>
              <w:rPr>
                <w:rFonts w:ascii="Times New Roman" w:hAnsi="Times New Roman" w:cs="Times New Roman" w:eastAsia="Times New Roman" w:hint="default"/>
                <w:sz w:val="18"/>
                <w:szCs w:val="18"/>
              </w:rPr>
            </w:pPr>
            <w:r>
              <w:rPr>
                <w:rFonts w:ascii="Times New Roman"/>
                <w:sz w:val="18"/>
              </w:rPr>
              <w:t>5.00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-241,101,</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315.00</w:t>
            </w: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 股本）</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585,531,76</w:t>
            </w:r>
          </w:p>
          <w:p>
            <w:pPr>
              <w:pStyle w:val="TableParagraph"/>
              <w:spacing w:line="240" w:lineRule="auto" w:before="105"/>
              <w:ind w:left="578" w:right="0"/>
              <w:jc w:val="left"/>
              <w:rPr>
                <w:rFonts w:ascii="Times New Roman" w:hAnsi="Times New Roman" w:cs="Times New Roman" w:eastAsia="Times New Roman" w:hint="default"/>
                <w:sz w:val="18"/>
                <w:szCs w:val="18"/>
              </w:rPr>
            </w:pPr>
            <w:r>
              <w:rPr>
                <w:rFonts w:ascii="Times New Roman"/>
                <w:sz w:val="18"/>
              </w:rPr>
              <w:t>5.00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215,176,7</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02.61</w:t>
            </w: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35,774,45</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0.40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539,597,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421.58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9,699.28</w:t>
            </w: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1,376,090,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038.87</w:t>
            </w:r>
          </w:p>
        </w:tc>
      </w:tr>
    </w:tbl>
    <w:p>
      <w:pPr>
        <w:pStyle w:val="BodyText"/>
        <w:spacing w:line="240" w:lineRule="auto" w:before="49"/>
        <w:ind w:right="144"/>
        <w:jc w:val="left"/>
      </w:pPr>
      <w:r>
        <w:rPr/>
        <w:t>上年金额</w:t>
      </w:r>
    </w:p>
    <w:p>
      <w:pPr>
        <w:pStyle w:val="BodyText"/>
        <w:spacing w:line="240" w:lineRule="auto" w:before="117"/>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8"/>
        <w:gridCol w:w="915"/>
        <w:gridCol w:w="775"/>
        <w:gridCol w:w="598"/>
        <w:gridCol w:w="538"/>
        <w:gridCol w:w="833"/>
        <w:gridCol w:w="684"/>
        <w:gridCol w:w="687"/>
        <w:gridCol w:w="686"/>
        <w:gridCol w:w="818"/>
        <w:gridCol w:w="893"/>
      </w:tblGrid>
      <w:tr>
        <w:trPr>
          <w:trHeight w:val="403" w:hRule="exact"/>
        </w:trPr>
        <w:tc>
          <w:tcPr>
            <w:tcW w:w="2138" w:type="dxa"/>
            <w:vMerge w:val="restart"/>
            <w:tcBorders>
              <w:top w:val="single" w:sz="4" w:space="0" w:color="000000"/>
              <w:left w:val="single" w:sz="4" w:space="0" w:color="000000"/>
              <w:right w:val="single" w:sz="4" w:space="0" w:color="000000"/>
            </w:tcBorders>
            <w:shd w:val="clear" w:color="auto" w:fill="D2D2D2"/>
          </w:tcPr>
          <w:p>
            <w:pPr/>
          </w:p>
        </w:tc>
        <w:tc>
          <w:tcPr>
            <w:tcW w:w="7428"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84" w:hRule="exact"/>
        </w:trPr>
        <w:tc>
          <w:tcPr>
            <w:tcW w:w="2138" w:type="dxa"/>
            <w:vMerge/>
            <w:tcBorders>
              <w:left w:val="single" w:sz="4" w:space="0" w:color="000000"/>
              <w:bottom w:val="nil" w:sz="6" w:space="0" w:color="auto"/>
              <w:right w:val="single" w:sz="4" w:space="0" w:color="000000"/>
            </w:tcBorders>
            <w:shd w:val="clear" w:color="auto" w:fill="D2D2D2"/>
          </w:tcPr>
          <w:p>
            <w:pPr/>
          </w:p>
        </w:tc>
        <w:tc>
          <w:tcPr>
            <w:tcW w:w="5716" w:type="dxa"/>
            <w:gridSpan w:val="8"/>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858"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18" w:hRule="exact"/>
        </w:trPr>
        <w:tc>
          <w:tcPr>
            <w:tcW w:w="21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6" w:type="dxa"/>
            <w:gridSpan w:val="8"/>
            <w:vMerge/>
            <w:tcBorders>
              <w:left w:val="single" w:sz="4" w:space="0" w:color="000000"/>
              <w:bottom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172" w:right="81"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6" w:hRule="exact"/>
        </w:trPr>
        <w:tc>
          <w:tcPr>
            <w:tcW w:w="2138" w:type="dxa"/>
            <w:vMerge/>
            <w:tcBorders>
              <w:left w:val="single" w:sz="4" w:space="0" w:color="000000"/>
              <w:bottom w:val="nil" w:sz="6" w:space="0" w:color="auto"/>
              <w:right w:val="single" w:sz="4" w:space="0" w:color="000000"/>
            </w:tcBorders>
            <w:shd w:val="clear" w:color="auto" w:fill="D2D2D2"/>
          </w:tcPr>
          <w:p>
            <w:pPr/>
          </w:p>
        </w:tc>
        <w:tc>
          <w:tcPr>
            <w:tcW w:w="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8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11" w:right="-7"/>
              <w:jc w:val="left"/>
              <w:rPr>
                <w:rFonts w:ascii="宋体" w:hAnsi="宋体" w:cs="宋体" w:eastAsia="宋体" w:hint="default"/>
                <w:sz w:val="18"/>
                <w:szCs w:val="18"/>
              </w:rPr>
            </w:pPr>
            <w:r>
              <w:rPr>
                <w:rFonts w:ascii="宋体" w:hAnsi="宋体" w:cs="宋体" w:eastAsia="宋体" w:hint="default"/>
                <w:sz w:val="18"/>
                <w:szCs w:val="18"/>
              </w:rPr>
              <w:t>（或股本）</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12" w:right="23"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53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83" w:right="82"/>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8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60"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70" w:hRule="exact"/>
        </w:trPr>
        <w:tc>
          <w:tcPr>
            <w:tcW w:w="2138" w:type="dxa"/>
            <w:vMerge w:val="restart"/>
            <w:tcBorders>
              <w:top w:val="nil" w:sz="6" w:space="0" w:color="auto"/>
              <w:left w:val="single" w:sz="4" w:space="0" w:color="000000"/>
              <w:right w:val="single" w:sz="4" w:space="0" w:color="000000"/>
            </w:tcBorders>
            <w:shd w:val="clear" w:color="auto" w:fill="D2D2D2"/>
          </w:tcPr>
          <w:p>
            <w:pPr/>
          </w:p>
        </w:tc>
        <w:tc>
          <w:tcPr>
            <w:tcW w:w="915" w:type="dxa"/>
            <w:vMerge/>
            <w:tcBorders>
              <w:left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98" w:type="dxa"/>
            <w:vMerge/>
            <w:tcBorders>
              <w:left w:val="single" w:sz="4" w:space="0" w:color="000000"/>
              <w:right w:val="single" w:sz="4" w:space="0" w:color="000000"/>
            </w:tcBorders>
            <w:shd w:val="clear" w:color="auto" w:fill="D2D2D2"/>
          </w:tcPr>
          <w:p>
            <w:pPr/>
          </w:p>
        </w:tc>
        <w:tc>
          <w:tcPr>
            <w:tcW w:w="538" w:type="dxa"/>
            <w:vMerge/>
            <w:tcBorders>
              <w:left w:val="single" w:sz="4" w:space="0" w:color="000000"/>
              <w:right w:val="single" w:sz="4" w:space="0" w:color="000000"/>
            </w:tcBorders>
            <w:shd w:val="clear" w:color="auto" w:fill="D2D2D2"/>
          </w:tcPr>
          <w:p>
            <w:pPr/>
          </w:p>
        </w:tc>
        <w:tc>
          <w:tcPr>
            <w:tcW w:w="8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5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84"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172" w:hRule="exact"/>
        </w:trPr>
        <w:tc>
          <w:tcPr>
            <w:tcW w:w="2138" w:type="dxa"/>
            <w:vMerge/>
            <w:tcBorders>
              <w:left w:val="single" w:sz="4" w:space="0" w:color="000000"/>
              <w:bottom w:val="single" w:sz="4" w:space="0" w:color="000000"/>
              <w:right w:val="single" w:sz="4" w:space="0" w:color="000000"/>
            </w:tcBorders>
            <w:shd w:val="clear" w:color="auto" w:fill="D2D2D2"/>
          </w:tcPr>
          <w:p>
            <w:pPr/>
          </w:p>
        </w:tc>
        <w:tc>
          <w:tcPr>
            <w:tcW w:w="915"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598" w:type="dxa"/>
            <w:vMerge/>
            <w:tcBorders>
              <w:left w:val="single" w:sz="4" w:space="0" w:color="000000"/>
              <w:bottom w:val="single" w:sz="4" w:space="0" w:color="000000"/>
              <w:right w:val="single" w:sz="4" w:space="0" w:color="000000"/>
            </w:tcBorders>
            <w:shd w:val="clear" w:color="auto" w:fill="D2D2D2"/>
          </w:tcPr>
          <w:p>
            <w:pPr/>
          </w:p>
        </w:tc>
        <w:tc>
          <w:tcPr>
            <w:tcW w:w="538" w:type="dxa"/>
            <w:vMerge/>
            <w:tcBorders>
              <w:left w:val="single" w:sz="4" w:space="0" w:color="000000"/>
              <w:bottom w:val="single" w:sz="4" w:space="0" w:color="000000"/>
              <w:right w:val="single" w:sz="4" w:space="0" w:color="000000"/>
            </w:tcBorders>
            <w:shd w:val="clear" w:color="auto" w:fill="D2D2D2"/>
          </w:tcPr>
          <w:p>
            <w:pPr/>
          </w:p>
        </w:tc>
        <w:tc>
          <w:tcPr>
            <w:tcW w:w="8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9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138" w:type="dxa"/>
            <w:tcBorders>
              <w:top w:val="single" w:sz="4" w:space="0" w:color="000000"/>
              <w:left w:val="single" w:sz="4" w:space="0" w:color="000000"/>
              <w:bottom w:val="nil" w:sz="6" w:space="0" w:color="auto"/>
              <w:right w:val="single" w:sz="4" w:space="0" w:color="000000"/>
            </w:tcBorders>
            <w:shd w:val="clear" w:color="auto" w:fill="D2D2D2"/>
          </w:tcPr>
          <w:p>
            <w:pPr/>
          </w:p>
        </w:tc>
        <w:tc>
          <w:tcPr>
            <w:tcW w:w="915" w:type="dxa"/>
            <w:vMerge w:val="restart"/>
            <w:tcBorders>
              <w:top w:val="single" w:sz="4" w:space="0" w:color="000000"/>
              <w:left w:val="single" w:sz="10" w:space="0" w:color="D2D2D2"/>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264,946,50</w:t>
            </w:r>
          </w:p>
          <w:p>
            <w:pPr>
              <w:pStyle w:val="TableParagraph"/>
              <w:spacing w:line="240" w:lineRule="auto" w:before="105"/>
              <w:ind w:left="559" w:right="0"/>
              <w:jc w:val="left"/>
              <w:rPr>
                <w:rFonts w:ascii="Times New Roman" w:hAnsi="Times New Roman" w:cs="Times New Roman" w:eastAsia="Times New Roman" w:hint="default"/>
                <w:sz w:val="18"/>
                <w:szCs w:val="18"/>
              </w:rPr>
            </w:pPr>
            <w:r>
              <w:rPr>
                <w:rFonts w:ascii="Times New Roman"/>
                <w:sz w:val="18"/>
              </w:rPr>
              <w:t>0.00</w:t>
            </w:r>
          </w:p>
        </w:tc>
        <w:tc>
          <w:tcPr>
            <w:tcW w:w="775"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686,099,4</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08.17</w:t>
            </w:r>
          </w:p>
        </w:tc>
        <w:tc>
          <w:tcPr>
            <w:tcW w:w="598" w:type="dxa"/>
            <w:vMerge w:val="restart"/>
            <w:tcBorders>
              <w:top w:val="single" w:sz="4" w:space="0" w:color="000000"/>
              <w:left w:val="single" w:sz="4" w:space="0" w:color="000000"/>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c>
          <w:tcPr>
            <w:tcW w:w="833"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27,227,32</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3.41</w:t>
            </w:r>
          </w:p>
        </w:tc>
        <w:tc>
          <w:tcPr>
            <w:tcW w:w="684"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262,502,</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641.33</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1,240,775,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872.91</w:t>
            </w:r>
          </w:p>
        </w:tc>
      </w:tr>
      <w:tr>
        <w:trPr>
          <w:trHeight w:val="391" w:hRule="exact"/>
        </w:trPr>
        <w:tc>
          <w:tcPr>
            <w:tcW w:w="21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915" w:type="dxa"/>
            <w:vMerge/>
            <w:tcBorders>
              <w:left w:val="single" w:sz="10" w:space="0" w:color="D2D2D2"/>
              <w:right w:val="single" w:sz="4" w:space="0" w:color="000000"/>
            </w:tcBorders>
          </w:tcPr>
          <w:p>
            <w:pPr/>
          </w:p>
        </w:tc>
        <w:tc>
          <w:tcPr>
            <w:tcW w:w="775" w:type="dxa"/>
            <w:vMerge/>
            <w:tcBorders>
              <w:left w:val="single" w:sz="4" w:space="0" w:color="000000"/>
              <w:right w:val="single" w:sz="4" w:space="0" w:color="000000"/>
            </w:tcBorders>
          </w:tcPr>
          <w:p>
            <w:pPr/>
          </w:p>
        </w:tc>
        <w:tc>
          <w:tcPr>
            <w:tcW w:w="598"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c>
          <w:tcPr>
            <w:tcW w:w="83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3" w:hRule="exact"/>
        </w:trPr>
        <w:tc>
          <w:tcPr>
            <w:tcW w:w="2138" w:type="dxa"/>
            <w:tcBorders>
              <w:top w:val="nil" w:sz="6" w:space="0" w:color="auto"/>
              <w:left w:val="single" w:sz="4" w:space="0" w:color="000000"/>
              <w:bottom w:val="single" w:sz="4" w:space="0" w:color="000000"/>
              <w:right w:val="single" w:sz="4" w:space="0" w:color="000000"/>
            </w:tcBorders>
            <w:shd w:val="clear" w:color="auto" w:fill="D2D2D2"/>
          </w:tcPr>
          <w:p>
            <w:pPr/>
          </w:p>
        </w:tc>
        <w:tc>
          <w:tcPr>
            <w:tcW w:w="915" w:type="dxa"/>
            <w:vMerge/>
            <w:tcBorders>
              <w:left w:val="single" w:sz="10" w:space="0" w:color="D2D2D2"/>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598" w:type="dxa"/>
            <w:vMerge/>
            <w:tcBorders>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c>
          <w:tcPr>
            <w:tcW w:w="83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26"/>
        <w:gridCol w:w="927"/>
        <w:gridCol w:w="775"/>
        <w:gridCol w:w="598"/>
        <w:gridCol w:w="538"/>
        <w:gridCol w:w="833"/>
        <w:gridCol w:w="684"/>
        <w:gridCol w:w="687"/>
        <w:gridCol w:w="686"/>
        <w:gridCol w:w="818"/>
        <w:gridCol w:w="893"/>
      </w:tblGrid>
      <w:tr>
        <w:trPr>
          <w:trHeight w:val="71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 w:firstLine="360"/>
              <w:jc w:val="left"/>
              <w:rPr>
                <w:rFonts w:ascii="宋体" w:hAnsi="宋体" w:cs="宋体" w:eastAsia="宋体" w:hint="default"/>
                <w:sz w:val="18"/>
                <w:szCs w:val="18"/>
              </w:rPr>
            </w:pPr>
            <w:r>
              <w:rPr>
                <w:rFonts w:ascii="宋体" w:hAnsi="宋体" w:cs="宋体" w:eastAsia="宋体" w:hint="default"/>
                <w:spacing w:val="-9"/>
                <w:sz w:val="18"/>
                <w:szCs w:val="18"/>
              </w:rPr>
              <w:t>加：同一控制下企业合</w:t>
            </w:r>
            <w:r>
              <w:rPr>
                <w:rFonts w:ascii="宋体" w:hAnsi="宋体" w:cs="宋体" w:eastAsia="宋体" w:hint="default"/>
                <w:sz w:val="18"/>
                <w:szCs w:val="18"/>
              </w:rPr>
              <w:t> 并产生的追溯调整</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7"/>
              <w:jc w:val="center"/>
              <w:rPr>
                <w:rFonts w:ascii="宋体" w:hAnsi="宋体" w:cs="宋体" w:eastAsia="宋体" w:hint="default"/>
                <w:sz w:val="18"/>
                <w:szCs w:val="18"/>
              </w:rPr>
            </w:pPr>
            <w:r>
              <w:rPr>
                <w:rFonts w:ascii="宋体" w:hAnsi="宋体" w:cs="宋体" w:eastAsia="宋体" w:hint="default"/>
                <w:sz w:val="18"/>
                <w:szCs w:val="18"/>
              </w:rPr>
              <w:t>其他</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264,946,50</w:t>
            </w:r>
          </w:p>
          <w:p>
            <w:pPr>
              <w:pStyle w:val="TableParagraph"/>
              <w:spacing w:line="240" w:lineRule="auto" w:before="105"/>
              <w:ind w:left="578" w:right="0"/>
              <w:jc w:val="lef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686,099,4</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08.17</w:t>
            </w: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27,227,32</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3.41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262,502,</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641.33</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1,240,775,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872.91</w:t>
            </w:r>
          </w:p>
        </w:tc>
      </w:tr>
      <w:tr>
        <w:trPr>
          <w:trHeight w:val="715"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79,483,950.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center"/>
              <w:rPr>
                <w:rFonts w:ascii="Times New Roman" w:hAnsi="Times New Roman" w:cs="Times New Roman" w:eastAsia="Times New Roman" w:hint="default"/>
                <w:sz w:val="18"/>
                <w:szCs w:val="18"/>
              </w:rPr>
            </w:pPr>
            <w:r>
              <w:rPr>
                <w:rFonts w:ascii="Times New Roman"/>
                <w:sz w:val="18"/>
              </w:rPr>
              <w:t>-184,665,</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141.57</w:t>
            </w: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6,604,255.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172,205,</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327.93</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73,628,391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.44</w:t>
            </w: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178,809,</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583.01</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178,809,58</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3.01</w:t>
            </w:r>
          </w:p>
        </w:tc>
      </w:tr>
      <w:tr>
        <w:trPr>
          <w:trHeight w:val="716"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4" w:right="0"/>
              <w:jc w:val="center"/>
              <w:rPr>
                <w:rFonts w:ascii="Times New Roman" w:hAnsi="Times New Roman" w:cs="Times New Roman" w:eastAsia="Times New Roman" w:hint="default"/>
                <w:sz w:val="18"/>
                <w:szCs w:val="18"/>
              </w:rPr>
            </w:pPr>
            <w:r>
              <w:rPr>
                <w:rFonts w:ascii="Times New Roman"/>
                <w:sz w:val="18"/>
              </w:rPr>
              <w:t>-107,713,</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721.68</w:t>
            </w: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1" w:right="0"/>
              <w:jc w:val="left"/>
              <w:rPr>
                <w:rFonts w:ascii="Times New Roman" w:hAnsi="Times New Roman" w:cs="Times New Roman" w:eastAsia="Times New Roman" w:hint="default"/>
                <w:sz w:val="18"/>
                <w:szCs w:val="18"/>
              </w:rPr>
            </w:pPr>
            <w:r>
              <w:rPr>
                <w:rFonts w:ascii="Times New Roman"/>
                <w:sz w:val="18"/>
              </w:rPr>
              <w:t>-107,713,7</w:t>
            </w:r>
          </w:p>
          <w:p>
            <w:pPr>
              <w:pStyle w:val="TableParagraph"/>
              <w:spacing w:line="240" w:lineRule="auto" w:before="102"/>
              <w:ind w:left="455" w:right="0"/>
              <w:jc w:val="left"/>
              <w:rPr>
                <w:rFonts w:ascii="Times New Roman" w:hAnsi="Times New Roman" w:cs="Times New Roman" w:eastAsia="Times New Roman" w:hint="default"/>
                <w:sz w:val="18"/>
                <w:szCs w:val="18"/>
              </w:rPr>
            </w:pPr>
            <w:r>
              <w:rPr>
                <w:rFonts w:ascii="Times New Roman"/>
                <w:sz w:val="18"/>
              </w:rPr>
              <w:t>21.68</w:t>
            </w: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-107,713,</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721.68</w:t>
            </w: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178,809,</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583.01</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71,095,861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r>
      <w:tr>
        <w:trPr>
          <w:trHeight w:val="715"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8"/>
                <w:sz w:val="18"/>
                <w:szCs w:val="18"/>
              </w:rPr>
              <w:t>（三）所有者投入和减少资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2,532,530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2"/>
                <w:w w:val="95"/>
                <w:sz w:val="18"/>
              </w:rPr>
              <w:t>.11</w:t>
            </w: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2,532,530.</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 益的金额</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2,532,530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2"/>
                <w:w w:val="95"/>
                <w:sz w:val="18"/>
              </w:rPr>
              <w:t>.11</w:t>
            </w: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2,532,530.</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6,604,255.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8" w:right="0"/>
              <w:jc w:val="center"/>
              <w:rPr>
                <w:rFonts w:ascii="Times New Roman" w:hAnsi="Times New Roman" w:cs="Times New Roman" w:eastAsia="Times New Roman" w:hint="default"/>
                <w:sz w:val="18"/>
                <w:szCs w:val="18"/>
              </w:rPr>
            </w:pPr>
            <w:r>
              <w:rPr>
                <w:rFonts w:ascii="Times New Roman"/>
                <w:sz w:val="18"/>
              </w:rPr>
              <w:t>-6,604,2</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55.08</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6,604,255.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-6,604,2</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55.08</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 分配</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9"/>
                <w:sz w:val="18"/>
                <w:szCs w:val="18"/>
              </w:rPr>
              <w:t>）</w:t>
            </w:r>
            <w:r>
              <w:rPr>
                <w:rFonts w:ascii="宋体" w:hAnsi="宋体" w:cs="宋体" w:eastAsia="宋体" w:hint="default"/>
                <w:sz w:val="18"/>
                <w:szCs w:val="18"/>
              </w:rPr>
              <w:t>所有者权益内部结转</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79,483,950.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-79,483,9</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50.00</w:t>
            </w: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 股本）</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79,483,950.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5" w:right="0"/>
              <w:jc w:val="left"/>
              <w:rPr>
                <w:rFonts w:ascii="Times New Roman" w:hAnsi="Times New Roman" w:cs="Times New Roman" w:eastAsia="Times New Roman" w:hint="default"/>
                <w:sz w:val="18"/>
                <w:szCs w:val="18"/>
              </w:rPr>
            </w:pPr>
            <w:r>
              <w:rPr>
                <w:rFonts w:ascii="Times New Roman"/>
                <w:sz w:val="18"/>
              </w:rPr>
              <w:t>-79,483,9</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50.00</w:t>
            </w: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 股本）</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389" w:type="dxa"/>
        <w:tblLayout w:type="fixed"/>
        <w:tblCellMar>
          <w:top w:w="0" w:type="dxa"/>
          <w:left w:w="0" w:type="dxa"/>
          <w:bottom w:w="0" w:type="dxa"/>
          <w:right w:w="0" w:type="dxa"/>
        </w:tblCellMar>
        <w:tblLook w:val="01E0"/>
      </w:tblPr>
      <w:tblGrid>
        <w:gridCol w:w="2126"/>
        <w:gridCol w:w="927"/>
        <w:gridCol w:w="775"/>
        <w:gridCol w:w="598"/>
        <w:gridCol w:w="538"/>
        <w:gridCol w:w="833"/>
        <w:gridCol w:w="684"/>
        <w:gridCol w:w="687"/>
        <w:gridCol w:w="686"/>
        <w:gridCol w:w="818"/>
        <w:gridCol w:w="893"/>
      </w:tblGrid>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92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344,430,45</w:t>
            </w:r>
          </w:p>
          <w:p>
            <w:pPr>
              <w:pStyle w:val="TableParagraph"/>
              <w:spacing w:line="240" w:lineRule="auto" w:before="105"/>
              <w:ind w:left="578" w:right="0"/>
              <w:jc w:val="lef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501,434,2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66.60</w:t>
            </w:r>
          </w:p>
        </w:tc>
        <w:tc>
          <w:tcPr>
            <w:tcW w:w="59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33,831,57</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8.49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434,707,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969.26</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1,314,404,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264.35</w:t>
            </w:r>
          </w:p>
        </w:tc>
      </w:tr>
    </w:tbl>
    <w:p>
      <w:pPr>
        <w:spacing w:line="240" w:lineRule="auto" w:before="11"/>
        <w:rPr>
          <w:rFonts w:ascii="Times New Roman" w:hAnsi="Times New Roman" w:cs="Times New Roman" w:eastAsia="Times New Roman" w:hint="default"/>
          <w:sz w:val="22"/>
          <w:szCs w:val="22"/>
        </w:rPr>
      </w:pPr>
    </w:p>
    <w:p>
      <w:pPr>
        <w:pStyle w:val="BodyText"/>
        <w:tabs>
          <w:tab w:pos="3818" w:val="left" w:leader="none"/>
          <w:tab w:pos="7961" w:val="left" w:leader="none"/>
        </w:tabs>
        <w:spacing w:line="240" w:lineRule="auto" w:before="44"/>
        <w:ind w:left="392" w:right="0"/>
        <w:jc w:val="left"/>
      </w:pPr>
      <w:r>
        <w:rPr/>
        <w:t>法定代表人：杨文江</w:t>
        <w:tab/>
      </w:r>
      <w:r>
        <w:rPr>
          <w:spacing w:val="-1"/>
        </w:rPr>
        <w:t>主管会计工作负责人：陈国军</w:t>
        <w:tab/>
      </w:r>
      <w:r>
        <w:rPr/>
        <w:t>会计机构负责人：陈国军</w:t>
      </w:r>
    </w:p>
    <w:p>
      <w:pPr>
        <w:spacing w:line="240" w:lineRule="auto" w:before="0"/>
        <w:rPr>
          <w:rFonts w:ascii="宋体" w:hAnsi="宋体" w:cs="宋体" w:eastAsia="宋体" w:hint="default"/>
          <w:sz w:val="18"/>
          <w:szCs w:val="18"/>
        </w:rPr>
      </w:pPr>
    </w:p>
    <w:p>
      <w:pPr>
        <w:pStyle w:val="Heading3"/>
        <w:spacing w:line="240" w:lineRule="auto" w:before="118"/>
        <w:ind w:left="392"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740" w:right="880"/>
        </w:sectPr>
      </w:pPr>
    </w:p>
    <w:p>
      <w:pPr>
        <w:pStyle w:val="BodyText"/>
        <w:spacing w:line="360" w:lineRule="auto" w:before="44"/>
        <w:ind w:left="392" w:right="-20"/>
        <w:jc w:val="left"/>
      </w:pPr>
      <w:r>
        <w:rPr/>
        <w:t>编制单位：广州御银科技股份有限公司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392" w:right="0"/>
        <w:jc w:val="left"/>
      </w:pPr>
      <w:r>
        <w:rPr/>
        <w:t>单位：元</w:t>
      </w:r>
    </w:p>
    <w:p>
      <w:pPr>
        <w:spacing w:after="0" w:line="240" w:lineRule="auto"/>
        <w:jc w:val="left"/>
        <w:sectPr>
          <w:type w:val="continuous"/>
          <w:pgSz w:w="11910" w:h="16840"/>
          <w:pgMar w:top="1060" w:bottom="1160" w:left="740" w:right="880"/>
          <w:cols w:num="2" w:equalWidth="0">
            <w:col w:w="3453" w:space="5467"/>
            <w:col w:w="1370"/>
          </w:cols>
        </w:sectPr>
      </w:pP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962"/>
        <w:gridCol w:w="1286"/>
        <w:gridCol w:w="1277"/>
        <w:gridCol w:w="567"/>
        <w:gridCol w:w="425"/>
        <w:gridCol w:w="1135"/>
        <w:gridCol w:w="708"/>
        <w:gridCol w:w="1277"/>
        <w:gridCol w:w="1416"/>
      </w:tblGrid>
      <w:tr>
        <w:trPr>
          <w:trHeight w:val="398"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09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19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64" w:right="20" w:hanging="430"/>
              <w:jc w:val="left"/>
              <w:rPr>
                <w:rFonts w:ascii="宋体" w:hAnsi="宋体" w:cs="宋体" w:eastAsia="宋体" w:hint="default"/>
                <w:sz w:val="18"/>
                <w:szCs w:val="18"/>
              </w:rPr>
            </w:pPr>
            <w:r>
              <w:rPr>
                <w:rFonts w:ascii="宋体" w:hAnsi="宋体" w:cs="宋体" w:eastAsia="宋体" w:hint="default"/>
                <w:spacing w:val="-6"/>
                <w:sz w:val="18"/>
                <w:szCs w:val="18"/>
              </w:rPr>
              <w:t>实收资本（或股</w:t>
            </w:r>
            <w:r>
              <w:rPr>
                <w:rFonts w:ascii="宋体" w:hAnsi="宋体" w:cs="宋体" w:eastAsia="宋体" w:hint="default"/>
                <w:sz w:val="18"/>
                <w:szCs w:val="18"/>
              </w:rPr>
              <w:t> 本）</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8" w:right="21"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2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79" w:right="7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286"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7"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8"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286"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28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344,430,450.00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440,903,238.28</w:t>
            </w: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33,831,578.49</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214,717,336.54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1,033,882,603.31</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86" w:type="dxa"/>
            <w:tcBorders>
              <w:top w:val="single" w:sz="4" w:space="0" w:color="000000"/>
              <w:left w:val="single" w:sz="12"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86" w:type="dxa"/>
            <w:tcBorders>
              <w:top w:val="single" w:sz="4" w:space="0" w:color="000000"/>
              <w:left w:val="single" w:sz="12"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5"/>
              <w:jc w:val="center"/>
              <w:rPr>
                <w:rFonts w:ascii="宋体" w:hAnsi="宋体" w:cs="宋体" w:eastAsia="宋体" w:hint="default"/>
                <w:sz w:val="18"/>
                <w:szCs w:val="18"/>
              </w:rPr>
            </w:pPr>
            <w:r>
              <w:rPr>
                <w:rFonts w:ascii="宋体" w:hAnsi="宋体" w:cs="宋体" w:eastAsia="宋体" w:hint="default"/>
                <w:sz w:val="18"/>
                <w:szCs w:val="18"/>
              </w:rPr>
              <w:t>其他</w:t>
            </w:r>
          </w:p>
        </w:tc>
        <w:tc>
          <w:tcPr>
            <w:tcW w:w="1286" w:type="dxa"/>
            <w:tcBorders>
              <w:top w:val="single" w:sz="4" w:space="0" w:color="000000"/>
              <w:left w:val="single" w:sz="12"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344,430,450.00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440,903,238.28</w:t>
            </w: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33,831,578.49</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214,717,336.54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1,033,882,603.31</w:t>
            </w:r>
          </w:p>
        </w:tc>
      </w:tr>
      <w:tr>
        <w:trPr>
          <w:trHeight w:val="71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241,101,315.00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-238,287,966.00</w:t>
            </w: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1,942,871.91</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264,324.72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5,020,545.63</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86" w:type="dxa"/>
            <w:tcBorders>
              <w:top w:val="single" w:sz="4" w:space="0" w:color="000000"/>
              <w:left w:val="single" w:sz="12"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19,428,719.13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19,428,719.13</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86" w:type="dxa"/>
            <w:tcBorders>
              <w:top w:val="single" w:sz="4" w:space="0" w:color="000000"/>
              <w:left w:val="single" w:sz="12"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5"/>
                <w:sz w:val="18"/>
                <w:szCs w:val="18"/>
              </w:rPr>
              <w:t>上述（一）和（二）小计</w:t>
            </w:r>
          </w:p>
        </w:tc>
        <w:tc>
          <w:tcPr>
            <w:tcW w:w="1286" w:type="dxa"/>
            <w:tcBorders>
              <w:top w:val="single" w:sz="4" w:space="0" w:color="000000"/>
              <w:left w:val="single" w:sz="12"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19,428,719.13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19,428,719.13</w:t>
            </w:r>
          </w:p>
        </w:tc>
      </w:tr>
      <w:tr>
        <w:trPr>
          <w:trHeight w:val="71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5"/>
                <w:sz w:val="18"/>
                <w:szCs w:val="18"/>
              </w:rPr>
              <w:t>（三）所有者投入和减少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1286" w:type="dxa"/>
            <w:tcBorders>
              <w:top w:val="single" w:sz="4" w:space="0" w:color="000000"/>
              <w:left w:val="single" w:sz="12"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2,813,349.00</w:t>
            </w: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2,813,349.00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286" w:type="dxa"/>
            <w:tcBorders>
              <w:top w:val="single" w:sz="4" w:space="0" w:color="000000"/>
              <w:left w:val="single" w:sz="12"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 权益的金额</w:t>
            </w:r>
          </w:p>
        </w:tc>
        <w:tc>
          <w:tcPr>
            <w:tcW w:w="1286" w:type="dxa"/>
            <w:tcBorders>
              <w:top w:val="single" w:sz="4" w:space="0" w:color="000000"/>
              <w:left w:val="single" w:sz="12"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2,813,349.00</w:t>
            </w: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2,813,349.00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86" w:type="dxa"/>
            <w:tcBorders>
              <w:top w:val="single" w:sz="4" w:space="0" w:color="000000"/>
              <w:left w:val="single" w:sz="12"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86" w:type="dxa"/>
            <w:tcBorders>
              <w:top w:val="single" w:sz="4" w:space="0" w:color="000000"/>
              <w:left w:val="single" w:sz="12"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1,942,871.91</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-19,164,394.41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-17,221,522.50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6" w:type="dxa"/>
            <w:tcBorders>
              <w:top w:val="single" w:sz="4" w:space="0" w:color="000000"/>
              <w:left w:val="single" w:sz="12"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1,942,871.91</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-1,942,871.91</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86" w:type="dxa"/>
            <w:tcBorders>
              <w:top w:val="single" w:sz="4" w:space="0" w:color="000000"/>
              <w:left w:val="single" w:sz="12"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w:t>
            </w:r>
          </w:p>
        </w:tc>
        <w:tc>
          <w:tcPr>
            <w:tcW w:w="1286" w:type="dxa"/>
            <w:tcBorders>
              <w:top w:val="single" w:sz="4" w:space="0" w:color="000000"/>
              <w:left w:val="single" w:sz="12"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-17,221,522.50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-17,221,522.50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740" w:right="880"/>
        </w:sectPr>
      </w:pPr>
    </w:p>
    <w:p>
      <w:pPr>
        <w:spacing w:line="240" w:lineRule="auto" w:before="6"/>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1985"/>
        <w:gridCol w:w="1275"/>
        <w:gridCol w:w="1277"/>
        <w:gridCol w:w="567"/>
        <w:gridCol w:w="425"/>
        <w:gridCol w:w="1135"/>
        <w:gridCol w:w="708"/>
        <w:gridCol w:w="1277"/>
        <w:gridCol w:w="1416"/>
      </w:tblGrid>
      <w:tr>
        <w:trPr>
          <w:trHeight w:val="36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5"/>
                <w:sz w:val="18"/>
                <w:szCs w:val="18"/>
              </w:rPr>
              <w:t>（五）所有者权益内部结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241,101,315.00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-241,101,315.00</w:t>
            </w: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．资本公积转增资本（或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241,101,315.00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-241,101,315.00</w:t>
            </w: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．盈余公积转增资本（或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585,531,765.00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202,615,272.28</w:t>
            </w: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35,774,450.40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214,981,661.26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1,038,903,148.94</w:t>
            </w:r>
          </w:p>
        </w:tc>
      </w:tr>
    </w:tbl>
    <w:p>
      <w:pPr>
        <w:pStyle w:val="BodyText"/>
        <w:spacing w:line="240" w:lineRule="auto" w:before="49"/>
        <w:ind w:left="392" w:right="0"/>
        <w:jc w:val="left"/>
      </w:pPr>
      <w:r>
        <w:rPr/>
        <w:t>上年金额</w:t>
      </w:r>
    </w:p>
    <w:p>
      <w:pPr>
        <w:pStyle w:val="BodyText"/>
        <w:spacing w:line="240" w:lineRule="auto" w:before="117"/>
        <w:ind w:left="0" w:right="251"/>
        <w:jc w:val="right"/>
      </w:pPr>
      <w:r>
        <w:rPr/>
        <w:t>单位：元</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962"/>
        <w:gridCol w:w="1286"/>
        <w:gridCol w:w="1289"/>
        <w:gridCol w:w="555"/>
        <w:gridCol w:w="425"/>
        <w:gridCol w:w="1135"/>
        <w:gridCol w:w="708"/>
        <w:gridCol w:w="1277"/>
        <w:gridCol w:w="1416"/>
      </w:tblGrid>
      <w:tr>
        <w:trPr>
          <w:trHeight w:val="397"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09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19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64" w:right="20" w:hanging="430"/>
              <w:jc w:val="left"/>
              <w:rPr>
                <w:rFonts w:ascii="宋体" w:hAnsi="宋体" w:cs="宋体" w:eastAsia="宋体" w:hint="default"/>
                <w:sz w:val="18"/>
                <w:szCs w:val="18"/>
              </w:rPr>
            </w:pPr>
            <w:r>
              <w:rPr>
                <w:rFonts w:ascii="宋体" w:hAnsi="宋体" w:cs="宋体" w:eastAsia="宋体" w:hint="default"/>
                <w:spacing w:val="-6"/>
                <w:sz w:val="18"/>
                <w:szCs w:val="18"/>
              </w:rPr>
              <w:t>实收资本（或股</w:t>
            </w:r>
            <w:r>
              <w:rPr>
                <w:rFonts w:ascii="宋体" w:hAnsi="宋体" w:cs="宋体" w:eastAsia="宋体" w:hint="default"/>
                <w:sz w:val="18"/>
                <w:szCs w:val="18"/>
              </w:rPr>
              <w:t> 本）</w:t>
            </w:r>
          </w:p>
        </w:tc>
        <w:tc>
          <w:tcPr>
            <w:tcW w:w="1289" w:type="dxa"/>
            <w:tcBorders>
              <w:top w:val="single" w:sz="4" w:space="0" w:color="000000"/>
              <w:left w:val="single" w:sz="4" w:space="0" w:color="000000"/>
              <w:bottom w:val="nil" w:sz="6" w:space="0" w:color="auto"/>
              <w:right w:val="single" w:sz="4" w:space="0" w:color="000000"/>
            </w:tcBorders>
            <w:shd w:val="clear" w:color="auto" w:fill="D2D2D2"/>
          </w:tcPr>
          <w:p>
            <w:pPr/>
          </w:p>
        </w:tc>
        <w:tc>
          <w:tcPr>
            <w:tcW w:w="5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3" w:right="20" w:hanging="70"/>
              <w:jc w:val="left"/>
              <w:rPr>
                <w:rFonts w:ascii="宋体" w:hAnsi="宋体" w:cs="宋体" w:eastAsia="宋体" w:hint="default"/>
                <w:sz w:val="18"/>
                <w:szCs w:val="18"/>
              </w:rPr>
            </w:pPr>
            <w:r>
              <w:rPr>
                <w:rFonts w:ascii="宋体" w:hAnsi="宋体" w:cs="宋体" w:eastAsia="宋体" w:hint="default"/>
                <w:spacing w:val="-14"/>
                <w:sz w:val="18"/>
                <w:szCs w:val="18"/>
              </w:rPr>
              <w:t>减：库</w:t>
            </w:r>
            <w:r>
              <w:rPr>
                <w:rFonts w:ascii="宋体" w:hAnsi="宋体" w:cs="宋体" w:eastAsia="宋体" w:hint="default"/>
                <w:sz w:val="18"/>
                <w:szCs w:val="18"/>
              </w:rPr>
              <w:t> 存股</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2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79" w:right="7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286" w:type="dxa"/>
            <w:vMerge/>
            <w:tcBorders>
              <w:left w:val="single" w:sz="4" w:space="0" w:color="000000"/>
              <w:right w:val="single" w:sz="4" w:space="0" w:color="000000"/>
            </w:tcBorders>
            <w:shd w:val="clear" w:color="auto" w:fill="D2D2D2"/>
          </w:tcPr>
          <w:p>
            <w:pPr/>
          </w:p>
        </w:tc>
        <w:tc>
          <w:tcPr>
            <w:tcW w:w="12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5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8"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286" w:type="dxa"/>
            <w:vMerge/>
            <w:tcBorders>
              <w:left w:val="single" w:sz="4" w:space="0" w:color="000000"/>
              <w:right w:val="single" w:sz="4" w:space="0" w:color="000000"/>
            </w:tcBorders>
            <w:shd w:val="clear" w:color="auto" w:fill="D2D2D2"/>
          </w:tcPr>
          <w:p>
            <w:pPr/>
          </w:p>
        </w:tc>
        <w:tc>
          <w:tcPr>
            <w:tcW w:w="1289" w:type="dxa"/>
            <w:vMerge/>
            <w:tcBorders>
              <w:left w:val="single" w:sz="4" w:space="0" w:color="000000"/>
              <w:bottom w:val="nil" w:sz="6" w:space="0" w:color="auto"/>
              <w:right w:val="single" w:sz="4" w:space="0" w:color="000000"/>
            </w:tcBorders>
            <w:shd w:val="clear" w:color="auto" w:fill="D2D2D2"/>
          </w:tcPr>
          <w:p>
            <w:pPr/>
          </w:p>
        </w:tc>
        <w:tc>
          <w:tcPr>
            <w:tcW w:w="55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286" w:type="dxa"/>
            <w:vMerge/>
            <w:tcBorders>
              <w:left w:val="single" w:sz="4" w:space="0" w:color="000000"/>
              <w:bottom w:val="single" w:sz="4" w:space="0" w:color="000000"/>
              <w:right w:val="single" w:sz="4" w:space="0" w:color="000000"/>
            </w:tcBorders>
            <w:shd w:val="clear" w:color="auto" w:fill="D2D2D2"/>
          </w:tcPr>
          <w:p>
            <w:pPr/>
          </w:p>
        </w:tc>
        <w:tc>
          <w:tcPr>
            <w:tcW w:w="1289" w:type="dxa"/>
            <w:tcBorders>
              <w:top w:val="nil" w:sz="6" w:space="0" w:color="auto"/>
              <w:left w:val="single" w:sz="4" w:space="0" w:color="000000"/>
              <w:bottom w:val="single" w:sz="4" w:space="0" w:color="000000"/>
              <w:right w:val="single" w:sz="4" w:space="0" w:color="000000"/>
            </w:tcBorders>
            <w:shd w:val="clear" w:color="auto" w:fill="D2D2D2"/>
          </w:tcPr>
          <w:p>
            <w:pPr/>
          </w:p>
        </w:tc>
        <w:tc>
          <w:tcPr>
            <w:tcW w:w="555"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264,946,500.00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517,854,658.17</w:t>
            </w:r>
          </w:p>
        </w:tc>
        <w:tc>
          <w:tcPr>
            <w:tcW w:w="55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27,227,323.41</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4" w:right="0"/>
              <w:jc w:val="center"/>
              <w:rPr>
                <w:rFonts w:ascii="Times New Roman" w:hAnsi="Times New Roman" w:cs="Times New Roman" w:eastAsia="Times New Roman" w:hint="default"/>
                <w:sz w:val="18"/>
                <w:szCs w:val="18"/>
              </w:rPr>
            </w:pPr>
            <w:r>
              <w:rPr>
                <w:rFonts w:ascii="Times New Roman"/>
                <w:sz w:val="18"/>
              </w:rPr>
              <w:t>155,279,040.87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965,307,522.45</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86" w:type="dxa"/>
            <w:tcBorders>
              <w:top w:val="single" w:sz="4" w:space="0" w:color="000000"/>
              <w:left w:val="single" w:sz="12" w:space="0" w:color="D2D2D2"/>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86" w:type="dxa"/>
            <w:tcBorders>
              <w:top w:val="single" w:sz="4" w:space="0" w:color="000000"/>
              <w:left w:val="single" w:sz="12" w:space="0" w:color="D2D2D2"/>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5"/>
              <w:jc w:val="center"/>
              <w:rPr>
                <w:rFonts w:ascii="宋体" w:hAnsi="宋体" w:cs="宋体" w:eastAsia="宋体" w:hint="default"/>
                <w:sz w:val="18"/>
                <w:szCs w:val="18"/>
              </w:rPr>
            </w:pPr>
            <w:r>
              <w:rPr>
                <w:rFonts w:ascii="宋体" w:hAnsi="宋体" w:cs="宋体" w:eastAsia="宋体" w:hint="default"/>
                <w:sz w:val="18"/>
                <w:szCs w:val="18"/>
              </w:rPr>
              <w:t>其他</w:t>
            </w:r>
          </w:p>
        </w:tc>
        <w:tc>
          <w:tcPr>
            <w:tcW w:w="1286" w:type="dxa"/>
            <w:tcBorders>
              <w:top w:val="single" w:sz="4" w:space="0" w:color="000000"/>
              <w:left w:val="single" w:sz="12" w:space="0" w:color="D2D2D2"/>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264,946,500.00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517,854,658.17</w:t>
            </w:r>
          </w:p>
        </w:tc>
        <w:tc>
          <w:tcPr>
            <w:tcW w:w="55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27,227,323.41</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4" w:right="0"/>
              <w:jc w:val="center"/>
              <w:rPr>
                <w:rFonts w:ascii="Times New Roman" w:hAnsi="Times New Roman" w:cs="Times New Roman" w:eastAsia="Times New Roman" w:hint="default"/>
                <w:sz w:val="18"/>
                <w:szCs w:val="18"/>
              </w:rPr>
            </w:pPr>
            <w:r>
              <w:rPr>
                <w:rFonts w:ascii="Times New Roman"/>
                <w:sz w:val="18"/>
              </w:rPr>
              <w:t>155,279,040.87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965,307,522.45</w:t>
            </w:r>
          </w:p>
        </w:tc>
      </w:tr>
      <w:tr>
        <w:trPr>
          <w:trHeight w:val="71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79,483,950.00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-76,951,419.89</w:t>
            </w:r>
          </w:p>
        </w:tc>
        <w:tc>
          <w:tcPr>
            <w:tcW w:w="55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6,604,255.08</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59,438,295.67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68,575,080.86</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86" w:type="dxa"/>
            <w:tcBorders>
              <w:top w:val="single" w:sz="4" w:space="0" w:color="000000"/>
              <w:left w:val="single" w:sz="12" w:space="0" w:color="D2D2D2"/>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5" w:right="0"/>
              <w:jc w:val="center"/>
              <w:rPr>
                <w:rFonts w:ascii="Times New Roman" w:hAnsi="Times New Roman" w:cs="Times New Roman" w:eastAsia="Times New Roman" w:hint="default"/>
                <w:sz w:val="18"/>
                <w:szCs w:val="18"/>
              </w:rPr>
            </w:pPr>
            <w:r>
              <w:rPr>
                <w:rFonts w:ascii="Times New Roman"/>
                <w:sz w:val="18"/>
              </w:rPr>
              <w:t>66,042,550.75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66,042,550.75</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86" w:type="dxa"/>
            <w:tcBorders>
              <w:top w:val="single" w:sz="4" w:space="0" w:color="000000"/>
              <w:left w:val="single" w:sz="12" w:space="0" w:color="D2D2D2"/>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5"/>
                <w:sz w:val="18"/>
                <w:szCs w:val="18"/>
              </w:rPr>
              <w:t>上述（一）和（二）小计</w:t>
            </w:r>
          </w:p>
        </w:tc>
        <w:tc>
          <w:tcPr>
            <w:tcW w:w="1286" w:type="dxa"/>
            <w:tcBorders>
              <w:top w:val="single" w:sz="4" w:space="0" w:color="000000"/>
              <w:left w:val="single" w:sz="12" w:space="0" w:color="D2D2D2"/>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5" w:right="0"/>
              <w:jc w:val="center"/>
              <w:rPr>
                <w:rFonts w:ascii="Times New Roman" w:hAnsi="Times New Roman" w:cs="Times New Roman" w:eastAsia="Times New Roman" w:hint="default"/>
                <w:sz w:val="18"/>
                <w:szCs w:val="18"/>
              </w:rPr>
            </w:pPr>
            <w:r>
              <w:rPr>
                <w:rFonts w:ascii="Times New Roman"/>
                <w:sz w:val="18"/>
              </w:rPr>
              <w:t>66,042,550.75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66,042,550.75</w:t>
            </w:r>
          </w:p>
        </w:tc>
      </w:tr>
      <w:tr>
        <w:trPr>
          <w:trHeight w:val="71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5"/>
                <w:sz w:val="18"/>
                <w:szCs w:val="18"/>
              </w:rPr>
              <w:t>（三）所有者投入和减少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1286" w:type="dxa"/>
            <w:tcBorders>
              <w:top w:val="single" w:sz="4" w:space="0" w:color="000000"/>
              <w:left w:val="single" w:sz="12" w:space="0" w:color="D2D2D2"/>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2,532,530.11</w:t>
            </w:r>
          </w:p>
        </w:tc>
        <w:tc>
          <w:tcPr>
            <w:tcW w:w="55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2,532,530.11</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286" w:type="dxa"/>
            <w:tcBorders>
              <w:top w:val="single" w:sz="4" w:space="0" w:color="000000"/>
              <w:left w:val="single" w:sz="12" w:space="0" w:color="D2D2D2"/>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 权益的金额</w:t>
            </w:r>
          </w:p>
        </w:tc>
        <w:tc>
          <w:tcPr>
            <w:tcW w:w="1286" w:type="dxa"/>
            <w:tcBorders>
              <w:top w:val="single" w:sz="4" w:space="0" w:color="000000"/>
              <w:left w:val="single" w:sz="12" w:space="0" w:color="D2D2D2"/>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2,532,530.11</w:t>
            </w:r>
          </w:p>
        </w:tc>
        <w:tc>
          <w:tcPr>
            <w:tcW w:w="55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2,532,530.11</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86" w:type="dxa"/>
            <w:tcBorders>
              <w:top w:val="single" w:sz="4" w:space="0" w:color="000000"/>
              <w:left w:val="single" w:sz="12" w:space="0" w:color="D2D2D2"/>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740" w:right="880"/>
        </w:sectPr>
      </w:pPr>
    </w:p>
    <w:p>
      <w:pPr>
        <w:spacing w:line="240" w:lineRule="auto" w:before="6"/>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1985"/>
        <w:gridCol w:w="1275"/>
        <w:gridCol w:w="1289"/>
        <w:gridCol w:w="555"/>
        <w:gridCol w:w="425"/>
        <w:gridCol w:w="1135"/>
        <w:gridCol w:w="708"/>
        <w:gridCol w:w="1277"/>
        <w:gridCol w:w="1416"/>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6,604,255.08</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-6,604,255.08</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6,604,255.08</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-6,604,255.08</w:t>
            </w: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5"/>
                <w:sz w:val="18"/>
                <w:szCs w:val="18"/>
              </w:rPr>
              <w:t>（五）所有者权益内部结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79,483,950.00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-79,483,950.00</w:t>
            </w:r>
          </w:p>
        </w:tc>
        <w:tc>
          <w:tcPr>
            <w:tcW w:w="55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．资本公积转增资本（或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79,483,950.00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-79,483,950.00</w:t>
            </w:r>
          </w:p>
        </w:tc>
        <w:tc>
          <w:tcPr>
            <w:tcW w:w="55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7"/>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．盈余公积转增资本（或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344,430,450.00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440,903,238.28</w:t>
            </w:r>
          </w:p>
        </w:tc>
        <w:tc>
          <w:tcPr>
            <w:tcW w:w="55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33,831,578.49</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214,717,336.54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1,033,882,603.31</w:t>
            </w:r>
          </w:p>
        </w:tc>
      </w:tr>
    </w:tbl>
    <w:p>
      <w:pPr>
        <w:spacing w:line="240" w:lineRule="auto" w:before="2"/>
        <w:rPr>
          <w:rFonts w:ascii="宋体" w:hAnsi="宋体" w:cs="宋体" w:eastAsia="宋体" w:hint="default"/>
          <w:sz w:val="20"/>
          <w:szCs w:val="20"/>
        </w:rPr>
      </w:pPr>
    </w:p>
    <w:p>
      <w:pPr>
        <w:pStyle w:val="BodyText"/>
        <w:tabs>
          <w:tab w:pos="3818" w:val="left" w:leader="none"/>
          <w:tab w:pos="7961" w:val="left" w:leader="none"/>
        </w:tabs>
        <w:spacing w:line="240" w:lineRule="auto" w:before="44"/>
        <w:ind w:left="392" w:right="0"/>
        <w:jc w:val="left"/>
      </w:pPr>
      <w:r>
        <w:rPr/>
        <w:t>法定代表人：杨文江</w:t>
        <w:tab/>
      </w:r>
      <w:r>
        <w:rPr>
          <w:spacing w:val="-1"/>
        </w:rPr>
        <w:t>主管会计工作负责人：陈国军</w:t>
        <w:tab/>
      </w:r>
      <w:r>
        <w:rPr/>
        <w:t>会计机构负责人：陈国军</w:t>
      </w:r>
    </w:p>
    <w:p>
      <w:pPr>
        <w:spacing w:line="240" w:lineRule="auto" w:before="1"/>
        <w:rPr>
          <w:rFonts w:ascii="宋体" w:hAnsi="宋体" w:cs="宋体" w:eastAsia="宋体" w:hint="default"/>
          <w:sz w:val="25"/>
          <w:szCs w:val="25"/>
        </w:rPr>
      </w:pPr>
    </w:p>
    <w:p>
      <w:pPr>
        <w:pStyle w:val="Heading2"/>
        <w:spacing w:line="240" w:lineRule="auto"/>
        <w:ind w:left="392" w:right="0"/>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392" w:right="251" w:firstLine="360"/>
        <w:jc w:val="both"/>
      </w:pPr>
      <w:r>
        <w:rPr>
          <w:spacing w:val="-1"/>
        </w:rPr>
        <w:t>广州御银科技股份有限公司（以下简称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）前身广州御银科技有限责任公司由杨文江、增城市御银实业</w:t>
      </w:r>
      <w:r>
        <w:rPr/>
        <w:t> 有限公司共同出资组建，注册资本人民币</w:t>
      </w:r>
      <w:r>
        <w:rPr>
          <w:rFonts w:ascii="Times New Roman" w:hAnsi="Times New Roman" w:cs="Times New Roman" w:eastAsia="Times New Roman" w:hint="default"/>
        </w:rPr>
        <w:t>15,000,000.00</w:t>
      </w:r>
      <w:r>
        <w:rPr/>
        <w:t>元，于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日取得广州市工商行政管理局核发的企业法人营</w:t>
      </w:r>
      <w:r>
        <w:rPr>
          <w:spacing w:val="-47"/>
        </w:rPr>
        <w:t> </w:t>
      </w:r>
      <w:r>
        <w:rPr>
          <w:spacing w:val="-47"/>
        </w:rPr>
      </w:r>
      <w:r>
        <w:rPr/>
        <w:t>业执照（注册号为：</w:t>
      </w:r>
      <w:r>
        <w:rPr>
          <w:rFonts w:ascii="Times New Roman" w:hAnsi="Times New Roman" w:cs="Times New Roman" w:eastAsia="Times New Roman" w:hint="default"/>
        </w:rPr>
        <w:t>4401011108228</w:t>
      </w:r>
      <w:r>
        <w:rPr/>
        <w:t>），</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日工商变更登记，注册号变更为</w:t>
      </w:r>
      <w:r>
        <w:rPr>
          <w:rFonts w:ascii="Times New Roman" w:hAnsi="Times New Roman" w:cs="Times New Roman" w:eastAsia="Times New Roman" w:hint="default"/>
        </w:rPr>
        <w:t>440101000034373</w:t>
      </w:r>
      <w:r>
        <w:rPr/>
        <w:t>，公司的实际控制人 为杨文江。</w:t>
      </w:r>
    </w:p>
    <w:p>
      <w:pPr>
        <w:pStyle w:val="BodyText"/>
        <w:spacing w:line="240" w:lineRule="auto" w:before="31"/>
        <w:ind w:left="753" w:right="0"/>
        <w:jc w:val="left"/>
      </w:pPr>
      <w:r>
        <w:rPr/>
        <w:t>公司经广州市经济委员会穗经</w:t>
      </w:r>
      <w:r>
        <w:rPr>
          <w:rFonts w:ascii="Times New Roman" w:hAnsi="Times New Roman" w:cs="Times New Roman" w:eastAsia="Times New Roman" w:hint="default"/>
        </w:rPr>
        <w:t>[2003]88</w:t>
      </w:r>
      <w:r>
        <w:rPr/>
        <w:t>号《关于同意设立广州御银科技股份有限公司的批复》批准，以公司截至</w:t>
      </w:r>
      <w:r>
        <w:rPr>
          <w:rFonts w:ascii="Times New Roman" w:hAnsi="Times New Roman" w:cs="Times New Roman" w:eastAsia="Times New Roman" w:hint="default"/>
        </w:rPr>
        <w:t>2003</w:t>
      </w:r>
      <w:r>
        <w:rPr/>
        <w:t>年</w:t>
      </w:r>
    </w:p>
    <w:p>
      <w:pPr>
        <w:pStyle w:val="BodyText"/>
        <w:spacing w:line="240" w:lineRule="auto" w:before="63"/>
        <w:ind w:left="392" w:right="0"/>
        <w:jc w:val="left"/>
      </w:pP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日经审计净资产</w:t>
      </w:r>
      <w:r>
        <w:rPr>
          <w:rFonts w:ascii="Times New Roman" w:hAnsi="Times New Roman" w:cs="Times New Roman" w:eastAsia="Times New Roman" w:hint="default"/>
        </w:rPr>
        <w:t>30,200,000.00</w:t>
      </w:r>
      <w:r>
        <w:rPr/>
        <w:t>元按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比例折股，整体变更为股份公司。改制后，公司的股本总额为</w:t>
      </w:r>
      <w:r>
        <w:rPr>
          <w:rFonts w:ascii="Times New Roman" w:hAnsi="Times New Roman" w:cs="Times New Roman" w:eastAsia="Times New Roman" w:hint="default"/>
        </w:rPr>
        <w:t>30,200,000.00</w:t>
      </w:r>
      <w:r>
        <w:rPr/>
        <w:t>元。</w:t>
      </w:r>
    </w:p>
    <w:p>
      <w:pPr>
        <w:pStyle w:val="BodyText"/>
        <w:spacing w:line="300" w:lineRule="auto" w:before="63"/>
        <w:ind w:left="392" w:right="248" w:firstLine="360"/>
        <w:jc w:val="both"/>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日，发行人召开</w:t>
      </w:r>
      <w:r>
        <w:rPr>
          <w:rFonts w:ascii="Times New Roman" w:hAnsi="Times New Roman" w:cs="Times New Roman" w:eastAsia="Times New Roman" w:hint="default"/>
        </w:rPr>
        <w:t>2005</w:t>
      </w:r>
      <w:r>
        <w:rPr/>
        <w:t>年度股东大会，审议通过了</w:t>
      </w:r>
      <w:r>
        <w:rPr>
          <w:rFonts w:ascii="Times New Roman" w:hAnsi="Times New Roman" w:cs="Times New Roman" w:eastAsia="Times New Roman" w:hint="default"/>
        </w:rPr>
        <w:t>2005</w:t>
      </w:r>
      <w:r>
        <w:rPr/>
        <w:t>年度利润分配方案，决定以</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日股份公司 </w:t>
      </w:r>
      <w:r>
        <w:rPr>
          <w:spacing w:val="-1"/>
        </w:rPr>
        <w:t>总股本</w:t>
      </w:r>
      <w:r>
        <w:rPr>
          <w:rFonts w:ascii="Times New Roman" w:hAnsi="Times New Roman" w:cs="Times New Roman" w:eastAsia="Times New Roman" w:hint="default"/>
          <w:spacing w:val="-1"/>
        </w:rPr>
        <w:t>30,200,000</w:t>
      </w:r>
      <w:r>
        <w:rPr>
          <w:spacing w:val="-1"/>
        </w:rPr>
        <w:t>股为基数，向全体股东每</w:t>
      </w:r>
      <w:r>
        <w:rPr>
          <w:rFonts w:ascii="Times New Roman" w:hAnsi="Times New Roman" w:cs="Times New Roman" w:eastAsia="Times New Roman" w:hint="default"/>
          <w:spacing w:val="-1"/>
        </w:rPr>
        <w:t>10</w:t>
      </w:r>
      <w:r>
        <w:rPr>
          <w:spacing w:val="-1"/>
        </w:rPr>
        <w:t>股送股票红利</w:t>
      </w:r>
      <w:r>
        <w:rPr>
          <w:rFonts w:ascii="Times New Roman" w:hAnsi="Times New Roman" w:cs="Times New Roman" w:eastAsia="Times New Roman" w:hint="default"/>
          <w:spacing w:val="-1"/>
        </w:rPr>
        <w:t>6.56</w:t>
      </w:r>
      <w:r>
        <w:rPr>
          <w:spacing w:val="-1"/>
        </w:rPr>
        <w:t>股，共向股东派送股票股利</w:t>
      </w:r>
      <w:r>
        <w:rPr>
          <w:rFonts w:ascii="Times New Roman" w:hAnsi="Times New Roman" w:cs="Times New Roman" w:eastAsia="Times New Roman" w:hint="default"/>
          <w:spacing w:val="-1"/>
        </w:rPr>
        <w:t>19,811,200</w:t>
      </w:r>
      <w:r>
        <w:rPr>
          <w:spacing w:val="-1"/>
        </w:rPr>
        <w:t>股，本次利润分配完成</w:t>
      </w:r>
      <w:r>
        <w:rPr>
          <w:spacing w:val="-73"/>
        </w:rPr>
        <w:t> </w:t>
      </w:r>
      <w:r>
        <w:rPr>
          <w:spacing w:val="-73"/>
        </w:rPr>
      </w:r>
      <w:r>
        <w:rPr/>
        <w:t>后，公司的股本总额为</w:t>
      </w:r>
      <w:r>
        <w:rPr>
          <w:rFonts w:ascii="Times New Roman" w:hAnsi="Times New Roman" w:cs="Times New Roman" w:eastAsia="Times New Roman" w:hint="default"/>
        </w:rPr>
        <w:t>50,011,200.00</w:t>
      </w:r>
      <w:r>
        <w:rPr/>
        <w:t>元。</w:t>
      </w:r>
    </w:p>
    <w:p>
      <w:pPr>
        <w:pStyle w:val="BodyText"/>
        <w:spacing w:line="300" w:lineRule="auto" w:before="13"/>
        <w:ind w:left="392" w:right="251" w:firstLine="360"/>
        <w:jc w:val="both"/>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日，发行人召开</w:t>
      </w:r>
      <w:r>
        <w:rPr>
          <w:rFonts w:ascii="Times New Roman" w:hAnsi="Times New Roman" w:cs="Times New Roman" w:eastAsia="Times New Roman" w:hint="default"/>
        </w:rPr>
        <w:t>2006</w:t>
      </w:r>
      <w:r>
        <w:rPr/>
        <w:t>年第二次临时股东大会，审议通过了《关于增资扩股议案》，同意公司以每股</w:t>
      </w:r>
      <w:r>
        <w:rPr>
          <w:rFonts w:ascii="Times New Roman" w:hAnsi="Times New Roman" w:cs="Times New Roman" w:eastAsia="Times New Roman" w:hint="default"/>
        </w:rPr>
        <w:t>2.88</w:t>
      </w:r>
      <w:r>
        <w:rPr>
          <w:rFonts w:ascii="Times New Roman" w:hAnsi="Times New Roman" w:cs="Times New Roman" w:eastAsia="Times New Roman" w:hint="default"/>
          <w:spacing w:val="6"/>
        </w:rPr>
        <w:t> </w:t>
      </w:r>
      <w:r>
        <w:rPr/>
        <w:t>元 的发行价格，增发</w:t>
      </w:r>
      <w:r>
        <w:rPr>
          <w:rFonts w:ascii="Times New Roman" w:hAnsi="Times New Roman" w:cs="Times New Roman" w:eastAsia="Times New Roman" w:hint="default"/>
        </w:rPr>
        <w:t>5,556,800</w:t>
      </w:r>
      <w:r>
        <w:rPr/>
        <w:t>股新股。本次增资扩股后股本总额为</w:t>
      </w:r>
      <w:r>
        <w:rPr>
          <w:rFonts w:ascii="Times New Roman" w:hAnsi="Times New Roman" w:cs="Times New Roman" w:eastAsia="Times New Roman" w:hint="default"/>
        </w:rPr>
        <w:t>55,568,000.00</w:t>
      </w:r>
      <w:r>
        <w:rPr/>
        <w:t>元。</w:t>
      </w:r>
    </w:p>
    <w:p>
      <w:pPr>
        <w:pStyle w:val="BodyText"/>
        <w:spacing w:line="240" w:lineRule="auto" w:before="13"/>
        <w:ind w:left="753" w:right="0"/>
        <w:jc w:val="left"/>
      </w:pPr>
      <w:r>
        <w:rPr/>
        <w:t>经中国证券监督管理委员会以证监发行字</w:t>
      </w:r>
      <w:r>
        <w:rPr>
          <w:rFonts w:ascii="Times New Roman" w:hAnsi="Times New Roman" w:cs="Times New Roman" w:eastAsia="Times New Roman" w:hint="default"/>
        </w:rPr>
        <w:t>[2007]</w:t>
      </w:r>
      <w:r>
        <w:rPr/>
        <w:t>号</w:t>
      </w:r>
      <w:r>
        <w:rPr>
          <w:rFonts w:ascii="Times New Roman" w:hAnsi="Times New Roman" w:cs="Times New Roman" w:eastAsia="Times New Roman" w:hint="default"/>
        </w:rPr>
        <w:t>350</w:t>
      </w:r>
      <w:r>
        <w:rPr/>
        <w:t>文核准，于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日发行</w:t>
      </w:r>
      <w:r>
        <w:rPr>
          <w:rFonts w:ascii="Times New Roman" w:hAnsi="Times New Roman" w:cs="Times New Roman" w:eastAsia="Times New Roman" w:hint="default"/>
        </w:rPr>
        <w:t>19,000,000</w:t>
      </w:r>
      <w:r>
        <w:rPr/>
        <w:t>股，本公司股票已于</w:t>
      </w:r>
    </w:p>
    <w:p>
      <w:pPr>
        <w:pStyle w:val="BodyText"/>
        <w:spacing w:line="300" w:lineRule="auto" w:before="63"/>
        <w:ind w:left="753" w:right="4654" w:hanging="361"/>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月在深圳证券交易所上市，所属行业为专用设备制造业。 截止</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日公司的股本总额为</w:t>
      </w:r>
      <w:r>
        <w:rPr>
          <w:rFonts w:ascii="Times New Roman" w:hAnsi="Times New Roman" w:cs="Times New Roman" w:eastAsia="Times New Roman" w:hint="default"/>
        </w:rPr>
        <w:t>74,568,000.00</w:t>
      </w:r>
      <w:r>
        <w:rPr/>
        <w:t>元。</w:t>
      </w:r>
    </w:p>
    <w:p>
      <w:pPr>
        <w:pStyle w:val="BodyText"/>
        <w:spacing w:line="300" w:lineRule="auto" w:before="13"/>
        <w:ind w:left="392" w:right="155" w:firstLine="360"/>
        <w:jc w:val="both"/>
      </w:pP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10</w:t>
      </w:r>
      <w:r>
        <w:rPr>
          <w:spacing w:val="-2"/>
        </w:rPr>
        <w:t>日通过股东大会决议</w:t>
      </w:r>
      <w:r>
        <w:rPr>
          <w:rFonts w:ascii="Times New Roman" w:hAnsi="Times New Roman" w:cs="Times New Roman" w:eastAsia="Times New Roman" w:hint="default"/>
          <w:spacing w:val="-2"/>
        </w:rPr>
        <w:t>:</w:t>
      </w:r>
      <w:r>
        <w:rPr>
          <w:spacing w:val="-2"/>
        </w:rPr>
        <w:t>资本公积转增股本方案</w:t>
      </w:r>
      <w:r>
        <w:rPr>
          <w:rFonts w:ascii="Times New Roman" w:hAnsi="Times New Roman" w:cs="Times New Roman" w:eastAsia="Times New Roman" w:hint="default"/>
          <w:spacing w:val="-2"/>
        </w:rPr>
        <w:t>,</w:t>
      </w:r>
      <w:r>
        <w:rPr>
          <w:spacing w:val="-2"/>
        </w:rPr>
        <w:t>以</w:t>
      </w:r>
      <w:r>
        <w:rPr>
          <w:rFonts w:ascii="Times New Roman" w:hAnsi="Times New Roman" w:cs="Times New Roman" w:eastAsia="Times New Roman" w:hint="default"/>
          <w:spacing w:val="-2"/>
        </w:rPr>
        <w:t>2007</w:t>
      </w:r>
      <w:r>
        <w:rPr>
          <w:spacing w:val="-2"/>
        </w:rPr>
        <w:t>年末公司总股本</w:t>
      </w:r>
      <w:r>
        <w:rPr>
          <w:rFonts w:ascii="Times New Roman" w:hAnsi="Times New Roman" w:cs="Times New Roman" w:eastAsia="Times New Roman" w:hint="default"/>
          <w:spacing w:val="-2"/>
        </w:rPr>
        <w:t>74,568,000</w:t>
      </w:r>
      <w:r>
        <w:rPr>
          <w:spacing w:val="-2"/>
        </w:rPr>
        <w:t>股为基数，每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w:t>
      </w:r>
      <w:r>
        <w:rPr/>
        <w:t> 截止</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日公司的股本总额为</w:t>
      </w:r>
      <w:r>
        <w:rPr>
          <w:rFonts w:ascii="Times New Roman" w:hAnsi="Times New Roman" w:cs="Times New Roman" w:eastAsia="Times New Roman" w:hint="default"/>
        </w:rPr>
        <w:t>149,136,000.00</w:t>
      </w:r>
      <w:r>
        <w:rPr/>
        <w:t>元。</w:t>
      </w:r>
    </w:p>
    <w:p>
      <w:pPr>
        <w:spacing w:after="0" w:line="300" w:lineRule="auto"/>
        <w:jc w:val="both"/>
        <w:sectPr>
          <w:pgSz w:w="11910" w:h="16840"/>
          <w:pgMar w:header="745" w:footer="980" w:top="1060" w:bottom="1160" w:left="740" w:right="880"/>
        </w:sectPr>
      </w:pPr>
    </w:p>
    <w:p>
      <w:pPr>
        <w:spacing w:line="240" w:lineRule="auto" w:before="9"/>
        <w:rPr>
          <w:rFonts w:ascii="宋体" w:hAnsi="宋体" w:cs="宋体" w:eastAsia="宋体" w:hint="default"/>
          <w:sz w:val="25"/>
          <w:szCs w:val="25"/>
        </w:rPr>
      </w:pPr>
    </w:p>
    <w:p>
      <w:pPr>
        <w:pStyle w:val="BodyText"/>
        <w:spacing w:line="300" w:lineRule="auto" w:before="44"/>
        <w:ind w:right="184" w:firstLine="360"/>
        <w:jc w:val="left"/>
      </w:pPr>
      <w:r>
        <w:rPr/>
        <w:t>经公司</w:t>
      </w:r>
      <w:r>
        <w:rPr>
          <w:rFonts w:ascii="Times New Roman" w:hAnsi="Times New Roman" w:cs="Times New Roman" w:eastAsia="Times New Roman" w:hint="default"/>
        </w:rPr>
        <w:t>2008</w:t>
      </w:r>
      <w:r>
        <w:rPr/>
        <w:t>年度股东大会审议通过，以</w:t>
      </w:r>
      <w:r>
        <w:rPr>
          <w:rFonts w:ascii="Times New Roman" w:hAnsi="Times New Roman" w:cs="Times New Roman" w:eastAsia="Times New Roman" w:hint="default"/>
        </w:rPr>
        <w:t>2008</w:t>
      </w:r>
      <w:r>
        <w:rPr/>
        <w:t>年年末总股本</w:t>
      </w:r>
      <w:r>
        <w:rPr>
          <w:rFonts w:ascii="Times New Roman" w:hAnsi="Times New Roman" w:cs="Times New Roman" w:eastAsia="Times New Roman" w:hint="default"/>
        </w:rPr>
        <w:t>149,136,000</w:t>
      </w:r>
      <w:r>
        <w:rPr/>
        <w:t>股为基数向全体股东按每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股的比例转增 股本，送转完成后公司总股本增至 </w:t>
      </w:r>
      <w:r>
        <w:rPr>
          <w:rFonts w:ascii="Times New Roman" w:hAnsi="Times New Roman" w:cs="Times New Roman" w:eastAsia="Times New Roman" w:hint="default"/>
        </w:rPr>
        <w:t>223,704,000</w:t>
      </w:r>
      <w:r>
        <w:rPr>
          <w:rFonts w:ascii="Times New Roman" w:hAnsi="Times New Roman" w:cs="Times New Roman" w:eastAsia="Times New Roman" w:hint="default"/>
          <w:spacing w:val="7"/>
        </w:rPr>
        <w:t> </w:t>
      </w:r>
      <w:r>
        <w:rPr/>
        <w:t>股。资本公积金转增股本的方案已于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日实施。</w:t>
      </w:r>
    </w:p>
    <w:p>
      <w:pPr>
        <w:pStyle w:val="BodyText"/>
        <w:spacing w:line="300" w:lineRule="auto" w:before="13"/>
        <w:ind w:right="189" w:firstLine="360"/>
        <w:jc w:val="both"/>
      </w:pPr>
      <w:r>
        <w:rPr>
          <w:spacing w:val="-1"/>
        </w:rPr>
        <w:t>经中国证券监督管理委员会证监许可</w:t>
      </w:r>
      <w:r>
        <w:rPr>
          <w:rFonts w:ascii="Times New Roman" w:hAnsi="Times New Roman" w:cs="Times New Roman" w:eastAsia="Times New Roman" w:hint="default"/>
          <w:spacing w:val="-1"/>
        </w:rPr>
        <w:t>[2009]962</w:t>
      </w:r>
      <w:r>
        <w:rPr>
          <w:spacing w:val="-1"/>
        </w:rPr>
        <w:t>号文核准，公司于</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13</w:t>
      </w:r>
      <w:r>
        <w:rPr>
          <w:spacing w:val="-1"/>
        </w:rPr>
        <w:t>日以非公开发行股票的方式向</w:t>
      </w:r>
      <w:r>
        <w:rPr>
          <w:rFonts w:ascii="Times New Roman" w:hAnsi="Times New Roman" w:cs="Times New Roman" w:eastAsia="Times New Roman" w:hint="default"/>
          <w:spacing w:val="-1"/>
        </w:rPr>
        <w:t>7</w:t>
      </w:r>
      <w:r>
        <w:rPr>
          <w:spacing w:val="-1"/>
        </w:rPr>
        <w:t>家特定投</w:t>
      </w:r>
      <w:r>
        <w:rPr/>
        <w:t> </w:t>
      </w:r>
      <w:r>
        <w:rPr>
          <w:spacing w:val="-1"/>
        </w:rPr>
        <w:t>资者发行了</w:t>
      </w:r>
      <w:r>
        <w:rPr>
          <w:rFonts w:ascii="Times New Roman" w:hAnsi="Times New Roman" w:cs="Times New Roman" w:eastAsia="Times New Roman" w:hint="default"/>
          <w:spacing w:val="-1"/>
        </w:rPr>
        <w:t>41,242,500</w:t>
      </w:r>
      <w:r>
        <w:rPr>
          <w:spacing w:val="-1"/>
        </w:rPr>
        <w:t>股人民币普通股（</w:t>
      </w:r>
      <w:r>
        <w:rPr>
          <w:rFonts w:ascii="Times New Roman" w:hAnsi="Times New Roman" w:cs="Times New Roman" w:eastAsia="Times New Roman" w:hint="default"/>
          <w:spacing w:val="-1"/>
        </w:rPr>
        <w:t>A</w:t>
      </w:r>
      <w:r>
        <w:rPr>
          <w:spacing w:val="-1"/>
        </w:rPr>
        <w:t>股），发行价为人民币</w:t>
      </w:r>
      <w:r>
        <w:rPr>
          <w:rFonts w:ascii="Times New Roman" w:hAnsi="Times New Roman" w:cs="Times New Roman" w:eastAsia="Times New Roman" w:hint="default"/>
          <w:spacing w:val="-1"/>
        </w:rPr>
        <w:t>12.00</w:t>
      </w:r>
      <w:r>
        <w:rPr>
          <w:spacing w:val="-1"/>
        </w:rPr>
        <w:t>元</w:t>
      </w:r>
      <w:r>
        <w:rPr>
          <w:rFonts w:ascii="Times New Roman" w:hAnsi="Times New Roman" w:cs="Times New Roman" w:eastAsia="Times New Roman" w:hint="default"/>
          <w:spacing w:val="-1"/>
        </w:rPr>
        <w:t>/</w:t>
      </w:r>
      <w:r>
        <w:rPr>
          <w:spacing w:val="-1"/>
        </w:rPr>
        <w:t>股。经深圳证券交易所同意，公司非公开发行的股</w:t>
      </w:r>
      <w:r>
        <w:rPr>
          <w:spacing w:val="-71"/>
        </w:rPr>
        <w:t> </w:t>
      </w:r>
      <w:r>
        <w:rPr>
          <w:spacing w:val="-71"/>
        </w:rPr>
      </w:r>
      <w:r>
        <w:rPr>
          <w:spacing w:val="-2"/>
        </w:rPr>
        <w:t>票于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日在深圳证券交易所挂牌上市。非公开发行后公司总股本增至</w:t>
      </w:r>
      <w:r>
        <w:rPr>
          <w:rFonts w:ascii="Times New Roman" w:hAnsi="Times New Roman" w:cs="Times New Roman" w:eastAsia="Times New Roman" w:hint="default"/>
          <w:spacing w:val="-2"/>
        </w:rPr>
        <w:t>264,946,500</w:t>
      </w:r>
      <w:r>
        <w:rPr>
          <w:spacing w:val="-2"/>
        </w:rPr>
        <w:t>股。截止</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日公司的</w:t>
      </w:r>
      <w:r>
        <w:rPr>
          <w:spacing w:val="-48"/>
        </w:rPr>
        <w:t> </w:t>
      </w:r>
      <w:r>
        <w:rPr>
          <w:spacing w:val="-48"/>
        </w:rPr>
      </w:r>
      <w:r>
        <w:rPr/>
        <w:t>股本总额为</w:t>
      </w:r>
      <w:r>
        <w:rPr>
          <w:rFonts w:ascii="Times New Roman" w:hAnsi="Times New Roman" w:cs="Times New Roman" w:eastAsia="Times New Roman" w:hint="default"/>
        </w:rPr>
        <w:t>264,946,500.00</w:t>
      </w:r>
      <w:r>
        <w:rPr/>
        <w:t>元。</w:t>
      </w:r>
    </w:p>
    <w:p>
      <w:pPr>
        <w:pStyle w:val="BodyText"/>
        <w:spacing w:line="240" w:lineRule="auto" w:before="13"/>
        <w:ind w:left="513" w:right="0"/>
        <w:jc w:val="left"/>
      </w:pPr>
      <w:r>
        <w:rPr/>
        <w:t>经公司</w:t>
      </w:r>
      <w:r>
        <w:rPr>
          <w:rFonts w:ascii="Times New Roman" w:hAnsi="Times New Roman" w:cs="Times New Roman" w:eastAsia="Times New Roman" w:hint="default"/>
        </w:rPr>
        <w:t>2010</w:t>
      </w:r>
      <w:r>
        <w:rPr/>
        <w:t>年度股东大会审议通过，以</w:t>
      </w:r>
      <w:r>
        <w:rPr>
          <w:rFonts w:ascii="Times New Roman" w:hAnsi="Times New Roman" w:cs="Times New Roman" w:eastAsia="Times New Roman" w:hint="default"/>
        </w:rPr>
        <w:t>2010</w:t>
      </w:r>
      <w:r>
        <w:rPr/>
        <w:t>年年末总股本</w:t>
      </w:r>
      <w:r>
        <w:rPr>
          <w:rFonts w:ascii="Times New Roman" w:hAnsi="Times New Roman" w:cs="Times New Roman" w:eastAsia="Times New Roman" w:hint="default"/>
        </w:rPr>
        <w:t>26,494.65</w:t>
      </w:r>
      <w:r>
        <w:rPr/>
        <w:t>万股为基数，向全体股东以资本公积金按每</w:t>
      </w:r>
      <w:r>
        <w:rPr>
          <w:rFonts w:ascii="Times New Roman" w:hAnsi="Times New Roman" w:cs="Times New Roman" w:eastAsia="Times New Roman" w:hint="default"/>
        </w:rPr>
        <w:t>10</w:t>
      </w:r>
      <w:r>
        <w:rPr/>
        <w:t>股转增</w:t>
      </w:r>
    </w:p>
    <w:p>
      <w:pPr>
        <w:pStyle w:val="BodyText"/>
        <w:spacing w:line="300" w:lineRule="auto" w:before="63"/>
        <w:ind w:left="513" w:right="183" w:hanging="361"/>
        <w:jc w:val="left"/>
      </w:pPr>
      <w:r>
        <w:rPr>
          <w:rFonts w:ascii="Times New Roman" w:hAnsi="Times New Roman" w:cs="Times New Roman" w:eastAsia="Times New Roman" w:hint="default"/>
        </w:rPr>
        <w:t>3</w:t>
      </w:r>
      <w:r>
        <w:rPr/>
        <w:t>股的比例转增股本，送转完成后，公司总股本增至</w:t>
      </w:r>
      <w:r>
        <w:rPr>
          <w:rFonts w:ascii="Times New Roman" w:hAnsi="Times New Roman" w:cs="Times New Roman" w:eastAsia="Times New Roman" w:hint="default"/>
        </w:rPr>
        <w:t>34,443.045</w:t>
      </w:r>
      <w:r>
        <w:rPr/>
        <w:t>万股。资本公积金转增股本的方案已于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日实施。 截止</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日公司注册资本为</w:t>
      </w:r>
      <w:r>
        <w:rPr>
          <w:spacing w:val="-19"/>
        </w:rPr>
        <w:t> </w:t>
      </w:r>
      <w:r>
        <w:rPr>
          <w:rFonts w:ascii="Times New Roman" w:hAnsi="Times New Roman" w:cs="Times New Roman" w:eastAsia="Times New Roman" w:hint="default"/>
        </w:rPr>
        <w:t>344,430,450.00</w:t>
      </w:r>
      <w:r>
        <w:rPr/>
        <w:t>元。 经公司</w:t>
      </w:r>
      <w:r>
        <w:rPr>
          <w:rFonts w:ascii="Times New Roman" w:hAnsi="Times New Roman" w:cs="Times New Roman" w:eastAsia="Times New Roman" w:hint="default"/>
        </w:rPr>
        <w:t>2011</w:t>
      </w:r>
      <w:r>
        <w:rPr/>
        <w:t>年度股东大会审议通过，以</w:t>
      </w:r>
      <w:r>
        <w:rPr>
          <w:rFonts w:ascii="Times New Roman" w:hAnsi="Times New Roman" w:cs="Times New Roman" w:eastAsia="Times New Roman" w:hint="default"/>
        </w:rPr>
        <w:t>2011</w:t>
      </w:r>
      <w:r>
        <w:rPr/>
        <w:t>年年末总股本</w:t>
      </w:r>
      <w:r>
        <w:rPr>
          <w:rFonts w:ascii="Times New Roman" w:hAnsi="Times New Roman" w:cs="Times New Roman" w:eastAsia="Times New Roman" w:hint="default"/>
        </w:rPr>
        <w:t>34,443.045</w:t>
      </w:r>
      <w:r>
        <w:rPr/>
        <w:t>万股为基数，向全体股东以资本公积金按每</w:t>
      </w:r>
      <w:r>
        <w:rPr>
          <w:rFonts w:ascii="Times New Roman" w:hAnsi="Times New Roman" w:cs="Times New Roman" w:eastAsia="Times New Roman" w:hint="default"/>
        </w:rPr>
        <w:t>10</w:t>
      </w:r>
      <w:r>
        <w:rPr/>
        <w:t>股转</w:t>
      </w:r>
    </w:p>
    <w:p>
      <w:pPr>
        <w:pStyle w:val="BodyText"/>
        <w:spacing w:line="300" w:lineRule="auto" w:before="13"/>
        <w:ind w:left="513" w:right="99" w:hanging="361"/>
        <w:jc w:val="left"/>
      </w:pPr>
      <w:r>
        <w:rPr>
          <w:spacing w:val="-2"/>
        </w:rPr>
        <w:t>增</w:t>
      </w:r>
      <w:r>
        <w:rPr>
          <w:rFonts w:ascii="Times New Roman" w:hAnsi="Times New Roman" w:cs="Times New Roman" w:eastAsia="Times New Roman" w:hint="default"/>
          <w:spacing w:val="-2"/>
        </w:rPr>
        <w:t>7</w:t>
      </w:r>
      <w:r>
        <w:rPr>
          <w:spacing w:val="-2"/>
        </w:rPr>
        <w:t>股的比例转增股本，送转完成后，公司总股本增至</w:t>
      </w:r>
      <w:r>
        <w:rPr>
          <w:rFonts w:ascii="Times New Roman" w:hAnsi="Times New Roman" w:cs="Times New Roman" w:eastAsia="Times New Roman" w:hint="default"/>
          <w:spacing w:val="-2"/>
        </w:rPr>
        <w:t>58,553.1765</w:t>
      </w:r>
      <w:r>
        <w:rPr>
          <w:spacing w:val="-2"/>
        </w:rPr>
        <w:t>万股。资本公积金转增股本的方案已于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9</w:t>
      </w:r>
      <w:r>
        <w:rPr>
          <w:spacing w:val="-2"/>
        </w:rPr>
        <w:t>日实施。</w:t>
      </w:r>
      <w:r>
        <w:rPr>
          <w:spacing w:val="-52"/>
        </w:rPr>
        <w:t> </w:t>
      </w: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日公司注册资本为</w:t>
      </w:r>
      <w:r>
        <w:rPr>
          <w:rFonts w:ascii="Times New Roman" w:hAnsi="Times New Roman" w:cs="Times New Roman" w:eastAsia="Times New Roman" w:hint="default"/>
        </w:rPr>
        <w:t>585,531,765.00</w:t>
      </w:r>
      <w:r>
        <w:rPr/>
        <w:t>元。 </w:t>
      </w:r>
      <w:r>
        <w:rPr>
          <w:spacing w:val="-2"/>
        </w:rPr>
        <w:t>公司属专用设备制造业，主要的经营业务包括：电子产品、通讯产品、电脑软件、金融机具网络、自动柜员机及点钞机</w:t>
      </w:r>
    </w:p>
    <w:p>
      <w:pPr>
        <w:pStyle w:val="BodyText"/>
        <w:spacing w:line="316" w:lineRule="auto" w:before="32"/>
        <w:ind w:right="185"/>
        <w:jc w:val="left"/>
      </w:pPr>
      <w:r>
        <w:rPr>
          <w:spacing w:val="-2"/>
        </w:rPr>
        <w:t>设备系统的研究、开发、生产（限分公司生产）。维修、维护、租赁：计算机及其配件、金融机具设备及配件。安全技术防</w:t>
      </w:r>
      <w:r>
        <w:rPr>
          <w:spacing w:val="-72"/>
        </w:rPr>
        <w:t> </w:t>
      </w:r>
      <w:r>
        <w:rPr>
          <w:spacing w:val="-72"/>
        </w:rPr>
      </w:r>
      <w:r>
        <w:rPr/>
        <w:t>范工程设计、施工、维修。商品信息咨询、技术咨询。批发和零售贸易（国家专营专控商品除外）。</w:t>
      </w:r>
    </w:p>
    <w:p>
      <w:pPr>
        <w:pStyle w:val="BodyText"/>
        <w:spacing w:line="309" w:lineRule="auto" w:before="19"/>
        <w:ind w:left="513" w:right="4953"/>
        <w:jc w:val="left"/>
      </w:pPr>
      <w:r>
        <w:rPr/>
        <w:t>主要产品为自动柜员机，报告期内生产经营良好。 公司住所：广州市天河区五山路金山大厦</w:t>
      </w:r>
      <w:r>
        <w:rPr>
          <w:rFonts w:ascii="Times New Roman" w:hAnsi="Times New Roman" w:cs="Times New Roman" w:eastAsia="Times New Roman" w:hint="default"/>
        </w:rPr>
        <w:t>26</w:t>
      </w:r>
      <w:r>
        <w:rPr/>
        <w:t>层</w:t>
      </w:r>
      <w:r>
        <w:rPr>
          <w:rFonts w:ascii="Times New Roman" w:hAnsi="Times New Roman" w:cs="Times New Roman" w:eastAsia="Times New Roman" w:hint="default"/>
        </w:rPr>
        <w:t>06</w:t>
      </w:r>
      <w:r>
        <w:rPr/>
        <w:t>、</w:t>
      </w:r>
      <w:r>
        <w:rPr>
          <w:rFonts w:ascii="Times New Roman" w:hAnsi="Times New Roman" w:cs="Times New Roman" w:eastAsia="Times New Roman" w:hint="default"/>
        </w:rPr>
        <w:t>10</w:t>
      </w:r>
      <w:r>
        <w:rPr/>
        <w:t>房。 公司法定代表人：杨文江。</w:t>
      </w:r>
    </w:p>
    <w:p>
      <w:pPr>
        <w:spacing w:line="240" w:lineRule="auto" w:before="3"/>
        <w:rPr>
          <w:rFonts w:ascii="宋体" w:hAnsi="宋体" w:cs="宋体" w:eastAsia="宋体" w:hint="default"/>
          <w:sz w:val="21"/>
          <w:szCs w:val="21"/>
        </w:rPr>
      </w:pPr>
    </w:p>
    <w:p>
      <w:pPr>
        <w:pStyle w:val="Heading2"/>
        <w:spacing w:line="240" w:lineRule="auto"/>
        <w:ind w:right="185"/>
        <w:jc w:val="left"/>
        <w:rPr>
          <w:b w:val="0"/>
          <w:bCs w:val="0"/>
        </w:rPr>
      </w:pPr>
      <w:r>
        <w:rPr/>
        <w:t>四、公司主要会计政策、会计估计和前期差错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85"/>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84" w:firstLine="360"/>
        <w:jc w:val="left"/>
      </w:pPr>
      <w:r>
        <w:rPr/>
        <w:t>公司以持续经营为基础，根据实际发生的交易和事项，按照财政部于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日颁布的《企业会计准则</w:t>
      </w:r>
      <w:r>
        <w:rPr>
          <w:rFonts w:ascii="Times New Roman" w:hAnsi="Times New Roman" w:cs="Times New Roman" w:eastAsia="Times New Roman" w:hint="default"/>
        </w:rPr>
        <w:t>——</w:t>
      </w:r>
      <w:r>
        <w:rPr/>
        <w:t>基本准 则》和</w:t>
      </w:r>
      <w:r>
        <w:rPr>
          <w:rFonts w:ascii="Times New Roman" w:hAnsi="Times New Roman" w:cs="Times New Roman" w:eastAsia="Times New Roman" w:hint="default"/>
        </w:rPr>
        <w:t>38</w:t>
      </w:r>
      <w:r>
        <w:rPr/>
        <w:t>项具体会计准则、其后颁布的企业会计准则应用指南、企业会计准则解释及其他相关规定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企业会计准 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1"/>
        </w:rPr>
        <w:t> </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(2010</w:t>
      </w:r>
      <w:r>
        <w:rPr/>
        <w:t>年修</w:t>
      </w:r>
      <w:r>
        <w:rPr>
          <w:spacing w:val="-3"/>
        </w:rPr>
        <w:t> </w:t>
      </w:r>
      <w:r>
        <w:rPr/>
        <w:t>订</w:t>
      </w:r>
      <w:r>
        <w:rPr>
          <w:rFonts w:ascii="Times New Roman" w:hAnsi="Times New Roman" w:cs="Times New Roman" w:eastAsia="Times New Roman" w:hint="default"/>
        </w:rPr>
        <w:t>)</w:t>
      </w:r>
      <w:r>
        <w:rPr/>
        <w:t>的披露规定编制财务报表。</w:t>
      </w:r>
    </w:p>
    <w:p>
      <w:pPr>
        <w:spacing w:line="240" w:lineRule="auto" w:before="4"/>
        <w:rPr>
          <w:rFonts w:ascii="宋体" w:hAnsi="宋体" w:cs="宋体" w:eastAsia="宋体" w:hint="default"/>
          <w:sz w:val="22"/>
          <w:szCs w:val="22"/>
        </w:rPr>
      </w:pPr>
    </w:p>
    <w:p>
      <w:pPr>
        <w:pStyle w:val="Heading3"/>
        <w:spacing w:line="240" w:lineRule="auto"/>
        <w:ind w:right="185"/>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85" w:firstLine="360"/>
        <w:jc w:val="left"/>
      </w:pPr>
      <w:r>
        <w:rPr>
          <w:spacing w:val="-2"/>
        </w:rPr>
        <w:t>公司所编制的财务报表符合企业会计准则的要求，真实、完整地反映了报告期公司的财务状况、经营成果、现金流量等</w:t>
      </w:r>
      <w:r>
        <w:rPr/>
        <w:t> 有关信息。</w:t>
      </w:r>
    </w:p>
    <w:p>
      <w:pPr>
        <w:spacing w:line="240" w:lineRule="auto" w:before="10"/>
        <w:rPr>
          <w:rFonts w:ascii="宋体" w:hAnsi="宋体" w:cs="宋体" w:eastAsia="宋体" w:hint="default"/>
          <w:sz w:val="22"/>
          <w:szCs w:val="22"/>
        </w:rPr>
      </w:pPr>
    </w:p>
    <w:p>
      <w:pPr>
        <w:pStyle w:val="Heading3"/>
        <w:spacing w:line="240" w:lineRule="auto"/>
        <w:ind w:right="185"/>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85"/>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3"/>
        <w:rPr>
          <w:rFonts w:ascii="宋体" w:hAnsi="宋体" w:cs="宋体" w:eastAsia="宋体" w:hint="default"/>
          <w:sz w:val="26"/>
          <w:szCs w:val="26"/>
        </w:rPr>
      </w:pPr>
    </w:p>
    <w:p>
      <w:pPr>
        <w:pStyle w:val="Heading3"/>
        <w:spacing w:line="240" w:lineRule="auto"/>
        <w:ind w:right="185"/>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85"/>
        <w:jc w:val="left"/>
      </w:pPr>
      <w:r>
        <w:rPr/>
        <w:t>采用人民币为记账本位币。</w:t>
      </w:r>
    </w:p>
    <w:p>
      <w:pPr>
        <w:spacing w:after="0" w:line="240"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85" w:firstLine="360"/>
        <w:jc w:val="left"/>
      </w:pPr>
      <w:r>
        <w:rPr>
          <w:spacing w:val="-2"/>
        </w:rPr>
        <w:t>本公司在企业合并中取得的资产和负债，按照合并日在被合并方的账面价值计量。被合并各方采用的会计政策与本公司</w:t>
      </w:r>
      <w:r>
        <w:rPr/>
        <w:t> 不一致的，本公司在合并日按照本公司会计政策进行调整，在此基础上按照调整后的账面价值确认。</w:t>
      </w:r>
    </w:p>
    <w:p>
      <w:pPr>
        <w:pStyle w:val="BodyText"/>
        <w:spacing w:line="316" w:lineRule="auto" w:before="19"/>
        <w:ind w:right="185" w:firstLine="360"/>
        <w:jc w:val="left"/>
      </w:pPr>
      <w:r>
        <w:rPr>
          <w:spacing w:val="-2"/>
        </w:rPr>
        <w:t>在合并中取得的净资产账面价值与支付的合并对价账面价值（或发行股份面值总额）的差额，调整资本公积中的股本溢</w:t>
      </w:r>
      <w:r>
        <w:rPr/>
        <w:t> 价，资本公积中的股本溢价不足冲减的，调整留存收益。</w:t>
      </w:r>
    </w:p>
    <w:p>
      <w:pPr>
        <w:pStyle w:val="BodyText"/>
        <w:spacing w:line="316" w:lineRule="auto" w:before="19"/>
        <w:ind w:right="99" w:firstLine="360"/>
        <w:jc w:val="left"/>
      </w:pPr>
      <w:r>
        <w:rPr>
          <w:spacing w:val="-4"/>
        </w:rPr>
        <w:t>本公司为进行企业合并而发生的各项直接相关费用，包括为进行企业合并而支付的审计费用、评估费用、法律服务费等，</w:t>
      </w:r>
      <w:r>
        <w:rPr/>
        <w:t> 于发生时计入当期损益。</w:t>
      </w:r>
    </w:p>
    <w:p>
      <w:pPr>
        <w:pStyle w:val="BodyText"/>
        <w:spacing w:line="240" w:lineRule="auto" w:before="19"/>
        <w:ind w:left="513" w:right="0"/>
        <w:jc w:val="left"/>
      </w:pPr>
      <w:r>
        <w:rPr/>
        <w:t>企业合并中发行权益性证券发生的手续费、佣金等，抵减权益性证券溢价收入，溢价收入不足冲减的，冲减留存收益。</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99" w:firstLine="360"/>
        <w:jc w:val="left"/>
      </w:pPr>
      <w:r>
        <w:rPr>
          <w:spacing w:val="-4"/>
        </w:rPr>
        <w:t>本公司在购买日对作为企业合并对价付出的资产、发生或承担的负债按照公允价值计量。公允价值与其账面价值的差额，</w:t>
      </w:r>
      <w:r>
        <w:rPr/>
        <w:t> 计入当期损益。</w:t>
      </w:r>
    </w:p>
    <w:p>
      <w:pPr>
        <w:pStyle w:val="BodyText"/>
        <w:spacing w:line="316" w:lineRule="auto" w:before="19"/>
        <w:ind w:left="513" w:right="185"/>
        <w:jc w:val="left"/>
      </w:pPr>
      <w:r>
        <w:rPr/>
        <w:t>本公司在购买日对合并成本进行分配，确认所取得的被购买方各项可辨认资产、负债及或有负债的公允价值。 </w:t>
      </w:r>
      <w:r>
        <w:rPr>
          <w:spacing w:val="-2"/>
        </w:rPr>
        <w:t>本公司对合并成本大于合并中取得的被购买方可辨认净资产公允价值份额的差额，确认为商誉；合并成本小于合并中取</w:t>
      </w:r>
    </w:p>
    <w:p>
      <w:pPr>
        <w:pStyle w:val="BodyText"/>
        <w:spacing w:line="316" w:lineRule="auto" w:before="19"/>
        <w:ind w:left="513" w:right="185" w:hanging="361"/>
        <w:jc w:val="left"/>
      </w:pPr>
      <w:r>
        <w:rPr/>
        <w:t>得的被购买方可辨认净资产公允价值份额的差额，经复核后，计入当期损益。 </w:t>
      </w:r>
      <w:r>
        <w:rPr>
          <w:spacing w:val="-2"/>
        </w:rPr>
        <w:t>企业合并中取得的被购买方除无形资产外的其他各项资产（不仅限于被购买方原已确认的资产），其所带来的经济利益</w:t>
      </w:r>
    </w:p>
    <w:p>
      <w:pPr>
        <w:pStyle w:val="BodyText"/>
        <w:spacing w:line="316" w:lineRule="auto" w:before="19"/>
        <w:ind w:right="190"/>
        <w:jc w:val="both"/>
      </w:pPr>
      <w:r>
        <w:rPr>
          <w:spacing w:val="-2"/>
        </w:rPr>
        <w:t>很可能流入本公司且公允价值能够可靠计量的，单独确认并按公允价值计量；公允价值能够可靠计量的无形资产，单独确认</w:t>
      </w:r>
      <w:r>
        <w:rPr>
          <w:spacing w:val="-63"/>
        </w:rPr>
        <w:t> </w:t>
      </w:r>
      <w:r>
        <w:rPr>
          <w:spacing w:val="-63"/>
        </w:rPr>
      </w:r>
      <w:r>
        <w:rPr>
          <w:spacing w:val="-2"/>
        </w:rPr>
        <w:t>为无形资产并按公允价值计量；取得的被购买方除或有负债以外的其他各项负债，履行有关义务很可能导致经济利益流出本</w:t>
      </w:r>
      <w:r>
        <w:rPr>
          <w:spacing w:val="-64"/>
        </w:rPr>
        <w:t> </w:t>
      </w:r>
      <w:r>
        <w:rPr>
          <w:spacing w:val="-64"/>
        </w:rPr>
      </w:r>
      <w:r>
        <w:rPr>
          <w:spacing w:val="-2"/>
        </w:rPr>
        <w:t>公司且公允价值能够可靠计量的，单独确认并按照公允价值计量；取得的被购买方或有负债，其公允价值能可靠计量的，单</w:t>
      </w:r>
      <w:r>
        <w:rPr>
          <w:spacing w:val="-64"/>
        </w:rPr>
        <w:t> </w:t>
      </w:r>
      <w:r>
        <w:rPr>
          <w:spacing w:val="-64"/>
        </w:rPr>
      </w:r>
      <w:r>
        <w:rPr/>
        <w:t>独确认为负债并按照公允价值计量。</w:t>
      </w:r>
    </w:p>
    <w:p>
      <w:pPr>
        <w:pStyle w:val="BodyText"/>
        <w:spacing w:line="312" w:lineRule="auto" w:before="19"/>
        <w:ind w:right="94" w:firstLine="360"/>
        <w:jc w:val="left"/>
      </w:pPr>
      <w:r>
        <w:rPr/>
        <w:t>本公司在企业合并中取得的被购买方的可抵扣暂时性差异，在购买日不符合递延所得税资产确认条件的，不予以确认。 </w:t>
      </w:r>
      <w:r>
        <w:rPr>
          <w:spacing w:val="-2"/>
        </w:rPr>
        <w:t>购买日后</w:t>
      </w:r>
      <w:r>
        <w:rPr>
          <w:rFonts w:ascii="Times New Roman" w:hAnsi="Times New Roman" w:cs="Times New Roman" w:eastAsia="Times New Roman" w:hint="default"/>
          <w:spacing w:val="-2"/>
        </w:rPr>
        <w:t>12</w:t>
      </w:r>
      <w:r>
        <w:rPr>
          <w:spacing w:val="-2"/>
        </w:rPr>
        <w:t>个月内，如取得新的或进一步的信息表明购买日的相关情况已经存在，预期被购买方在购买日可抵扣暂时性差异</w:t>
      </w:r>
      <w:r>
        <w:rPr>
          <w:spacing w:val="-62"/>
        </w:rPr>
        <w:t> </w:t>
      </w:r>
      <w:r>
        <w:rPr>
          <w:spacing w:val="-62"/>
        </w:rPr>
      </w:r>
      <w:r>
        <w:rPr>
          <w:spacing w:val="-2"/>
        </w:rPr>
        <w:t>带来的经济利益能够实现的，确认相关的递延所得税资产，同时减少商誉，商誉不足冲减的，差额部分确认为当期损益；除</w:t>
      </w:r>
      <w:r>
        <w:rPr>
          <w:spacing w:val="-67"/>
        </w:rPr>
        <w:t> </w:t>
      </w:r>
      <w:r>
        <w:rPr>
          <w:spacing w:val="-67"/>
        </w:rPr>
      </w:r>
      <w:r>
        <w:rPr/>
        <w:t>上述情况以外，确认与企业合并相关的递延所得税资产，计入当期损益。</w:t>
      </w:r>
    </w:p>
    <w:p>
      <w:pPr>
        <w:pStyle w:val="BodyText"/>
        <w:spacing w:line="316" w:lineRule="auto" w:before="22"/>
        <w:ind w:right="193" w:firstLine="360"/>
        <w:jc w:val="both"/>
      </w:pPr>
      <w:r>
        <w:rPr>
          <w:spacing w:val="-2"/>
        </w:rPr>
        <w:t>非同一控制下企业合并，购买方为企业合并发生的审计、法律服务、评估咨询等中介费用以及其他相关管理费用，应当</w:t>
      </w:r>
      <w:r>
        <w:rPr/>
        <w:t> </w:t>
      </w:r>
      <w:r>
        <w:rPr>
          <w:spacing w:val="-2"/>
        </w:rPr>
        <w:t>于发生时计入当期损益；购买方作为合并对价发行的权益性证券或债务性证券的交易费用，应当计入权益性证券或债务性证</w:t>
      </w:r>
      <w:r>
        <w:rPr>
          <w:spacing w:val="-64"/>
        </w:rPr>
        <w:t> </w:t>
      </w:r>
      <w:r>
        <w:rPr>
          <w:spacing w:val="-64"/>
        </w:rPr>
      </w:r>
      <w:r>
        <w:rPr/>
        <w:t>券的初始确认金额。</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513" w:right="185"/>
        <w:jc w:val="left"/>
      </w:pPr>
      <w:r>
        <w:rPr/>
        <w:t>本公司合并财务报表的合并范围以控制为基础确定，所有子公司均纳入合并财务报表。 </w:t>
      </w:r>
      <w:r>
        <w:rPr>
          <w:spacing w:val="-2"/>
        </w:rPr>
        <w:t>所有纳入合并财务报表合并范围的子公司所采用的会计政策、会计期间与本公司一致，如子公司采用的会计政策、会计</w:t>
      </w:r>
    </w:p>
    <w:p>
      <w:pPr>
        <w:pStyle w:val="BodyText"/>
        <w:spacing w:line="316" w:lineRule="auto" w:before="17"/>
        <w:ind w:right="191"/>
        <w:jc w:val="both"/>
      </w:pPr>
      <w:r>
        <w:rPr>
          <w:spacing w:val="-2"/>
        </w:rPr>
        <w:t>期间与本公司不一致的，在编制合并财务报表时，按本公司的会计政策、会计期间进行必要的调整。对于非同一控制下企业</w:t>
      </w:r>
      <w:r>
        <w:rPr>
          <w:spacing w:val="-65"/>
        </w:rPr>
        <w:t> </w:t>
      </w:r>
      <w:r>
        <w:rPr>
          <w:spacing w:val="-65"/>
        </w:rPr>
      </w:r>
      <w:r>
        <w:rPr>
          <w:spacing w:val="-2"/>
        </w:rPr>
        <w:t>合并取得的子公司，以购买日可辨认净资产公允价值为基础对其财务报表进行调整。合并财务报表以本公司及子公司的财务</w:t>
      </w:r>
      <w:r>
        <w:rPr>
          <w:spacing w:val="-64"/>
        </w:rPr>
        <w:t> </w:t>
      </w:r>
      <w:r>
        <w:rPr>
          <w:spacing w:val="-64"/>
        </w:rPr>
      </w:r>
      <w:r>
        <w:rPr/>
        <w:t>报表为基础，根据其他有关资料，按照权益法调整对子公司的长期股权投资后，由本公司编制。</w:t>
      </w:r>
    </w:p>
    <w:p>
      <w:pPr>
        <w:pStyle w:val="BodyText"/>
        <w:spacing w:line="316" w:lineRule="auto" w:before="19"/>
        <w:ind w:right="185" w:firstLine="360"/>
        <w:jc w:val="left"/>
      </w:pPr>
      <w:r>
        <w:rPr>
          <w:spacing w:val="-2"/>
        </w:rPr>
        <w:t>合并财务报表时抵销本公司与各子公司、各子公司相互之间发生的内部交易对合并资产负债表、合并利润表、合并现金</w:t>
      </w:r>
      <w:r>
        <w:rPr/>
        <w:t> 流量表、合并所有者权益变动表的影响。</w:t>
      </w:r>
    </w:p>
    <w:p>
      <w:pPr>
        <w:pStyle w:val="BodyText"/>
        <w:spacing w:line="316" w:lineRule="auto" w:before="18"/>
        <w:ind w:right="94" w:firstLine="360"/>
        <w:jc w:val="left"/>
      </w:pPr>
      <w:r>
        <w:rPr/>
        <w:t>子公司少数股东应占的权益和损益分别在合并资产负债表中所有者权益项目下和合并利润表中净利润项目下单独列示。 子公司少数股东分担的当期亏损超过了少数股东在该子公司期初所有者权益中所享有份额而形成的余额，冲减少数股东权</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85"/>
        <w:jc w:val="left"/>
      </w:pPr>
      <w:r>
        <w:rPr/>
        <w:t>益。</w:t>
      </w:r>
    </w:p>
    <w:p>
      <w:pPr>
        <w:pStyle w:val="BodyText"/>
        <w:spacing w:line="240" w:lineRule="auto" w:before="77"/>
        <w:ind w:left="513" w:right="0"/>
        <w:jc w:val="left"/>
      </w:pPr>
      <w:r>
        <w:rPr/>
        <w:t>在报告期内，若因同一控制下企业合并增加子公司的，则调整合并资产负债表的期初数；将子公司合并当期期初至报告</w:t>
      </w:r>
    </w:p>
    <w:p>
      <w:pPr>
        <w:pStyle w:val="BodyText"/>
        <w:spacing w:line="316" w:lineRule="auto" w:before="76"/>
        <w:ind w:right="185"/>
        <w:jc w:val="left"/>
      </w:pPr>
      <w:r>
        <w:rPr>
          <w:spacing w:val="-2"/>
        </w:rPr>
        <w:t>期末的收入、费用、利润纳入合并利润表；将子公司合并当期期初至报告期末的现金流量纳入合并现金流量表，同时对比较</w:t>
      </w:r>
      <w:r>
        <w:rPr>
          <w:spacing w:val="-63"/>
        </w:rPr>
        <w:t> </w:t>
      </w:r>
      <w:r>
        <w:rPr>
          <w:spacing w:val="-63"/>
        </w:rPr>
      </w:r>
      <w:r>
        <w:rPr/>
        <w:t>报表的相关项目进行调整，视同合并后的报告主体在以前期间一直存在。</w:t>
      </w:r>
    </w:p>
    <w:p>
      <w:pPr>
        <w:pStyle w:val="BodyText"/>
        <w:spacing w:line="316" w:lineRule="auto" w:before="19"/>
        <w:ind w:right="188" w:firstLine="360"/>
        <w:jc w:val="both"/>
      </w:pPr>
      <w:r>
        <w:rPr>
          <w:spacing w:val="-2"/>
        </w:rPr>
        <w:t>在报告期内，若因非同一控制下企业合并增加子公司的，则不调整合并资产负债表期初数；将子公司自购买日至报告期</w:t>
      </w:r>
      <w:r>
        <w:rPr/>
        <w:t> </w:t>
      </w:r>
      <w:r>
        <w:rPr>
          <w:spacing w:val="-2"/>
        </w:rPr>
        <w:t>末的收入、费用、利润纳入合并利润表；该子公司自购买日至报告期末的现金流量纳入合并现金流量表。通过多次交易分步</w:t>
      </w:r>
      <w:r>
        <w:rPr>
          <w:spacing w:val="-64"/>
        </w:rPr>
        <w:t> </w:t>
      </w:r>
      <w:r>
        <w:rPr>
          <w:spacing w:val="-64"/>
        </w:rPr>
      </w:r>
      <w:r>
        <w:rPr>
          <w:spacing w:val="-2"/>
        </w:rPr>
        <w:t>实现非同一控制下企业合并时，对于购买日之前持有的被购买方的股权，本公司按照该股权在购买日的公允价值进行重新计</w:t>
      </w:r>
      <w:r>
        <w:rPr>
          <w:spacing w:val="-64"/>
        </w:rPr>
        <w:t> </w:t>
      </w:r>
      <w:r>
        <w:rPr>
          <w:spacing w:val="-64"/>
        </w:rPr>
      </w:r>
      <w:r>
        <w:rPr>
          <w:spacing w:val="-2"/>
        </w:rPr>
        <w:t>量，公允价值与其账面价值的差额计入当期投资收益。购买日之前持有的被购买方的股权涉及其他综合收益的，与其相关的</w:t>
      </w:r>
      <w:r>
        <w:rPr>
          <w:spacing w:val="-61"/>
        </w:rPr>
        <w:t> </w:t>
      </w:r>
      <w:r>
        <w:rPr>
          <w:spacing w:val="-61"/>
        </w:rPr>
      </w:r>
      <w:r>
        <w:rPr/>
        <w:t>其他综合收益转为购买日所属当期投资收益。</w:t>
      </w:r>
    </w:p>
    <w:p>
      <w:pPr>
        <w:pStyle w:val="BodyText"/>
        <w:spacing w:line="319" w:lineRule="auto" w:before="19"/>
        <w:ind w:right="190" w:firstLine="360"/>
        <w:jc w:val="both"/>
      </w:pPr>
      <w:r>
        <w:rPr>
          <w:spacing w:val="-2"/>
        </w:rPr>
        <w:t>在报告期内，本公司处置子公司，则该子公司期初至处置日的收入、费用、利润纳入合并利润表；该子公司期初至处置</w:t>
      </w:r>
      <w:r>
        <w:rPr/>
        <w:t> </w:t>
      </w:r>
      <w:r>
        <w:rPr>
          <w:spacing w:val="-2"/>
        </w:rPr>
        <w:t>日的现金流量纳入合并现金流量表。因处置部分股权投资或其他原因丧失了对原有子公司控制权时，对于处置后的剩余股权</w:t>
      </w:r>
      <w:r>
        <w:rPr>
          <w:spacing w:val="-64"/>
        </w:rPr>
        <w:t> </w:t>
      </w:r>
      <w:r>
        <w:rPr>
          <w:spacing w:val="-64"/>
        </w:rPr>
      </w:r>
      <w:r>
        <w:rPr>
          <w:spacing w:val="-2"/>
        </w:rPr>
        <w:t>投资，本公司按照其在丧失控制权日的公允价值进行重新计量。处置股权取得的对价与剩余股权公允价值之和，减去按原持</w:t>
      </w:r>
      <w:r>
        <w:rPr>
          <w:spacing w:val="-63"/>
        </w:rPr>
        <w:t> </w:t>
      </w:r>
      <w:r>
        <w:rPr>
          <w:spacing w:val="-63"/>
        </w:rPr>
      </w:r>
      <w:r>
        <w:rPr>
          <w:spacing w:val="-2"/>
        </w:rPr>
        <w:t>股比例计算应享有原有子公司自购买日开始持续计算的净资产的份额之间的差额，计入丧失控制权当期的投资收益。与原有</w:t>
      </w:r>
      <w:r>
        <w:rPr>
          <w:spacing w:val="-64"/>
        </w:rPr>
        <w:t> </w:t>
      </w:r>
      <w:r>
        <w:rPr>
          <w:spacing w:val="-64"/>
        </w:rPr>
      </w:r>
      <w:r>
        <w:rPr/>
        <w:t>子公司股权投资相关的其他综合收益，在丧失控制权时转为当期投资收益。</w:t>
      </w:r>
    </w:p>
    <w:p>
      <w:pPr>
        <w:pStyle w:val="BodyText"/>
        <w:spacing w:line="316" w:lineRule="auto" w:before="17"/>
        <w:ind w:right="94" w:firstLine="360"/>
        <w:jc w:val="left"/>
      </w:pPr>
      <w:r>
        <w:rPr/>
        <w:t>本公司因购买少数股权新取得的长期股权投资与按照新增持股比例计算应享有子公司的可辨认净资产份额之间的差额， 以及在不丧失控制权的情况下因部分处置对子公司的股权投资而取得的处置价款与处置长期股权投资相对应享有子公司净</w:t>
      </w:r>
      <w:r>
        <w:rPr>
          <w:spacing w:val="-11"/>
        </w:rPr>
        <w:t> </w:t>
      </w:r>
      <w:r>
        <w:rPr>
          <w:spacing w:val="-11"/>
        </w:rPr>
      </w:r>
      <w:r>
        <w:rPr/>
        <w:t>资产份额的差额，均调整合并资产负债表中的资本公积中的股本溢价，资本公积中的股本溢价不足冲减的，调整留存收益。</w:t>
      </w:r>
    </w:p>
    <w:p>
      <w:pPr>
        <w:spacing w:line="240" w:lineRule="auto" w:before="10"/>
        <w:rPr>
          <w:rFonts w:ascii="宋体" w:hAnsi="宋体" w:cs="宋体" w:eastAsia="宋体" w:hint="default"/>
          <w:sz w:val="22"/>
          <w:szCs w:val="22"/>
        </w:rPr>
      </w:pPr>
    </w:p>
    <w:p>
      <w:pPr>
        <w:pStyle w:val="Heading3"/>
        <w:spacing w:line="240" w:lineRule="auto"/>
        <w:ind w:right="185"/>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360"/>
        <w:jc w:val="both"/>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line="240" w:lineRule="auto" w:before="10"/>
        <w:rPr>
          <w:rFonts w:ascii="宋体" w:hAnsi="宋体" w:cs="宋体" w:eastAsia="宋体" w:hint="default"/>
          <w:sz w:val="22"/>
          <w:szCs w:val="22"/>
        </w:rPr>
      </w:pPr>
    </w:p>
    <w:p>
      <w:pPr>
        <w:pStyle w:val="Heading3"/>
        <w:spacing w:line="240" w:lineRule="auto"/>
        <w:ind w:right="185"/>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85"/>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85"/>
        <w:jc w:val="left"/>
      </w:pPr>
      <w:r>
        <w:rPr/>
        <w:t>外币业务采用交易发生日的即期汇率作为折算汇率将外币金额折合成人民币记账。 </w:t>
      </w:r>
      <w:r>
        <w:rPr>
          <w:spacing w:val="-2"/>
        </w:rPr>
        <w:t>外币货币性项目余额按资产负债表日即期汇率折算，由此产生的汇兑差额，除属于与购建符合资本化条件的资产相关的</w:t>
      </w:r>
    </w:p>
    <w:p>
      <w:pPr>
        <w:pStyle w:val="BodyText"/>
        <w:spacing w:line="316" w:lineRule="auto" w:before="19"/>
        <w:ind w:right="94"/>
        <w:jc w:val="left"/>
      </w:pPr>
      <w:r>
        <w:rPr/>
        <w:t>外币专门借款产生的汇兑差额按照借款费用资本化的原则处理外，均计入当期损益。以历史成本计量的外币非货币性项目， </w:t>
      </w:r>
      <w:r>
        <w:rPr>
          <w:spacing w:val="-2"/>
        </w:rPr>
        <w:t>仍采用交易发生日的即期汇率折算，不改变其记账本位币金额。以公允价值计量的外币非货币性项目，采用公允价值确定日</w:t>
      </w:r>
      <w:r>
        <w:rPr>
          <w:spacing w:val="-61"/>
        </w:rPr>
        <w:t> </w:t>
      </w:r>
      <w:r>
        <w:rPr>
          <w:spacing w:val="-61"/>
        </w:rPr>
      </w:r>
      <w:r>
        <w:rPr/>
        <w:t>的即期汇率折算，由此产生的汇兑差额计入当期损益或资本公积。</w:t>
      </w:r>
    </w:p>
    <w:p>
      <w:pPr>
        <w:spacing w:line="240" w:lineRule="auto" w:before="10"/>
        <w:rPr>
          <w:rFonts w:ascii="宋体" w:hAnsi="宋体" w:cs="宋体" w:eastAsia="宋体" w:hint="default"/>
          <w:sz w:val="22"/>
          <w:szCs w:val="22"/>
        </w:rPr>
      </w:pPr>
    </w:p>
    <w:p>
      <w:pPr>
        <w:pStyle w:val="Heading3"/>
        <w:spacing w:line="240" w:lineRule="auto"/>
        <w:ind w:right="185"/>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90" w:firstLine="360"/>
        <w:jc w:val="both"/>
      </w:pP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r>
        <w:rPr/>
        <w:t> </w:t>
      </w:r>
      <w:r>
        <w:rPr>
          <w:spacing w:val="-2"/>
        </w:rPr>
        <w:t>目采用发生时的即期汇率折算。利润表中的收入和费用项目，采用交易发生日的即期汇率折算。按照上述折算产生的外币财</w:t>
      </w:r>
      <w:r>
        <w:rPr>
          <w:spacing w:val="-63"/>
        </w:rPr>
        <w:t> </w:t>
      </w:r>
      <w:r>
        <w:rPr>
          <w:spacing w:val="-63"/>
        </w:rPr>
      </w:r>
      <w:r>
        <w:rPr/>
        <w:t>务报表折算差额，在资产负债表所有者权益项目下单独列示。</w:t>
      </w:r>
    </w:p>
    <w:p>
      <w:pPr>
        <w:pStyle w:val="BodyText"/>
        <w:spacing w:line="316" w:lineRule="auto" w:before="24"/>
        <w:ind w:right="103" w:firstLine="360"/>
        <w:jc w:val="both"/>
      </w:pPr>
      <w:r>
        <w:rPr>
          <w:spacing w:val="-2"/>
        </w:rPr>
        <w:t>处置境外经营时，将资产负债表中所有者权益项目下列示的、与该境外经营相关的外币财务报表折算差额，自所有者权</w:t>
      </w:r>
      <w:r>
        <w:rPr/>
        <w:t> </w:t>
      </w:r>
      <w:r>
        <w:rPr>
          <w:spacing w:val="-4"/>
        </w:rPr>
        <w:t>益项目转入处置当期损益；部分处置境外经营的，按处置的比例计算处置部分的外币财务报表折算差额，转入处置当期损益。</w:t>
      </w:r>
    </w:p>
    <w:p>
      <w:pPr>
        <w:spacing w:line="240" w:lineRule="auto" w:before="10"/>
        <w:rPr>
          <w:rFonts w:ascii="宋体" w:hAnsi="宋体" w:cs="宋体" w:eastAsia="宋体" w:hint="default"/>
          <w:sz w:val="22"/>
          <w:szCs w:val="22"/>
        </w:rPr>
      </w:pPr>
    </w:p>
    <w:p>
      <w:pPr>
        <w:pStyle w:val="Heading3"/>
        <w:spacing w:line="240" w:lineRule="auto"/>
        <w:ind w:right="185"/>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85"/>
        <w:jc w:val="left"/>
      </w:pPr>
      <w:r>
        <w:rPr/>
        <w:t>金融工具包括金融资产、金融负债和权益工具。</w:t>
      </w:r>
    </w:p>
    <w:p>
      <w:pPr>
        <w:spacing w:after="0" w:line="240" w:lineRule="auto"/>
        <w:jc w:val="left"/>
        <w:sectPr>
          <w:footerReference w:type="default" r:id="rId21"/>
          <w:pgSz w:w="11910" w:h="16840"/>
          <w:pgMar w:footer="1482" w:header="745" w:top="1060" w:bottom="1680" w:left="980" w:right="940"/>
          <w:pgNumType w:start="77"/>
        </w:sectPr>
      </w:pPr>
    </w:p>
    <w:p>
      <w:pPr>
        <w:spacing w:line="240" w:lineRule="auto" w:before="10"/>
        <w:rPr>
          <w:rFonts w:ascii="宋体" w:hAnsi="宋体" w:cs="宋体" w:eastAsia="宋体" w:hint="default"/>
          <w:sz w:val="24"/>
          <w:szCs w:val="24"/>
        </w:rPr>
      </w:pPr>
    </w:p>
    <w:p>
      <w:pPr>
        <w:pStyle w:val="Heading3"/>
        <w:spacing w:line="240" w:lineRule="auto" w:before="36"/>
        <w:ind w:right="185"/>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85" w:firstLine="360"/>
        <w:jc w:val="left"/>
      </w:pPr>
      <w:r>
        <w:rPr>
          <w:spacing w:val="-2"/>
        </w:rPr>
        <w:t>管理层按照取得持有金融资产和承担金融负债的目的，将其划分为：以公允价值计量且其变动计入当期损益的金融资产</w:t>
      </w:r>
      <w:r>
        <w:rPr/>
        <w:t> 或金融负债，包括交易性金融资产或金融负债；持有至到期投资；应收款项；可供出售金融资产；其他金融负债等。</w:t>
      </w:r>
    </w:p>
    <w:p>
      <w:pPr>
        <w:spacing w:line="240" w:lineRule="auto" w:before="10"/>
        <w:rPr>
          <w:rFonts w:ascii="宋体" w:hAnsi="宋体" w:cs="宋体" w:eastAsia="宋体" w:hint="default"/>
          <w:sz w:val="22"/>
          <w:szCs w:val="22"/>
        </w:rPr>
      </w:pPr>
    </w:p>
    <w:p>
      <w:pPr>
        <w:pStyle w:val="Heading3"/>
        <w:spacing w:line="240" w:lineRule="auto"/>
        <w:ind w:right="185"/>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185"/>
        <w:jc w:val="left"/>
      </w:pPr>
      <w:r>
        <w:rPr/>
        <w:t>①以公允价值计量且其变动计入当期损益的金融资产（金融负债）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316" w:lineRule="auto" w:before="19"/>
        <w:ind w:left="513" w:right="1893" w:hanging="361"/>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19" w:lineRule="auto" w:before="19"/>
        <w:ind w:left="513" w:right="185"/>
        <w:jc w:val="left"/>
      </w:pPr>
      <w:r>
        <w:rPr/>
        <w:t>②持有至到期投资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w:t>
      </w:r>
    </w:p>
    <w:p>
      <w:pPr>
        <w:pStyle w:val="BodyText"/>
        <w:spacing w:line="316" w:lineRule="auto" w:before="17"/>
        <w:ind w:left="513" w:right="4053" w:hanging="361"/>
        <w:jc w:val="left"/>
      </w:pPr>
      <w:r>
        <w:rPr/>
        <w:t>用的更短期间内保持不变。 处置时，将所取得价款与该投资账面价值之间的差额计入投资收益。</w:t>
      </w:r>
    </w:p>
    <w:p>
      <w:pPr>
        <w:pStyle w:val="BodyText"/>
        <w:spacing w:line="316" w:lineRule="auto" w:before="19"/>
        <w:ind w:left="513" w:right="185"/>
        <w:jc w:val="left"/>
      </w:pPr>
      <w:r>
        <w:rPr/>
        <w:t>③应收款项 </w:t>
      </w:r>
      <w:r>
        <w:rPr>
          <w:spacing w:val="-2"/>
        </w:rPr>
        <w:t>公司对外销售商品或提供劳务形成的应收债权，以及公司持有的其他企业的不包括在活跃市场上有报价的债务工具的债</w:t>
      </w:r>
    </w:p>
    <w:p>
      <w:pPr>
        <w:pStyle w:val="BodyText"/>
        <w:spacing w:line="316" w:lineRule="auto" w:before="19"/>
        <w:ind w:right="185"/>
        <w:jc w:val="left"/>
      </w:pPr>
      <w:r>
        <w:rPr>
          <w:spacing w:val="-2"/>
        </w:rPr>
        <w:t>权，包括应收账款、其他应收款等，以向购货方应收的合同或协议价款作为初始确认金额；具有融资性质的，按其现值进行</w:t>
      </w:r>
      <w:r>
        <w:rPr>
          <w:spacing w:val="-67"/>
        </w:rPr>
        <w:t> </w:t>
      </w:r>
      <w:r>
        <w:rPr>
          <w:spacing w:val="-67"/>
        </w:rPr>
      </w:r>
      <w:r>
        <w:rPr/>
        <w:t>初始确认。</w:t>
      </w:r>
    </w:p>
    <w:p>
      <w:pPr>
        <w:pStyle w:val="BodyText"/>
        <w:spacing w:line="240" w:lineRule="auto" w:before="19"/>
        <w:ind w:left="513" w:right="185"/>
        <w:jc w:val="left"/>
      </w:pPr>
      <w:r>
        <w:rPr/>
        <w:t>收回或处置时，将取得的价款与该应收款项账面价值之间的差额计入当期损益。</w:t>
      </w:r>
    </w:p>
    <w:p>
      <w:pPr>
        <w:pStyle w:val="BodyText"/>
        <w:spacing w:line="316" w:lineRule="auto" w:before="76"/>
        <w:ind w:left="513" w:right="185"/>
        <w:jc w:val="left"/>
      </w:pPr>
      <w:r>
        <w:rPr/>
        <w:t>④可供出售金融资产 </w:t>
      </w:r>
      <w:r>
        <w:rPr>
          <w:spacing w:val="-2"/>
        </w:rPr>
        <w:t>取得时按公允价值（扣除已宣告但尚未发放的现金股利或已到付息期但尚未领取的债券利息）和相关交易费用之和作为</w:t>
      </w:r>
    </w:p>
    <w:p>
      <w:pPr>
        <w:pStyle w:val="BodyText"/>
        <w:spacing w:line="319" w:lineRule="auto" w:before="19"/>
        <w:ind w:left="513" w:right="185" w:hanging="361"/>
        <w:jc w:val="left"/>
      </w:pPr>
      <w:r>
        <w:rPr/>
        <w:t>初始确认金额。 </w:t>
      </w:r>
      <w:r>
        <w:rPr>
          <w:spacing w:val="-2"/>
        </w:rPr>
        <w:t>持有期间将取得的利息或现金股利确认为投资收益。期末以公允价值计量且将公允价值变动计入资本公积（其他资本公</w:t>
      </w:r>
    </w:p>
    <w:p>
      <w:pPr>
        <w:pStyle w:val="BodyText"/>
        <w:spacing w:line="240" w:lineRule="auto" w:before="17"/>
        <w:ind w:right="185"/>
        <w:jc w:val="left"/>
      </w:pPr>
      <w:r>
        <w:rPr/>
        <w:t>积）。</w:t>
      </w:r>
    </w:p>
    <w:p>
      <w:pPr>
        <w:pStyle w:val="BodyText"/>
        <w:spacing w:line="316" w:lineRule="auto" w:before="76"/>
        <w:ind w:right="185" w:firstLine="360"/>
        <w:jc w:val="left"/>
      </w:pPr>
      <w:r>
        <w:rPr>
          <w:spacing w:val="-2"/>
        </w:rPr>
        <w:t>处置时，将取得的价款与该金融资产账面价值之间的差额，计入投资损益；同时，将原直接计入所有者权益的公允价值</w:t>
      </w:r>
      <w:r>
        <w:rPr/>
        <w:t> 变动累计额对应处置部分的金额转出，计入投资损益。</w:t>
      </w:r>
    </w:p>
    <w:p>
      <w:pPr>
        <w:pStyle w:val="BodyText"/>
        <w:spacing w:line="316" w:lineRule="auto" w:before="19"/>
        <w:ind w:left="513" w:right="2793"/>
        <w:jc w:val="left"/>
      </w:pPr>
      <w:r>
        <w:rPr/>
        <w:t>⑤其他金融负债 按其公允价值和相关交易费用之和作为初始确认金额。采用摊余成本进行后续计量。</w:t>
      </w:r>
    </w:p>
    <w:p>
      <w:pPr>
        <w:spacing w:line="240" w:lineRule="auto" w:before="10"/>
        <w:rPr>
          <w:rFonts w:ascii="宋体" w:hAnsi="宋体" w:cs="宋体" w:eastAsia="宋体" w:hint="default"/>
          <w:sz w:val="22"/>
          <w:szCs w:val="22"/>
        </w:rPr>
      </w:pPr>
    </w:p>
    <w:p>
      <w:pPr>
        <w:pStyle w:val="Heading3"/>
        <w:spacing w:line="240" w:lineRule="auto"/>
        <w:ind w:right="185"/>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85" w:firstLine="360"/>
        <w:jc w:val="left"/>
      </w:pPr>
      <w:r>
        <w:rPr>
          <w:spacing w:val="-2"/>
        </w:rPr>
        <w:t>公司发生金融资产转移时，如已将金融资产所有权上几乎所有的风险和报酬转移给转入方，则终止确认该金融资产；如</w:t>
      </w:r>
      <w:r>
        <w:rPr/>
        <w:t> 保留了金融资产所有权上几乎所有的风险和报酬的，则不终止确认该金融资产。</w:t>
      </w:r>
    </w:p>
    <w:p>
      <w:pPr>
        <w:pStyle w:val="BodyText"/>
        <w:spacing w:line="319" w:lineRule="auto" w:before="19"/>
        <w:ind w:right="185" w:firstLine="360"/>
        <w:jc w:val="left"/>
      </w:pPr>
      <w:r>
        <w:rPr>
          <w:spacing w:val="-2"/>
        </w:rPr>
        <w:t>在判断金融资产转移是否满足上述金融资产终止确认条件时，采用实质重于形式的原则。公司将金融资产转移区分为金</w:t>
      </w:r>
      <w:r>
        <w:rPr/>
        <w:t> 融资产整体转移和部分转移。金融资产整体转移满足终止确认条件的，将下列两项金额的差额计入当期损益：</w:t>
      </w:r>
    </w:p>
    <w:p>
      <w:pPr>
        <w:pStyle w:val="BodyText"/>
        <w:spacing w:line="240" w:lineRule="auto" w:before="17"/>
        <w:ind w:left="513" w:right="185"/>
        <w:jc w:val="left"/>
      </w:pPr>
      <w:r>
        <w:rPr/>
        <w:t>①所转移金融资产的账面价值；</w:t>
      </w:r>
    </w:p>
    <w:p>
      <w:pPr>
        <w:pStyle w:val="BodyText"/>
        <w:spacing w:line="316" w:lineRule="auto" w:before="76"/>
        <w:ind w:right="185" w:firstLine="360"/>
        <w:jc w:val="left"/>
      </w:pPr>
      <w:r>
        <w:rPr>
          <w:spacing w:val="-2"/>
        </w:rPr>
        <w:t>②因转移而收到的对价，与原直接计入所有者权益的公允价值变动累计额（涉及转移的金融资产为可供出售金融资产的</w:t>
      </w:r>
      <w:r>
        <w:rPr/>
        <w:t> 情形）之和。</w:t>
      </w:r>
    </w:p>
    <w:p>
      <w:pPr>
        <w:pStyle w:val="BodyText"/>
        <w:spacing w:line="316" w:lineRule="auto" w:before="19"/>
        <w:ind w:right="94"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8"/>
        <w:ind w:left="513" w:right="185"/>
        <w:jc w:val="left"/>
      </w:pPr>
      <w:r>
        <w:rPr/>
        <w:t>①终止确认部分的账面价值；</w:t>
      </w:r>
    </w:p>
    <w:p>
      <w:pPr>
        <w:pStyle w:val="BodyText"/>
        <w:spacing w:line="240" w:lineRule="auto" w:before="76"/>
        <w:ind w:left="513" w:right="0"/>
        <w:jc w:val="left"/>
      </w:pPr>
      <w:r>
        <w:rPr/>
        <w:t>②终止确认部分的对价，与原直接计入所有者权益的公允价值变动累计额中对应终止确认部分的金额（涉及转移的金融</w:t>
      </w:r>
    </w:p>
    <w:p>
      <w:pPr>
        <w:spacing w:after="0" w:line="240" w:lineRule="auto"/>
        <w:jc w:val="left"/>
        <w:sectPr>
          <w:footerReference w:type="default" r:id="rId22"/>
          <w:pgSz w:w="11910" w:h="16840"/>
          <w:pgMar w:footer="980" w:header="745" w:top="1060" w:bottom="1160" w:left="980" w:right="940"/>
          <w:pgNumType w:start="78"/>
        </w:sectPr>
      </w:pPr>
    </w:p>
    <w:p>
      <w:pPr>
        <w:spacing w:line="240" w:lineRule="auto" w:before="9"/>
        <w:rPr>
          <w:rFonts w:ascii="宋体" w:hAnsi="宋体" w:cs="宋体" w:eastAsia="宋体" w:hint="default"/>
          <w:sz w:val="25"/>
          <w:szCs w:val="25"/>
        </w:rPr>
      </w:pPr>
    </w:p>
    <w:p>
      <w:pPr>
        <w:pStyle w:val="BodyText"/>
        <w:spacing w:line="319" w:lineRule="auto" w:before="44"/>
        <w:ind w:left="513" w:right="1713" w:hanging="361"/>
        <w:jc w:val="left"/>
      </w:pPr>
      <w:r>
        <w:rPr/>
        <w:t>资产为可供出售金融资产的情形）之和。 金融资产转移不满足终止确认条件的，继续确认该金融资产，所收到的对价确认为一项金融负债。</w:t>
      </w:r>
    </w:p>
    <w:p>
      <w:pPr>
        <w:spacing w:line="240" w:lineRule="auto" w:before="9"/>
        <w:rPr>
          <w:rFonts w:ascii="宋体" w:hAnsi="宋体" w:cs="宋体" w:eastAsia="宋体" w:hint="default"/>
          <w:sz w:val="22"/>
          <w:szCs w:val="22"/>
        </w:rPr>
      </w:pPr>
    </w:p>
    <w:p>
      <w:pPr>
        <w:pStyle w:val="Heading3"/>
        <w:spacing w:line="240" w:lineRule="auto"/>
        <w:ind w:right="185"/>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88" w:firstLine="360"/>
        <w:jc w:val="both"/>
      </w:pPr>
      <w:r>
        <w:rPr>
          <w:spacing w:val="-2"/>
        </w:rPr>
        <w:t>金融负债的现时义务全部或部分已经解除的，则终止确认该金融负债或其一部分；本公司若与债权人签定协议，以承担</w:t>
      </w:r>
      <w:r>
        <w:rPr/>
        <w:t> </w:t>
      </w:r>
      <w:r>
        <w:rPr>
          <w:spacing w:val="-2"/>
        </w:rPr>
        <w:t>新金融负债方式替换现存金融负债，且新金融负债与现存金融负债的合同条款实质上不同的，则终止确认现存金融负债，并</w:t>
      </w:r>
      <w:r>
        <w:rPr>
          <w:spacing w:val="-61"/>
        </w:rPr>
        <w:t> </w:t>
      </w:r>
      <w:r>
        <w:rPr>
          <w:spacing w:val="-61"/>
        </w:rPr>
      </w:r>
      <w:r>
        <w:rPr/>
        <w:t>同时确认新金融负债。</w:t>
      </w:r>
    </w:p>
    <w:p>
      <w:pPr>
        <w:pStyle w:val="BodyText"/>
        <w:spacing w:line="316" w:lineRule="auto" w:before="19"/>
        <w:ind w:right="185"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9"/>
        <w:ind w:right="185"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9" w:lineRule="auto" w:before="19"/>
        <w:ind w:right="94"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spacing w:line="240" w:lineRule="auto" w:before="9"/>
        <w:rPr>
          <w:rFonts w:ascii="宋体" w:hAnsi="宋体" w:cs="宋体" w:eastAsia="宋体" w:hint="default"/>
          <w:sz w:val="22"/>
          <w:szCs w:val="22"/>
        </w:rPr>
      </w:pPr>
    </w:p>
    <w:p>
      <w:pPr>
        <w:pStyle w:val="Heading3"/>
        <w:spacing w:line="240" w:lineRule="auto"/>
        <w:ind w:right="185"/>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85"/>
        <w:jc w:val="left"/>
      </w:pPr>
      <w:r>
        <w:rPr/>
        <w:t>本公司采用公允价值计量的金融资产和金融负债全部直接参考活跃市场中的报价。</w:t>
      </w:r>
    </w:p>
    <w:p>
      <w:pPr>
        <w:spacing w:line="240" w:lineRule="auto" w:before="0"/>
        <w:rPr>
          <w:rFonts w:ascii="宋体" w:hAnsi="宋体" w:cs="宋体" w:eastAsia="宋体" w:hint="default"/>
          <w:sz w:val="18"/>
          <w:szCs w:val="18"/>
        </w:rPr>
      </w:pPr>
    </w:p>
    <w:p>
      <w:pPr>
        <w:pStyle w:val="Heading3"/>
        <w:spacing w:line="240" w:lineRule="auto" w:before="120"/>
        <w:ind w:right="185"/>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85" w:firstLine="360"/>
        <w:jc w:val="left"/>
      </w:pPr>
      <w:r>
        <w:rPr>
          <w:spacing w:val="-2"/>
        </w:rPr>
        <w:t>除以公允价值计量且其变动计入当期损益的金融资产外，本公司于资产负债表日对金融资产的账面价值进行检查，如果</w:t>
      </w:r>
      <w:r>
        <w:rPr/>
        <w:t> 有客观证据表明某项金融资产发生减值的，计提减值准备。</w:t>
      </w:r>
    </w:p>
    <w:p>
      <w:pPr>
        <w:pStyle w:val="BodyText"/>
        <w:spacing w:line="319" w:lineRule="auto" w:before="19"/>
        <w:ind w:left="513" w:right="185"/>
        <w:jc w:val="left"/>
      </w:pPr>
      <w:r>
        <w:rPr/>
        <w:t>①可供出售金融资产的减值准备： </w:t>
      </w:r>
      <w:r>
        <w:rPr>
          <w:spacing w:val="-2"/>
        </w:rPr>
        <w:t>期末如果可供出售金融资产的公允价值发生严重下降，或在综合考虑各种相关因素后，预期这种下降趋势属于非暂时性</w:t>
      </w:r>
    </w:p>
    <w:p>
      <w:pPr>
        <w:pStyle w:val="BodyText"/>
        <w:spacing w:line="316" w:lineRule="auto" w:before="17"/>
        <w:ind w:left="513" w:right="185" w:hanging="361"/>
        <w:jc w:val="left"/>
      </w:pPr>
      <w:r>
        <w:rPr/>
        <w:t>的，就认定其已发生减值，将原直接计入所有者权益的公允价值下降形成的累计损失一并转出，确认减值损失。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w:t>
      </w:r>
    </w:p>
    <w:p>
      <w:pPr>
        <w:pStyle w:val="BodyText"/>
        <w:spacing w:line="316" w:lineRule="auto" w:before="19"/>
        <w:ind w:left="513" w:right="4593" w:hanging="361"/>
        <w:jc w:val="left"/>
      </w:pPr>
      <w:r>
        <w:rPr/>
        <w:t>事项有关的，原确认的减值损失予以转回，计入当期损益。 可供出售权益工具投资发生的减值损失，不得通过损益转回。</w:t>
      </w:r>
    </w:p>
    <w:p>
      <w:pPr>
        <w:pStyle w:val="BodyText"/>
        <w:spacing w:line="316" w:lineRule="auto" w:before="19"/>
        <w:ind w:left="513" w:right="3873"/>
        <w:jc w:val="left"/>
      </w:pPr>
      <w:r>
        <w:rPr/>
        <w:t>②持有至到期投资的减值准备： 持有至到期投资减值损失的计量比照应收款项减值损失计量方法处理。</w:t>
      </w:r>
    </w:p>
    <w:p>
      <w:pPr>
        <w:spacing w:line="240" w:lineRule="auto" w:before="10"/>
        <w:rPr>
          <w:rFonts w:ascii="宋体" w:hAnsi="宋体" w:cs="宋体" w:eastAsia="宋体" w:hint="default"/>
          <w:sz w:val="22"/>
          <w:szCs w:val="22"/>
        </w:rPr>
      </w:pPr>
    </w:p>
    <w:p>
      <w:pPr>
        <w:pStyle w:val="Heading3"/>
        <w:spacing w:line="240" w:lineRule="auto"/>
        <w:ind w:right="185"/>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85"/>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86"/>
        <w:gridCol w:w="5884"/>
      </w:tblGrid>
      <w:tr>
        <w:trPr>
          <w:trHeight w:val="713"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88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00"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单项应收款占应收款项余额的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以上或应收款项前五名为单项金额重大 的应收款项。</w:t>
            </w:r>
          </w:p>
        </w:tc>
      </w:tr>
      <w:tr>
        <w:trPr>
          <w:trHeight w:val="1027"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88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3" w:right="88"/>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单独进行减值测试，如有客观证据表明其已发生减值，按预计未来现金流 量现值低于其账面价值的差额计提坏账准备，计入当期损益。单独测试未 发生减值的应收款项，按账龄分析法计提坏账准备。</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940"/>
        </w:sectPr>
      </w:pPr>
    </w:p>
    <w:p>
      <w:pPr>
        <w:spacing w:line="240" w:lineRule="auto" w:before="10"/>
        <w:rPr>
          <w:rFonts w:ascii="宋体" w:hAnsi="宋体" w:cs="宋体" w:eastAsia="宋体" w:hint="default"/>
          <w:b/>
          <w:bCs/>
          <w:sz w:val="24"/>
          <w:szCs w:val="24"/>
        </w:rPr>
      </w:pPr>
    </w:p>
    <w:p>
      <w:pPr>
        <w:pStyle w:val="Heading3"/>
        <w:spacing w:line="240" w:lineRule="auto" w:before="36"/>
        <w:ind w:right="144"/>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93"/>
        <w:gridCol w:w="2693"/>
        <w:gridCol w:w="5884"/>
      </w:tblGrid>
      <w:tr>
        <w:trPr>
          <w:trHeight w:val="401"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c>
          <w:tcPr>
            <w:tcW w:w="5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715" w:hRule="exact"/>
        </w:trPr>
        <w:tc>
          <w:tcPr>
            <w:tcW w:w="99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账龄分析法</w:t>
            </w:r>
          </w:p>
        </w:tc>
        <w:tc>
          <w:tcPr>
            <w:tcW w:w="588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3" w:right="88"/>
              <w:jc w:val="left"/>
              <w:rPr>
                <w:rFonts w:ascii="宋体" w:hAnsi="宋体" w:cs="宋体" w:eastAsia="宋体" w:hint="default"/>
                <w:sz w:val="18"/>
                <w:szCs w:val="18"/>
              </w:rPr>
            </w:pPr>
            <w:r>
              <w:rPr>
                <w:rFonts w:ascii="宋体" w:hAnsi="宋体" w:cs="宋体" w:eastAsia="宋体" w:hint="default"/>
                <w:sz w:val="18"/>
                <w:szCs w:val="18"/>
              </w:rPr>
              <w:t>对单项金额重大单独测试未发生减值的应收款项会同单项金额不重大的应 收款项，本公司以账龄作为信用风险特征组合。</w:t>
            </w:r>
          </w:p>
        </w:tc>
      </w:tr>
      <w:tr>
        <w:trPr>
          <w:trHeight w:val="401" w:hRule="exact"/>
        </w:trPr>
        <w:tc>
          <w:tcPr>
            <w:tcW w:w="99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余额百分比法</w:t>
            </w:r>
          </w:p>
        </w:tc>
        <w:tc>
          <w:tcPr>
            <w:tcW w:w="588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应收政府补助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增值税退税</w:t>
            </w:r>
          </w:p>
        </w:tc>
      </w:tr>
    </w:tbl>
    <w:p>
      <w:pPr>
        <w:pStyle w:val="BodyText"/>
        <w:spacing w:line="240" w:lineRule="auto" w:before="49"/>
        <w:ind w:right="144"/>
        <w:jc w:val="left"/>
      </w:pPr>
      <w:r>
        <w:rPr/>
        <w:t>组合中，采用账龄分析法计提坏账准备的</w:t>
      </w:r>
    </w:p>
    <w:p>
      <w:pPr>
        <w:pStyle w:val="BodyText"/>
        <w:spacing w:line="240" w:lineRule="auto" w:before="117"/>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77"/>
        <w:gridCol w:w="2987"/>
        <w:gridCol w:w="3995"/>
      </w:tblGrid>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5%</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10%</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50%</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90%</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90%</w:t>
            </w:r>
          </w:p>
        </w:tc>
      </w:tr>
    </w:tbl>
    <w:p>
      <w:pPr>
        <w:pStyle w:val="BodyText"/>
        <w:spacing w:line="240" w:lineRule="auto" w:before="49"/>
        <w:ind w:right="144"/>
        <w:jc w:val="left"/>
      </w:pPr>
      <w:r>
        <w:rPr/>
        <w:t>组合中，采用余额百分比法计提坏账准备的</w:t>
      </w:r>
    </w:p>
    <w:p>
      <w:pPr>
        <w:pStyle w:val="BodyText"/>
        <w:spacing w:line="240" w:lineRule="auto" w:before="115"/>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937"/>
        <w:gridCol w:w="2691"/>
        <w:gridCol w:w="2941"/>
      </w:tblGrid>
      <w:tr>
        <w:trPr>
          <w:trHeight w:val="402"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393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应收政府补助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增值税退税</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44"/>
        <w:jc w:val="left"/>
      </w:pPr>
      <w:r>
        <w:rPr/>
        <w:t>组合中，采用其他方法计提坏账准备的</w:t>
      </w:r>
    </w:p>
    <w:p>
      <w:pPr>
        <w:pStyle w:val="BodyText"/>
        <w:spacing w:line="240" w:lineRule="auto" w:before="115"/>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44"/>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410"/>
        <w:gridCol w:w="7160"/>
      </w:tblGrid>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16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2" w:right="106"/>
              <w:jc w:val="left"/>
              <w:rPr>
                <w:rFonts w:ascii="宋体" w:hAnsi="宋体" w:cs="宋体" w:eastAsia="宋体" w:hint="default"/>
                <w:sz w:val="18"/>
                <w:szCs w:val="18"/>
              </w:rPr>
            </w:pPr>
            <w:r>
              <w:rPr>
                <w:rFonts w:ascii="宋体" w:hAnsi="宋体" w:cs="宋体" w:eastAsia="宋体" w:hint="default"/>
                <w:sz w:val="18"/>
                <w:szCs w:val="18"/>
              </w:rPr>
              <w:t>对单项金额虽不重大，但已有客观证据表明其发生了减值的应收款项，确认减值损失，计 提坏账准备。</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16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4" w:lineRule="auto" w:before="50"/>
              <w:ind w:left="22" w:right="106"/>
              <w:jc w:val="left"/>
              <w:rPr>
                <w:rFonts w:ascii="宋体" w:hAnsi="宋体" w:cs="宋体" w:eastAsia="宋体" w:hint="default"/>
                <w:sz w:val="18"/>
                <w:szCs w:val="18"/>
              </w:rPr>
            </w:pPr>
            <w:r>
              <w:rPr>
                <w:rFonts w:ascii="宋体" w:hAnsi="宋体" w:cs="宋体" w:eastAsia="宋体" w:hint="default"/>
                <w:sz w:val="18"/>
                <w:szCs w:val="18"/>
              </w:rPr>
              <w:t>按账龄分析法计提的坏账准备不能反映实际情况的，本公司单独进行减值测试，结合现时 情况分析法确定坏账准备计提的比例。</w:t>
            </w:r>
          </w:p>
        </w:tc>
      </w:tr>
    </w:tbl>
    <w:p>
      <w:pPr>
        <w:spacing w:line="240" w:lineRule="auto" w:before="3"/>
        <w:rPr>
          <w:rFonts w:ascii="宋体" w:hAnsi="宋体" w:cs="宋体" w:eastAsia="宋体" w:hint="default"/>
          <w:b/>
          <w:bCs/>
          <w:sz w:val="19"/>
          <w:szCs w:val="19"/>
        </w:rPr>
      </w:pPr>
    </w:p>
    <w:p>
      <w:pPr>
        <w:pStyle w:val="Heading3"/>
        <w:spacing w:line="240" w:lineRule="auto" w:before="36"/>
        <w:ind w:right="144"/>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4"/>
        <w:jc w:val="left"/>
      </w:pPr>
      <w:r>
        <w:rPr/>
        <w:t>存货分类为：原材料、半成品、库存商品、在产品、发出商品等。</w:t>
      </w:r>
    </w:p>
    <w:p>
      <w:pPr>
        <w:spacing w:line="240" w:lineRule="auto" w:before="0"/>
        <w:rPr>
          <w:rFonts w:ascii="宋体" w:hAnsi="宋体" w:cs="宋体" w:eastAsia="宋体" w:hint="default"/>
          <w:sz w:val="18"/>
          <w:szCs w:val="18"/>
        </w:rPr>
      </w:pPr>
    </w:p>
    <w:p>
      <w:pPr>
        <w:pStyle w:val="Heading3"/>
        <w:spacing w:line="240" w:lineRule="auto" w:before="121"/>
        <w:ind w:right="144"/>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13" w:right="6893" w:hanging="361"/>
        <w:jc w:val="left"/>
      </w:pPr>
      <w:r>
        <w:rPr/>
        <w:t>计价方法：加权平均法 存货发出时按加权平均法计价。</w:t>
      </w:r>
    </w:p>
    <w:p>
      <w:pPr>
        <w:spacing w:after="0" w:line="357"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3" w:right="144"/>
        <w:jc w:val="left"/>
      </w:pPr>
      <w:r>
        <w:rPr/>
        <w:t>期末对存货进行全面清查后，按存货的成本与可变现净值孰低提取或调整存货跌价准备。 </w:t>
      </w:r>
      <w:r>
        <w:rPr>
          <w:spacing w:val="-2"/>
        </w:rPr>
        <w:t>产成品、库存商品和用于出售的材料等直接用于出售的商品存货，在正常生产经营过程中，以该存货的估计售价减去估</w:t>
      </w:r>
    </w:p>
    <w:p>
      <w:pPr>
        <w:pStyle w:val="BodyText"/>
        <w:spacing w:line="316" w:lineRule="auto" w:before="19"/>
        <w:ind w:right="149"/>
        <w:jc w:val="both"/>
      </w:pPr>
      <w:r>
        <w:rPr>
          <w:spacing w:val="-2"/>
        </w:rPr>
        <w:t>计的销售费用和相关税费后的金额，确定其可变现净值；需要经过加工的材料存货，在正常生产经营过程中，以所生产的产</w:t>
      </w:r>
      <w:r>
        <w:rPr>
          <w:spacing w:val="-64"/>
        </w:rPr>
        <w:t> </w:t>
      </w:r>
      <w:r>
        <w:rPr>
          <w:spacing w:val="-64"/>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2"/>
        </w:rPr>
        <w:t> </w:t>
      </w:r>
      <w:r>
        <w:rPr>
          <w:spacing w:val="-62"/>
        </w:rPr>
      </w:r>
      <w:r>
        <w:rPr/>
        <w:t>部分的存货的可变现净值以一般销售价格为基础计算。</w:t>
      </w:r>
    </w:p>
    <w:p>
      <w:pPr>
        <w:pStyle w:val="BodyText"/>
        <w:spacing w:line="316" w:lineRule="auto" w:before="19"/>
        <w:ind w:right="150"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pStyle w:val="BodyText"/>
        <w:spacing w:line="316" w:lineRule="auto" w:before="19"/>
        <w:ind w:right="150" w:firstLine="360"/>
        <w:jc w:val="both"/>
      </w:pPr>
      <w:r>
        <w:rPr>
          <w:spacing w:val="-2"/>
        </w:rPr>
        <w:t>以前减记存货价值的影响因素已经消失的，减记的金额予以恢复，并在原已计提的存货跌价准备金额内转回，转回的金</w:t>
      </w:r>
      <w:r>
        <w:rPr/>
        <w:t> 额计入当期损益。</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left="513" w:right="7973" w:hanging="361"/>
        <w:jc w:val="left"/>
      </w:pPr>
      <w:r>
        <w:rPr/>
        <w:t>盘存制度：永续盘存制 采用永续盘存制。</w:t>
      </w:r>
    </w:p>
    <w:p>
      <w:pPr>
        <w:spacing w:line="240" w:lineRule="auto" w:before="4"/>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974"/>
        <w:jc w:val="left"/>
      </w:pPr>
      <w:r>
        <w:rPr/>
        <w:t>低值易耗品 摊销方法：一次摊销法</w:t>
      </w:r>
    </w:p>
    <w:p>
      <w:pPr>
        <w:pStyle w:val="BodyText"/>
        <w:spacing w:line="240" w:lineRule="auto" w:before="27"/>
        <w:ind w:left="513" w:right="144"/>
        <w:jc w:val="left"/>
      </w:pPr>
      <w:r>
        <w:rPr/>
        <w:t>低值易耗品采用一次转销法；</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60" w:lineRule="auto"/>
        <w:ind w:right="7974"/>
        <w:jc w:val="left"/>
      </w:pPr>
      <w:r>
        <w:rPr/>
        <w:t>包装物 摊销方法：一次摊销法</w:t>
      </w:r>
    </w:p>
    <w:p>
      <w:pPr>
        <w:pStyle w:val="BodyText"/>
        <w:spacing w:line="240" w:lineRule="auto" w:before="25"/>
        <w:ind w:left="513" w:right="144"/>
        <w:jc w:val="left"/>
      </w:pPr>
      <w:r>
        <w:rPr/>
        <w:t>包装物采用一次转销法。</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left="513" w:right="144"/>
        <w:jc w:val="left"/>
      </w:pPr>
      <w:r>
        <w:rPr/>
        <w:t>①企业合并形成的长期股权投资 </w:t>
      </w:r>
      <w:r>
        <w:rPr>
          <w:spacing w:val="-2"/>
        </w:rPr>
        <w:t>同一控制下的企业合并：公司以支付现金、转让非现金资产或承担债务方式以及以发行权益性证券作为合并对价的，在</w:t>
      </w:r>
    </w:p>
    <w:p>
      <w:pPr>
        <w:pStyle w:val="BodyText"/>
        <w:spacing w:line="222" w:lineRule="exact"/>
        <w:ind w:right="0"/>
        <w:jc w:val="both"/>
      </w:pPr>
      <w:r>
        <w:rPr/>
        <w:t>合并日按照取得被合并方所有者权益账面价值的份额作为长期股权投资的初始投资成本</w:t>
      </w:r>
      <w:r>
        <w:rPr>
          <w:spacing w:val="-82"/>
        </w:rPr>
        <w:t>。</w:t>
      </w:r>
      <w:r>
        <w:rPr/>
        <w:t>长期股权投资初始投资成本与支付</w:t>
      </w:r>
    </w:p>
    <w:p>
      <w:pPr>
        <w:pStyle w:val="BodyText"/>
        <w:spacing w:line="316" w:lineRule="auto" w:before="77"/>
        <w:ind w:right="144"/>
        <w:jc w:val="left"/>
      </w:pPr>
      <w:r>
        <w:rPr>
          <w:spacing w:val="-2"/>
        </w:rPr>
        <w:t>合并对价之间的差额，调整资本公积中的股本溢价；资本公积中的股本溢价不足冲减的，调整留存收益。合并发生的各项直</w:t>
      </w:r>
      <w:r>
        <w:rPr>
          <w:spacing w:val="-64"/>
        </w:rPr>
        <w:t> </w:t>
      </w:r>
      <w:r>
        <w:rPr>
          <w:spacing w:val="-64"/>
        </w:rPr>
      </w:r>
      <w:r>
        <w:rPr/>
        <w:t>接相关费用，包括为进行合并而支付的审计费用、评估费用、法律服务费用等，于发生时计入当期损益。</w:t>
      </w:r>
    </w:p>
    <w:p>
      <w:pPr>
        <w:pStyle w:val="BodyText"/>
        <w:spacing w:line="316" w:lineRule="auto" w:before="59"/>
        <w:ind w:right="150" w:firstLine="360"/>
        <w:jc w:val="both"/>
      </w:pPr>
      <w:r>
        <w:rPr>
          <w:spacing w:val="-2"/>
        </w:rPr>
        <w:t>非同一控制下的企业合并：公司按照购买日确定的合并成本作为长期股权投资的初始投资成本。合并成本为购买日购买</w:t>
      </w:r>
      <w:r>
        <w:rPr/>
        <w:t> </w:t>
      </w:r>
      <w:r>
        <w:rPr>
          <w:spacing w:val="-2"/>
        </w:rPr>
        <w:t>方为取得对被购买方的控制权而付出的资产、发生或承担的负债以及发行的权益性证券的公允价值。购买方为企业合并而发</w:t>
      </w:r>
      <w:r>
        <w:rPr>
          <w:spacing w:val="-64"/>
        </w:rPr>
        <w:t> </w:t>
      </w:r>
      <w:r>
        <w:rPr>
          <w:spacing w:val="-64"/>
        </w:rPr>
      </w:r>
      <w:r>
        <w:rPr>
          <w:spacing w:val="-2"/>
        </w:rPr>
        <w:t>生的审计、法律服务、评估咨询等中介费用以及其他相关管理费用于发生时计入当期损益；购买方作为合并对价发行的权益</w:t>
      </w:r>
      <w:r>
        <w:rPr>
          <w:spacing w:val="-66"/>
        </w:rPr>
        <w:t> </w:t>
      </w:r>
      <w:r>
        <w:rPr>
          <w:spacing w:val="-66"/>
        </w:rPr>
      </w:r>
      <w:r>
        <w:rPr>
          <w:spacing w:val="-2"/>
        </w:rPr>
        <w:t>性证券或债务性证券的交易费用，计入权益性证券或债务性证券的初始确认金额。通过多次交易分步实现的非同一控制下企</w:t>
      </w:r>
      <w:r>
        <w:rPr>
          <w:spacing w:val="-63"/>
        </w:rPr>
        <w:t> </w:t>
      </w:r>
      <w:r>
        <w:rPr>
          <w:spacing w:val="-63"/>
        </w:rPr>
      </w:r>
      <w:r>
        <w:rPr>
          <w:spacing w:val="-2"/>
        </w:rPr>
        <w:t>业合并，以购买日之前所持被购买方的股权投资的账面价值与购买日新增投资成本之和，作为该项投资的初始投资成本。本</w:t>
      </w:r>
    </w:p>
    <w:p>
      <w:pPr>
        <w:spacing w:after="0" w:line="316" w:lineRule="auto"/>
        <w:jc w:val="both"/>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85"/>
        <w:jc w:val="left"/>
      </w:pPr>
      <w:r>
        <w:rPr/>
        <w:t>公司将合并协议约定的或有对价作为企业合并转移对价的一部分，按照其在购买日的公允价值计入企业合并成本。</w:t>
      </w:r>
    </w:p>
    <w:p>
      <w:pPr>
        <w:pStyle w:val="BodyText"/>
        <w:spacing w:line="357" w:lineRule="auto" w:before="117"/>
        <w:ind w:left="513" w:right="185"/>
        <w:jc w:val="left"/>
      </w:pPr>
      <w:r>
        <w:rPr/>
        <w:t>②其他方式取得的长期股权投资 </w:t>
      </w:r>
      <w:r>
        <w:rPr>
          <w:spacing w:val="-2"/>
        </w:rPr>
        <w:t>以支付现金方式取得的长期股权投资，按照实际支付的购买价款作为初始投资成本。以发行权益性证券取得的长期股权</w:t>
      </w:r>
    </w:p>
    <w:p>
      <w:pPr>
        <w:pStyle w:val="BodyText"/>
        <w:spacing w:line="224" w:lineRule="exact"/>
        <w:ind w:right="185"/>
        <w:jc w:val="left"/>
      </w:pPr>
      <w:r>
        <w:rPr/>
        <w:t>投资，按照发行权益性证券的公允价值作为初始投资成本。</w:t>
      </w:r>
    </w:p>
    <w:p>
      <w:pPr>
        <w:pStyle w:val="BodyText"/>
        <w:spacing w:line="316" w:lineRule="auto" w:before="117"/>
        <w:ind w:right="189" w:firstLine="360"/>
        <w:jc w:val="both"/>
      </w:pPr>
      <w:r>
        <w:rPr>
          <w:spacing w:val="-2"/>
        </w:rPr>
        <w:t>投资者投入的长期股权投资，按照投资合同或协议约定的价值（扣除已宣告但尚未发放的现金股利或利润）作为初始投</w:t>
      </w:r>
      <w:r>
        <w:rPr/>
        <w:t> 资成本，但合同或协议约定价值不公允的除外。</w:t>
      </w:r>
    </w:p>
    <w:p>
      <w:pPr>
        <w:pStyle w:val="BodyText"/>
        <w:spacing w:line="316" w:lineRule="auto" w:before="59"/>
        <w:ind w:right="192" w:firstLine="360"/>
        <w:jc w:val="both"/>
      </w:pPr>
      <w:r>
        <w:rPr>
          <w:spacing w:val="-2"/>
        </w:rPr>
        <w:t>在非货币性资产交换具备商业实质和换入资产或换出资产的公允价值能够可靠计量的前提下，非货币性资产交换换入的</w:t>
      </w:r>
      <w:r>
        <w:rPr/>
        <w:t> </w:t>
      </w:r>
      <w:r>
        <w:rPr>
          <w:spacing w:val="-2"/>
        </w:rPr>
        <w:t>长期股权投资以换出资产的公允价值为基础确定其初始投资成本，除非有确凿证据表明换入资产的公允价值更加可靠；不满</w:t>
      </w:r>
      <w:r>
        <w:rPr>
          <w:spacing w:val="-64"/>
        </w:rPr>
        <w:t> </w:t>
      </w:r>
      <w:r>
        <w:rPr>
          <w:spacing w:val="-64"/>
        </w:rPr>
      </w:r>
      <w:r>
        <w:rPr/>
        <w:t>足上述前提的非货币性资产交换，以换出资产的账面价值和应支付的相关税费作为换入长期股权投资的初始投资成本。</w:t>
      </w:r>
    </w:p>
    <w:p>
      <w:pPr>
        <w:pStyle w:val="BodyText"/>
        <w:spacing w:line="240" w:lineRule="auto" w:before="57"/>
        <w:ind w:left="513" w:right="185"/>
        <w:jc w:val="left"/>
      </w:pPr>
      <w:r>
        <w:rPr/>
        <w:t>通过债务重组取得的长期股权投资，其初始投资成本按照公允价值为基础确定。</w:t>
      </w:r>
    </w:p>
    <w:p>
      <w:pPr>
        <w:spacing w:line="240" w:lineRule="auto" w:before="0"/>
        <w:rPr>
          <w:rFonts w:ascii="宋体" w:hAnsi="宋体" w:cs="宋体" w:eastAsia="宋体" w:hint="default"/>
          <w:sz w:val="18"/>
          <w:szCs w:val="18"/>
        </w:rPr>
      </w:pPr>
    </w:p>
    <w:p>
      <w:pPr>
        <w:pStyle w:val="Heading3"/>
        <w:spacing w:line="240" w:lineRule="auto" w:before="120"/>
        <w:ind w:right="185"/>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left="513" w:right="2073"/>
        <w:jc w:val="left"/>
      </w:pPr>
      <w:r>
        <w:rPr/>
        <w:t>①后续计量 公司对子公司的长期股权投资，采用成本法核算，编制合并财务报表时按照权益法进行调整。</w:t>
      </w:r>
    </w:p>
    <w:p>
      <w:pPr>
        <w:pStyle w:val="BodyText"/>
        <w:spacing w:line="316" w:lineRule="auto" w:before="25"/>
        <w:ind w:right="190" w:firstLine="360"/>
        <w:jc w:val="both"/>
      </w:pPr>
      <w:r>
        <w:rPr>
          <w:spacing w:val="-2"/>
        </w:rPr>
        <w:t>对被投资单位不具有共同控制或重大影响，并且在活跃市场中没有报价、公允价值不能可靠计量的长期股权投资，采用</w:t>
      </w:r>
      <w:r>
        <w:rPr/>
        <w:t> 成本法核算。</w:t>
      </w:r>
    </w:p>
    <w:p>
      <w:pPr>
        <w:pStyle w:val="BodyText"/>
        <w:spacing w:line="316" w:lineRule="auto" w:before="59"/>
        <w:ind w:right="192" w:firstLine="360"/>
        <w:jc w:val="both"/>
      </w:pPr>
      <w:r>
        <w:rPr>
          <w:spacing w:val="-2"/>
        </w:rPr>
        <w:t>对被投资单位具有共同控制或重大影响的长期股权投资，采用权益法核算。初始投资成本大于投资时应享有被投资单位</w:t>
      </w:r>
      <w:r>
        <w:rPr/>
        <w:t> </w:t>
      </w:r>
      <w:r>
        <w:rPr>
          <w:spacing w:val="-2"/>
        </w:rPr>
        <w:t>可辨认净资产公允价值份额的差额，不调整长期股权投资的初始投资成本；初始投资成本小于投资时应享有被投资单位可辨</w:t>
      </w:r>
      <w:r>
        <w:rPr>
          <w:spacing w:val="-64"/>
        </w:rPr>
        <w:t> </w:t>
      </w:r>
      <w:r>
        <w:rPr>
          <w:spacing w:val="-64"/>
        </w:rPr>
      </w:r>
      <w:r>
        <w:rPr/>
        <w:t>认净资产公允价值份额的差额，计入当期损益。</w:t>
      </w:r>
    </w:p>
    <w:p>
      <w:pPr>
        <w:pStyle w:val="BodyText"/>
        <w:spacing w:line="316" w:lineRule="auto" w:before="59"/>
        <w:ind w:right="190" w:firstLine="360"/>
        <w:jc w:val="both"/>
      </w:pPr>
      <w:r>
        <w:rPr>
          <w:spacing w:val="-2"/>
        </w:rPr>
        <w:t>被投资单位除净损益以外所有者权益其他变动的处理：对于被投资单位除净损益以外所有者权益的其他变动，在持股比</w:t>
      </w:r>
      <w:r>
        <w:rPr/>
        <w:t> </w:t>
      </w:r>
      <w:r>
        <w:rPr>
          <w:spacing w:val="-5"/>
        </w:rPr>
        <w:t>例不变的情况下，公司按照持股比例计算应享有或承担的部分，调整长期股权投资的账面价值，同时增加或减少资本公积（其</w:t>
      </w:r>
      <w:r>
        <w:rPr>
          <w:spacing w:val="-75"/>
        </w:rPr>
        <w:t> </w:t>
      </w:r>
      <w:r>
        <w:rPr>
          <w:spacing w:val="-75"/>
        </w:rPr>
      </w:r>
      <w:r>
        <w:rPr>
          <w:spacing w:val="-14"/>
        </w:rPr>
        <w:t>他资本公积）。</w:t>
      </w:r>
    </w:p>
    <w:p>
      <w:pPr>
        <w:pStyle w:val="BodyText"/>
        <w:spacing w:line="360" w:lineRule="auto" w:before="57"/>
        <w:ind w:left="513" w:right="185"/>
        <w:jc w:val="left"/>
      </w:pPr>
      <w:r>
        <w:rPr/>
        <w:t>②损益确认 </w:t>
      </w:r>
      <w:r>
        <w:rPr>
          <w:spacing w:val="-2"/>
        </w:rPr>
        <w:t>成本法下，除取得投资时实际支付的价款或对价中包含的已宣告但尚未发放的现金股利或利润外，公司按照享有被投资</w:t>
      </w:r>
    </w:p>
    <w:p>
      <w:pPr>
        <w:pStyle w:val="BodyText"/>
        <w:spacing w:line="222" w:lineRule="exact"/>
        <w:ind w:right="185"/>
        <w:jc w:val="left"/>
      </w:pPr>
      <w:r>
        <w:rPr/>
        <w:t>单位宣告发放的现金股利或利润确认投资收益。</w:t>
      </w:r>
    </w:p>
    <w:p>
      <w:pPr>
        <w:pStyle w:val="BodyText"/>
        <w:spacing w:line="316" w:lineRule="auto" w:before="117"/>
        <w:ind w:right="190" w:firstLine="360"/>
        <w:jc w:val="both"/>
      </w:pPr>
      <w:r>
        <w:rPr>
          <w:spacing w:val="-2"/>
        </w:rPr>
        <w:t>权益法下，在被投资单位账面净利润的基础上考虑：被投资单位与本公司采用的会计政策及会计期间不一致，按本公司</w:t>
      </w:r>
      <w:r>
        <w:rPr/>
        <w:t> </w:t>
      </w:r>
      <w:r>
        <w:rPr>
          <w:spacing w:val="-2"/>
        </w:rPr>
        <w:t>的会计政策及会计期间对被投资单位财务报表进行调整；以取得投资时被投资单位固定资产、无形资产的公允价值为基础计</w:t>
      </w:r>
      <w:r>
        <w:rPr>
          <w:spacing w:val="-63"/>
        </w:rPr>
        <w:t> </w:t>
      </w:r>
      <w:r>
        <w:rPr>
          <w:spacing w:val="-63"/>
        </w:rPr>
      </w:r>
      <w:r>
        <w:rPr>
          <w:spacing w:val="-2"/>
        </w:rPr>
        <w:t>提的折旧额或摊销额以及有关资产减值准备金额等对被投资单位净利润的影响；对本公司与联营企业及合营企业之间发生的</w:t>
      </w:r>
      <w:r>
        <w:rPr>
          <w:spacing w:val="-64"/>
        </w:rPr>
        <w:t> </w:t>
      </w:r>
      <w:r>
        <w:rPr>
          <w:spacing w:val="-64"/>
        </w:rPr>
      </w:r>
      <w:r>
        <w:rPr/>
        <w:t>未实现内部交易予以抵销等事项的适当调整后，确认应享有或应负担被投资单位的净利润或净亏损。</w:t>
      </w:r>
    </w:p>
    <w:p>
      <w:pPr>
        <w:pStyle w:val="BodyText"/>
        <w:spacing w:line="319" w:lineRule="auto" w:before="57"/>
        <w:ind w:right="94"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5"/>
        </w:rPr>
        <w:t> </w:t>
      </w:r>
      <w:r>
        <w:rPr>
          <w:spacing w:val="-65"/>
        </w:rPr>
      </w:r>
      <w:r>
        <w:rPr>
          <w:spacing w:val="-2"/>
        </w:rPr>
        <w:t>务确认预计负债，计入当期投资损失。被投资单位以后期间实现盈利的，公司在扣除未确认的亏损分担额后，按与上述相反</w:t>
      </w:r>
      <w:r>
        <w:rPr>
          <w:spacing w:val="-65"/>
        </w:rPr>
        <w:t> </w:t>
      </w:r>
      <w:r>
        <w:rPr>
          <w:spacing w:val="-65"/>
        </w:rPr>
      </w:r>
      <w:r>
        <w:rPr>
          <w:spacing w:val="-2"/>
        </w:rPr>
        <w:t>的顺序处理，减记已确认预计负债的账面余额、恢复其他实质上构成对被投资单位净投资的长期权益及长期股权投资的账面</w:t>
      </w:r>
      <w:r>
        <w:rPr>
          <w:spacing w:val="-64"/>
        </w:rPr>
        <w:t> </w:t>
      </w:r>
      <w:r>
        <w:rPr>
          <w:spacing w:val="-64"/>
        </w:rPr>
      </w:r>
      <w:r>
        <w:rPr/>
        <w:t>价值，同时确认投资收益。</w:t>
      </w:r>
    </w:p>
    <w:p>
      <w:pPr>
        <w:pStyle w:val="BodyText"/>
        <w:spacing w:line="240" w:lineRule="auto" w:before="58"/>
        <w:ind w:left="513" w:right="0"/>
        <w:jc w:val="left"/>
      </w:pPr>
      <w:r>
        <w:rPr/>
        <w:t>在持有投资期间，被投资单位能够提供合并财务报表的，应当以合并财务报表中的净利润和其他权益变动为基础进行核</w:t>
      </w:r>
    </w:p>
    <w:p>
      <w:pPr>
        <w:pStyle w:val="BodyText"/>
        <w:spacing w:line="240" w:lineRule="auto" w:before="76"/>
        <w:ind w:right="185"/>
        <w:jc w:val="left"/>
      </w:pPr>
      <w:r>
        <w:rPr/>
        <w:t>算。</w:t>
      </w:r>
    </w:p>
    <w:p>
      <w:pPr>
        <w:spacing w:line="240" w:lineRule="auto" w:before="0"/>
        <w:rPr>
          <w:rFonts w:ascii="宋体" w:hAnsi="宋体" w:cs="宋体" w:eastAsia="宋体" w:hint="default"/>
          <w:sz w:val="18"/>
          <w:szCs w:val="18"/>
        </w:rPr>
      </w:pPr>
    </w:p>
    <w:p>
      <w:pPr>
        <w:pStyle w:val="Heading3"/>
        <w:spacing w:line="240" w:lineRule="auto" w:before="118"/>
        <w:ind w:right="185"/>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85" w:firstLine="360"/>
        <w:jc w:val="left"/>
      </w:pPr>
      <w:r>
        <w:rPr>
          <w:spacing w:val="-2"/>
        </w:rPr>
        <w:t>共同控制，是指按照合同约定对某项经济活动所共有的控制，仅在与该项经济活动相关的重要财务和经营决策需要分享</w:t>
      </w:r>
      <w:r>
        <w:rPr/>
        <w:t> 控制权的投资方一致同意时存在。投资企业与其他方对被投资单位实施共同控制的，被投资单位为其合营企业。</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44" w:firstLine="360"/>
        <w:jc w:val="left"/>
      </w:pPr>
      <w:r>
        <w:rPr>
          <w:spacing w:val="-2"/>
        </w:rPr>
        <w:t>重大影响，是指对一个企业的财务和经营决策有参与决策的权力，但并不能够控制或者与其他方一起共同控制这些政策</w:t>
      </w:r>
      <w:r>
        <w:rPr/>
        <w:t> 的制定。投资企业能够对被投资单位施加重大影响的，被投资单位为其联营企业。</w:t>
      </w:r>
    </w:p>
    <w:p>
      <w:pPr>
        <w:spacing w:line="240" w:lineRule="auto" w:before="9"/>
        <w:rPr>
          <w:rFonts w:ascii="宋体" w:hAnsi="宋体" w:cs="宋体" w:eastAsia="宋体" w:hint="default"/>
          <w:sz w:val="22"/>
          <w:szCs w:val="22"/>
        </w:rPr>
      </w:pPr>
    </w:p>
    <w:p>
      <w:pPr>
        <w:pStyle w:val="Heading3"/>
        <w:spacing w:line="240" w:lineRule="auto"/>
        <w:ind w:right="144"/>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44" w:firstLine="360"/>
        <w:jc w:val="left"/>
      </w:pPr>
      <w:r>
        <w:rPr>
          <w:spacing w:val="-2"/>
        </w:rPr>
        <w:t>重大影响以下的、在活跃市场中没有报价、公允价值不能可靠计量的长期股权投资，其减值损失是根据其账面价值与按</w:t>
      </w:r>
      <w:r>
        <w:rPr/>
        <w:t> 类似金融资产当时市场收益率对未来现金流量折现确定的现值之间的差额进行确定。</w:t>
      </w:r>
    </w:p>
    <w:p>
      <w:pPr>
        <w:pStyle w:val="BodyText"/>
        <w:spacing w:line="316" w:lineRule="auto" w:before="19"/>
        <w:ind w:right="144" w:firstLine="360"/>
        <w:jc w:val="left"/>
      </w:pPr>
      <w:r>
        <w:rPr>
          <w:spacing w:val="-2"/>
        </w:rPr>
        <w:t>除因企业合并形成的商誉以外的存在减值迹象的其他长期股权投资，如果可收回金额的计量结果表明，该长期股权投资</w:t>
      </w:r>
      <w:r>
        <w:rPr/>
        <w:t> 的可收回金额低于其账面价值的，将差额确认为减值损失。</w:t>
      </w:r>
    </w:p>
    <w:p>
      <w:pPr>
        <w:pStyle w:val="BodyText"/>
        <w:spacing w:line="240" w:lineRule="auto" w:before="19"/>
        <w:ind w:left="513" w:right="144"/>
        <w:jc w:val="left"/>
      </w:pPr>
      <w:r>
        <w:rPr/>
        <w:t>长期股权投资减值损失一经确认，不再转回。</w:t>
      </w:r>
    </w:p>
    <w:p>
      <w:pPr>
        <w:spacing w:line="240" w:lineRule="auto" w:before="0"/>
        <w:rPr>
          <w:rFonts w:ascii="宋体" w:hAnsi="宋体" w:cs="宋体" w:eastAsia="宋体" w:hint="default"/>
          <w:sz w:val="18"/>
          <w:szCs w:val="18"/>
        </w:rPr>
      </w:pPr>
    </w:p>
    <w:p>
      <w:pPr>
        <w:pStyle w:val="Heading3"/>
        <w:spacing w:line="240" w:lineRule="auto" w:before="120"/>
        <w:ind w:right="144"/>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44"/>
        <w:jc w:val="left"/>
      </w:pPr>
      <w:r>
        <w:rPr/>
        <w:t>本报告期未发生金融工具事项。</w:t>
      </w:r>
    </w:p>
    <w:p>
      <w:pPr>
        <w:spacing w:line="240" w:lineRule="auto" w:before="0"/>
        <w:rPr>
          <w:rFonts w:ascii="宋体" w:hAnsi="宋体" w:cs="宋体" w:eastAsia="宋体" w:hint="default"/>
          <w:sz w:val="18"/>
          <w:szCs w:val="18"/>
        </w:rPr>
      </w:pPr>
    </w:p>
    <w:p>
      <w:pPr>
        <w:pStyle w:val="Heading3"/>
        <w:spacing w:line="240" w:lineRule="auto" w:before="120"/>
        <w:ind w:right="144"/>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44" w:firstLine="360"/>
        <w:jc w:val="left"/>
      </w:pPr>
      <w:r>
        <w:rPr>
          <w:spacing w:val="-2"/>
        </w:rPr>
        <w:t>固定资产指为生产商品、提供劳务、出租或经营管理而持有，并且使用寿命超过一个会计年度的有形资产。固定资产在</w:t>
      </w:r>
      <w:r>
        <w:rPr/>
        <w:t> 同时满足下列条件时予以确认：</w:t>
      </w:r>
    </w:p>
    <w:p>
      <w:pPr>
        <w:pStyle w:val="BodyText"/>
        <w:spacing w:line="240" w:lineRule="auto" w:before="59"/>
        <w:ind w:left="513" w:right="144"/>
        <w:jc w:val="left"/>
      </w:pPr>
      <w:r>
        <w:rPr/>
        <w:t>①与该固定资产有关的经济利益很可能流入企业；</w:t>
      </w:r>
    </w:p>
    <w:p>
      <w:pPr>
        <w:pStyle w:val="BodyText"/>
        <w:spacing w:line="240" w:lineRule="auto" w:before="115"/>
        <w:ind w:left="513" w:right="144"/>
        <w:jc w:val="left"/>
      </w:pPr>
      <w:r>
        <w:rPr/>
        <w:t>②该固定资产的成本能够可靠地计量。</w:t>
      </w:r>
    </w:p>
    <w:p>
      <w:pPr>
        <w:spacing w:line="240" w:lineRule="auto" w:before="0"/>
        <w:rPr>
          <w:rFonts w:ascii="宋体" w:hAnsi="宋体" w:cs="宋体" w:eastAsia="宋体" w:hint="default"/>
          <w:sz w:val="18"/>
          <w:szCs w:val="18"/>
        </w:rPr>
      </w:pPr>
    </w:p>
    <w:p>
      <w:pPr>
        <w:pStyle w:val="Heading3"/>
        <w:spacing w:line="240" w:lineRule="auto" w:before="120"/>
        <w:ind w:right="144"/>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144"/>
        <w:jc w:val="left"/>
      </w:pPr>
      <w:r>
        <w:rPr/>
        <w:t>本报告期未发生融资租入固定资产事项。</w:t>
      </w:r>
    </w:p>
    <w:p>
      <w:pPr>
        <w:spacing w:line="240" w:lineRule="auto" w:before="0"/>
        <w:rPr>
          <w:rFonts w:ascii="宋体" w:hAnsi="宋体" w:cs="宋体" w:eastAsia="宋体" w:hint="default"/>
          <w:sz w:val="18"/>
          <w:szCs w:val="18"/>
        </w:rPr>
      </w:pPr>
    </w:p>
    <w:p>
      <w:pPr>
        <w:pStyle w:val="Heading3"/>
        <w:spacing w:line="240" w:lineRule="auto" w:before="120"/>
        <w:ind w:right="144"/>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44" w:firstLine="360"/>
        <w:jc w:val="left"/>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pStyle w:val="BodyText"/>
        <w:spacing w:line="316" w:lineRule="auto" w:before="19"/>
        <w:ind w:right="151" w:firstLine="360"/>
        <w:jc w:val="both"/>
      </w:pPr>
      <w:r>
        <w:rPr>
          <w:spacing w:val="-2"/>
        </w:rPr>
        <w:t>融资租赁方式租入的固定资产，能合理确定租赁期届满时将会取得租赁资产所有权的，在租赁资产尚可使用年限内计提</w:t>
      </w:r>
      <w:r>
        <w:rPr/>
        <w:t> </w:t>
      </w:r>
      <w:r>
        <w:rPr>
          <w:spacing w:val="-2"/>
        </w:rPr>
        <w:t>折旧；无法合理确定租赁期届满时能够取得租赁资产所有权的，在租赁期与租赁资产尚可使用年限两者中较短的期间内计提</w:t>
      </w:r>
      <w:r>
        <w:rPr>
          <w:spacing w:val="-63"/>
        </w:rPr>
        <w:t> </w:t>
      </w:r>
      <w:r>
        <w:rPr>
          <w:spacing w:val="-63"/>
        </w:rPr>
      </w:r>
      <w:r>
        <w:rPr/>
        <w:t>折旧。</w:t>
      </w:r>
    </w:p>
    <w:tbl>
      <w:tblPr>
        <w:tblW w:w="0" w:type="auto"/>
        <w:jc w:val="left"/>
        <w:tblInd w:w="160" w:type="dxa"/>
        <w:tblLayout w:type="fixed"/>
        <w:tblCellMar>
          <w:top w:w="0" w:type="dxa"/>
          <w:left w:w="0" w:type="dxa"/>
          <w:bottom w:w="0" w:type="dxa"/>
          <w:right w:w="0" w:type="dxa"/>
        </w:tblCellMar>
        <w:tblLook w:val="01E0"/>
      </w:tblPr>
      <w:tblGrid>
        <w:gridCol w:w="2508"/>
        <w:gridCol w:w="2093"/>
        <w:gridCol w:w="2231"/>
        <w:gridCol w:w="2727"/>
      </w:tblGrid>
      <w:tr>
        <w:trPr>
          <w:trHeight w:val="401" w:hRule="exact"/>
        </w:trPr>
        <w:tc>
          <w:tcPr>
            <w:tcW w:w="2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4" w:hRule="exact"/>
        </w:trPr>
        <w:tc>
          <w:tcPr>
            <w:tcW w:w="2508" w:type="dxa"/>
            <w:tcBorders>
              <w:top w:val="single" w:sz="4" w:space="0" w:color="000000"/>
              <w:left w:val="single" w:sz="4" w:space="0" w:color="000000"/>
              <w:bottom w:val="single" w:sz="4" w:space="0" w:color="000000"/>
              <w:right w:val="single" w:sz="13" w:space="0" w:color="CCE8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093" w:type="dxa"/>
            <w:tcBorders>
              <w:top w:val="single" w:sz="4" w:space="0" w:color="000000"/>
              <w:left w:val="single" w:sz="9" w:space="0" w:color="D2D2D2"/>
              <w:bottom w:val="single" w:sz="4" w:space="0" w:color="000000"/>
              <w:right w:val="single" w:sz="4" w:space="0" w:color="000000"/>
            </w:tcBorders>
            <w:shd w:val="clear" w:color="auto" w:fill="CCE8CC"/>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20</w:t>
            </w:r>
          </w:p>
        </w:tc>
        <w:tc>
          <w:tcPr>
            <w:tcW w:w="2231"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4.75%</w:t>
            </w:r>
          </w:p>
        </w:tc>
      </w:tr>
      <w:tr>
        <w:trPr>
          <w:trHeight w:val="401" w:hRule="exact"/>
        </w:trPr>
        <w:tc>
          <w:tcPr>
            <w:tcW w:w="2508" w:type="dxa"/>
            <w:tcBorders>
              <w:top w:val="single" w:sz="4" w:space="0" w:color="000000"/>
              <w:left w:val="single" w:sz="4" w:space="0" w:color="000000"/>
              <w:bottom w:val="single" w:sz="4" w:space="0" w:color="000000"/>
              <w:right w:val="single" w:sz="13" w:space="0" w:color="CCE8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093" w:type="dxa"/>
            <w:tcBorders>
              <w:top w:val="single" w:sz="4" w:space="0" w:color="000000"/>
              <w:left w:val="single" w:sz="9" w:space="0" w:color="D2D2D2"/>
              <w:bottom w:val="single" w:sz="4" w:space="0" w:color="000000"/>
              <w:right w:val="single" w:sz="4" w:space="0" w:color="000000"/>
            </w:tcBorders>
            <w:shd w:val="clear" w:color="auto" w:fill="CCE8CC"/>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w:t>
            </w:r>
          </w:p>
        </w:tc>
        <w:tc>
          <w:tcPr>
            <w:tcW w:w="2231"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2508" w:type="dxa"/>
            <w:tcBorders>
              <w:top w:val="single" w:sz="4" w:space="0" w:color="000000"/>
              <w:left w:val="single" w:sz="4" w:space="0" w:color="000000"/>
              <w:bottom w:val="single" w:sz="4" w:space="0" w:color="000000"/>
              <w:right w:val="single" w:sz="13" w:space="0" w:color="CCE8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093" w:type="dxa"/>
            <w:tcBorders>
              <w:top w:val="single" w:sz="4" w:space="0" w:color="000000"/>
              <w:left w:val="single" w:sz="9" w:space="0" w:color="D2D2D2"/>
              <w:bottom w:val="single" w:sz="4" w:space="0" w:color="000000"/>
              <w:right w:val="single" w:sz="4" w:space="0" w:color="000000"/>
            </w:tcBorders>
            <w:shd w:val="clear" w:color="auto" w:fill="CCE8CC"/>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w:t>
            </w:r>
          </w:p>
        </w:tc>
        <w:tc>
          <w:tcPr>
            <w:tcW w:w="2231"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2508" w:type="dxa"/>
            <w:tcBorders>
              <w:top w:val="single" w:sz="4" w:space="0" w:color="000000"/>
              <w:left w:val="single" w:sz="4" w:space="0" w:color="000000"/>
              <w:bottom w:val="single" w:sz="4" w:space="0" w:color="000000"/>
              <w:right w:val="single" w:sz="13" w:space="0" w:color="CCE8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093" w:type="dxa"/>
            <w:tcBorders>
              <w:top w:val="single" w:sz="4" w:space="0" w:color="000000"/>
              <w:left w:val="single" w:sz="9" w:space="0" w:color="D2D2D2"/>
              <w:bottom w:val="single" w:sz="4" w:space="0" w:color="000000"/>
              <w:right w:val="single" w:sz="4" w:space="0" w:color="000000"/>
            </w:tcBorders>
            <w:shd w:val="clear" w:color="auto" w:fill="CCE8CC"/>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w:t>
            </w:r>
          </w:p>
        </w:tc>
        <w:tc>
          <w:tcPr>
            <w:tcW w:w="2231"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11.88%</w:t>
            </w:r>
          </w:p>
        </w:tc>
      </w:tr>
      <w:tr>
        <w:trPr>
          <w:trHeight w:val="403" w:hRule="exact"/>
        </w:trPr>
        <w:tc>
          <w:tcPr>
            <w:tcW w:w="250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柜员机</w:t>
            </w:r>
          </w:p>
        </w:tc>
        <w:tc>
          <w:tcPr>
            <w:tcW w:w="209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8</w:t>
            </w:r>
          </w:p>
        </w:tc>
        <w:tc>
          <w:tcPr>
            <w:tcW w:w="2231"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19%</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85"/>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3" w:right="185"/>
        <w:jc w:val="left"/>
      </w:pPr>
      <w:r>
        <w:rPr/>
        <w:t>公司在每期末判断固定资产是否存在可能发生减值的迹象。 </w:t>
      </w:r>
      <w:r>
        <w:rPr>
          <w:spacing w:val="-2"/>
        </w:rPr>
        <w:t>固定资产存在减值迹象的，估计其可收回金额。可收回金额根据固定资产的公允价值减去处置费用后的净额与固定资产</w:t>
      </w:r>
    </w:p>
    <w:p>
      <w:pPr>
        <w:pStyle w:val="BodyText"/>
        <w:spacing w:line="316" w:lineRule="auto" w:before="19"/>
        <w:ind w:left="513" w:right="185" w:hanging="361"/>
        <w:jc w:val="left"/>
      </w:pPr>
      <w:r>
        <w:rPr/>
        <w:t>预计未来现金流量的现值两者之间较高者确定。 </w:t>
      </w:r>
      <w:r>
        <w:rPr>
          <w:spacing w:val="-2"/>
        </w:rPr>
        <w:t>当固定资产的可收回金额低于其账面价值的，将固定资产的账面价值减记至可收回金额，减记的金额确认为固定资产减</w:t>
      </w:r>
    </w:p>
    <w:p>
      <w:pPr>
        <w:pStyle w:val="BodyText"/>
        <w:spacing w:line="316" w:lineRule="auto" w:before="19"/>
        <w:ind w:left="513" w:right="185" w:hanging="361"/>
        <w:jc w:val="left"/>
      </w:pPr>
      <w:r>
        <w:rPr/>
        <w:t>值损失，计入当期损益，同时计提相应的固定资产减值准备。 </w:t>
      </w:r>
      <w:r>
        <w:rPr>
          <w:spacing w:val="-2"/>
        </w:rPr>
        <w:t>固定资产减值损失确认后，减值固定资产的折旧在未来期间作相应调整，以使该固定资产在剩余使用寿命内，系统地分</w:t>
      </w:r>
    </w:p>
    <w:p>
      <w:pPr>
        <w:pStyle w:val="BodyText"/>
        <w:spacing w:line="316" w:lineRule="auto" w:before="19"/>
        <w:ind w:left="513" w:right="4773" w:hanging="361"/>
        <w:jc w:val="left"/>
      </w:pPr>
      <w:r>
        <w:rPr/>
        <w:t>摊调整后的固定资产账面价值（扣除预计净残值）。 固定资产的减值损失一经确认，在以后会计期间不再转回。</w:t>
      </w:r>
    </w:p>
    <w:p>
      <w:pPr>
        <w:pStyle w:val="BodyText"/>
        <w:spacing w:line="316" w:lineRule="auto" w:before="19"/>
        <w:ind w:right="192" w:firstLine="360"/>
        <w:jc w:val="both"/>
      </w:pPr>
      <w:r>
        <w:rPr>
          <w:spacing w:val="-2"/>
        </w:rPr>
        <w:t>有迹象表明一项固定资产可能发生减值的，企业以单项固定资产为基础估计其可收回金额。企业难以对单项固定资产的</w:t>
      </w:r>
      <w:r>
        <w:rPr/>
        <w:t> 可收回金额进行估计的，以该固定资产所属的资产组为基础确定资产组的可收回金额。</w:t>
      </w:r>
    </w:p>
    <w:p>
      <w:pPr>
        <w:spacing w:line="240" w:lineRule="auto" w:before="11"/>
        <w:rPr>
          <w:rFonts w:ascii="宋体" w:hAnsi="宋体" w:cs="宋体" w:eastAsia="宋体" w:hint="default"/>
          <w:sz w:val="22"/>
          <w:szCs w:val="22"/>
        </w:rPr>
      </w:pPr>
    </w:p>
    <w:p>
      <w:pPr>
        <w:pStyle w:val="Heading3"/>
        <w:spacing w:line="240" w:lineRule="auto"/>
        <w:ind w:right="185"/>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85"/>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85"/>
        <w:jc w:val="left"/>
      </w:pPr>
      <w:r>
        <w:rPr/>
        <w:t>在建工程以立项项目分类核算。</w:t>
      </w:r>
    </w:p>
    <w:p>
      <w:pPr>
        <w:spacing w:line="240" w:lineRule="auto" w:before="0"/>
        <w:rPr>
          <w:rFonts w:ascii="宋体" w:hAnsi="宋体" w:cs="宋体" w:eastAsia="宋体" w:hint="default"/>
          <w:sz w:val="18"/>
          <w:szCs w:val="18"/>
        </w:rPr>
      </w:pPr>
    </w:p>
    <w:p>
      <w:pPr>
        <w:pStyle w:val="Heading3"/>
        <w:spacing w:line="240" w:lineRule="auto" w:before="118"/>
        <w:ind w:right="185"/>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1" w:firstLine="360"/>
        <w:jc w:val="both"/>
      </w:pPr>
      <w:r>
        <w:rPr>
          <w:spacing w:val="-2"/>
        </w:rPr>
        <w:t>在建工程项目按建造该项资产达到预定可使用状态前所发生的全部支出，作为固定资产的入账价值。所建造的固定资产</w:t>
      </w:r>
      <w:r>
        <w:rPr/>
        <w:t> </w:t>
      </w:r>
      <w:r>
        <w:rPr>
          <w:spacing w:val="-2"/>
        </w:rPr>
        <w:t>在建工程已达到预定可使用状态，但尚未办理竣工决算的，自达到预定可使用状态之日起，根据工程预算、造价或者工程实</w:t>
      </w:r>
      <w:r>
        <w:rPr>
          <w:spacing w:val="-66"/>
        </w:rPr>
        <w:t> </w:t>
      </w:r>
      <w:r>
        <w:rPr>
          <w:spacing w:val="-66"/>
        </w:rPr>
      </w:r>
      <w:r>
        <w:rPr>
          <w:spacing w:val="-2"/>
        </w:rPr>
        <w:t>际成本等，按估计的价值转入固定资产，并按本公司固定资产折旧政策计提固定资产的折旧，待办理竣工决算后，再按实际</w:t>
      </w:r>
      <w:r>
        <w:rPr>
          <w:spacing w:val="-64"/>
        </w:rPr>
        <w:t> </w:t>
      </w:r>
      <w:r>
        <w:rPr>
          <w:spacing w:val="-64"/>
        </w:rPr>
      </w:r>
      <w:r>
        <w:rPr/>
        <w:t>成本调整原来的暂估价值，但不调整原已计提的折旧额。</w:t>
      </w:r>
    </w:p>
    <w:p>
      <w:pPr>
        <w:spacing w:line="240" w:lineRule="auto" w:before="11"/>
        <w:rPr>
          <w:rFonts w:ascii="宋体" w:hAnsi="宋体" w:cs="宋体" w:eastAsia="宋体" w:hint="default"/>
          <w:sz w:val="22"/>
          <w:szCs w:val="22"/>
        </w:rPr>
      </w:pPr>
    </w:p>
    <w:p>
      <w:pPr>
        <w:pStyle w:val="Heading3"/>
        <w:spacing w:line="240" w:lineRule="auto"/>
        <w:ind w:right="185"/>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85"/>
        <w:jc w:val="left"/>
      </w:pPr>
      <w:r>
        <w:rPr/>
        <w:t>公司在每期末判断在建工程是否存在可能发生减值的迹象。 </w:t>
      </w:r>
      <w:r>
        <w:rPr>
          <w:spacing w:val="-2"/>
        </w:rPr>
        <w:t>在建工程存在减值迹象的，估计其可收回金额。有迹象表明一项在建工程可能发生减值的，企业以单项在建工程为基础</w:t>
      </w:r>
    </w:p>
    <w:p>
      <w:pPr>
        <w:pStyle w:val="BodyText"/>
        <w:spacing w:line="316" w:lineRule="auto" w:before="19"/>
        <w:ind w:right="185"/>
        <w:jc w:val="left"/>
      </w:pPr>
      <w:r>
        <w:rPr>
          <w:spacing w:val="-2"/>
        </w:rPr>
        <w:t>估计其可收回金额。企业难以对单项在建工程的可收回金额进行估计的，以该在建工程所属的资产组为基础确定资产组的可</w:t>
      </w:r>
      <w:r>
        <w:rPr>
          <w:spacing w:val="-64"/>
        </w:rPr>
        <w:t> </w:t>
      </w:r>
      <w:r>
        <w:rPr>
          <w:spacing w:val="-64"/>
        </w:rPr>
      </w:r>
      <w:r>
        <w:rPr/>
        <w:t>收回金额。</w:t>
      </w:r>
    </w:p>
    <w:p>
      <w:pPr>
        <w:pStyle w:val="BodyText"/>
        <w:spacing w:line="316" w:lineRule="auto" w:before="19"/>
        <w:ind w:left="513" w:right="93"/>
        <w:jc w:val="left"/>
      </w:pPr>
      <w:r>
        <w:rPr/>
        <w:t>可收回金额根据在建工程的公允价值减去处置费用后的净额与在建工程预计未来现金流量的现值两者之间较高者确定。 </w:t>
      </w:r>
      <w:r>
        <w:rPr>
          <w:spacing w:val="-2"/>
        </w:rPr>
        <w:t>当在建工程的可收回金额低于其账面价值的，将在建工程的账面价值减记至可收回金额，减记的金额确认为在建工程减</w:t>
      </w:r>
    </w:p>
    <w:p>
      <w:pPr>
        <w:pStyle w:val="BodyText"/>
        <w:spacing w:line="316" w:lineRule="auto" w:before="19"/>
        <w:ind w:left="513" w:right="4773" w:hanging="361"/>
        <w:jc w:val="left"/>
      </w:pPr>
      <w:r>
        <w:rPr/>
        <w:t>值损失，计入当期损益，同时计提相应的在建工程减值准备。 在建工程的减值损失一经确认，在以后会计期间不再转回。</w:t>
      </w:r>
    </w:p>
    <w:p>
      <w:pPr>
        <w:spacing w:line="240" w:lineRule="auto" w:before="11"/>
        <w:rPr>
          <w:rFonts w:ascii="宋体" w:hAnsi="宋体" w:cs="宋体" w:eastAsia="宋体" w:hint="default"/>
          <w:sz w:val="22"/>
          <w:szCs w:val="22"/>
        </w:rPr>
      </w:pPr>
    </w:p>
    <w:p>
      <w:pPr>
        <w:pStyle w:val="Heading3"/>
        <w:spacing w:line="240" w:lineRule="auto"/>
        <w:ind w:right="185"/>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85"/>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85"/>
        <w:jc w:val="left"/>
      </w:pPr>
      <w:r>
        <w:rPr/>
        <w:t>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w:t>
      </w:r>
    </w:p>
    <w:p>
      <w:pPr>
        <w:pStyle w:val="BodyText"/>
        <w:spacing w:line="240" w:lineRule="auto" w:before="18"/>
        <w:ind w:right="185"/>
        <w:jc w:val="left"/>
      </w:pPr>
      <w:r>
        <w:rPr/>
        <w:t>借款费用，在发生时根据其发生额确认为费用，计入当期损益。</w:t>
      </w:r>
    </w:p>
    <w:p>
      <w:pPr>
        <w:pStyle w:val="BodyText"/>
        <w:spacing w:line="240" w:lineRule="auto" w:before="76"/>
        <w:ind w:left="513" w:right="185"/>
        <w:jc w:val="left"/>
      </w:pPr>
      <w:r>
        <w:rPr/>
        <w:t>符合资本化条件的资产，是指需要经过相当长时间的购建或者生产活动才能达到预定可使用或者可销售状态的固定资</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left="513" w:right="6033" w:hanging="361"/>
        <w:jc w:val="left"/>
      </w:pPr>
      <w:r>
        <w:rPr/>
        <w:t>产、投资性房地产和存货等资产。 借款费用同时满足下列条件时开始资本化：</w:t>
      </w:r>
    </w:p>
    <w:p>
      <w:pPr>
        <w:pStyle w:val="BodyText"/>
        <w:spacing w:line="316" w:lineRule="auto" w:before="17"/>
        <w:ind w:right="185" w:firstLine="360"/>
        <w:jc w:val="left"/>
      </w:pPr>
      <w:r>
        <w:rPr>
          <w:spacing w:val="-2"/>
        </w:rPr>
        <w:t>①资产支出已经发生，资产支出包括为购建或者生产符合资本化条件的资产而以支付现金、转移非现金资产或者承担带</w:t>
      </w:r>
      <w:r>
        <w:rPr/>
        <w:t> 息债务形式发生的支出；</w:t>
      </w:r>
    </w:p>
    <w:p>
      <w:pPr>
        <w:pStyle w:val="BodyText"/>
        <w:spacing w:line="240" w:lineRule="auto" w:before="19"/>
        <w:ind w:left="513" w:right="185"/>
        <w:jc w:val="left"/>
      </w:pPr>
      <w:r>
        <w:rPr/>
        <w:t>②借款费用已经发生；</w:t>
      </w:r>
    </w:p>
    <w:p>
      <w:pPr>
        <w:pStyle w:val="BodyText"/>
        <w:spacing w:line="240" w:lineRule="auto" w:before="76"/>
        <w:ind w:left="513" w:right="185"/>
        <w:jc w:val="left"/>
      </w:pPr>
      <w:r>
        <w:rPr/>
        <w:t>③为使资产达到预定可使用或者可销售状态所必要的购建或者生产活动已经开始。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pStyle w:val="Heading3"/>
        <w:spacing w:line="240" w:lineRule="auto" w:before="120"/>
        <w:ind w:right="185"/>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85"/>
        <w:jc w:val="left"/>
      </w:pP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19"/>
        <w:ind w:right="185"/>
        <w:jc w:val="left"/>
      </w:pPr>
      <w:r>
        <w:rPr/>
        <w:t>款费用资本化。</w:t>
      </w:r>
    </w:p>
    <w:p>
      <w:pPr>
        <w:spacing w:line="240" w:lineRule="auto" w:before="0"/>
        <w:rPr>
          <w:rFonts w:ascii="宋体" w:hAnsi="宋体" w:cs="宋体" w:eastAsia="宋体" w:hint="default"/>
          <w:sz w:val="18"/>
          <w:szCs w:val="18"/>
        </w:rPr>
      </w:pPr>
    </w:p>
    <w:p>
      <w:pPr>
        <w:pStyle w:val="Heading3"/>
        <w:spacing w:line="240" w:lineRule="auto" w:before="120"/>
        <w:ind w:right="185"/>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99" w:firstLine="360"/>
        <w:jc w:val="left"/>
      </w:pP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r>
        <w:rPr/>
        <w:t> </w:t>
      </w: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240" w:lineRule="auto" w:before="3"/>
        <w:rPr>
          <w:rFonts w:ascii="宋体" w:hAnsi="宋体" w:cs="宋体" w:eastAsia="宋体" w:hint="default"/>
          <w:sz w:val="23"/>
          <w:szCs w:val="23"/>
        </w:rPr>
      </w:pPr>
    </w:p>
    <w:p>
      <w:pPr>
        <w:pStyle w:val="Heading3"/>
        <w:spacing w:line="240" w:lineRule="auto"/>
        <w:ind w:right="185"/>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85" w:firstLine="360"/>
        <w:jc w:val="left"/>
      </w:pPr>
      <w:r>
        <w:rPr>
          <w:spacing w:val="-2"/>
        </w:rPr>
        <w:t>对于为购建或者生产符合资本化条件的资产而借入的专门借款，以专门借款当期实际发生的借款费用，减去尚未动用的</w:t>
      </w:r>
      <w:r>
        <w:rPr/>
        <w:t> 借款资金存入银行取得的利息收入或进行暂时性投资取得的投资收益后的金额，来确定借款费用的资本化金额。</w:t>
      </w:r>
    </w:p>
    <w:p>
      <w:pPr>
        <w:pStyle w:val="BodyText"/>
        <w:spacing w:line="316" w:lineRule="auto" w:before="19"/>
        <w:ind w:right="191" w:firstLine="360"/>
        <w:jc w:val="both"/>
      </w:pPr>
      <w:r>
        <w:rPr>
          <w:spacing w:val="-2"/>
        </w:rPr>
        <w:t>对于为购建或者生产符合资本化条件的资产而占用的一般借款，根据累计资产支出超过专门借款部分的资产支出加权平</w:t>
      </w:r>
      <w:r>
        <w:rPr/>
        <w:t> </w:t>
      </w:r>
      <w:r>
        <w:rPr>
          <w:spacing w:val="-2"/>
        </w:rPr>
        <w:t>均数乘以所占用一般借款的资本化率，计算确定一般借款应予资本化的利息金额。资本化率根据一般借款加权平均利率计算</w:t>
      </w:r>
      <w:r>
        <w:rPr>
          <w:spacing w:val="-62"/>
        </w:rPr>
        <w:t> </w:t>
      </w:r>
      <w:r>
        <w:rPr>
          <w:spacing w:val="-62"/>
        </w:rPr>
      </w:r>
      <w:r>
        <w:rPr/>
        <w:t>确定。</w:t>
      </w:r>
    </w:p>
    <w:p>
      <w:pPr>
        <w:pStyle w:val="BodyText"/>
        <w:spacing w:line="240" w:lineRule="auto" w:before="19"/>
        <w:ind w:left="513" w:right="185"/>
        <w:jc w:val="left"/>
      </w:pPr>
      <w:r>
        <w:rPr/>
        <w:t>借款存在折价或者溢价的，按照实际利率法确定每一会计期间应摊销的折价或者溢价金额，调整每期利息金额。</w:t>
      </w:r>
    </w:p>
    <w:p>
      <w:pPr>
        <w:spacing w:line="240" w:lineRule="auto" w:before="0"/>
        <w:rPr>
          <w:rFonts w:ascii="宋体" w:hAnsi="宋体" w:cs="宋体" w:eastAsia="宋体" w:hint="default"/>
          <w:sz w:val="18"/>
          <w:szCs w:val="18"/>
        </w:rPr>
      </w:pPr>
    </w:p>
    <w:p>
      <w:pPr>
        <w:pStyle w:val="Heading3"/>
        <w:spacing w:line="240" w:lineRule="auto" w:before="120"/>
        <w:ind w:right="185"/>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85"/>
        <w:jc w:val="left"/>
      </w:pPr>
      <w:r>
        <w:rPr/>
        <w:t>本报告期未发生生物资产事项。</w:t>
      </w:r>
    </w:p>
    <w:p>
      <w:pPr>
        <w:spacing w:line="240" w:lineRule="auto" w:before="0"/>
        <w:rPr>
          <w:rFonts w:ascii="宋体" w:hAnsi="宋体" w:cs="宋体" w:eastAsia="宋体" w:hint="default"/>
          <w:sz w:val="18"/>
          <w:szCs w:val="18"/>
        </w:rPr>
      </w:pPr>
    </w:p>
    <w:p>
      <w:pPr>
        <w:pStyle w:val="Heading3"/>
        <w:spacing w:line="240" w:lineRule="auto" w:before="120"/>
        <w:ind w:right="185"/>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85"/>
        <w:jc w:val="left"/>
      </w:pPr>
      <w:r>
        <w:rPr/>
        <w:t>本报告期未发生油气资产事项。</w:t>
      </w:r>
    </w:p>
    <w:p>
      <w:pPr>
        <w:spacing w:line="240" w:lineRule="auto" w:before="0"/>
        <w:rPr>
          <w:rFonts w:ascii="宋体" w:hAnsi="宋体" w:cs="宋体" w:eastAsia="宋体" w:hint="default"/>
          <w:sz w:val="18"/>
          <w:szCs w:val="18"/>
        </w:rPr>
      </w:pPr>
    </w:p>
    <w:p>
      <w:pPr>
        <w:pStyle w:val="Heading3"/>
        <w:spacing w:line="240" w:lineRule="auto" w:before="121"/>
        <w:ind w:right="185"/>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85"/>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85"/>
        <w:jc w:val="left"/>
      </w:pPr>
      <w:r>
        <w:rPr/>
        <w:t>①公司取得无形资产时按成本进行初始计量； </w:t>
      </w:r>
      <w:r>
        <w:rPr>
          <w:spacing w:val="-2"/>
        </w:rPr>
        <w:t>外购无形资产的成本，包括购买价款、相关税费以及直接归属于使该项资产达到预定用途所发生的其他支出。购买无形</w:t>
      </w:r>
    </w:p>
    <w:p>
      <w:pPr>
        <w:pStyle w:val="BodyText"/>
        <w:spacing w:line="240" w:lineRule="auto" w:before="19"/>
        <w:ind w:right="185"/>
        <w:jc w:val="left"/>
      </w:pPr>
      <w:r>
        <w:rPr/>
        <w:t>资产的价款超过正常信用条件延期支付，实质上具有融资性质的，无形资产的成本以购买价款的现值为基础确定。</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2" w:firstLine="360"/>
        <w:jc w:val="both"/>
      </w:pPr>
      <w:r>
        <w:rPr>
          <w:spacing w:val="-2"/>
        </w:rPr>
        <w:t>债务重组取得债务人用以抵债的无形资产，以该无形资产的公允价值为基础确定其入账价值，并将重组债务的账面价值</w:t>
      </w:r>
      <w:r>
        <w:rPr/>
        <w:t> 与该用以抵债的无形资产公允价值之间的差额，计入当期损益；</w:t>
      </w:r>
    </w:p>
    <w:p>
      <w:pPr>
        <w:pStyle w:val="BodyText"/>
        <w:spacing w:line="316" w:lineRule="auto" w:before="17"/>
        <w:ind w:right="192" w:firstLine="360"/>
        <w:jc w:val="both"/>
      </w:pPr>
      <w:r>
        <w:rPr>
          <w:spacing w:val="-2"/>
        </w:rPr>
        <w:t>在非货币性资产交换具备商业实质且换入资产或换出资产的公允价值能够可靠计量的前提下，非货币性资产交换换入的</w:t>
      </w:r>
      <w:r>
        <w:rPr/>
        <w:t> </w:t>
      </w: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16" w:lineRule="auto" w:before="19"/>
        <w:ind w:right="191" w:firstLine="360"/>
        <w:jc w:val="both"/>
      </w:pPr>
      <w:r>
        <w:rPr>
          <w:spacing w:val="-2"/>
        </w:rPr>
        <w:t>以同一控制下的企业吸收合并方式取得的无形资产按被合并方的账面价值确定其入账价值；以非同一控制下的企业吸收</w:t>
      </w:r>
      <w:r>
        <w:rPr/>
        <w:t> 合并方式取得的无形资产按公允价值确定其入账价值。</w:t>
      </w:r>
    </w:p>
    <w:p>
      <w:pPr>
        <w:pStyle w:val="BodyText"/>
        <w:spacing w:line="316" w:lineRule="auto" w:before="19"/>
        <w:ind w:right="194" w:firstLine="360"/>
        <w:jc w:val="both"/>
      </w:pPr>
      <w:r>
        <w:rPr>
          <w:spacing w:val="-2"/>
        </w:rPr>
        <w:t>内部自行开发的无形资产，其成本包括：开发该无形资产时耗用的材料、劳务成本、注册费、在开发过程中使用的其他</w:t>
      </w:r>
      <w:r>
        <w:rPr/>
        <w:t> 专利权和特许权的摊销以及满足资本化条件的利息费用，以及为使该无形资产达到预定用途前所发生的其他直接费用。</w:t>
      </w:r>
    </w:p>
    <w:p>
      <w:pPr>
        <w:pStyle w:val="BodyText"/>
        <w:spacing w:line="316" w:lineRule="auto" w:before="19"/>
        <w:ind w:left="513" w:right="6213"/>
        <w:jc w:val="left"/>
      </w:pPr>
      <w:r>
        <w:rPr/>
        <w:t>②后续计量 在取得无形资产时分析判断其使用寿命。</w:t>
      </w:r>
    </w:p>
    <w:p>
      <w:pPr>
        <w:pStyle w:val="BodyText"/>
        <w:spacing w:line="316" w:lineRule="auto" w:before="19"/>
        <w:ind w:right="192" w:firstLine="360"/>
        <w:jc w:val="both"/>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spacing w:line="240" w:lineRule="auto" w:before="11"/>
        <w:rPr>
          <w:rFonts w:ascii="宋体" w:hAnsi="宋体" w:cs="宋体" w:eastAsia="宋体" w:hint="default"/>
          <w:sz w:val="22"/>
          <w:szCs w:val="22"/>
        </w:rPr>
      </w:pPr>
    </w:p>
    <w:p>
      <w:pPr>
        <w:pStyle w:val="Heading3"/>
        <w:spacing w:line="240" w:lineRule="auto"/>
        <w:ind w:right="185"/>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3693"/>
        <w:jc w:val="left"/>
      </w:pPr>
      <w:r>
        <w:rPr/>
        <w:t>每期末，对使用寿命有限的无形资产的使用寿命及摊销方法进行复核。 经复核，本年期末无形资产的使用寿命及摊销方法与以前估计未有不同。</w:t>
      </w:r>
    </w:p>
    <w:tbl>
      <w:tblPr>
        <w:tblW w:w="0" w:type="auto"/>
        <w:jc w:val="left"/>
        <w:tblInd w:w="149" w:type="dxa"/>
        <w:tblLayout w:type="fixed"/>
        <w:tblCellMar>
          <w:top w:w="0" w:type="dxa"/>
          <w:left w:w="0" w:type="dxa"/>
          <w:bottom w:w="0" w:type="dxa"/>
          <w:right w:w="0" w:type="dxa"/>
        </w:tblCellMar>
        <w:tblLook w:val="01E0"/>
      </w:tblPr>
      <w:tblGrid>
        <w:gridCol w:w="2279"/>
        <w:gridCol w:w="2216"/>
        <w:gridCol w:w="5075"/>
      </w:tblGrid>
      <w:tr>
        <w:trPr>
          <w:trHeight w:val="401" w:hRule="exact"/>
        </w:trPr>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3" w:hRule="exact"/>
        </w:trPr>
        <w:tc>
          <w:tcPr>
            <w:tcW w:w="22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合同规定与法律规定孰低的原则</w:t>
            </w:r>
          </w:p>
        </w:tc>
      </w:tr>
      <w:tr>
        <w:trPr>
          <w:trHeight w:val="401" w:hRule="exact"/>
        </w:trPr>
        <w:tc>
          <w:tcPr>
            <w:tcW w:w="22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注册商标及专利</w:t>
            </w:r>
          </w:p>
        </w:tc>
        <w:tc>
          <w:tcPr>
            <w:tcW w:w="221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合同规定与法律规定孰低的原则</w:t>
            </w:r>
          </w:p>
        </w:tc>
      </w:tr>
      <w:tr>
        <w:trPr>
          <w:trHeight w:val="403" w:hRule="exact"/>
        </w:trPr>
        <w:tc>
          <w:tcPr>
            <w:tcW w:w="22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221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行业情况及企业历史经验</w:t>
            </w:r>
          </w:p>
        </w:tc>
      </w:tr>
    </w:tbl>
    <w:p>
      <w:pPr>
        <w:spacing w:line="240" w:lineRule="auto" w:before="0"/>
        <w:rPr>
          <w:rFonts w:ascii="宋体" w:hAnsi="宋体" w:cs="宋体" w:eastAsia="宋体" w:hint="default"/>
          <w:sz w:val="20"/>
          <w:szCs w:val="20"/>
        </w:rPr>
      </w:pPr>
    </w:p>
    <w:p>
      <w:pPr>
        <w:pStyle w:val="Heading3"/>
        <w:spacing w:line="240" w:lineRule="auto" w:before="36"/>
        <w:ind w:right="185"/>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813"/>
        <w:jc w:val="left"/>
      </w:pPr>
      <w:r>
        <w:rPr/>
        <w:t>每期末，对使用寿命不确定的无形资产的使用寿命进行复核。 经复核，该类无形资产的使用寿命仍为不确定，则在下一会计期间继续作为使用寿命不确定的无形资产核算。</w:t>
      </w:r>
    </w:p>
    <w:p>
      <w:pPr>
        <w:spacing w:line="240" w:lineRule="auto" w:before="10"/>
        <w:rPr>
          <w:rFonts w:ascii="宋体" w:hAnsi="宋体" w:cs="宋体" w:eastAsia="宋体" w:hint="default"/>
          <w:sz w:val="22"/>
          <w:szCs w:val="22"/>
        </w:rPr>
      </w:pPr>
    </w:p>
    <w:p>
      <w:pPr>
        <w:pStyle w:val="Heading3"/>
        <w:spacing w:line="240" w:lineRule="auto"/>
        <w:ind w:right="185"/>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85"/>
        <w:jc w:val="left"/>
      </w:pPr>
      <w:r>
        <w:rPr/>
        <w:t>对于使用寿命确定的无形资产，如有明显减值迹象的，期末进行减值测试。 对于使用寿命不确定的无形资产，每期末进行减值测试。 </w:t>
      </w:r>
      <w:r>
        <w:rPr>
          <w:spacing w:val="-2"/>
        </w:rPr>
        <w:t>对无形资产进行减值测试，估计其可收回金额。有迹象表明一项无形资产可能发生减值的，公司以单项无形资产为基础</w:t>
      </w:r>
    </w:p>
    <w:p>
      <w:pPr>
        <w:pStyle w:val="BodyText"/>
        <w:spacing w:line="316" w:lineRule="auto" w:before="19"/>
        <w:ind w:right="185"/>
        <w:jc w:val="left"/>
      </w:pPr>
      <w:r>
        <w:rPr>
          <w:spacing w:val="-2"/>
        </w:rPr>
        <w:t>估计其可收回金额。公司难以对单项资产的可收回金额进行估计的，以该无形资产所属的资产组为基础确定无形资产组的可</w:t>
      </w:r>
      <w:r>
        <w:rPr>
          <w:spacing w:val="-64"/>
        </w:rPr>
        <w:t> </w:t>
      </w:r>
      <w:r>
        <w:rPr>
          <w:spacing w:val="-64"/>
        </w:rPr>
      </w:r>
      <w:r>
        <w:rPr/>
        <w:t>收回金额。</w:t>
      </w:r>
    </w:p>
    <w:p>
      <w:pPr>
        <w:pStyle w:val="BodyText"/>
        <w:spacing w:line="319" w:lineRule="auto" w:before="19"/>
        <w:ind w:left="513" w:right="93"/>
        <w:jc w:val="left"/>
      </w:pPr>
      <w:r>
        <w:rPr/>
        <w:t>可收回金额根据无形资产的公允价值减去处置费用后的净额与无形资产预计未来现金流量的现值两者之间较高者确定。 </w:t>
      </w:r>
      <w:r>
        <w:rPr>
          <w:spacing w:val="-2"/>
        </w:rPr>
        <w:t>当无形资产的可收回金额低于其账面价值的，将无形资产的账面价值减记至可收回金额，减记的金额确认为无形资产减</w:t>
      </w:r>
    </w:p>
    <w:p>
      <w:pPr>
        <w:pStyle w:val="BodyText"/>
        <w:spacing w:line="316" w:lineRule="auto" w:before="17"/>
        <w:ind w:left="513" w:right="185" w:hanging="361"/>
        <w:jc w:val="left"/>
      </w:pPr>
      <w:r>
        <w:rPr/>
        <w:t>值损失，计入当期损益，同时计提相应的无形资产减值准备。 </w:t>
      </w:r>
      <w:r>
        <w:rPr>
          <w:spacing w:val="-2"/>
        </w:rPr>
        <w:t>无形资产减值损失确认后，减值无形资产的折耗或者摊销费用在未来期间作相应调整，以使该无形资产在剩余使用寿命</w:t>
      </w:r>
    </w:p>
    <w:p>
      <w:pPr>
        <w:pStyle w:val="BodyText"/>
        <w:spacing w:line="316" w:lineRule="auto" w:before="19"/>
        <w:ind w:left="513" w:right="4594" w:hanging="361"/>
        <w:jc w:val="left"/>
      </w:pPr>
      <w:r>
        <w:rPr/>
        <w:t>内，系统地分摊调整后的无形资产账面价值（扣除预计净残值）。 无形资产的减值损失一经确认，在以后会计期间不再转回。</w:t>
      </w:r>
    </w:p>
    <w:p>
      <w:pPr>
        <w:spacing w:after="0" w:line="316"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left="513" w:right="185" w:hanging="361"/>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3" w:right="185"/>
        <w:jc w:val="left"/>
      </w:pPr>
      <w:r>
        <w:rPr/>
        <w:t>公司内部研究开发项目的支出分为研究阶段支出和开发阶段支出。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240" w:lineRule="auto" w:before="19"/>
        <w:ind w:right="185"/>
        <w:jc w:val="left"/>
      </w:pPr>
      <w:r>
        <w:rPr/>
        <w:t>进的材料、装置、产品等活动的阶段。</w:t>
      </w:r>
    </w:p>
    <w:p>
      <w:pPr>
        <w:spacing w:line="240" w:lineRule="auto" w:before="0"/>
        <w:rPr>
          <w:rFonts w:ascii="宋体" w:hAnsi="宋体" w:cs="宋体" w:eastAsia="宋体" w:hint="default"/>
          <w:sz w:val="18"/>
          <w:szCs w:val="18"/>
        </w:rPr>
      </w:pPr>
    </w:p>
    <w:p>
      <w:pPr>
        <w:pStyle w:val="Heading3"/>
        <w:spacing w:line="240" w:lineRule="auto" w:before="120"/>
        <w:ind w:right="185"/>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85"/>
        <w:jc w:val="left"/>
      </w:pPr>
      <w:r>
        <w:rPr/>
        <w:t>内部研究开发项目开发阶段的支出，同时满足下列条件时确认为无形资产：</w:t>
      </w:r>
    </w:p>
    <w:p>
      <w:pPr>
        <w:pStyle w:val="BodyText"/>
        <w:spacing w:line="240" w:lineRule="auto" w:before="76"/>
        <w:ind w:left="513" w:right="185"/>
        <w:jc w:val="left"/>
      </w:pPr>
      <w:r>
        <w:rPr/>
        <w:t>①完成该无形资产以使其能够使用或出售在技术上具有可行性；</w:t>
      </w:r>
    </w:p>
    <w:p>
      <w:pPr>
        <w:pStyle w:val="BodyText"/>
        <w:spacing w:line="240" w:lineRule="auto" w:before="76"/>
        <w:ind w:left="513" w:right="185"/>
        <w:jc w:val="left"/>
      </w:pPr>
      <w:r>
        <w:rPr/>
        <w:t>②具有完成该无形资产并使用或出售的意图；</w:t>
      </w:r>
    </w:p>
    <w:p>
      <w:pPr>
        <w:pStyle w:val="BodyText"/>
        <w:spacing w:line="319" w:lineRule="auto" w:before="76"/>
        <w:ind w:right="185" w:firstLine="360"/>
        <w:jc w:val="left"/>
      </w:pPr>
      <w:r>
        <w:rPr>
          <w:spacing w:val="-2"/>
        </w:rPr>
        <w:t>③无形资产产生经济利益的方式，包括能够证明运用该无形资产生产的产品存在市场或无形资产自身存在市场，无形资</w:t>
      </w:r>
      <w:r>
        <w:rPr/>
        <w:t> 产将在内部使用的，能够证明其有用性；</w:t>
      </w:r>
    </w:p>
    <w:p>
      <w:pPr>
        <w:pStyle w:val="BodyText"/>
        <w:spacing w:line="240" w:lineRule="auto" w:before="17"/>
        <w:ind w:left="513" w:right="185"/>
        <w:jc w:val="left"/>
      </w:pPr>
      <w:r>
        <w:rPr/>
        <w:t>④有足够的技术、财务资源和其他资源支持，以完成该无形资产的开发，并有能力使用或出售该无形资产；</w:t>
      </w:r>
    </w:p>
    <w:p>
      <w:pPr>
        <w:pStyle w:val="BodyText"/>
        <w:spacing w:line="316" w:lineRule="auto" w:before="76"/>
        <w:ind w:left="513" w:right="813"/>
        <w:jc w:val="left"/>
      </w:pPr>
      <w:r>
        <w:rPr/>
        <w:t>⑤归属于该无形资产开发阶段的支出能够可靠地计量。 开发阶段的支出，若不满足上列条件的，于发生时计入当期损益。研究阶段的支出，在发生时计入当期损益。</w:t>
      </w:r>
    </w:p>
    <w:p>
      <w:pPr>
        <w:spacing w:line="240" w:lineRule="auto" w:before="10"/>
        <w:rPr>
          <w:rFonts w:ascii="宋体" w:hAnsi="宋体" w:cs="宋体" w:eastAsia="宋体" w:hint="default"/>
          <w:sz w:val="22"/>
          <w:szCs w:val="22"/>
        </w:rPr>
      </w:pPr>
    </w:p>
    <w:p>
      <w:pPr>
        <w:pStyle w:val="Heading3"/>
        <w:spacing w:line="240" w:lineRule="auto"/>
        <w:ind w:right="185"/>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2433"/>
        <w:jc w:val="left"/>
      </w:pPr>
      <w:r>
        <w:rPr/>
        <w:t>长期待摊费用为已经发生但应由本期和以后各期负担的分摊期限在一年以上的各项费用。 长期待摊费用在受益期内平均摊销 长期待摊费用的摊销方法为在预计的使用年限内采用直线法进行摊销。 装修支出按</w:t>
      </w:r>
      <w:r>
        <w:rPr>
          <w:rFonts w:ascii="Times New Roman" w:hAnsi="Times New Roman" w:cs="Times New Roman" w:eastAsia="Times New Roman" w:hint="default"/>
        </w:rPr>
        <w:t>2</w:t>
      </w:r>
      <w:r>
        <w:rPr/>
        <w:t>年摊销。</w:t>
      </w:r>
    </w:p>
    <w:p>
      <w:pPr>
        <w:spacing w:line="240" w:lineRule="auto" w:before="4"/>
        <w:rPr>
          <w:rFonts w:ascii="宋体" w:hAnsi="宋体" w:cs="宋体" w:eastAsia="宋体" w:hint="default"/>
          <w:sz w:val="21"/>
          <w:szCs w:val="21"/>
        </w:rPr>
      </w:pPr>
    </w:p>
    <w:p>
      <w:pPr>
        <w:pStyle w:val="Heading3"/>
        <w:spacing w:line="240" w:lineRule="auto"/>
        <w:ind w:right="185"/>
        <w:jc w:val="left"/>
        <w:rPr>
          <w:b w:val="0"/>
          <w:bCs w:val="0"/>
        </w:rPr>
      </w:pPr>
      <w:r>
        <w:rPr>
          <w:rFonts w:ascii="Times New Roman" w:hAnsi="Times New Roman" w:cs="Times New Roman" w:eastAsia="Times New Roman" w:hint="default"/>
        </w:rPr>
        <w:t>21</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85" w:firstLine="360"/>
        <w:jc w:val="left"/>
      </w:pPr>
      <w:r>
        <w:rPr>
          <w:spacing w:val="-2"/>
        </w:rPr>
        <w:t>本公司涉及保修、诉讼、债务担保、亏损合同、重组事项时，如该等事项很可能需要未来以交付资产或提供劳务、其金</w:t>
      </w:r>
      <w:r>
        <w:rPr/>
        <w:t> 额能够可靠计量的，确认为预计负债。</w:t>
      </w:r>
    </w:p>
    <w:p>
      <w:pPr>
        <w:spacing w:line="240" w:lineRule="auto" w:before="10"/>
        <w:rPr>
          <w:rFonts w:ascii="宋体" w:hAnsi="宋体" w:cs="宋体" w:eastAsia="宋体" w:hint="default"/>
          <w:sz w:val="22"/>
          <w:szCs w:val="22"/>
        </w:rPr>
      </w:pPr>
    </w:p>
    <w:p>
      <w:pPr>
        <w:pStyle w:val="Heading3"/>
        <w:spacing w:line="240" w:lineRule="auto"/>
        <w:ind w:right="185"/>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85"/>
        <w:jc w:val="left"/>
      </w:pPr>
      <w:r>
        <w:rPr/>
        <w:t>与或有事项相关的义务同时满足下列条件时，本公司确认为预计负债：</w:t>
      </w:r>
    </w:p>
    <w:p>
      <w:pPr>
        <w:pStyle w:val="BodyText"/>
        <w:spacing w:line="240" w:lineRule="auto" w:before="76"/>
        <w:ind w:left="513" w:right="185"/>
        <w:jc w:val="left"/>
      </w:pPr>
      <w:r>
        <w:rPr/>
        <w:t>①该义务是本公司承担的现时义务；</w:t>
      </w:r>
    </w:p>
    <w:p>
      <w:pPr>
        <w:pStyle w:val="BodyText"/>
        <w:spacing w:line="240" w:lineRule="auto" w:before="76"/>
        <w:ind w:left="513" w:right="185"/>
        <w:jc w:val="left"/>
      </w:pPr>
      <w:r>
        <w:rPr/>
        <w:t>②履行该义务很可能导致经济利益流出本公司；</w:t>
      </w:r>
    </w:p>
    <w:p>
      <w:pPr>
        <w:pStyle w:val="BodyText"/>
        <w:spacing w:line="240" w:lineRule="auto" w:before="76"/>
        <w:ind w:left="513" w:right="185"/>
        <w:jc w:val="left"/>
      </w:pPr>
      <w:r>
        <w:rPr/>
        <w:t>③该义务的金额能够可靠地计量。</w:t>
      </w:r>
    </w:p>
    <w:p>
      <w:pPr>
        <w:spacing w:line="240" w:lineRule="auto" w:before="0"/>
        <w:rPr>
          <w:rFonts w:ascii="宋体" w:hAnsi="宋体" w:cs="宋体" w:eastAsia="宋体" w:hint="default"/>
          <w:sz w:val="18"/>
          <w:szCs w:val="18"/>
        </w:rPr>
      </w:pPr>
    </w:p>
    <w:p>
      <w:pPr>
        <w:pStyle w:val="Heading3"/>
        <w:spacing w:line="240" w:lineRule="auto" w:before="121"/>
        <w:ind w:right="185"/>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85" w:firstLine="360"/>
        <w:jc w:val="left"/>
      </w:pPr>
      <w:r>
        <w:rPr>
          <w:spacing w:val="-2"/>
        </w:rPr>
        <w:t>为了与收入、成本确认期间相配比，按一定的标准将销售机器的保修期间、融资租赁机器的租赁期间所发生的维护费用</w:t>
      </w:r>
      <w:r>
        <w:rPr/>
        <w:t> 在收入确认期间确认为预计负债，具体计算方法如下：</w:t>
      </w:r>
    </w:p>
    <w:p>
      <w:pPr>
        <w:pStyle w:val="BodyText"/>
        <w:spacing w:line="240" w:lineRule="auto" w:before="19"/>
        <w:ind w:left="513" w:right="185"/>
        <w:jc w:val="left"/>
      </w:pPr>
      <w:r>
        <w:rPr/>
        <w:t>①按历史数据确定预计维护费用每月单台标准；</w:t>
      </w:r>
    </w:p>
    <w:p>
      <w:pPr>
        <w:pStyle w:val="BodyText"/>
        <w:spacing w:line="316" w:lineRule="auto" w:before="76"/>
        <w:ind w:right="94" w:firstLine="360"/>
        <w:jc w:val="left"/>
      </w:pPr>
      <w:r>
        <w:rPr/>
        <w:t>②按合同确定销售机器保修总月份数、融资租赁机维护总月份数。考虑到新机上线前期实际不发生或少量发生维护费， 在按合同确定维护总月份数时，每台机统一扣减</w:t>
      </w:r>
      <w:r>
        <w:rPr>
          <w:rFonts w:ascii="Times New Roman" w:hAnsi="Times New Roman" w:cs="Times New Roman" w:eastAsia="Times New Roman" w:hint="default"/>
        </w:rPr>
        <w:t>6</w:t>
      </w:r>
      <w:r>
        <w:rPr/>
        <w:t>个月；</w:t>
      </w:r>
    </w:p>
    <w:p>
      <w:pPr>
        <w:pStyle w:val="BodyText"/>
        <w:spacing w:line="235" w:lineRule="exact"/>
        <w:ind w:left="513" w:right="185"/>
        <w:jc w:val="left"/>
      </w:pPr>
      <w:r>
        <w:rPr/>
        <w:t>③按销售机器数量、保修总月份数、每月单台维护标准确认保修期间销售机器的维护费用，同时确认预计负债；</w:t>
      </w:r>
    </w:p>
    <w:p>
      <w:pPr>
        <w:spacing w:after="0" w:line="235" w:lineRule="exact"/>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13" w:right="0"/>
        <w:jc w:val="left"/>
      </w:pPr>
      <w:r>
        <w:rPr/>
        <w:t>④按融资租赁机器数量、租赁总月份数、每月单台维护标准确认租赁期间融资租赁机的维护费用，同时确认预计负债。</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22</w:t>
      </w:r>
      <w:r>
        <w:rPr/>
        <w:t>、股份支付及权益工具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85" w:firstLine="360"/>
        <w:jc w:val="left"/>
      </w:pPr>
      <w:r>
        <w:rPr>
          <w:spacing w:val="-2"/>
        </w:rPr>
        <w:t>本公司的股份支付是为了获取职工或其他方提供服务而授予权益工具或者承担以权益工具为基础确定的负债的交易。本</w:t>
      </w:r>
      <w:r>
        <w:rPr/>
        <w:t> 公司的股份支付分为以权益结算的股份支付和以现金结算的股份支付。</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85"/>
        <w:jc w:val="left"/>
      </w:pPr>
      <w:r>
        <w:rPr/>
        <w:t>①以权益结算的股份支付及权益工具 </w:t>
      </w:r>
      <w:r>
        <w:rPr>
          <w:spacing w:val="-2"/>
        </w:rPr>
        <w:t>以权益结算的股份支付换取职工提供服务的，以授予职工权益工具的公允价值计量。授予后立即可行权的，在授予日按</w:t>
      </w:r>
    </w:p>
    <w:p>
      <w:pPr>
        <w:pStyle w:val="BodyText"/>
        <w:spacing w:line="316" w:lineRule="auto" w:before="19"/>
        <w:ind w:right="191"/>
        <w:jc w:val="both"/>
      </w:pPr>
      <w:r>
        <w:rPr>
          <w:spacing w:val="-2"/>
        </w:rPr>
        <w:t>照公允价值计入相关成本或费用，相应增加资本公积；完成等待期内的服务或达到规定业绩条件才可行权的，在等待期内每</w:t>
      </w:r>
      <w:r>
        <w:rPr>
          <w:spacing w:val="-66"/>
        </w:rPr>
        <w:t> </w:t>
      </w:r>
      <w:r>
        <w:rPr>
          <w:spacing w:val="-66"/>
        </w:rPr>
      </w:r>
      <w:r>
        <w:rPr>
          <w:spacing w:val="-2"/>
        </w:rPr>
        <w:t>个资产负债表日，本公司根据最新取得的可行权职工人数变动、是否达到规定业绩条件等后续信息对可行权权益工具数量作</w:t>
      </w:r>
      <w:r>
        <w:rPr>
          <w:spacing w:val="-62"/>
        </w:rPr>
        <w:t> </w:t>
      </w:r>
      <w:r>
        <w:rPr>
          <w:spacing w:val="-62"/>
        </w:rPr>
      </w:r>
      <w:r>
        <w:rPr>
          <w:spacing w:val="-2"/>
        </w:rPr>
        <w:t>出最佳估计，以此为基础，按照授予日的公允价值，将当期取得的服务计入相关成本或费用，相应增加资本公积。在授权日</w:t>
      </w:r>
      <w:r>
        <w:rPr>
          <w:spacing w:val="-67"/>
        </w:rPr>
        <w:t> </w:t>
      </w:r>
      <w:r>
        <w:rPr>
          <w:spacing w:val="-67"/>
        </w:rPr>
      </w:r>
      <w:r>
        <w:rPr/>
        <w:t>采用</w:t>
      </w:r>
      <w:r>
        <w:rPr>
          <w:rFonts w:ascii="Times New Roman" w:hAnsi="Times New Roman" w:cs="Times New Roman" w:eastAsia="Times New Roman" w:hint="default"/>
        </w:rPr>
        <w:t>Black-Scholes</w:t>
      </w:r>
      <w:r>
        <w:rPr/>
        <w:t>模型确定股票期权的公允价值权</w:t>
      </w:r>
      <w:r>
        <w:rPr>
          <w:rFonts w:ascii="Times New Roman" w:hAnsi="Times New Roman" w:cs="Times New Roman" w:eastAsia="Times New Roman" w:hint="default"/>
        </w:rPr>
        <w:t>,</w:t>
      </w:r>
      <w:r>
        <w:rPr/>
        <w:t>详见财务会计报告八、（十）股份支付。</w:t>
      </w:r>
    </w:p>
    <w:p>
      <w:pPr>
        <w:pStyle w:val="BodyText"/>
        <w:spacing w:line="316" w:lineRule="auto"/>
        <w:ind w:right="190" w:firstLine="360"/>
        <w:jc w:val="both"/>
      </w:pPr>
      <w:r>
        <w:rPr>
          <w:spacing w:val="-2"/>
        </w:rPr>
        <w:t>在满足业绩条件和服务期限条件的期间，应确认以权益结算的股份支付的成本或费用，并相应增加资本公积。可行权日</w:t>
      </w:r>
      <w:r>
        <w:rPr/>
        <w:t> </w:t>
      </w:r>
      <w:r>
        <w:rPr>
          <w:spacing w:val="-2"/>
        </w:rPr>
        <w:t>之前，于每个资产负债表日为以权益结算的股份支付确认的累计金额反映了等待期已届满的部分以及本公司对最终可行权的</w:t>
      </w:r>
      <w:r>
        <w:rPr>
          <w:spacing w:val="-64"/>
        </w:rPr>
        <w:t> </w:t>
      </w:r>
      <w:r>
        <w:rPr>
          <w:spacing w:val="-64"/>
        </w:rPr>
      </w:r>
      <w:r>
        <w:rPr/>
        <w:t>权益工具数量的最佳估计。</w:t>
      </w:r>
    </w:p>
    <w:p>
      <w:pPr>
        <w:pStyle w:val="BodyText"/>
        <w:spacing w:line="316" w:lineRule="auto" w:before="19"/>
        <w:ind w:right="185" w:firstLine="360"/>
        <w:jc w:val="left"/>
      </w:pPr>
      <w:r>
        <w:rPr>
          <w:spacing w:val="-2"/>
        </w:rPr>
        <w:t>对于最终未能行权的股份支付，不确认成本或费用，除非行权条件是市场条件或非可行权条件，此时无论是否满足市场</w:t>
      </w:r>
      <w:r>
        <w:rPr/>
        <w:t> 条件或非可行权条件，只要满足所有可行权条件中的非市场条件，即视为可行权。</w:t>
      </w:r>
    </w:p>
    <w:p>
      <w:pPr>
        <w:pStyle w:val="BodyText"/>
        <w:spacing w:line="316" w:lineRule="auto" w:before="19"/>
        <w:ind w:right="185" w:firstLine="360"/>
        <w:jc w:val="left"/>
      </w:pPr>
      <w:r>
        <w:rPr>
          <w:spacing w:val="-2"/>
        </w:rPr>
        <w:t>如果修改了以权益结算的股份支付的条款，至少按照未修改条款的情况确认取得的服务。此外，任何增加所授予权益工</w:t>
      </w:r>
      <w:r>
        <w:rPr/>
        <w:t> 具公允价值的修改，或在修改日对职工有利的变更，均确认取得服务的增加。</w:t>
      </w:r>
    </w:p>
    <w:p>
      <w:pPr>
        <w:pStyle w:val="BodyText"/>
        <w:spacing w:line="319" w:lineRule="auto" w:before="19"/>
        <w:ind w:right="185" w:firstLine="360"/>
        <w:jc w:val="left"/>
      </w:pPr>
      <w:r>
        <w:rPr>
          <w:spacing w:val="-2"/>
        </w:rPr>
        <w:t>如果取消了以权益结算的股份支付，则于取消日作为加速行权处理，立即确认尚未确认的金额。职工或其他方能够选择</w:t>
      </w:r>
      <w:r>
        <w:rPr/>
        <w:t> </w:t>
      </w:r>
      <w:r>
        <w:rPr>
          <w:spacing w:val="-2"/>
        </w:rPr>
        <w:t>满足非可行权条件但在等待期内未满足的，作为取消以权益结算的股份支付处理。但是，如果授予新的权益工具，并在新权</w:t>
      </w:r>
      <w:r>
        <w:rPr>
          <w:spacing w:val="-62"/>
        </w:rPr>
        <w:t> </w:t>
      </w:r>
      <w:r>
        <w:rPr>
          <w:spacing w:val="-62"/>
        </w:rPr>
      </w:r>
      <w:r>
        <w:rPr/>
        <w:t>益工具授予日认定所授予的新权益工具是用于替代被取消的权益工具的，则以与处理原权益工具条款和条件修改相同的方 式，对所授予的替代权益工具进行处理。</w:t>
      </w:r>
    </w:p>
    <w:p>
      <w:pPr>
        <w:spacing w:line="240" w:lineRule="auto" w:before="2"/>
        <w:rPr>
          <w:rFonts w:ascii="宋体" w:hAnsi="宋体" w:cs="宋体" w:eastAsia="宋体" w:hint="default"/>
          <w:sz w:val="25"/>
          <w:szCs w:val="25"/>
        </w:rPr>
      </w:pPr>
    </w:p>
    <w:p>
      <w:pPr>
        <w:pStyle w:val="BodyText"/>
        <w:spacing w:line="360" w:lineRule="auto"/>
        <w:ind w:left="513" w:right="185"/>
        <w:jc w:val="left"/>
      </w:pPr>
      <w:r>
        <w:rPr/>
        <w:t>②以现金结算的股份支付及权益工具 </w:t>
      </w:r>
      <w:r>
        <w:rPr>
          <w:spacing w:val="-2"/>
        </w:rPr>
        <w:t>以现金结算的股份支付，按照本公司承担的以股份或其他权益工具为基础计算确定的负债的公允价值计量。授予后立即</w:t>
      </w:r>
    </w:p>
    <w:p>
      <w:pPr>
        <w:pStyle w:val="BodyText"/>
        <w:spacing w:line="220" w:lineRule="exact"/>
        <w:ind w:right="0"/>
        <w:jc w:val="both"/>
      </w:pPr>
      <w:r>
        <w:rPr/>
        <w:t>可行权的，在授予日以承担负债的公允价值计入成本或费用，相应增加负债；完成等待期内的服务或达到规定业绩条件才可</w:t>
      </w:r>
    </w:p>
    <w:p>
      <w:pPr>
        <w:pStyle w:val="BodyText"/>
        <w:spacing w:line="316" w:lineRule="auto" w:before="76"/>
        <w:ind w:right="99"/>
        <w:jc w:val="left"/>
      </w:pPr>
      <w:r>
        <w:rPr>
          <w:spacing w:val="-4"/>
        </w:rPr>
        <w:t>行权的，在等待期内以对可行权情况的最佳估计为基础，按照承担负债的公允价值，将当期取得的服务计入相关成本或费用，</w:t>
      </w:r>
      <w:r>
        <w:rPr>
          <w:spacing w:val="-44"/>
        </w:rPr>
        <w:t> </w:t>
      </w:r>
      <w:r>
        <w:rPr>
          <w:spacing w:val="-44"/>
        </w:rPr>
      </w:r>
      <w:r>
        <w:rPr/>
        <w:t>增加相应负债。在相关负债结算前的每个资产负债表日以及结算日，对负债的公允价值重新计量，其变动计入当期损益。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85" w:firstLine="360"/>
        <w:jc w:val="left"/>
      </w:pPr>
      <w:r>
        <w:rPr>
          <w:spacing w:val="-2"/>
        </w:rPr>
        <w:t>等待期内每个资产负债表日，本公司根据最新取得的可行权职工人数变动等后续信息作出最佳估计，修正预计可行权的</w:t>
      </w:r>
      <w:r>
        <w:rPr/>
        <w:t> 权益工具数量。在可行权日，最终预计可行权权益工具的数量与实际可行权数量一致。</w:t>
      </w:r>
    </w:p>
    <w:p>
      <w:pPr>
        <w:pStyle w:val="BodyText"/>
        <w:spacing w:line="316" w:lineRule="auto" w:before="57"/>
        <w:ind w:right="185" w:firstLine="360"/>
        <w:jc w:val="left"/>
      </w:pPr>
      <w:r>
        <w:rPr>
          <w:spacing w:val="-2"/>
        </w:rPr>
        <w:t>根据上述权益工具的公允价值和预计可行权的权益工具数量，计算截至当期累计应确认的成本费用金额，再减去前期累</w:t>
      </w:r>
      <w:r>
        <w:rPr/>
        <w:t> 计已确认金额，作为当期应确认的成本费用金额。</w:t>
      </w:r>
    </w:p>
    <w:p>
      <w:pPr>
        <w:spacing w:after="0" w:line="316"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44"/>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144"/>
        <w:jc w:val="left"/>
      </w:pPr>
      <w:r>
        <w:rPr/>
        <w:t>①股份支付的实施</w:t>
      </w:r>
    </w:p>
    <w:p>
      <w:pPr>
        <w:pStyle w:val="BodyText"/>
        <w:spacing w:line="300" w:lineRule="auto" w:before="76"/>
        <w:ind w:left="513" w:right="188"/>
        <w:jc w:val="left"/>
      </w:pPr>
      <w:r>
        <w:rPr>
          <w:rFonts w:ascii="Times New Roman" w:hAnsi="Times New Roman" w:cs="Times New Roman" w:eastAsia="Times New Roman" w:hint="default"/>
        </w:rPr>
        <w:t>a.</w:t>
      </w:r>
      <w:r>
        <w:rPr/>
        <w:t>以权益结算的股份支付换取职工提供服务的 以授予职工权益工具的公允价值计量。授予后立即可行权的换取职工服务的以权益结算的股份支付</w:t>
      </w:r>
      <w:r>
        <w:rPr>
          <w:rFonts w:ascii="Times New Roman" w:hAnsi="Times New Roman" w:cs="Times New Roman" w:eastAsia="Times New Roman" w:hint="default"/>
        </w:rPr>
        <w:t>,</w:t>
      </w:r>
      <w:r>
        <w:rPr/>
        <w:t>在授予日按照权益</w:t>
      </w:r>
    </w:p>
    <w:p>
      <w:pPr>
        <w:pStyle w:val="BodyText"/>
        <w:spacing w:line="300" w:lineRule="auto" w:before="13"/>
        <w:ind w:right="139"/>
        <w:jc w:val="left"/>
      </w:pPr>
      <w:r>
        <w:rPr/>
        <w:t>工具的公允价值计入相关成本或费用</w:t>
      </w:r>
      <w:r>
        <w:rPr>
          <w:rFonts w:ascii="Times New Roman" w:hAnsi="Times New Roman" w:cs="Times New Roman" w:eastAsia="Times New Roman" w:hint="default"/>
        </w:rPr>
        <w:t>,</w:t>
      </w:r>
      <w:r>
        <w:rPr/>
        <w:t>相应增加资本公积。完成等待期内的服务或达到规定业绩条件才可行权的换取职工服 务的以权益结算的股份支付</w:t>
      </w:r>
      <w:r>
        <w:rPr>
          <w:rFonts w:ascii="Times New Roman" w:hAnsi="Times New Roman" w:cs="Times New Roman" w:eastAsia="Times New Roman" w:hint="default"/>
        </w:rPr>
        <w:t>,</w:t>
      </w:r>
      <w:r>
        <w:rPr/>
        <w:t>在等待期内的每个资产负债表日</w:t>
      </w:r>
      <w:r>
        <w:rPr>
          <w:rFonts w:ascii="Times New Roman" w:hAnsi="Times New Roman" w:cs="Times New Roman" w:eastAsia="Times New Roman" w:hint="default"/>
        </w:rPr>
        <w:t>,</w:t>
      </w:r>
      <w:r>
        <w:rPr/>
        <w:t>以对可行权权益工具数量的最佳估计为基础</w:t>
      </w:r>
      <w:r>
        <w:rPr>
          <w:rFonts w:ascii="Times New Roman" w:hAnsi="Times New Roman" w:cs="Times New Roman" w:eastAsia="Times New Roman" w:hint="default"/>
        </w:rPr>
        <w:t>,</w:t>
      </w:r>
      <w:r>
        <w:rPr/>
        <w:t>按照权益工具授 予日的公允价值</w:t>
      </w:r>
      <w:r>
        <w:rPr>
          <w:rFonts w:ascii="Times New Roman" w:hAnsi="Times New Roman" w:cs="Times New Roman" w:eastAsia="Times New Roman" w:hint="default"/>
        </w:rPr>
        <w:t>,</w:t>
      </w:r>
      <w:r>
        <w:rPr/>
        <w:t>将当期取得的服务计入相关成本或费用和资本公积。在资产负债表日</w:t>
      </w:r>
      <w:r>
        <w:rPr>
          <w:rFonts w:ascii="Times New Roman" w:hAnsi="Times New Roman" w:cs="Times New Roman" w:eastAsia="Times New Roman" w:hint="default"/>
        </w:rPr>
        <w:t>,</w:t>
      </w:r>
      <w:r>
        <w:rPr/>
        <w:t>后续信息表明可行权权益工具的数量 </w:t>
      </w:r>
      <w:r>
        <w:rPr>
          <w:spacing w:val="-1"/>
        </w:rPr>
        <w:t>与以前估计不同的</w:t>
      </w:r>
      <w:r>
        <w:rPr>
          <w:rFonts w:ascii="Times New Roman" w:hAnsi="Times New Roman" w:cs="Times New Roman" w:eastAsia="Times New Roman" w:hint="default"/>
          <w:spacing w:val="-1"/>
        </w:rPr>
        <w:t>,</w:t>
      </w:r>
      <w:r>
        <w:rPr>
          <w:spacing w:val="-1"/>
        </w:rPr>
        <w:t>进行调整</w:t>
      </w:r>
      <w:r>
        <w:rPr>
          <w:rFonts w:ascii="Times New Roman" w:hAnsi="Times New Roman" w:cs="Times New Roman" w:eastAsia="Times New Roman" w:hint="default"/>
          <w:spacing w:val="-1"/>
        </w:rPr>
        <w:t>,</w:t>
      </w:r>
      <w:r>
        <w:rPr>
          <w:spacing w:val="-1"/>
        </w:rPr>
        <w:t>并在可行权日调整至实际可行权的权益工具数量。对于可行权条件为规定服务期间的股份支付</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24"/>
        </w:rPr>
        <w:t> </w:t>
      </w:r>
      <w:r>
        <w:rPr/>
        <w:t>等待期为授予日至可行权日的期间</w:t>
      </w:r>
      <w:r>
        <w:rPr>
          <w:rFonts w:ascii="Times New Roman" w:hAnsi="Times New Roman" w:cs="Times New Roman" w:eastAsia="Times New Roman" w:hint="default"/>
        </w:rPr>
        <w:t>;</w:t>
      </w:r>
      <w:r>
        <w:rPr/>
        <w:t>对于可行权条件为规定业绩的股份支付</w:t>
      </w:r>
      <w:r>
        <w:rPr>
          <w:rFonts w:ascii="Times New Roman" w:hAnsi="Times New Roman" w:cs="Times New Roman" w:eastAsia="Times New Roman" w:hint="default"/>
        </w:rPr>
        <w:t>,</w:t>
      </w:r>
      <w:r>
        <w:rPr/>
        <w:t>在授予日根据最可能的业绩结果预计等待期的长 度。企业在可行权日之后不再对已确认的相关成本或费用和所有者权益总额进行调整。</w:t>
      </w:r>
    </w:p>
    <w:p>
      <w:pPr>
        <w:pStyle w:val="BodyText"/>
        <w:spacing w:line="300" w:lineRule="auto" w:before="31"/>
        <w:ind w:left="513" w:right="278"/>
        <w:jc w:val="left"/>
      </w:pPr>
      <w:r>
        <w:rPr>
          <w:rFonts w:ascii="Times New Roman" w:hAnsi="Times New Roman" w:cs="Times New Roman" w:eastAsia="Times New Roman" w:hint="default"/>
        </w:rPr>
        <w:t>b. </w:t>
      </w:r>
      <w:r>
        <w:rPr/>
        <w:t>以权益结算的股份支付换取其他方服务的</w:t>
      </w:r>
      <w:r>
        <w:rPr>
          <w:rFonts w:ascii="Times New Roman" w:hAnsi="Times New Roman" w:cs="Times New Roman" w:eastAsia="Times New Roman" w:hint="default"/>
        </w:rPr>
        <w:t>,</w:t>
      </w:r>
      <w:r>
        <w:rPr/>
        <w:t>分别下列情况处理</w:t>
      </w:r>
      <w:r>
        <w:rPr>
          <w:rFonts w:ascii="宋体" w:hAnsi="宋体" w:cs="宋体" w:eastAsia="宋体" w:hint="default"/>
        </w:rPr>
        <w:t>: </w:t>
      </w:r>
      <w:r>
        <w:rPr/>
        <w:t>其他方服务的公允价值能够可靠计量的</w:t>
      </w:r>
      <w:r>
        <w:rPr>
          <w:rFonts w:ascii="Times New Roman" w:hAnsi="Times New Roman" w:cs="Times New Roman" w:eastAsia="Times New Roman" w:hint="default"/>
        </w:rPr>
        <w:t>,</w:t>
      </w:r>
      <w:r>
        <w:rPr/>
        <w:t>按照其他方服务在取得日的公允价值</w:t>
      </w:r>
      <w:r>
        <w:rPr>
          <w:rFonts w:ascii="Times New Roman" w:hAnsi="Times New Roman" w:cs="Times New Roman" w:eastAsia="Times New Roman" w:hint="default"/>
        </w:rPr>
        <w:t>,</w:t>
      </w:r>
      <w:r>
        <w:rPr/>
        <w:t>计入相关成本或费用</w:t>
      </w:r>
      <w:r>
        <w:rPr>
          <w:rFonts w:ascii="Times New Roman" w:hAnsi="Times New Roman" w:cs="Times New Roman" w:eastAsia="Times New Roman" w:hint="default"/>
        </w:rPr>
        <w:t>,</w:t>
      </w:r>
      <w:r>
        <w:rPr/>
        <w:t>相应增加所有者权</w:t>
      </w:r>
    </w:p>
    <w:p>
      <w:pPr>
        <w:pStyle w:val="BodyText"/>
        <w:spacing w:line="240" w:lineRule="auto" w:before="13"/>
        <w:ind w:right="144"/>
        <w:jc w:val="left"/>
      </w:pPr>
      <w:r>
        <w:rPr/>
        <w:t>益。</w:t>
      </w:r>
    </w:p>
    <w:p>
      <w:pPr>
        <w:pStyle w:val="BodyText"/>
        <w:spacing w:line="240" w:lineRule="auto" w:before="76"/>
        <w:ind w:left="513" w:right="0"/>
        <w:jc w:val="left"/>
      </w:pPr>
      <w:r>
        <w:rPr/>
        <w:t>其他方服务的公允价值不能可靠计量但权益工具公允价值能够可靠计量的</w:t>
      </w:r>
      <w:r>
        <w:rPr>
          <w:rFonts w:ascii="Times New Roman" w:hAnsi="Times New Roman" w:cs="Times New Roman" w:eastAsia="Times New Roman" w:hint="default"/>
        </w:rPr>
        <w:t>,</w:t>
      </w:r>
      <w:r>
        <w:rPr/>
        <w:t>按照权益工具在服务取得日的公允价值</w:t>
      </w:r>
      <w:r>
        <w:rPr>
          <w:rFonts w:ascii="Times New Roman" w:hAnsi="Times New Roman" w:cs="Times New Roman" w:eastAsia="Times New Roman" w:hint="default"/>
        </w:rPr>
        <w:t>,</w:t>
      </w:r>
      <w:r>
        <w:rPr/>
        <w:t>计入</w:t>
      </w:r>
    </w:p>
    <w:p>
      <w:pPr>
        <w:pStyle w:val="BodyText"/>
        <w:spacing w:line="300" w:lineRule="auto" w:before="63"/>
        <w:ind w:left="513" w:right="144" w:hanging="361"/>
        <w:jc w:val="left"/>
      </w:pPr>
      <w:r>
        <w:rPr/>
        <w:t>相关成本或费用</w:t>
      </w:r>
      <w:r>
        <w:rPr>
          <w:rFonts w:ascii="Times New Roman" w:hAnsi="Times New Roman" w:cs="Times New Roman" w:eastAsia="Times New Roman" w:hint="default"/>
        </w:rPr>
        <w:t>,</w:t>
      </w:r>
      <w:r>
        <w:rPr/>
        <w:t>相应增加所有者权益。 在行权日</w:t>
      </w:r>
      <w:r>
        <w:rPr>
          <w:rFonts w:ascii="Times New Roman" w:hAnsi="Times New Roman" w:cs="Times New Roman" w:eastAsia="Times New Roman" w:hint="default"/>
        </w:rPr>
        <w:t>,</w:t>
      </w:r>
      <w:r>
        <w:rPr/>
        <w:t>企业根据实际行权的权益工具数量</w:t>
      </w:r>
      <w:r>
        <w:rPr>
          <w:rFonts w:ascii="Times New Roman" w:hAnsi="Times New Roman" w:cs="Times New Roman" w:eastAsia="Times New Roman" w:hint="default"/>
        </w:rPr>
        <w:t>,</w:t>
      </w:r>
      <w:r>
        <w:rPr/>
        <w:t>计算确定应转入实收资本或股本的金额</w:t>
      </w:r>
      <w:r>
        <w:rPr>
          <w:rFonts w:ascii="Times New Roman" w:hAnsi="Times New Roman" w:cs="Times New Roman" w:eastAsia="Times New Roman" w:hint="default"/>
        </w:rPr>
        <w:t>,</w:t>
      </w:r>
      <w:r>
        <w:rPr/>
        <w:t>将其转入实收资本或股本。 </w:t>
      </w:r>
      <w:r>
        <w:rPr>
          <w:rFonts w:ascii="Times New Roman" w:hAnsi="Times New Roman" w:cs="Times New Roman" w:eastAsia="Times New Roman" w:hint="default"/>
        </w:rPr>
        <w:t>c.</w:t>
      </w:r>
      <w:r>
        <w:rPr/>
        <w:t>以现金结算的股份支付 </w:t>
      </w:r>
      <w:r>
        <w:rPr>
          <w:spacing w:val="-2"/>
        </w:rPr>
        <w:t>按照企业承担的以股份或其他权益工具为基础计算确定的负债的公允价值计量。授予后立即可行权的以现金结算的股份</w:t>
      </w:r>
    </w:p>
    <w:p>
      <w:pPr>
        <w:pStyle w:val="BodyText"/>
        <w:spacing w:line="300" w:lineRule="auto" w:before="31"/>
        <w:ind w:right="144"/>
        <w:jc w:val="left"/>
      </w:pPr>
      <w:r>
        <w:rPr/>
        <w:t>支付</w:t>
      </w:r>
      <w:r>
        <w:rPr>
          <w:rFonts w:ascii="Times New Roman" w:hAnsi="Times New Roman" w:cs="Times New Roman" w:eastAsia="Times New Roman" w:hint="default"/>
        </w:rPr>
        <w:t>,</w:t>
      </w:r>
      <w:r>
        <w:rPr/>
        <w:t>在授予日以企业承担负债的公允价值计入相关成本或费用</w:t>
      </w:r>
      <w:r>
        <w:rPr>
          <w:rFonts w:ascii="Times New Roman" w:hAnsi="Times New Roman" w:cs="Times New Roman" w:eastAsia="Times New Roman" w:hint="default"/>
        </w:rPr>
        <w:t>,</w:t>
      </w:r>
      <w:r>
        <w:rPr/>
        <w:t>相应增加负债。完成等待期内的服务或达到规定业绩条件以 后才可行权的以现金结算的股份支付</w:t>
      </w:r>
      <w:r>
        <w:rPr>
          <w:rFonts w:ascii="Times New Roman" w:hAnsi="Times New Roman" w:cs="Times New Roman" w:eastAsia="Times New Roman" w:hint="default"/>
        </w:rPr>
        <w:t>,</w:t>
      </w:r>
      <w:r>
        <w:rPr/>
        <w:t>在等待期内的每个资产负债表日</w:t>
      </w:r>
      <w:r>
        <w:rPr>
          <w:rFonts w:ascii="Times New Roman" w:hAnsi="Times New Roman" w:cs="Times New Roman" w:eastAsia="Times New Roman" w:hint="default"/>
        </w:rPr>
        <w:t>,</w:t>
      </w:r>
      <w:r>
        <w:rPr/>
        <w:t>以对可行权情况的最佳估计为基础</w:t>
      </w:r>
      <w:r>
        <w:rPr>
          <w:rFonts w:ascii="Times New Roman" w:hAnsi="Times New Roman" w:cs="Times New Roman" w:eastAsia="Times New Roman" w:hint="default"/>
        </w:rPr>
        <w:t>,</w:t>
      </w:r>
      <w:r>
        <w:rPr/>
        <w:t>按照企业承担负 债的公允价值金额</w:t>
      </w:r>
      <w:r>
        <w:rPr>
          <w:rFonts w:ascii="Times New Roman" w:hAnsi="Times New Roman" w:cs="Times New Roman" w:eastAsia="Times New Roman" w:hint="default"/>
        </w:rPr>
        <w:t>,</w:t>
      </w:r>
      <w:r>
        <w:rPr/>
        <w:t>将当期取得的服务计入成本或费用和相应的负债。在资产负债表日</w:t>
      </w:r>
      <w:r>
        <w:rPr>
          <w:rFonts w:ascii="Times New Roman" w:hAnsi="Times New Roman" w:cs="Times New Roman" w:eastAsia="Times New Roman" w:hint="default"/>
        </w:rPr>
        <w:t>,</w:t>
      </w:r>
      <w:r>
        <w:rPr/>
        <w:t>后续信息表明企业当期承担债务的公 允价值与以前估计不同的</w:t>
      </w:r>
      <w:r>
        <w:rPr>
          <w:rFonts w:ascii="Times New Roman" w:hAnsi="Times New Roman" w:cs="Times New Roman" w:eastAsia="Times New Roman" w:hint="default"/>
        </w:rPr>
        <w:t>,</w:t>
      </w:r>
      <w:r>
        <w:rPr/>
        <w:t>进行调整</w:t>
      </w:r>
      <w:r>
        <w:rPr>
          <w:rFonts w:ascii="Times New Roman" w:hAnsi="Times New Roman" w:cs="Times New Roman" w:eastAsia="Times New Roman" w:hint="default"/>
        </w:rPr>
        <w:t>,</w:t>
      </w:r>
      <w:r>
        <w:rPr/>
        <w:t>并在可行权日调整至实际可行权水平。企业在相关负债结算前的每个资产负债表日以及 结算日</w:t>
      </w:r>
      <w:r>
        <w:rPr>
          <w:rFonts w:ascii="Times New Roman" w:hAnsi="Times New Roman" w:cs="Times New Roman" w:eastAsia="Times New Roman" w:hint="default"/>
        </w:rPr>
        <w:t>,</w:t>
      </w:r>
      <w:r>
        <w:rPr/>
        <w:t>对负债的公允价值重新计量</w:t>
      </w:r>
      <w:r>
        <w:rPr>
          <w:rFonts w:ascii="Times New Roman" w:hAnsi="Times New Roman" w:cs="Times New Roman" w:eastAsia="Times New Roman" w:hint="default"/>
        </w:rPr>
        <w:t>,</w:t>
      </w:r>
      <w:r>
        <w:rPr/>
        <w:t>其变动计入当期损益。</w:t>
      </w:r>
    </w:p>
    <w:p>
      <w:pPr>
        <w:pStyle w:val="BodyText"/>
        <w:spacing w:line="240" w:lineRule="auto" w:before="13"/>
        <w:ind w:left="513" w:right="144"/>
        <w:jc w:val="left"/>
      </w:pPr>
      <w:r>
        <w:rPr/>
        <w:t>②股份支付的修改</w:t>
      </w:r>
    </w:p>
    <w:p>
      <w:pPr>
        <w:pStyle w:val="BodyText"/>
        <w:spacing w:line="300" w:lineRule="auto" w:before="77"/>
        <w:ind w:right="152" w:firstLine="360"/>
        <w:jc w:val="both"/>
      </w:pPr>
      <w:r>
        <w:rPr>
          <w:rFonts w:ascii="Times New Roman" w:hAnsi="Times New Roman" w:cs="Times New Roman" w:eastAsia="Times New Roman" w:hint="default"/>
          <w:spacing w:val="-2"/>
        </w:rPr>
        <w:t>a.</w:t>
      </w:r>
      <w:r>
        <w:rPr>
          <w:spacing w:val="-2"/>
        </w:rPr>
        <w:t>修改增加了所授予的权益工具的公允价值</w:t>
      </w:r>
      <w:r>
        <w:rPr>
          <w:rFonts w:ascii="Times New Roman" w:hAnsi="Times New Roman" w:cs="Times New Roman" w:eastAsia="Times New Roman" w:hint="default"/>
          <w:spacing w:val="-2"/>
        </w:rPr>
        <w:t>,</w:t>
      </w:r>
      <w:r>
        <w:rPr>
          <w:spacing w:val="-2"/>
        </w:rPr>
        <w:t>按照权益工具公允价值的增加相应地确认取得服务的增加。修改发生在等待</w:t>
      </w:r>
      <w:r>
        <w:rPr/>
        <w:t> 期内</w:t>
      </w:r>
      <w:r>
        <w:rPr>
          <w:rFonts w:ascii="Times New Roman" w:hAnsi="Times New Roman" w:cs="Times New Roman" w:eastAsia="Times New Roman" w:hint="default"/>
        </w:rPr>
        <w:t>,</w:t>
      </w:r>
      <w:r>
        <w:rPr/>
        <w:t>在确认修改日至修改后的可行权日之间取得服务的公允价值时</w:t>
      </w:r>
      <w:r>
        <w:rPr>
          <w:rFonts w:ascii="Times New Roman" w:hAnsi="Times New Roman" w:cs="Times New Roman" w:eastAsia="Times New Roman" w:hint="default"/>
        </w:rPr>
        <w:t>,</w:t>
      </w:r>
      <w:r>
        <w:rPr/>
        <w:t>既包括在剩余原等待期内以原权益工具授予日公允价值 为基础确定的服务金额</w:t>
      </w:r>
      <w:r>
        <w:rPr>
          <w:rFonts w:ascii="Times New Roman" w:hAnsi="Times New Roman" w:cs="Times New Roman" w:eastAsia="Times New Roman" w:hint="default"/>
        </w:rPr>
        <w:t>,</w:t>
      </w:r>
      <w:r>
        <w:rPr/>
        <w:t>也包括权益工具公允价值的增加。修改发生在可行权日之后</w:t>
      </w:r>
      <w:r>
        <w:rPr>
          <w:rFonts w:ascii="Times New Roman" w:hAnsi="Times New Roman" w:cs="Times New Roman" w:eastAsia="Times New Roman" w:hint="default"/>
        </w:rPr>
        <w:t>,</w:t>
      </w:r>
      <w:r>
        <w:rPr/>
        <w:t>立即确认权益工具公允价值的增加。如 果股份支付协议要求职工只有先完成更长期间的服务才能取得修改后的权益工具</w:t>
      </w:r>
      <w:r>
        <w:rPr>
          <w:rFonts w:ascii="Times New Roman" w:hAnsi="Times New Roman" w:cs="Times New Roman" w:eastAsia="Times New Roman" w:hint="default"/>
        </w:rPr>
        <w:t>,</w:t>
      </w:r>
      <w:r>
        <w:rPr/>
        <w:t>则在整个等待期内确认权益工具公允价值 的增加。</w:t>
      </w:r>
    </w:p>
    <w:p>
      <w:pPr>
        <w:pStyle w:val="BodyText"/>
        <w:spacing w:line="300" w:lineRule="auto" w:before="31"/>
        <w:ind w:right="152" w:firstLine="360"/>
        <w:jc w:val="both"/>
      </w:pPr>
      <w:r>
        <w:rPr>
          <w:rFonts w:ascii="Times New Roman" w:hAnsi="Times New Roman" w:cs="Times New Roman" w:eastAsia="Times New Roman" w:hint="default"/>
          <w:spacing w:val="-2"/>
        </w:rPr>
        <w:t>b.</w:t>
      </w:r>
      <w:r>
        <w:rPr>
          <w:spacing w:val="-2"/>
        </w:rPr>
        <w:t>修改增加了所授予的权益工具的数量</w:t>
      </w:r>
      <w:r>
        <w:rPr>
          <w:rFonts w:ascii="Times New Roman" w:hAnsi="Times New Roman" w:cs="Times New Roman" w:eastAsia="Times New Roman" w:hint="default"/>
          <w:spacing w:val="-2"/>
        </w:rPr>
        <w:t>,</w:t>
      </w:r>
      <w:r>
        <w:rPr>
          <w:spacing w:val="-2"/>
        </w:rPr>
        <w:t>将增加的权益工具的公允价值相应地确认为取得服务的增加。如果修改发生在等</w:t>
      </w:r>
      <w:r>
        <w:rPr/>
        <w:t> 待期内</w:t>
      </w:r>
      <w:r>
        <w:rPr>
          <w:rFonts w:ascii="Times New Roman" w:hAnsi="Times New Roman" w:cs="Times New Roman" w:eastAsia="Times New Roman" w:hint="default"/>
        </w:rPr>
        <w:t>,</w:t>
      </w:r>
      <w:r>
        <w:rPr/>
        <w:t>在确认修改日至增加的权益工具可行权日之间取得服务的公允价值时</w:t>
      </w:r>
      <w:r>
        <w:rPr>
          <w:rFonts w:ascii="Times New Roman" w:hAnsi="Times New Roman" w:cs="Times New Roman" w:eastAsia="Times New Roman" w:hint="default"/>
        </w:rPr>
        <w:t>,</w:t>
      </w:r>
      <w:r>
        <w:rPr/>
        <w:t>既包括在剩余原等待期内以原权益工具授予日 公允价值为基础确定的服务金额</w:t>
      </w:r>
      <w:r>
        <w:rPr>
          <w:rFonts w:ascii="Times New Roman" w:hAnsi="Times New Roman" w:cs="Times New Roman" w:eastAsia="Times New Roman" w:hint="default"/>
        </w:rPr>
        <w:t>,</w:t>
      </w:r>
      <w:r>
        <w:rPr/>
        <w:t>也包括权益工具公允价值的增加。</w:t>
      </w:r>
    </w:p>
    <w:p>
      <w:pPr>
        <w:pStyle w:val="BodyText"/>
        <w:spacing w:line="240" w:lineRule="auto" w:before="13"/>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c.</w:t>
      </w:r>
      <w:r>
        <w:rPr/>
        <w:t>如果按照有利于职工的方式修改可行权条件</w:t>
      </w:r>
      <w:r>
        <w:rPr>
          <w:rFonts w:ascii="Times New Roman" w:hAnsi="Times New Roman" w:cs="Times New Roman" w:eastAsia="Times New Roman" w:hint="default"/>
        </w:rPr>
        <w:t>,</w:t>
      </w:r>
      <w:r>
        <w:rPr/>
        <w:t>如缩短等待期、变更或取消业绩条件</w:t>
      </w:r>
      <w:r>
        <w:rPr>
          <w:rFonts w:ascii="Times New Roman" w:hAnsi="Times New Roman" w:cs="Times New Roman" w:eastAsia="Times New Roman" w:hint="default"/>
        </w:rPr>
        <w:t>(</w:t>
      </w:r>
      <w:r>
        <w:rPr/>
        <w:t>而非市场条件</w:t>
      </w:r>
      <w:r>
        <w:rPr>
          <w:rFonts w:ascii="Times New Roman" w:hAnsi="Times New Roman" w:cs="Times New Roman" w:eastAsia="Times New Roman" w:hint="default"/>
        </w:rPr>
        <w:t>),</w:t>
      </w:r>
      <w:r>
        <w:rPr/>
        <w:t>在处理可行权条件时</w:t>
      </w:r>
      <w:r>
        <w:rPr>
          <w:rFonts w:ascii="Times New Roman" w:hAnsi="Times New Roman" w:cs="Times New Roman" w:eastAsia="Times New Roman" w:hint="default"/>
        </w:rPr>
        <w:t>,</w:t>
      </w:r>
    </w:p>
    <w:p>
      <w:pPr>
        <w:pStyle w:val="BodyText"/>
        <w:spacing w:line="240" w:lineRule="auto" w:before="63"/>
        <w:ind w:right="144"/>
        <w:jc w:val="left"/>
      </w:pPr>
      <w:r>
        <w:rPr/>
        <w:t>考虑修改后的可行权条件。</w:t>
      </w:r>
    </w:p>
    <w:p>
      <w:pPr>
        <w:pStyle w:val="BodyText"/>
        <w:spacing w:line="300" w:lineRule="auto" w:before="74"/>
        <w:ind w:right="158" w:firstLine="360"/>
        <w:jc w:val="both"/>
      </w:pPr>
      <w:r>
        <w:rPr>
          <w:rFonts w:ascii="Times New Roman" w:hAnsi="Times New Roman" w:cs="Times New Roman" w:eastAsia="Times New Roman" w:hint="default"/>
        </w:rPr>
        <w:t>d.</w:t>
      </w:r>
      <w:r>
        <w:rPr/>
        <w:t>修改减少了所授予的权益工具的公允价值</w:t>
      </w:r>
      <w:r>
        <w:rPr>
          <w:rFonts w:ascii="Times New Roman" w:hAnsi="Times New Roman" w:cs="Times New Roman" w:eastAsia="Times New Roman" w:hint="default"/>
        </w:rPr>
        <w:t>,</w:t>
      </w:r>
      <w:r>
        <w:rPr/>
        <w:t>继续以权益工具在授予日的公允价值为基础</w:t>
      </w:r>
      <w:r>
        <w:rPr>
          <w:rFonts w:ascii="Times New Roman" w:hAnsi="Times New Roman" w:cs="Times New Roman" w:eastAsia="Times New Roman" w:hint="default"/>
        </w:rPr>
        <w:t>,</w:t>
      </w:r>
      <w:r>
        <w:rPr/>
        <w:t>确认取得服务的金额</w:t>
      </w:r>
      <w:r>
        <w:rPr>
          <w:rFonts w:ascii="Times New Roman" w:hAnsi="Times New Roman" w:cs="Times New Roman" w:eastAsia="Times New Roman" w:hint="default"/>
        </w:rPr>
        <w:t>,</w:t>
      </w:r>
      <w:r>
        <w:rPr/>
        <w:t>而不考虑 权益工具公允价值的减少。</w:t>
      </w:r>
    </w:p>
    <w:p>
      <w:pPr>
        <w:pStyle w:val="BodyText"/>
        <w:spacing w:line="300" w:lineRule="auto" w:before="32"/>
        <w:ind w:left="513" w:right="144"/>
        <w:jc w:val="left"/>
      </w:pPr>
      <w:r>
        <w:rPr>
          <w:rFonts w:ascii="Times New Roman" w:hAnsi="Times New Roman" w:cs="Times New Roman" w:eastAsia="Times New Roman" w:hint="default"/>
        </w:rPr>
        <w:t>e.</w:t>
      </w:r>
      <w:r>
        <w:rPr/>
        <w:t>修改减少了授予的权益工具的数量</w:t>
      </w:r>
      <w:r>
        <w:rPr>
          <w:rFonts w:ascii="Times New Roman" w:hAnsi="Times New Roman" w:cs="Times New Roman" w:eastAsia="Times New Roman" w:hint="default"/>
        </w:rPr>
        <w:t>,</w:t>
      </w:r>
      <w:r>
        <w:rPr/>
        <w:t>将减少部分作为已授予的权益工具的取消来进行处理。 </w:t>
      </w:r>
      <w:r>
        <w:rPr>
          <w:rFonts w:ascii="Times New Roman" w:hAnsi="Times New Roman" w:cs="Times New Roman" w:eastAsia="Times New Roman" w:hint="default"/>
          <w:spacing w:val="-2"/>
        </w:rPr>
        <w:t>f.</w:t>
      </w:r>
      <w:r>
        <w:rPr>
          <w:spacing w:val="-2"/>
        </w:rPr>
        <w:t>以不利于职工的方式修改了可行权条件</w:t>
      </w:r>
      <w:r>
        <w:rPr>
          <w:rFonts w:ascii="Times New Roman" w:hAnsi="Times New Roman" w:cs="Times New Roman" w:eastAsia="Times New Roman" w:hint="default"/>
          <w:spacing w:val="-2"/>
        </w:rPr>
        <w:t>,</w:t>
      </w:r>
      <w:r>
        <w:rPr>
          <w:spacing w:val="-2"/>
        </w:rPr>
        <w:t>如延长等待期、增加或变更业绩条件</w:t>
      </w:r>
      <w:r>
        <w:rPr>
          <w:rFonts w:ascii="Times New Roman" w:hAnsi="Times New Roman" w:cs="Times New Roman" w:eastAsia="Times New Roman" w:hint="default"/>
          <w:spacing w:val="-2"/>
        </w:rPr>
        <w:t>(</w:t>
      </w:r>
      <w:r>
        <w:rPr>
          <w:spacing w:val="-2"/>
        </w:rPr>
        <w:t>而非市场条件</w:t>
      </w:r>
      <w:r>
        <w:rPr>
          <w:rFonts w:ascii="Times New Roman" w:hAnsi="Times New Roman" w:cs="Times New Roman" w:eastAsia="Times New Roman" w:hint="default"/>
          <w:spacing w:val="-2"/>
        </w:rPr>
        <w:t>),</w:t>
      </w:r>
      <w:r>
        <w:rPr>
          <w:spacing w:val="-2"/>
        </w:rPr>
        <w:t>在处理可行权条件时</w:t>
      </w:r>
      <w:r>
        <w:rPr>
          <w:rFonts w:ascii="Times New Roman" w:hAnsi="Times New Roman" w:cs="Times New Roman" w:eastAsia="Times New Roman" w:hint="default"/>
          <w:spacing w:val="-2"/>
        </w:rPr>
        <w:t>,</w:t>
      </w:r>
      <w:r>
        <w:rPr>
          <w:spacing w:val="-2"/>
        </w:rPr>
        <w:t>不考</w:t>
      </w:r>
    </w:p>
    <w:p>
      <w:pPr>
        <w:pStyle w:val="BodyText"/>
        <w:spacing w:line="240" w:lineRule="auto" w:before="13"/>
        <w:ind w:right="144"/>
        <w:jc w:val="left"/>
      </w:pPr>
      <w:r>
        <w:rPr/>
        <w:t>虑修改后的可行权条件。</w:t>
      </w:r>
    </w:p>
    <w:p>
      <w:pPr>
        <w:pStyle w:val="BodyText"/>
        <w:spacing w:line="240" w:lineRule="auto" w:before="76"/>
        <w:ind w:left="513" w:right="144"/>
        <w:jc w:val="left"/>
      </w:pPr>
      <w:r>
        <w:rPr/>
        <w:t>③股份支付的终止</w:t>
      </w:r>
    </w:p>
    <w:p>
      <w:pPr>
        <w:pStyle w:val="BodyText"/>
        <w:spacing w:line="300" w:lineRule="auto" w:before="76"/>
        <w:ind w:left="513" w:right="233"/>
        <w:jc w:val="left"/>
      </w:pPr>
      <w:r>
        <w:rPr>
          <w:rFonts w:ascii="Times New Roman" w:hAnsi="Times New Roman" w:cs="Times New Roman" w:eastAsia="Times New Roman" w:hint="default"/>
        </w:rPr>
        <w:t>a.</w:t>
      </w:r>
      <w:r>
        <w:rPr/>
        <w:t>将取消或结算作为加速可行权处理</w:t>
      </w:r>
      <w:r>
        <w:rPr>
          <w:rFonts w:ascii="Times New Roman" w:hAnsi="Times New Roman" w:cs="Times New Roman" w:eastAsia="Times New Roman" w:hint="default"/>
        </w:rPr>
        <w:t>,</w:t>
      </w:r>
      <w:r>
        <w:rPr/>
        <w:t>立即确认原本应在剩余等待期内确认的金额。 </w:t>
      </w:r>
      <w:r>
        <w:rPr>
          <w:rFonts w:ascii="Times New Roman" w:hAnsi="Times New Roman" w:cs="Times New Roman" w:eastAsia="Times New Roman" w:hint="default"/>
        </w:rPr>
        <w:t>b.</w:t>
      </w:r>
      <w:r>
        <w:rPr/>
        <w:t>在取消或结算时支付给职工的所有款项均应作为权益的回购处理</w:t>
      </w:r>
      <w:r>
        <w:rPr>
          <w:rFonts w:ascii="Times New Roman" w:hAnsi="Times New Roman" w:cs="Times New Roman" w:eastAsia="Times New Roman" w:hint="default"/>
        </w:rPr>
        <w:t>,</w:t>
      </w:r>
      <w:r>
        <w:rPr/>
        <w:t>回购支付的金额高于该权益工具在回购日公允价值</w:t>
      </w:r>
    </w:p>
    <w:p>
      <w:pPr>
        <w:pStyle w:val="BodyText"/>
        <w:spacing w:line="240" w:lineRule="auto" w:before="13"/>
        <w:ind w:right="144"/>
        <w:jc w:val="left"/>
      </w:pPr>
      <w:r>
        <w:rPr/>
        <w:t>的部分</w:t>
      </w:r>
      <w:r>
        <w:rPr>
          <w:rFonts w:ascii="Times New Roman" w:hAnsi="Times New Roman" w:cs="Times New Roman" w:eastAsia="Times New Roman" w:hint="default"/>
        </w:rPr>
        <w:t>,</w:t>
      </w:r>
      <w:r>
        <w:rPr/>
        <w:t>计入当期费用。</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246" w:firstLine="360"/>
        <w:jc w:val="both"/>
      </w:pPr>
      <w:r>
        <w:rPr>
          <w:rFonts w:ascii="Times New Roman" w:hAnsi="Times New Roman" w:cs="Times New Roman" w:eastAsia="Times New Roman" w:hint="default"/>
        </w:rPr>
        <w:t>c.</w:t>
      </w:r>
      <w:r>
        <w:rPr/>
        <w:t>如果向职工授予新的权益工具</w:t>
      </w:r>
      <w:r>
        <w:rPr>
          <w:rFonts w:ascii="Times New Roman" w:hAnsi="Times New Roman" w:cs="Times New Roman" w:eastAsia="Times New Roman" w:hint="default"/>
        </w:rPr>
        <w:t>,</w:t>
      </w:r>
      <w:r>
        <w:rPr/>
        <w:t>并在新权益工具授予日认定所授予的新权益工具是用于替代被取消的权益工具的</w:t>
      </w:r>
      <w:r>
        <w:rPr>
          <w:rFonts w:ascii="Times New Roman" w:hAnsi="Times New Roman" w:cs="Times New Roman" w:eastAsia="Times New Roman" w:hint="default"/>
        </w:rPr>
        <w:t>,</w:t>
      </w:r>
      <w:r>
        <w:rPr/>
        <w:t>企业 应以处理原权益工具条款和条件修改相同的方式</w:t>
      </w:r>
      <w:r>
        <w:rPr>
          <w:rFonts w:ascii="Times New Roman" w:hAnsi="Times New Roman" w:cs="Times New Roman" w:eastAsia="Times New Roman" w:hint="default"/>
        </w:rPr>
        <w:t>,</w:t>
      </w:r>
      <w:r>
        <w:rPr/>
        <w:t>对所授予的替代权益工具进行处理。企业如果回购其职工已可行权的权益 工具</w:t>
      </w:r>
      <w:r>
        <w:rPr>
          <w:rFonts w:ascii="Times New Roman" w:hAnsi="Times New Roman" w:cs="Times New Roman" w:eastAsia="Times New Roman" w:hint="default"/>
        </w:rPr>
        <w:t>,</w:t>
      </w:r>
      <w:r>
        <w:rPr/>
        <w:t>借记所有者权益</w:t>
      </w:r>
      <w:r>
        <w:rPr>
          <w:rFonts w:ascii="Times New Roman" w:hAnsi="Times New Roman" w:cs="Times New Roman" w:eastAsia="Times New Roman" w:hint="default"/>
        </w:rPr>
        <w:t>,</w:t>
      </w:r>
      <w:r>
        <w:rPr/>
        <w:t>回购支付的金额高于该权益工具在回购日公允价值的部分</w:t>
      </w:r>
      <w:r>
        <w:rPr>
          <w:rFonts w:ascii="Times New Roman" w:hAnsi="Times New Roman" w:cs="Times New Roman" w:eastAsia="Times New Roman" w:hint="default"/>
        </w:rPr>
        <w:t>,</w:t>
      </w:r>
      <w:r>
        <w:rPr/>
        <w:t>计入当期费用。</w:t>
      </w:r>
    </w:p>
    <w:p>
      <w:pPr>
        <w:spacing w:line="240" w:lineRule="auto" w:before="4"/>
        <w:rPr>
          <w:rFonts w:ascii="宋体" w:hAnsi="宋体" w:cs="宋体" w:eastAsia="宋体" w:hint="default"/>
          <w:sz w:val="22"/>
          <w:szCs w:val="22"/>
        </w:rPr>
      </w:pPr>
    </w:p>
    <w:p>
      <w:pPr>
        <w:pStyle w:val="Heading3"/>
        <w:spacing w:line="240" w:lineRule="auto"/>
        <w:ind w:right="185"/>
        <w:jc w:val="left"/>
        <w:rPr>
          <w:b w:val="0"/>
          <w:bCs w:val="0"/>
        </w:rPr>
      </w:pPr>
      <w:r>
        <w:rPr>
          <w:rFonts w:ascii="Times New Roman" w:hAnsi="Times New Roman" w:cs="Times New Roman" w:eastAsia="Times New Roman" w:hint="default"/>
        </w:rPr>
        <w:t>23</w:t>
      </w:r>
      <w:r>
        <w:rPr/>
        <w:t>、收入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85"/>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85"/>
        <w:jc w:val="left"/>
      </w:pPr>
      <w:r>
        <w:rPr/>
        <w:t>①同经双方签字盖章确认，已经生效；</w:t>
      </w:r>
    </w:p>
    <w:p>
      <w:pPr>
        <w:pStyle w:val="BodyText"/>
        <w:spacing w:line="240" w:lineRule="auto" w:before="117"/>
        <w:ind w:left="513" w:right="185"/>
        <w:jc w:val="left"/>
      </w:pPr>
      <w:r>
        <w:rPr/>
        <w:t>②设备已经发出，且通过物流公司或公司销售部确认客户已经收到；</w:t>
      </w:r>
    </w:p>
    <w:p>
      <w:pPr>
        <w:pStyle w:val="BodyText"/>
        <w:spacing w:line="240" w:lineRule="auto" w:before="115"/>
        <w:ind w:left="513" w:right="185"/>
        <w:jc w:val="left"/>
      </w:pPr>
      <w:r>
        <w:rPr/>
        <w:t>③设备按合同要求已经安装调试完毕；或经公司销售部确认设备已安装调试完毕，客户已经验收。</w:t>
      </w:r>
    </w:p>
    <w:p>
      <w:pPr>
        <w:spacing w:line="240" w:lineRule="auto" w:before="0"/>
        <w:rPr>
          <w:rFonts w:ascii="宋体" w:hAnsi="宋体" w:cs="宋体" w:eastAsia="宋体" w:hint="default"/>
          <w:sz w:val="18"/>
          <w:szCs w:val="18"/>
        </w:rPr>
      </w:pPr>
    </w:p>
    <w:p>
      <w:pPr>
        <w:pStyle w:val="Heading3"/>
        <w:spacing w:line="240" w:lineRule="auto" w:before="120"/>
        <w:ind w:right="185"/>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0"/>
        <w:jc w:val="left"/>
      </w:pPr>
      <w:r>
        <w:rPr/>
        <w:t>与交易相关的经济利益很可能流入企业，收入的金额能够可靠地计量时，分别下列情况确定让渡资产使用权收入金额：</w:t>
      </w:r>
    </w:p>
    <w:p>
      <w:pPr>
        <w:pStyle w:val="BodyText"/>
        <w:spacing w:line="240" w:lineRule="auto" w:before="76"/>
        <w:ind w:left="513" w:right="185"/>
        <w:jc w:val="left"/>
      </w:pPr>
      <w:r>
        <w:rPr/>
        <w:t>①利息收入金额，按照他人使用本企业货币资金的时间和实际利率计算确定。</w:t>
      </w:r>
    </w:p>
    <w:p>
      <w:pPr>
        <w:pStyle w:val="BodyText"/>
        <w:spacing w:line="240" w:lineRule="auto" w:before="76"/>
        <w:ind w:left="513" w:right="185"/>
        <w:jc w:val="left"/>
      </w:pPr>
      <w:r>
        <w:rPr/>
        <w:t>②使用费收入金额，按照有关合同或协议约定的收费时间和方法计算确定。</w:t>
      </w:r>
    </w:p>
    <w:p>
      <w:pPr>
        <w:pStyle w:val="BodyText"/>
        <w:spacing w:line="240" w:lineRule="auto" w:before="76"/>
        <w:ind w:left="513" w:right="185"/>
        <w:jc w:val="left"/>
      </w:pPr>
      <w:r>
        <w:rPr/>
        <w:t>③</w:t>
      </w:r>
      <w:r>
        <w:rPr>
          <w:rFonts w:ascii="Times New Roman" w:hAnsi="Times New Roman" w:cs="Times New Roman" w:eastAsia="Times New Roman" w:hint="default"/>
        </w:rPr>
        <w:t>ATM</w:t>
      </w:r>
      <w:r>
        <w:rPr/>
        <w:t>服务收入：收入的金额能够可靠地计量；相关的经济利益很可能流入企业时确认收入。</w:t>
      </w:r>
    </w:p>
    <w:p>
      <w:pPr>
        <w:pStyle w:val="BodyText"/>
        <w:spacing w:line="316" w:lineRule="auto" w:before="63"/>
        <w:ind w:left="513" w:right="5673"/>
        <w:jc w:val="left"/>
      </w:pPr>
      <w:r>
        <w:rPr/>
        <w:t>④租赁资产收入： 在租赁开始日将租赁分为融资租赁和经营租赁。</w:t>
      </w:r>
    </w:p>
    <w:p>
      <w:pPr>
        <w:pStyle w:val="BodyText"/>
        <w:spacing w:line="316" w:lineRule="auto" w:before="19"/>
        <w:ind w:left="513" w:right="273"/>
        <w:jc w:val="left"/>
      </w:pPr>
      <w:r>
        <w:rPr/>
        <w:t>融资租赁，是指实质上转移了与资产所有权有关的全部风险和报酬的租赁。其所有权最终可能转移，也可能不转移。 符合下列一项或数项标准的，认定为融资租赁：</w:t>
      </w:r>
    </w:p>
    <w:p>
      <w:pPr>
        <w:pStyle w:val="BodyText"/>
        <w:spacing w:line="300" w:lineRule="auto" w:before="19"/>
        <w:ind w:left="513" w:right="183"/>
        <w:jc w:val="left"/>
      </w:pPr>
      <w:r>
        <w:rPr>
          <w:rFonts w:ascii="Times New Roman" w:hAnsi="Times New Roman" w:cs="Times New Roman" w:eastAsia="Times New Roman" w:hint="default"/>
        </w:rPr>
        <w:t>a</w:t>
      </w:r>
      <w:r>
        <w:rPr/>
        <w:t>在租赁期届满时，租赁资产的所有权转移给承租人； </w:t>
      </w:r>
      <w:r>
        <w:rPr>
          <w:rFonts w:ascii="Times New Roman" w:hAnsi="Times New Roman" w:cs="Times New Roman" w:eastAsia="Times New Roman" w:hint="default"/>
        </w:rPr>
        <w:t>b</w:t>
      </w:r>
      <w:r>
        <w:rPr/>
        <w:t>承租人有购买租赁资产的选择权，所订立的购买价款预计将远低于行使选择权时租赁资产的公允价值，因而在租赁开</w:t>
      </w:r>
    </w:p>
    <w:p>
      <w:pPr>
        <w:pStyle w:val="BodyText"/>
        <w:spacing w:line="240" w:lineRule="auto" w:before="13"/>
        <w:ind w:right="185"/>
        <w:jc w:val="left"/>
      </w:pPr>
      <w:r>
        <w:rPr/>
        <w:t>始日就可以合理确定承租人将会行使这种选择权；</w:t>
      </w:r>
    </w:p>
    <w:p>
      <w:pPr>
        <w:pStyle w:val="BodyText"/>
        <w:spacing w:line="300" w:lineRule="auto" w:before="77"/>
        <w:ind w:left="513" w:right="183"/>
        <w:jc w:val="left"/>
      </w:pPr>
      <w:r>
        <w:rPr>
          <w:rFonts w:ascii="Times New Roman" w:hAnsi="Times New Roman" w:cs="Times New Roman" w:eastAsia="Times New Roman" w:hint="default"/>
        </w:rPr>
        <w:t>c</w:t>
      </w:r>
      <w:r>
        <w:rPr/>
        <w:t>即使资产的所有权不转移，但租赁期占租赁资产使用寿命的大部分； </w:t>
      </w:r>
      <w:r>
        <w:rPr>
          <w:rFonts w:ascii="Times New Roman" w:hAnsi="Times New Roman" w:cs="Times New Roman" w:eastAsia="Times New Roman" w:hint="default"/>
        </w:rPr>
        <w:t>d</w:t>
      </w:r>
      <w:r>
        <w:rPr/>
        <w:t>承租人在租赁开始日的最低租赁付款额现值，几乎相当于租赁开始日租赁资产公允价值；出租人在租赁开始日的最低</w:t>
      </w:r>
    </w:p>
    <w:p>
      <w:pPr>
        <w:pStyle w:val="BodyText"/>
        <w:spacing w:line="312" w:lineRule="auto" w:before="13"/>
        <w:ind w:left="513" w:right="3568" w:hanging="361"/>
        <w:jc w:val="left"/>
      </w:pPr>
      <w:r>
        <w:rPr/>
        <w:t>租赁收款额现值，几乎相于租赁开始日租赁资产公允价值； </w:t>
      </w:r>
      <w:r>
        <w:rPr>
          <w:rFonts w:ascii="Times New Roman" w:hAnsi="Times New Roman" w:cs="Times New Roman" w:eastAsia="Times New Roman" w:hint="default"/>
        </w:rPr>
        <w:t>e</w:t>
      </w:r>
      <w:r>
        <w:rPr/>
        <w:t>租赁资产性质特殊，如果不作较大改造，只有承租人才能使用。 公司内含利率的计算公式如下： 公司内含利率</w:t>
      </w:r>
      <w:r>
        <w:rPr>
          <w:rFonts w:ascii="Times New Roman" w:hAnsi="Times New Roman" w:cs="Times New Roman" w:eastAsia="Times New Roman" w:hint="default"/>
        </w:rPr>
        <w:t>=</w:t>
      </w:r>
      <w:r>
        <w:rPr/>
        <w:t>金融机构中长期贷款基准利率</w:t>
      </w:r>
      <w:r>
        <w:rPr>
          <w:rFonts w:ascii="Times New Roman" w:hAnsi="Times New Roman" w:cs="Times New Roman" w:eastAsia="Times New Roman" w:hint="default"/>
        </w:rPr>
        <w:t>+</w:t>
      </w:r>
      <w:r>
        <w:rPr/>
        <w:t>居民消费价格指数</w:t>
      </w:r>
      <w:r>
        <w:rPr>
          <w:rFonts w:ascii="Times New Roman" w:hAnsi="Times New Roman" w:cs="Times New Roman" w:eastAsia="Times New Roman" w:hint="default"/>
        </w:rPr>
        <w:t>+</w:t>
      </w:r>
      <w:r>
        <w:rPr/>
        <w:t>其他因素 未实现融资收益在租赁期内各个期间按实际利率法分配。 或有租金在实际发生时确认为当期收入。</w:t>
      </w:r>
    </w:p>
    <w:p>
      <w:pPr>
        <w:pStyle w:val="BodyText"/>
        <w:spacing w:line="240" w:lineRule="auto" w:before="22"/>
        <w:ind w:left="513" w:right="185"/>
        <w:jc w:val="left"/>
      </w:pPr>
      <w:r>
        <w:rPr/>
        <w:t>经营租赁是指除融资租赁以外的其他租赁，经营租赁的租金在租赁期内的各个期间按直线法确认为收入。</w:t>
      </w:r>
    </w:p>
    <w:p>
      <w:pPr>
        <w:spacing w:line="240" w:lineRule="auto" w:before="0"/>
        <w:rPr>
          <w:rFonts w:ascii="宋体" w:hAnsi="宋体" w:cs="宋体" w:eastAsia="宋体" w:hint="default"/>
          <w:sz w:val="18"/>
          <w:szCs w:val="18"/>
        </w:rPr>
      </w:pPr>
    </w:p>
    <w:p>
      <w:pPr>
        <w:pStyle w:val="Heading3"/>
        <w:spacing w:line="240" w:lineRule="auto" w:before="120"/>
        <w:ind w:right="185"/>
        <w:jc w:val="left"/>
        <w:rPr>
          <w:b w:val="0"/>
          <w:bCs w:val="0"/>
        </w:rPr>
      </w:pPr>
      <w:r>
        <w:rPr>
          <w:rFonts w:ascii="Times New Roman" w:hAnsi="Times New Roman" w:cs="Times New Roman" w:eastAsia="Times New Roman" w:hint="default"/>
        </w:rPr>
        <w:t>24</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85"/>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80" w:firstLine="634"/>
        <w:jc w:val="left"/>
      </w:pPr>
      <w:r>
        <w:rPr/>
        <w:t>政府补助，是本公司从政府无偿取得的货币性资产与非货币性资产。分为与资产相关的政府补助和与收益相关的政 府补助。</w:t>
      </w:r>
    </w:p>
    <w:p>
      <w:pPr>
        <w:spacing w:after="0" w:line="316"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85"/>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85" w:firstLine="360"/>
        <w:jc w:val="left"/>
      </w:pPr>
      <w:r>
        <w:rPr>
          <w:spacing w:val="-2"/>
        </w:rPr>
        <w:t>与购建固定资产、无形资产等长期资产相关的政府补助，确认为递延收益，按照所建造或购买的资产使用年限分期计入</w:t>
      </w:r>
      <w:r>
        <w:rPr/>
        <w:t> 营业外收入；</w:t>
      </w:r>
    </w:p>
    <w:p>
      <w:pPr>
        <w:pStyle w:val="BodyText"/>
        <w:spacing w:line="316" w:lineRule="auto" w:before="19"/>
        <w:ind w:right="185" w:firstLine="360"/>
        <w:jc w:val="left"/>
      </w:pPr>
      <w:r>
        <w:rPr>
          <w:spacing w:val="-2"/>
        </w:rPr>
        <w:t>与收益相关的政府补助，用于补偿企业以后期间的相关费用或损失的，取得时确认为递延收益，在确认相关费用的期间</w:t>
      </w:r>
      <w:r>
        <w:rPr/>
        <w:t> 计入当期营业外收入；用于补偿企业已发生的相关费用或损失的，取得时直接计入当期营业外收入。</w:t>
      </w:r>
    </w:p>
    <w:p>
      <w:pPr>
        <w:spacing w:line="240" w:lineRule="auto" w:before="10"/>
        <w:rPr>
          <w:rFonts w:ascii="宋体" w:hAnsi="宋体" w:cs="宋体" w:eastAsia="宋体" w:hint="default"/>
          <w:sz w:val="22"/>
          <w:szCs w:val="22"/>
        </w:rPr>
      </w:pPr>
    </w:p>
    <w:p>
      <w:pPr>
        <w:pStyle w:val="Heading3"/>
        <w:spacing w:line="240" w:lineRule="auto"/>
        <w:ind w:right="185"/>
        <w:jc w:val="left"/>
        <w:rPr>
          <w:b w:val="0"/>
          <w:bCs w:val="0"/>
        </w:rPr>
      </w:pPr>
      <w:r>
        <w:rPr>
          <w:rFonts w:ascii="Times New Roman" w:hAnsi="Times New Roman" w:cs="Times New Roman" w:eastAsia="Times New Roman" w:hint="default"/>
        </w:rPr>
        <w:t>25</w:t>
      </w:r>
      <w:r>
        <w:rPr/>
        <w:t>、递延所得税资产和递延所得税负债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85"/>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513" w:right="185"/>
        <w:jc w:val="left"/>
      </w:pPr>
      <w:r>
        <w:rPr/>
        <w:t>对于可抵扣暂时性差异确认递延所得税资产，以未来期间很可能取得的用来抵扣可抵扣暂时性差异的应纳税所得额为</w:t>
      </w:r>
    </w:p>
    <w:p>
      <w:pPr>
        <w:pStyle w:val="BodyText"/>
        <w:spacing w:line="240" w:lineRule="auto" w:before="76"/>
        <w:ind w:right="185"/>
        <w:jc w:val="left"/>
      </w:pPr>
      <w:r>
        <w:rPr/>
        <w:t>限。</w:t>
      </w:r>
    </w:p>
    <w:p>
      <w:pPr>
        <w:spacing w:line="240" w:lineRule="auto" w:before="4"/>
        <w:rPr>
          <w:rFonts w:ascii="宋体" w:hAnsi="宋体" w:cs="宋体" w:eastAsia="宋体" w:hint="default"/>
          <w:sz w:val="24"/>
          <w:szCs w:val="24"/>
        </w:rPr>
      </w:pPr>
    </w:p>
    <w:p>
      <w:pPr>
        <w:pStyle w:val="Heading3"/>
        <w:spacing w:line="240" w:lineRule="auto" w:before="36"/>
        <w:ind w:right="185"/>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185"/>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w:t>
      </w:r>
    </w:p>
    <w:p>
      <w:pPr>
        <w:pStyle w:val="BodyText"/>
        <w:spacing w:line="222" w:lineRule="exact"/>
        <w:ind w:right="185"/>
        <w:jc w:val="left"/>
      </w:pPr>
      <w:r>
        <w:rPr/>
        <w:t>润也不影响应纳税所得额（或可抵扣亏损）的其他交易或事项。</w:t>
      </w:r>
    </w:p>
    <w:p>
      <w:pPr>
        <w:pStyle w:val="BodyText"/>
        <w:spacing w:line="316" w:lineRule="auto" w:before="115"/>
        <w:ind w:right="185" w:firstLine="360"/>
        <w:jc w:val="left"/>
      </w:pPr>
      <w:r>
        <w:rPr>
          <w:spacing w:val="-2"/>
        </w:rPr>
        <w:t>当拥有以净额结算的法定权利，且意图以净额结算或取得资产、清偿负债同时进行时，当期所得税资产及当期所得税负</w:t>
      </w:r>
      <w:r>
        <w:rPr/>
        <w:t> 债以抵销后的净额列报。</w:t>
      </w:r>
    </w:p>
    <w:p>
      <w:pPr>
        <w:pStyle w:val="BodyText"/>
        <w:spacing w:line="316" w:lineRule="auto" w:before="59"/>
        <w:ind w:right="192" w:firstLine="360"/>
        <w:jc w:val="both"/>
      </w:pPr>
      <w:r>
        <w:rPr>
          <w:spacing w:val="-2"/>
        </w:rPr>
        <w:t>当拥有以净额结算当期所得税资产及当期所得税负债的法定权利，且递延所得税资产及递延所得税负债是与同一税收征</w:t>
      </w:r>
      <w:r>
        <w:rPr/>
        <w:t> </w:t>
      </w: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转回的期间内，涉及的纳税主体意图以净额结算当期所得税资产和负债或是同时取得资产、清偿负债时，递延所得税资产及</w:t>
      </w:r>
      <w:r>
        <w:rPr>
          <w:spacing w:val="-66"/>
        </w:rPr>
        <w:t> </w:t>
      </w:r>
      <w:r>
        <w:rPr>
          <w:spacing w:val="-66"/>
        </w:rPr>
      </w:r>
      <w:r>
        <w:rPr/>
        <w:t>递延所得税负债以抵销后的净额列报。</w:t>
      </w:r>
    </w:p>
    <w:p>
      <w:pPr>
        <w:spacing w:line="240" w:lineRule="auto" w:before="11"/>
        <w:rPr>
          <w:rFonts w:ascii="宋体" w:hAnsi="宋体" w:cs="宋体" w:eastAsia="宋体" w:hint="default"/>
          <w:sz w:val="22"/>
          <w:szCs w:val="22"/>
        </w:rPr>
      </w:pPr>
    </w:p>
    <w:p>
      <w:pPr>
        <w:pStyle w:val="Heading3"/>
        <w:spacing w:line="240" w:lineRule="auto"/>
        <w:ind w:right="185"/>
        <w:jc w:val="left"/>
        <w:rPr>
          <w:b w:val="0"/>
          <w:bCs w:val="0"/>
        </w:rPr>
      </w:pPr>
      <w:r>
        <w:rPr>
          <w:rFonts w:ascii="Times New Roman" w:hAnsi="Times New Roman" w:cs="Times New Roman" w:eastAsia="Times New Roman" w:hint="default"/>
        </w:rPr>
        <w:t>26</w:t>
      </w:r>
      <w:r>
        <w:rPr/>
        <w:t>、经营租赁、融资租赁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85"/>
        <w:jc w:val="left"/>
        <w:rPr>
          <w:b w:val="0"/>
          <w:bCs w:val="0"/>
        </w:rPr>
      </w:pPr>
      <w:r>
        <w:rPr/>
        <w:t>（</w:t>
      </w:r>
      <w:r>
        <w:rPr>
          <w:rFonts w:ascii="Times New Roman" w:hAnsi="Times New Roman" w:cs="Times New Roman" w:eastAsia="Times New Roman" w:hint="default"/>
        </w:rPr>
        <w:t>1</w:t>
      </w:r>
      <w:r>
        <w:rPr/>
        <w:t>）融资租赁会计处理</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99" w:firstLine="360"/>
        <w:jc w:val="left"/>
      </w:pPr>
      <w:r>
        <w:rPr>
          <w:rFonts w:ascii="Times New Roman" w:hAnsi="Times New Roman" w:cs="Times New Roman" w:eastAsia="Times New Roman" w:hint="default"/>
          <w:spacing w:val="-1"/>
        </w:rPr>
        <w:t>ATM</w:t>
      </w:r>
      <w:r>
        <w:rPr>
          <w:spacing w:val="-1"/>
        </w:rPr>
        <w:t>融资租赁收入的确认方式：在租赁期开始日，将未来应收的融资租赁总额按确定的折现率计算的现值确认为收入；</w:t>
      </w:r>
      <w:r>
        <w:rPr/>
        <w:t> </w:t>
      </w:r>
      <w:r>
        <w:rPr>
          <w:spacing w:val="-2"/>
        </w:rPr>
        <w:t>将应收融资租赁款、未担保余值之和与其现值的差额确认为未实现融资收益，在租赁期内各个期间进行分配，确认为各期的</w:t>
      </w:r>
      <w:r>
        <w:rPr>
          <w:spacing w:val="-63"/>
        </w:rPr>
        <w:t> </w:t>
      </w:r>
      <w:r>
        <w:rPr>
          <w:spacing w:val="-63"/>
        </w:rPr>
      </w:r>
      <w:r>
        <w:rPr/>
        <w:t>租赁收入。</w:t>
      </w:r>
    </w:p>
    <w:p>
      <w:pPr>
        <w:pStyle w:val="BodyText"/>
        <w:spacing w:line="300" w:lineRule="auto" w:before="24"/>
        <w:ind w:left="513" w:right="1313"/>
        <w:jc w:val="left"/>
      </w:pPr>
      <w:r>
        <w:rPr>
          <w:rFonts w:ascii="Times New Roman" w:hAnsi="Times New Roman" w:cs="Times New Roman" w:eastAsia="Times New Roman" w:hint="default"/>
        </w:rPr>
        <w:t>ATM</w:t>
      </w:r>
      <w:r>
        <w:rPr/>
        <w:t>融资租赁成本的确认方式：在与融资租赁收入配比的期间，一次性结转产品成本和安装工程费用。 公司内含利率的计算公式：内含利率</w:t>
      </w:r>
      <w:r>
        <w:rPr>
          <w:rFonts w:ascii="Times New Roman" w:hAnsi="Times New Roman" w:cs="Times New Roman" w:eastAsia="Times New Roman" w:hint="default"/>
        </w:rPr>
        <w:t>=</w:t>
      </w:r>
      <w:r>
        <w:rPr/>
        <w:t>金融机构中长期贷款基准利率</w:t>
      </w:r>
      <w:r>
        <w:rPr>
          <w:rFonts w:ascii="Times New Roman" w:hAnsi="Times New Roman" w:cs="Times New Roman" w:eastAsia="Times New Roman" w:hint="default"/>
        </w:rPr>
        <w:t>+</w:t>
      </w:r>
      <w:r>
        <w:rPr/>
        <w:t>居民消费价格指数</w:t>
      </w:r>
      <w:r>
        <w:rPr>
          <w:rFonts w:ascii="Times New Roman" w:hAnsi="Times New Roman" w:cs="Times New Roman" w:eastAsia="Times New Roman" w:hint="default"/>
        </w:rPr>
        <w:t>+</w:t>
      </w:r>
      <w:r>
        <w:rPr/>
        <w:t>其他因素。</w:t>
      </w:r>
    </w:p>
    <w:p>
      <w:pPr>
        <w:spacing w:line="240" w:lineRule="auto" w:before="4"/>
        <w:rPr>
          <w:rFonts w:ascii="宋体" w:hAnsi="宋体" w:cs="宋体" w:eastAsia="宋体" w:hint="default"/>
          <w:sz w:val="22"/>
          <w:szCs w:val="22"/>
        </w:rPr>
      </w:pPr>
    </w:p>
    <w:p>
      <w:pPr>
        <w:pStyle w:val="Heading3"/>
        <w:spacing w:line="240" w:lineRule="auto"/>
        <w:ind w:right="185"/>
        <w:jc w:val="left"/>
        <w:rPr>
          <w:b w:val="0"/>
          <w:bCs w:val="0"/>
        </w:rPr>
      </w:pPr>
      <w:r>
        <w:rPr>
          <w:rFonts w:ascii="Times New Roman" w:hAnsi="Times New Roman" w:cs="Times New Roman" w:eastAsia="Times New Roman" w:hint="default"/>
        </w:rPr>
        <w:t>27</w:t>
      </w:r>
      <w:r>
        <w:rPr/>
        <w:t>、主要会计政策、会计估计的变更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85"/>
        <w:jc w:val="left"/>
      </w:pPr>
      <w:r>
        <w:rPr/>
        <w:t>本报告期主要会计政策、会计估计是否变更</w:t>
      </w:r>
    </w:p>
    <w:p>
      <w:pPr>
        <w:pStyle w:val="BodyText"/>
        <w:spacing w:line="240" w:lineRule="auto" w:before="115"/>
        <w:ind w:right="18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85"/>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85"/>
        <w:jc w:val="left"/>
      </w:pPr>
      <w:r>
        <w:rPr/>
        <w:t>本报告期主要会计政策是否变更</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4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44"/>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4"/>
        <w:jc w:val="left"/>
      </w:pPr>
      <w:r>
        <w:rPr/>
        <w:t>本报告期主要会计估计是否变更</w:t>
      </w:r>
    </w:p>
    <w:p>
      <w:pPr>
        <w:pStyle w:val="BodyText"/>
        <w:spacing w:line="240" w:lineRule="auto" w:before="115"/>
        <w:ind w:right="14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44"/>
        <w:jc w:val="left"/>
        <w:rPr>
          <w:b w:val="0"/>
          <w:bCs w:val="0"/>
        </w:rPr>
      </w:pPr>
      <w:r>
        <w:rPr>
          <w:rFonts w:ascii="Times New Roman" w:hAnsi="Times New Roman" w:cs="Times New Roman" w:eastAsia="Times New Roman" w:hint="default"/>
        </w:rPr>
        <w:t>28</w:t>
      </w:r>
      <w:r>
        <w:rPr/>
        <w:t>、前期会计差错更正</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4"/>
        <w:jc w:val="left"/>
      </w:pPr>
      <w:r>
        <w:rPr/>
        <w:t>本报告期是否发现前期会计差错</w:t>
      </w:r>
    </w:p>
    <w:p>
      <w:pPr>
        <w:pStyle w:val="BodyText"/>
        <w:spacing w:line="340" w:lineRule="auto" w:before="115"/>
        <w:ind w:right="70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本报告期内未发现前期会计差错。</w:t>
      </w:r>
    </w:p>
    <w:p>
      <w:pPr>
        <w:spacing w:line="240" w:lineRule="auto" w:before="6"/>
        <w:rPr>
          <w:rFonts w:ascii="宋体" w:hAnsi="宋体" w:cs="宋体" w:eastAsia="宋体" w:hint="default"/>
          <w:sz w:val="21"/>
          <w:szCs w:val="21"/>
        </w:rPr>
      </w:pPr>
    </w:p>
    <w:p>
      <w:pPr>
        <w:pStyle w:val="Heading3"/>
        <w:spacing w:line="240" w:lineRule="auto"/>
        <w:ind w:right="144"/>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4"/>
        <w:jc w:val="left"/>
      </w:pPr>
      <w:r>
        <w:rPr/>
        <w:t>本报告期是否发现采用追溯重述法的前期会计差错</w:t>
      </w:r>
    </w:p>
    <w:p>
      <w:pPr>
        <w:pStyle w:val="BodyText"/>
        <w:spacing w:line="240" w:lineRule="auto" w:before="115"/>
        <w:ind w:right="14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44"/>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4"/>
        <w:jc w:val="left"/>
      </w:pPr>
      <w:r>
        <w:rPr/>
        <w:t>本报告期是否发现采用未来适用法的前期会计差错</w:t>
      </w:r>
    </w:p>
    <w:p>
      <w:pPr>
        <w:pStyle w:val="BodyText"/>
        <w:spacing w:line="240" w:lineRule="auto" w:before="115"/>
        <w:ind w:right="14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44"/>
        <w:jc w:val="left"/>
        <w:rPr>
          <w:b w:val="0"/>
          <w:bCs w:val="0"/>
        </w:rPr>
      </w:pPr>
      <w:r>
        <w:rPr/>
        <w:t>五、税项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4"/>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825"/>
        <w:gridCol w:w="5531"/>
        <w:gridCol w:w="1191"/>
      </w:tblGrid>
      <w:tr>
        <w:trPr>
          <w:trHeight w:val="401"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税种</w:t>
            </w:r>
          </w:p>
        </w:tc>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2825" w:type="dxa"/>
            <w:tcBorders>
              <w:top w:val="single" w:sz="4" w:space="0" w:color="000000"/>
              <w:left w:val="single" w:sz="4" w:space="0" w:color="000000"/>
              <w:bottom w:val="nil" w:sz="6" w:space="0" w:color="auto"/>
              <w:right w:val="single" w:sz="13" w:space="0" w:color="CCE8CC"/>
            </w:tcBorders>
            <w:shd w:val="clear" w:color="auto" w:fill="D2D2D2"/>
          </w:tcPr>
          <w:p>
            <w:pPr/>
          </w:p>
        </w:tc>
        <w:tc>
          <w:tcPr>
            <w:tcW w:w="5531" w:type="dxa"/>
            <w:vMerge w:val="restart"/>
            <w:tcBorders>
              <w:top w:val="single" w:sz="4" w:space="0" w:color="000000"/>
              <w:left w:val="single" w:sz="10" w:space="0" w:color="D2D2D2"/>
              <w:right w:val="single" w:sz="4" w:space="0" w:color="000000"/>
            </w:tcBorders>
            <w:shd w:val="clear" w:color="auto" w:fill="CCE8CC"/>
          </w:tcPr>
          <w:p>
            <w:pPr>
              <w:pStyle w:val="TableParagraph"/>
              <w:spacing w:line="316" w:lineRule="auto" w:before="49"/>
              <w:ind w:left="15" w:right="95"/>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按税法规定计算的销售货物和应税劳务收入为基础计算销项税额，在 扣除当期允许抵扣的进项税额后，差额部分为应交增值税</w:t>
            </w:r>
          </w:p>
        </w:tc>
        <w:tc>
          <w:tcPr>
            <w:tcW w:w="1191" w:type="dxa"/>
            <w:tcBorders>
              <w:top w:val="single" w:sz="4" w:space="0" w:color="000000"/>
              <w:left w:val="single" w:sz="4" w:space="0" w:color="000000"/>
              <w:bottom w:val="nil" w:sz="6" w:space="0" w:color="auto"/>
              <w:right w:val="single" w:sz="4" w:space="0" w:color="000000"/>
            </w:tcBorders>
            <w:shd w:val="clear" w:color="auto" w:fill="CCE8CC"/>
          </w:tcPr>
          <w:p>
            <w:pPr/>
          </w:p>
        </w:tc>
      </w:tr>
      <w:tr>
        <w:trPr>
          <w:trHeight w:val="394" w:hRule="exact"/>
        </w:trPr>
        <w:tc>
          <w:tcPr>
            <w:tcW w:w="2825" w:type="dxa"/>
            <w:tcBorders>
              <w:top w:val="nil" w:sz="6" w:space="0" w:color="auto"/>
              <w:left w:val="single" w:sz="4" w:space="0" w:color="000000"/>
              <w:bottom w:val="nil" w:sz="6" w:space="0" w:color="auto"/>
              <w:right w:val="single" w:sz="13" w:space="0" w:color="CCE8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5531" w:type="dxa"/>
            <w:vMerge/>
            <w:tcBorders>
              <w:left w:val="single" w:sz="10" w:space="0" w:color="D2D2D2"/>
              <w:right w:val="single" w:sz="4" w:space="0" w:color="000000"/>
            </w:tcBorders>
            <w:shd w:val="clear" w:color="auto" w:fill="CCE8CC"/>
          </w:tcPr>
          <w:p>
            <w:pPr/>
          </w:p>
        </w:tc>
        <w:tc>
          <w:tcPr>
            <w:tcW w:w="1191" w:type="dxa"/>
            <w:tcBorders>
              <w:top w:val="nil" w:sz="6" w:space="0" w:color="auto"/>
              <w:left w:val="single" w:sz="4" w:space="0" w:color="000000"/>
              <w:bottom w:val="nil" w:sz="6" w:space="0" w:color="auto"/>
              <w:right w:val="single" w:sz="4" w:space="0" w:color="000000"/>
            </w:tcBorders>
            <w:shd w:val="clear" w:color="auto" w:fill="CCE8CC"/>
          </w:tcPr>
          <w:p>
            <w:pPr>
              <w:pStyle w:val="TableParagraph"/>
              <w:spacing w:line="240" w:lineRule="auto" w:before="49"/>
              <w:ind w:left="1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161" w:hRule="exact"/>
        </w:trPr>
        <w:tc>
          <w:tcPr>
            <w:tcW w:w="2825" w:type="dxa"/>
            <w:tcBorders>
              <w:top w:val="nil" w:sz="6" w:space="0" w:color="auto"/>
              <w:left w:val="single" w:sz="4" w:space="0" w:color="000000"/>
              <w:bottom w:val="single" w:sz="4" w:space="0" w:color="000000"/>
              <w:right w:val="single" w:sz="13" w:space="0" w:color="CCE8CC"/>
            </w:tcBorders>
            <w:shd w:val="clear" w:color="auto" w:fill="D2D2D2"/>
          </w:tcPr>
          <w:p>
            <w:pPr/>
          </w:p>
        </w:tc>
        <w:tc>
          <w:tcPr>
            <w:tcW w:w="5531" w:type="dxa"/>
            <w:vMerge/>
            <w:tcBorders>
              <w:left w:val="single" w:sz="10" w:space="0" w:color="D2D2D2"/>
              <w:bottom w:val="single" w:sz="4" w:space="0" w:color="000000"/>
              <w:right w:val="single" w:sz="4" w:space="0" w:color="000000"/>
            </w:tcBorders>
            <w:shd w:val="clear" w:color="auto" w:fill="CCE8CC"/>
          </w:tcPr>
          <w:p>
            <w:pPr/>
          </w:p>
        </w:tc>
        <w:tc>
          <w:tcPr>
            <w:tcW w:w="1191" w:type="dxa"/>
            <w:tcBorders>
              <w:top w:val="nil" w:sz="6" w:space="0" w:color="auto"/>
              <w:left w:val="single" w:sz="4" w:space="0" w:color="000000"/>
              <w:bottom w:val="single" w:sz="4" w:space="0" w:color="000000"/>
              <w:right w:val="single" w:sz="4" w:space="0" w:color="000000"/>
            </w:tcBorders>
            <w:shd w:val="clear" w:color="auto" w:fill="CCE8CC"/>
          </w:tcPr>
          <w:p>
            <w:pPr/>
          </w:p>
        </w:tc>
      </w:tr>
      <w:tr>
        <w:trPr>
          <w:trHeight w:val="401" w:hRule="exact"/>
        </w:trPr>
        <w:tc>
          <w:tcPr>
            <w:tcW w:w="2825" w:type="dxa"/>
            <w:tcBorders>
              <w:top w:val="single" w:sz="4" w:space="0" w:color="000000"/>
              <w:left w:val="single" w:sz="4" w:space="0" w:color="000000"/>
              <w:bottom w:val="single" w:sz="4" w:space="0" w:color="000000"/>
              <w:right w:val="single" w:sz="13" w:space="0" w:color="CCE8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5531" w:type="dxa"/>
            <w:tcBorders>
              <w:top w:val="single" w:sz="4" w:space="0" w:color="000000"/>
              <w:left w:val="single" w:sz="10" w:space="0" w:color="D2D2D2"/>
              <w:bottom w:val="single" w:sz="4" w:space="0" w:color="000000"/>
              <w:right w:val="single" w:sz="4" w:space="0" w:color="000000"/>
            </w:tcBorders>
            <w:shd w:val="clear" w:color="auto" w:fill="CCE8CC"/>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11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825" w:type="dxa"/>
            <w:tcBorders>
              <w:top w:val="single" w:sz="4" w:space="0" w:color="000000"/>
              <w:left w:val="single" w:sz="4" w:space="0" w:color="000000"/>
              <w:bottom w:val="single" w:sz="4" w:space="0" w:color="000000"/>
              <w:right w:val="single" w:sz="13" w:space="0" w:color="CCE8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5531" w:type="dxa"/>
            <w:tcBorders>
              <w:top w:val="single" w:sz="4" w:space="0" w:color="000000"/>
              <w:left w:val="single" w:sz="10" w:space="0" w:color="D2D2D2"/>
              <w:bottom w:val="single" w:sz="4" w:space="0" w:color="000000"/>
              <w:right w:val="single" w:sz="4" w:space="0" w:color="000000"/>
            </w:tcBorders>
            <w:shd w:val="clear" w:color="auto" w:fill="CCE8CC"/>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按实际缴纳的营业税、增值税及消费税计征</w:t>
            </w:r>
          </w:p>
        </w:tc>
        <w:tc>
          <w:tcPr>
            <w:tcW w:w="11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2825" w:type="dxa"/>
            <w:tcBorders>
              <w:top w:val="single" w:sz="4" w:space="0" w:color="000000"/>
              <w:left w:val="single" w:sz="4" w:space="0" w:color="000000"/>
              <w:bottom w:val="single" w:sz="4" w:space="0" w:color="000000"/>
              <w:right w:val="single" w:sz="13" w:space="0" w:color="CCE8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5531" w:type="dxa"/>
            <w:tcBorders>
              <w:top w:val="single" w:sz="4" w:space="0" w:color="000000"/>
              <w:left w:val="single" w:sz="10" w:space="0" w:color="D2D2D2"/>
              <w:bottom w:val="single" w:sz="4" w:space="0" w:color="000000"/>
              <w:right w:val="single" w:sz="4" w:space="0" w:color="000000"/>
            </w:tcBorders>
            <w:shd w:val="clear" w:color="auto" w:fill="CCE8CC"/>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191"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3" w:hRule="exact"/>
        </w:trPr>
        <w:tc>
          <w:tcPr>
            <w:tcW w:w="282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5531"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1191"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1" w:hRule="exact"/>
        </w:trPr>
        <w:tc>
          <w:tcPr>
            <w:tcW w:w="282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553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1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282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广州御新软件有限公司</w:t>
            </w:r>
          </w:p>
        </w:tc>
        <w:tc>
          <w:tcPr>
            <w:tcW w:w="553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1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282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广州御银自动柜员机技术有限公司</w:t>
            </w:r>
          </w:p>
        </w:tc>
        <w:tc>
          <w:tcPr>
            <w:tcW w:w="553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1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282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c>
          <w:tcPr>
            <w:tcW w:w="553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1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282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安徽御银电子科技有限公司</w:t>
            </w:r>
          </w:p>
        </w:tc>
        <w:tc>
          <w:tcPr>
            <w:tcW w:w="553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1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282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御银（中国）科技国际有限公司</w:t>
            </w:r>
          </w:p>
        </w:tc>
        <w:tc>
          <w:tcPr>
            <w:tcW w:w="553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1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529" w:type="dxa"/>
        <w:tblLayout w:type="fixed"/>
        <w:tblCellMar>
          <w:top w:w="0" w:type="dxa"/>
          <w:left w:w="0" w:type="dxa"/>
          <w:bottom w:w="0" w:type="dxa"/>
          <w:right w:w="0" w:type="dxa"/>
        </w:tblCellMar>
        <w:tblLook w:val="01E0"/>
      </w:tblPr>
      <w:tblGrid>
        <w:gridCol w:w="2834"/>
        <w:gridCol w:w="5531"/>
        <w:gridCol w:w="1203"/>
      </w:tblGrid>
      <w:tr>
        <w:trPr>
          <w:trHeight w:val="402" w:hRule="exact"/>
        </w:trPr>
        <w:tc>
          <w:tcPr>
            <w:tcW w:w="28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御银科技（香港）有限公司</w:t>
            </w:r>
          </w:p>
        </w:tc>
        <w:tc>
          <w:tcPr>
            <w:tcW w:w="553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20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广州御银先端电子科技有限公司</w:t>
            </w:r>
          </w:p>
        </w:tc>
        <w:tc>
          <w:tcPr>
            <w:tcW w:w="553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20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北京青年御银科技有限责任公司</w:t>
            </w:r>
          </w:p>
        </w:tc>
        <w:tc>
          <w:tcPr>
            <w:tcW w:w="553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20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25%</w:t>
            </w:r>
          </w:p>
        </w:tc>
      </w:tr>
    </w:tbl>
    <w:p>
      <w:pPr>
        <w:pStyle w:val="BodyText"/>
        <w:spacing w:line="357" w:lineRule="auto" w:before="50"/>
        <w:ind w:left="532" w:right="7334"/>
        <w:jc w:val="left"/>
      </w:pPr>
      <w:r>
        <w:rPr/>
        <w:t>各分公司、分厂执行的所得税税率 无</w:t>
      </w:r>
    </w:p>
    <w:p>
      <w:pPr>
        <w:spacing w:line="240" w:lineRule="auto" w:before="6"/>
        <w:rPr>
          <w:rFonts w:ascii="宋体" w:hAnsi="宋体" w:cs="宋体" w:eastAsia="宋体" w:hint="default"/>
          <w:sz w:val="20"/>
          <w:szCs w:val="20"/>
        </w:rPr>
      </w:pPr>
    </w:p>
    <w:p>
      <w:pPr>
        <w:pStyle w:val="Heading3"/>
        <w:spacing w:line="240" w:lineRule="auto"/>
        <w:ind w:left="532" w:right="314"/>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893" w:right="403"/>
        <w:jc w:val="left"/>
      </w:pPr>
      <w:r>
        <w:rPr/>
        <w:t>（</w:t>
      </w:r>
      <w:r>
        <w:rPr>
          <w:rFonts w:ascii="Times New Roman" w:hAnsi="Times New Roman" w:cs="Times New Roman" w:eastAsia="Times New Roman" w:hint="default"/>
        </w:rPr>
        <w:t>1</w:t>
      </w:r>
      <w:r>
        <w:rPr/>
        <w:t>）增值税 根据财税【</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92</w:t>
      </w:r>
      <w:r>
        <w:rPr/>
        <w:t>号《财政部、国家税务总局关于嵌入式软件增值税政策的通知》、财税【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号《财政部、</w:t>
      </w:r>
    </w:p>
    <w:p>
      <w:pPr>
        <w:pStyle w:val="BodyText"/>
        <w:spacing w:line="309" w:lineRule="auto" w:before="13"/>
        <w:ind w:left="532" w:right="314"/>
        <w:jc w:val="left"/>
      </w:pPr>
      <w:r>
        <w:rPr>
          <w:spacing w:val="-2"/>
        </w:rPr>
        <w:t>国家税务总局关于软件产品增值税政策的通知》的有关规定：增值税一般纳税人随同计算机网络、计算机硬件和机器设备等</w:t>
      </w:r>
      <w:r>
        <w:rPr>
          <w:spacing w:val="-61"/>
        </w:rPr>
        <w:t> </w:t>
      </w:r>
      <w:r>
        <w:rPr>
          <w:spacing w:val="-61"/>
        </w:rPr>
      </w:r>
      <w:r>
        <w:rPr>
          <w:spacing w:val="-2"/>
        </w:rPr>
        <w:t>一并销售其自行开发生产的嵌入式软件，如果能够按照《财政部、国家税务总局关于贯彻落实〈中共中央、国务院关于加强</w:t>
      </w:r>
      <w:r>
        <w:rPr>
          <w:spacing w:val="-67"/>
        </w:rPr>
        <w:t> </w:t>
      </w:r>
      <w:r>
        <w:rPr>
          <w:spacing w:val="-67"/>
        </w:rPr>
      </w:r>
      <w:r>
        <w:rPr/>
        <w:t>技术创新，发展高科技，实现产业化的决定〉有关税收问题的通知》（财税字【</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273</w:t>
      </w:r>
      <w:r>
        <w:rPr/>
        <w:t>号）第一条第三款之规定，分别</w:t>
      </w:r>
      <w:r>
        <w:rPr>
          <w:spacing w:val="-85"/>
        </w:rPr>
        <w:t> </w:t>
      </w:r>
      <w:r>
        <w:rPr>
          <w:spacing w:val="-85"/>
        </w:rPr>
      </w:r>
      <w:r>
        <w:rPr>
          <w:spacing w:val="-9"/>
        </w:rPr>
        <w:t>核算嵌入式软件与计算机硬件、机器设备等的销售额，可以享受软件产品增值税优惠政策。公司符合财税【</w:t>
      </w:r>
      <w:r>
        <w:rPr>
          <w:rFonts w:ascii="Times New Roman" w:hAnsi="Times New Roman" w:cs="Times New Roman" w:eastAsia="Times New Roman" w:hint="default"/>
          <w:spacing w:val="-9"/>
        </w:rPr>
        <w:t>2008</w:t>
      </w:r>
      <w:r>
        <w:rPr>
          <w:spacing w:val="-9"/>
        </w:rPr>
        <w:t>】</w:t>
      </w:r>
      <w:r>
        <w:rPr>
          <w:rFonts w:ascii="Times New Roman" w:hAnsi="Times New Roman" w:cs="Times New Roman" w:eastAsia="Times New Roman" w:hint="default"/>
          <w:spacing w:val="-9"/>
        </w:rPr>
        <w:t>92</w:t>
      </w:r>
      <w:r>
        <w:rPr>
          <w:spacing w:val="-9"/>
        </w:rPr>
        <w:t>号、【</w:t>
      </w:r>
      <w:r>
        <w:rPr>
          <w:rFonts w:ascii="Times New Roman" w:hAnsi="Times New Roman" w:cs="Times New Roman" w:eastAsia="Times New Roman" w:hint="default"/>
          <w:spacing w:val="-9"/>
        </w:rPr>
        <w:t>2011</w:t>
      </w:r>
      <w:r>
        <w:rPr>
          <w:spacing w:val="-9"/>
        </w:rPr>
        <w:t>】</w:t>
      </w:r>
      <w:r>
        <w:rPr>
          <w:spacing w:val="-69"/>
        </w:rPr>
        <w:t> </w:t>
      </w:r>
      <w:r>
        <w:rPr>
          <w:rFonts w:ascii="Times New Roman" w:hAnsi="Times New Roman" w:cs="Times New Roman" w:eastAsia="Times New Roman" w:hint="default"/>
        </w:rPr>
        <w:t>100</w:t>
      </w:r>
      <w:r>
        <w:rPr/>
        <w:t>号之规定，嵌入式软件销售收入享受增值税即征即退优惠政策。</w:t>
      </w:r>
    </w:p>
    <w:p>
      <w:pPr>
        <w:pStyle w:val="BodyText"/>
        <w:spacing w:line="300" w:lineRule="auto" w:before="5"/>
        <w:ind w:left="893" w:right="314"/>
        <w:jc w:val="left"/>
      </w:pPr>
      <w:r>
        <w:rPr/>
        <w:t>（</w:t>
      </w:r>
      <w:r>
        <w:rPr>
          <w:rFonts w:ascii="Times New Roman" w:hAnsi="Times New Roman" w:cs="Times New Roman" w:eastAsia="Times New Roman" w:hint="default"/>
        </w:rPr>
        <w:t>2</w:t>
      </w:r>
      <w:r>
        <w:rPr/>
        <w:t>）企业所得税 </w:t>
      </w:r>
      <w:r>
        <w:rPr>
          <w:spacing w:val="-7"/>
        </w:rPr>
        <w:t>根据广东省科学技术厅下发的《关于公示广东省</w:t>
      </w:r>
      <w:r>
        <w:rPr>
          <w:rFonts w:ascii="Times New Roman" w:hAnsi="Times New Roman" w:cs="Times New Roman" w:eastAsia="Times New Roman" w:hint="default"/>
          <w:spacing w:val="-7"/>
        </w:rPr>
        <w:t>2011</w:t>
      </w:r>
      <w:r>
        <w:rPr>
          <w:spacing w:val="-7"/>
        </w:rPr>
        <w:t>年第一批拟通过复审高新技术企业名单的通知》（粤科函高字【</w:t>
      </w:r>
      <w:r>
        <w:rPr>
          <w:rFonts w:ascii="Times New Roman" w:hAnsi="Times New Roman" w:cs="Times New Roman" w:eastAsia="Times New Roman" w:hint="default"/>
          <w:spacing w:val="-7"/>
        </w:rPr>
        <w:t>2011</w:t>
      </w:r>
      <w:r>
        <w:rPr>
          <w:spacing w:val="-7"/>
        </w:rPr>
        <w:t>】</w:t>
      </w:r>
    </w:p>
    <w:p>
      <w:pPr>
        <w:pStyle w:val="BodyText"/>
        <w:spacing w:line="300" w:lineRule="auto" w:before="13"/>
        <w:ind w:left="532" w:right="314"/>
        <w:jc w:val="left"/>
      </w:pPr>
      <w:r>
        <w:rPr>
          <w:rFonts w:ascii="Times New Roman" w:hAnsi="Times New Roman" w:cs="Times New Roman" w:eastAsia="Times New Roman" w:hint="default"/>
          <w:spacing w:val="-1"/>
        </w:rPr>
        <w:t>1219</w:t>
      </w:r>
      <w:r>
        <w:rPr>
          <w:spacing w:val="-1"/>
        </w:rPr>
        <w:t>号），并获发《高新技术企业证书》（证书编号：</w:t>
      </w:r>
      <w:r>
        <w:rPr>
          <w:rFonts w:ascii="Times New Roman" w:hAnsi="Times New Roman" w:cs="Times New Roman" w:eastAsia="Times New Roman" w:hint="default"/>
          <w:spacing w:val="-1"/>
        </w:rPr>
        <w:t>GF201144000003</w:t>
      </w:r>
      <w:r>
        <w:rPr>
          <w:spacing w:val="-1"/>
        </w:rPr>
        <w:t>，有效期</w:t>
      </w:r>
      <w:r>
        <w:rPr>
          <w:rFonts w:ascii="Times New Roman" w:hAnsi="Times New Roman" w:cs="Times New Roman" w:eastAsia="Times New Roman" w:hint="default"/>
          <w:spacing w:val="-1"/>
        </w:rPr>
        <w:t>3</w:t>
      </w:r>
      <w:r>
        <w:rPr>
          <w:spacing w:val="-1"/>
        </w:rPr>
        <w:t>年）。按照《企业所得税法》等相关法规</w:t>
      </w:r>
      <w:r>
        <w:rPr>
          <w:spacing w:val="-78"/>
        </w:rPr>
        <w:t> </w:t>
      </w:r>
      <w:r>
        <w:rPr>
          <w:spacing w:val="-78"/>
        </w:rPr>
      </w:r>
      <w:r>
        <w:rPr/>
        <w:t>规定，本公司自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日三年内享受国家高新技术企业</w:t>
      </w:r>
      <w:r>
        <w:rPr>
          <w:rFonts w:ascii="Times New Roman" w:hAnsi="Times New Roman" w:cs="Times New Roman" w:eastAsia="Times New Roman" w:hint="default"/>
        </w:rPr>
        <w:t>15%</w:t>
      </w:r>
      <w:r>
        <w:rPr/>
        <w:t>的所得税税率。</w:t>
      </w:r>
    </w:p>
    <w:p>
      <w:pPr>
        <w:pStyle w:val="BodyText"/>
        <w:spacing w:line="300" w:lineRule="auto" w:before="13"/>
        <w:ind w:left="532" w:right="314" w:firstLine="360"/>
        <w:jc w:val="left"/>
      </w:pPr>
      <w:r>
        <w:rPr>
          <w:spacing w:val="-7"/>
        </w:rPr>
        <w:t>根据广东省科学技术厅下发的《关于公示广东省</w:t>
      </w:r>
      <w:r>
        <w:rPr>
          <w:rFonts w:ascii="Times New Roman" w:hAnsi="Times New Roman" w:cs="Times New Roman" w:eastAsia="Times New Roman" w:hint="default"/>
          <w:spacing w:val="-7"/>
        </w:rPr>
        <w:t>2011</w:t>
      </w:r>
      <w:r>
        <w:rPr>
          <w:spacing w:val="-7"/>
        </w:rPr>
        <w:t>年第一批拟通过复审高新技术企业名单的通知》（粤科函高字【</w:t>
      </w:r>
      <w:r>
        <w:rPr>
          <w:rFonts w:ascii="Times New Roman" w:hAnsi="Times New Roman" w:cs="Times New Roman" w:eastAsia="Times New Roman" w:hint="default"/>
          <w:spacing w:val="-7"/>
        </w:rPr>
        <w:t>2011</w:t>
      </w:r>
      <w:r>
        <w:rPr>
          <w:spacing w:val="-7"/>
        </w:rPr>
        <w:t>】</w:t>
      </w:r>
      <w:r>
        <w:rPr/>
        <w:t> </w:t>
      </w:r>
      <w:r>
        <w:rPr>
          <w:rFonts w:ascii="Times New Roman" w:hAnsi="Times New Roman" w:cs="Times New Roman" w:eastAsia="Times New Roman" w:hint="default"/>
          <w:spacing w:val="-2"/>
        </w:rPr>
        <w:t>1219</w:t>
      </w:r>
      <w:r>
        <w:rPr>
          <w:spacing w:val="-2"/>
        </w:rPr>
        <w:t>号），并获发《高新技术企业证书》（证书编号：</w:t>
      </w:r>
      <w:r>
        <w:rPr>
          <w:rFonts w:ascii="Times New Roman" w:hAnsi="Times New Roman" w:cs="Times New Roman" w:eastAsia="Times New Roman" w:hint="default"/>
          <w:spacing w:val="-2"/>
        </w:rPr>
        <w:t>GF201144000333,</w:t>
      </w:r>
      <w:r>
        <w:rPr>
          <w:spacing w:val="-2"/>
        </w:rPr>
        <w:t>有效期</w:t>
      </w:r>
      <w:r>
        <w:rPr>
          <w:rFonts w:ascii="Times New Roman" w:hAnsi="Times New Roman" w:cs="Times New Roman" w:eastAsia="Times New Roman" w:hint="default"/>
          <w:spacing w:val="-2"/>
        </w:rPr>
        <w:t>3</w:t>
      </w:r>
      <w:r>
        <w:rPr>
          <w:spacing w:val="-2"/>
        </w:rPr>
        <w:t>年）。按照《企业所得税法》等相关法规规</w:t>
      </w:r>
      <w:r>
        <w:rPr>
          <w:spacing w:val="-57"/>
        </w:rPr>
        <w:t> </w:t>
      </w:r>
      <w:r>
        <w:rPr>
          <w:spacing w:val="-57"/>
        </w:rPr>
      </w:r>
      <w:r>
        <w:rPr/>
        <w:t>定，本公司自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日三年内享受国家高新技术企业</w:t>
      </w:r>
      <w:r>
        <w:rPr>
          <w:rFonts w:ascii="Times New Roman" w:hAnsi="Times New Roman" w:cs="Times New Roman" w:eastAsia="Times New Roman" w:hint="default"/>
        </w:rPr>
        <w:t>15%</w:t>
      </w:r>
      <w:r>
        <w:rPr/>
        <w:t>的所得税税率。</w:t>
      </w:r>
    </w:p>
    <w:p>
      <w:pPr>
        <w:pStyle w:val="BodyText"/>
        <w:spacing w:line="307" w:lineRule="auto" w:before="13"/>
        <w:ind w:left="532" w:right="411" w:firstLine="360"/>
        <w:jc w:val="both"/>
      </w:pPr>
      <w:r>
        <w:rPr/>
        <w:t>依据《国家税务总局关于企业所得税若干优惠政策的通知》财税〔</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w:t>
      </w:r>
      <w:r>
        <w:rPr/>
        <w:t>号文件的有关规定：对我国境内新办软件生 </w:t>
      </w:r>
      <w:r>
        <w:rPr>
          <w:spacing w:val="-2"/>
        </w:rPr>
        <w:t>产企业经认定后，自开始获利年度起，第一年和第二年免征企业所得税，第三年至第五年减半征收企业所得税。公司全资子</w:t>
      </w:r>
      <w:r>
        <w:rPr>
          <w:spacing w:val="-65"/>
        </w:rPr>
        <w:t> </w:t>
      </w:r>
      <w:r>
        <w:rPr>
          <w:spacing w:val="-65"/>
        </w:rPr>
      </w:r>
      <w:r>
        <w:rPr>
          <w:spacing w:val="-2"/>
        </w:rPr>
        <w:t>公司广州御银自动柜员机技术有限公司经广州经济技术开发区国家税务总局认定为广州市新办软件生产企业，且在</w:t>
      </w:r>
      <w:r>
        <w:rPr>
          <w:rFonts w:ascii="Times New Roman" w:hAnsi="Times New Roman" w:cs="Times New Roman" w:eastAsia="Times New Roman" w:hint="default"/>
          <w:spacing w:val="-2"/>
        </w:rPr>
        <w:t>2009</w:t>
      </w:r>
      <w:r>
        <w:rPr>
          <w:spacing w:val="-2"/>
        </w:rPr>
        <w:t>年度</w:t>
      </w:r>
      <w:r>
        <w:rPr>
          <w:spacing w:val="-64"/>
        </w:rPr>
        <w:t> </w:t>
      </w:r>
      <w:r>
        <w:rPr/>
        <w:t>开始成立并投产，并从</w:t>
      </w:r>
      <w:r>
        <w:rPr>
          <w:rFonts w:ascii="Times New Roman" w:hAnsi="Times New Roman" w:cs="Times New Roman" w:eastAsia="Times New Roman" w:hint="default"/>
        </w:rPr>
        <w:t>2010</w:t>
      </w:r>
      <w:r>
        <w:rPr/>
        <w:t>年开始获利。</w:t>
      </w:r>
    </w:p>
    <w:p>
      <w:pPr>
        <w:spacing w:line="240" w:lineRule="auto" w:before="12"/>
        <w:rPr>
          <w:rFonts w:ascii="宋体" w:hAnsi="宋体" w:cs="宋体" w:eastAsia="宋体" w:hint="default"/>
          <w:sz w:val="19"/>
          <w:szCs w:val="19"/>
        </w:rPr>
      </w:pPr>
    </w:p>
    <w:p>
      <w:pPr>
        <w:pStyle w:val="Heading2"/>
        <w:spacing w:line="240" w:lineRule="auto"/>
        <w:ind w:left="532" w:right="314"/>
        <w:jc w:val="left"/>
        <w:rPr>
          <w:b w:val="0"/>
          <w:bCs w:val="0"/>
        </w:rPr>
      </w:pPr>
      <w:r>
        <w:rPr/>
        <w:t>六、企业合并及合并财务报表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532" w:right="314"/>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32" w:right="314"/>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4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710"/>
        <w:gridCol w:w="710"/>
        <w:gridCol w:w="566"/>
        <w:gridCol w:w="850"/>
        <w:gridCol w:w="852"/>
        <w:gridCol w:w="1133"/>
        <w:gridCol w:w="708"/>
        <w:gridCol w:w="710"/>
        <w:gridCol w:w="336"/>
        <w:gridCol w:w="372"/>
        <w:gridCol w:w="425"/>
        <w:gridCol w:w="425"/>
        <w:gridCol w:w="994"/>
        <w:gridCol w:w="1560"/>
      </w:tblGrid>
      <w:tr>
        <w:trPr>
          <w:trHeight w:val="2273" w:hRule="exact"/>
        </w:trPr>
        <w:tc>
          <w:tcPr>
            <w:tcW w:w="710" w:type="dxa"/>
            <w:tcBorders>
              <w:top w:val="single" w:sz="4" w:space="0" w:color="000000"/>
              <w:left w:val="single" w:sz="4" w:space="0" w:color="000000"/>
              <w:bottom w:val="single" w:sz="12" w:space="0" w:color="CCE8CC"/>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71" w:right="77"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70" w:right="79" w:hanging="92"/>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89" w:right="96" w:hanging="92"/>
              <w:jc w:val="left"/>
              <w:rPr>
                <w:rFonts w:ascii="宋体" w:hAnsi="宋体" w:cs="宋体" w:eastAsia="宋体" w:hint="default"/>
                <w:sz w:val="18"/>
                <w:szCs w:val="18"/>
              </w:rPr>
            </w:pPr>
            <w:r>
              <w:rPr>
                <w:rFonts w:ascii="宋体" w:hAnsi="宋体" w:cs="宋体" w:eastAsia="宋体" w:hint="default"/>
                <w:sz w:val="18"/>
                <w:szCs w:val="18"/>
              </w:rPr>
              <w:t>注册 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33" w:type="dxa"/>
            <w:tcBorders>
              <w:top w:val="single" w:sz="4" w:space="0" w:color="000000"/>
              <w:left w:val="single" w:sz="4" w:space="0" w:color="000000"/>
              <w:bottom w:val="single" w:sz="12" w:space="0" w:color="CCE8CC"/>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79" w:right="77"/>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9" w:right="79"/>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8" w:right="26" w:firstLine="45"/>
              <w:jc w:val="both"/>
              <w:rPr>
                <w:rFonts w:ascii="宋体" w:hAnsi="宋体" w:cs="宋体" w:eastAsia="宋体" w:hint="default"/>
                <w:sz w:val="18"/>
                <w:szCs w:val="18"/>
              </w:rPr>
            </w:pPr>
            <w:r>
              <w:rPr>
                <w:rFonts w:ascii="宋体" w:hAnsi="宋体" w:cs="宋体" w:eastAsia="宋体" w:hint="default"/>
                <w:sz w:val="18"/>
                <w:szCs w:val="18"/>
              </w:rPr>
              <w:t>持 股 比 例</w:t>
            </w:r>
          </w:p>
          <w:p>
            <w:pPr>
              <w:pStyle w:val="TableParagraph"/>
              <w:spacing w:line="240" w:lineRule="auto" w:before="59"/>
              <w:ind w:left="28" w:right="0"/>
              <w:jc w:val="both"/>
              <w:rPr>
                <w:rFonts w:ascii="Times New Roman" w:hAnsi="Times New Roman" w:cs="Times New Roman" w:eastAsia="Times New Roman" w:hint="default"/>
                <w:sz w:val="18"/>
                <w:szCs w:val="18"/>
              </w:rPr>
            </w:pPr>
            <w:r>
              <w:rPr>
                <w:rFonts w:ascii="Times New Roman"/>
                <w:sz w:val="18"/>
              </w:rPr>
              <w:t>(%)</w:t>
            </w:r>
          </w:p>
        </w:tc>
        <w:tc>
          <w:tcPr>
            <w:tcW w:w="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8" w:right="43" w:firstLine="43"/>
              <w:jc w:val="both"/>
              <w:rPr>
                <w:rFonts w:ascii="宋体" w:hAnsi="宋体" w:cs="宋体" w:eastAsia="宋体" w:hint="default"/>
                <w:sz w:val="18"/>
                <w:szCs w:val="18"/>
              </w:rPr>
            </w:pPr>
            <w:r>
              <w:rPr>
                <w:rFonts w:ascii="宋体" w:hAnsi="宋体" w:cs="宋体" w:eastAsia="宋体" w:hint="default"/>
                <w:sz w:val="18"/>
                <w:szCs w:val="18"/>
              </w:rPr>
              <w:t>表 决 权 比 例</w:t>
            </w:r>
          </w:p>
          <w:p>
            <w:pPr>
              <w:pStyle w:val="TableParagraph"/>
              <w:spacing w:line="240" w:lineRule="auto" w:before="59"/>
              <w:ind w:left="48" w:right="0"/>
              <w:jc w:val="both"/>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8" w:right="24"/>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8" w:right="26"/>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0" w:right="41"/>
              <w:jc w:val="both"/>
              <w:rPr>
                <w:rFonts w:ascii="宋体" w:hAnsi="宋体" w:cs="宋体" w:eastAsia="宋体" w:hint="default"/>
                <w:sz w:val="18"/>
                <w:szCs w:val="18"/>
              </w:rPr>
            </w:pPr>
            <w:r>
              <w:rPr>
                <w:rFonts w:ascii="宋体" w:hAnsi="宋体" w:cs="宋体" w:eastAsia="宋体" w:hint="default"/>
                <w:sz w:val="18"/>
                <w:szCs w:val="18"/>
              </w:rPr>
              <w:t>少数股东权 益中用于冲 减少数股东 损益的金额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从母公司所有者权 益冲减子公司少数 股东分担的本期亏 损超过少数股东在 该子公司年初所有 者权益中所享有份 额后的余额</w:t>
            </w:r>
          </w:p>
        </w:tc>
      </w:tr>
      <w:tr>
        <w:trPr>
          <w:trHeight w:val="715" w:hRule="exact"/>
        </w:trPr>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4" w:lineRule="auto" w:before="70"/>
              <w:ind w:left="25" w:right="132"/>
              <w:jc w:val="left"/>
              <w:rPr>
                <w:rFonts w:ascii="宋体" w:hAnsi="宋体" w:cs="宋体" w:eastAsia="宋体" w:hint="default"/>
                <w:sz w:val="18"/>
                <w:szCs w:val="18"/>
              </w:rPr>
            </w:pPr>
            <w:r>
              <w:rPr>
                <w:rFonts w:ascii="宋体" w:hAnsi="宋体" w:cs="宋体" w:eastAsia="宋体" w:hint="default"/>
                <w:sz w:val="18"/>
                <w:szCs w:val="18"/>
              </w:rPr>
              <w:t>广州御 新软件</w:t>
            </w:r>
          </w:p>
        </w:tc>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56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5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软件研 发、销售</w:t>
            </w:r>
          </w:p>
        </w:tc>
        <w:tc>
          <w:tcPr>
            <w:tcW w:w="85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w:t>
            </w:r>
          </w:p>
        </w:tc>
        <w:tc>
          <w:tcPr>
            <w:tcW w:w="113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4" w:lineRule="auto" w:before="70"/>
              <w:ind w:left="24" w:right="197"/>
              <w:jc w:val="left"/>
              <w:rPr>
                <w:rFonts w:ascii="宋体" w:hAnsi="宋体" w:cs="宋体" w:eastAsia="宋体" w:hint="default"/>
                <w:sz w:val="18"/>
                <w:szCs w:val="18"/>
              </w:rPr>
            </w:pPr>
            <w:r>
              <w:rPr>
                <w:rFonts w:ascii="宋体" w:hAnsi="宋体" w:cs="宋体" w:eastAsia="宋体" w:hint="default"/>
                <w:sz w:val="18"/>
                <w:szCs w:val="18"/>
              </w:rPr>
              <w:t>自动柜员机 及点钞机设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7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600" w:right="720"/>
        </w:sectPr>
      </w:pPr>
    </w:p>
    <w:p>
      <w:pPr>
        <w:spacing w:line="240" w:lineRule="auto" w:before="6"/>
        <w:rPr>
          <w:rFonts w:ascii="宋体" w:hAnsi="宋体" w:cs="宋体" w:eastAsia="宋体" w:hint="default"/>
          <w:sz w:val="28"/>
          <w:szCs w:val="28"/>
        </w:rPr>
      </w:pPr>
      <w:r>
        <w:rPr/>
        <w:pict>
          <v:shape style="position:absolute;margin-left:153.263pt;margin-top:739.776001pt;width:65.2pt;height:23pt;mso-position-horizontal-relative:page;mso-position-vertical-relative:page;z-index:-830632" type="#_x0000_t202" filled="false" stroked="false">
            <v:textbox inset="0,0,0,0">
              <w:txbxContent>
                <w:p>
                  <w:pPr>
                    <w:spacing w:line="240" w:lineRule="auto" w:before="2"/>
                    <w:rPr>
                      <w:rFonts w:ascii="宋体" w:hAnsi="宋体" w:cs="宋体" w:eastAsia="宋体" w:hint="default"/>
                      <w:sz w:val="17"/>
                      <w:szCs w:val="17"/>
                    </w:rPr>
                  </w:pPr>
                </w:p>
                <w:p>
                  <w:pPr>
                    <w:pStyle w:val="BodyText"/>
                    <w:spacing w:line="240" w:lineRule="auto"/>
                    <w:ind w:left="0" w:right="0"/>
                    <w:jc w:val="left"/>
                  </w:pPr>
                  <w:r>
                    <w:rPr/>
                    <w:t>咨询、</w:t>
                  </w:r>
                </w:p>
              </w:txbxContent>
            </v:textbox>
            <w10:wrap type="none"/>
          </v:shape>
        </w:pict>
      </w:r>
    </w:p>
    <w:tbl>
      <w:tblPr>
        <w:tblW w:w="0" w:type="auto"/>
        <w:jc w:val="left"/>
        <w:tblInd w:w="101" w:type="dxa"/>
        <w:tblLayout w:type="fixed"/>
        <w:tblCellMar>
          <w:top w:w="0" w:type="dxa"/>
          <w:left w:w="0" w:type="dxa"/>
          <w:bottom w:w="0" w:type="dxa"/>
          <w:right w:w="0" w:type="dxa"/>
        </w:tblCellMar>
        <w:tblLook w:val="01E0"/>
      </w:tblPr>
      <w:tblGrid>
        <w:gridCol w:w="710"/>
        <w:gridCol w:w="710"/>
        <w:gridCol w:w="566"/>
        <w:gridCol w:w="850"/>
        <w:gridCol w:w="852"/>
        <w:gridCol w:w="1133"/>
        <w:gridCol w:w="708"/>
        <w:gridCol w:w="710"/>
        <w:gridCol w:w="336"/>
        <w:gridCol w:w="372"/>
        <w:gridCol w:w="425"/>
        <w:gridCol w:w="425"/>
        <w:gridCol w:w="994"/>
        <w:gridCol w:w="1560"/>
      </w:tblGrid>
      <w:tr>
        <w:trPr>
          <w:trHeight w:val="675" w:hRule="exact"/>
        </w:trPr>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9" w:lineRule="auto" w:before="8"/>
              <w:ind w:left="25" w:right="132"/>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566"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852"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9"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备的研发、销 售</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5" w:right="132"/>
              <w:jc w:val="both"/>
              <w:rPr>
                <w:rFonts w:ascii="宋体" w:hAnsi="宋体" w:cs="宋体" w:eastAsia="宋体" w:hint="default"/>
                <w:sz w:val="18"/>
                <w:szCs w:val="18"/>
              </w:rPr>
            </w:pPr>
            <w:r>
              <w:rPr>
                <w:rFonts w:ascii="宋体" w:hAnsi="宋体" w:cs="宋体" w:eastAsia="宋体" w:hint="default"/>
                <w:sz w:val="18"/>
                <w:szCs w:val="18"/>
              </w:rPr>
              <w:t>广州御 银自动 柜员机 技术有 限公司</w:t>
            </w:r>
          </w:p>
        </w:tc>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56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5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软件及设 备研发、 生产、销 售</w:t>
            </w:r>
          </w:p>
        </w:tc>
        <w:tc>
          <w:tcPr>
            <w:tcW w:w="85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1"/>
              <w:jc w:val="center"/>
              <w:rPr>
                <w:rFonts w:ascii="Times New Roman" w:hAnsi="Times New Roman" w:cs="Times New Roman" w:eastAsia="Times New Roman" w:hint="default"/>
                <w:sz w:val="18"/>
                <w:szCs w:val="18"/>
              </w:rPr>
            </w:pPr>
            <w:r>
              <w:rPr>
                <w:rFonts w:ascii="Times New Roman"/>
                <w:sz w:val="18"/>
              </w:rPr>
              <w:t>50000000</w:t>
            </w:r>
          </w:p>
        </w:tc>
        <w:tc>
          <w:tcPr>
            <w:tcW w:w="113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电子产品、金 融机具设备、 自动柜员机 的研究、开 发、销售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7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 w:right="132"/>
              <w:jc w:val="both"/>
              <w:rPr>
                <w:rFonts w:ascii="宋体" w:hAnsi="宋体" w:cs="宋体" w:eastAsia="宋体" w:hint="default"/>
                <w:sz w:val="18"/>
                <w:szCs w:val="18"/>
              </w:rPr>
            </w:pPr>
            <w:r>
              <w:rPr>
                <w:rFonts w:ascii="宋体" w:hAnsi="宋体" w:cs="宋体" w:eastAsia="宋体" w:hint="default"/>
                <w:sz w:val="18"/>
                <w:szCs w:val="18"/>
              </w:rPr>
              <w:t>广州御 银金融 服务有 限公司</w:t>
            </w:r>
          </w:p>
        </w:tc>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56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5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5"/>
              <w:jc w:val="left"/>
              <w:rPr>
                <w:rFonts w:ascii="宋体" w:hAnsi="宋体" w:cs="宋体" w:eastAsia="宋体" w:hint="default"/>
                <w:sz w:val="18"/>
                <w:szCs w:val="18"/>
              </w:rPr>
            </w:pPr>
            <w:r>
              <w:rPr>
                <w:rFonts w:ascii="宋体" w:hAnsi="宋体" w:cs="宋体" w:eastAsia="宋体" w:hint="default"/>
                <w:sz w:val="18"/>
                <w:szCs w:val="18"/>
              </w:rPr>
              <w:t>设备维 护、资产 清分服务</w:t>
            </w:r>
          </w:p>
        </w:tc>
        <w:tc>
          <w:tcPr>
            <w:tcW w:w="85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1"/>
              <w:jc w:val="center"/>
              <w:rPr>
                <w:rFonts w:ascii="Times New Roman" w:hAnsi="Times New Roman" w:cs="Times New Roman" w:eastAsia="Times New Roman" w:hint="default"/>
                <w:sz w:val="18"/>
                <w:szCs w:val="18"/>
              </w:rPr>
            </w:pPr>
            <w:r>
              <w:rPr>
                <w:rFonts w:ascii="Times New Roman"/>
                <w:sz w:val="18"/>
              </w:rPr>
              <w:t>30000000</w:t>
            </w:r>
          </w:p>
        </w:tc>
        <w:tc>
          <w:tcPr>
            <w:tcW w:w="113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对柜员机进 行维护及管 理，对现金及 有价证券清 分处理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7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5" w:right="20"/>
              <w:jc w:val="left"/>
              <w:rPr>
                <w:rFonts w:ascii="宋体" w:hAnsi="宋体" w:cs="宋体" w:eastAsia="宋体" w:hint="default"/>
                <w:sz w:val="18"/>
                <w:szCs w:val="18"/>
              </w:rPr>
            </w:pPr>
            <w:r>
              <w:rPr>
                <w:rFonts w:ascii="宋体" w:hAnsi="宋体" w:cs="宋体" w:eastAsia="宋体" w:hint="default"/>
                <w:spacing w:val="-17"/>
                <w:sz w:val="18"/>
                <w:szCs w:val="18"/>
              </w:rPr>
              <w:t>御银（中</w:t>
            </w:r>
            <w:r>
              <w:rPr>
                <w:rFonts w:ascii="宋体" w:hAnsi="宋体" w:cs="宋体" w:eastAsia="宋体" w:hint="default"/>
                <w:sz w:val="18"/>
                <w:szCs w:val="18"/>
              </w:rPr>
              <w:t> </w:t>
            </w:r>
            <w:r>
              <w:rPr>
                <w:rFonts w:ascii="宋体" w:hAnsi="宋体" w:cs="宋体" w:eastAsia="宋体" w:hint="default"/>
                <w:spacing w:val="-17"/>
                <w:sz w:val="18"/>
                <w:szCs w:val="18"/>
              </w:rPr>
              <w:t>国）科技</w:t>
            </w:r>
            <w:r>
              <w:rPr>
                <w:rFonts w:ascii="宋体" w:hAnsi="宋体" w:cs="宋体" w:eastAsia="宋体" w:hint="default"/>
                <w:sz w:val="18"/>
                <w:szCs w:val="18"/>
              </w:rPr>
              <w:t> 国际有 限公司</w:t>
            </w:r>
          </w:p>
        </w:tc>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34"/>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56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both"/>
              <w:rPr>
                <w:rFonts w:ascii="宋体" w:hAnsi="宋体" w:cs="宋体" w:eastAsia="宋体" w:hint="default"/>
                <w:sz w:val="18"/>
                <w:szCs w:val="18"/>
              </w:rPr>
            </w:pPr>
            <w:r>
              <w:rPr>
                <w:rFonts w:ascii="宋体" w:hAnsi="宋体" w:cs="宋体" w:eastAsia="宋体" w:hint="default"/>
                <w:sz w:val="18"/>
                <w:szCs w:val="18"/>
              </w:rPr>
              <w:t>维尔 京群 岛</w:t>
            </w:r>
          </w:p>
        </w:tc>
        <w:tc>
          <w:tcPr>
            <w:tcW w:w="85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5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3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1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7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5" w:right="20"/>
              <w:jc w:val="left"/>
              <w:rPr>
                <w:rFonts w:ascii="宋体" w:hAnsi="宋体" w:cs="宋体" w:eastAsia="宋体" w:hint="default"/>
                <w:sz w:val="18"/>
                <w:szCs w:val="18"/>
              </w:rPr>
            </w:pPr>
            <w:r>
              <w:rPr>
                <w:rFonts w:ascii="宋体" w:hAnsi="宋体" w:cs="宋体" w:eastAsia="宋体" w:hint="default"/>
                <w:sz w:val="18"/>
                <w:szCs w:val="18"/>
              </w:rPr>
              <w:t>御银科 技（香 </w:t>
            </w:r>
            <w:r>
              <w:rPr>
                <w:rFonts w:ascii="宋体" w:hAnsi="宋体" w:cs="宋体" w:eastAsia="宋体" w:hint="default"/>
                <w:spacing w:val="-17"/>
                <w:sz w:val="18"/>
                <w:szCs w:val="18"/>
              </w:rPr>
              <w:t>港）有限</w:t>
            </w:r>
            <w:r>
              <w:rPr>
                <w:rFonts w:ascii="宋体" w:hAnsi="宋体" w:cs="宋体" w:eastAsia="宋体" w:hint="default"/>
                <w:sz w:val="18"/>
                <w:szCs w:val="18"/>
              </w:rPr>
              <w:t> 公司</w:t>
            </w:r>
          </w:p>
        </w:tc>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34"/>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56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5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 </w:t>
            </w:r>
            <w:r>
              <w:rPr>
                <w:rFonts w:ascii="宋体" w:hAnsi="宋体" w:cs="宋体" w:eastAsia="宋体" w:hint="default"/>
                <w:sz w:val="18"/>
                <w:szCs w:val="18"/>
              </w:rPr>
              <w:t>港</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3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7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9" w:lineRule="auto" w:before="49"/>
              <w:ind w:left="25" w:right="132"/>
              <w:jc w:val="both"/>
              <w:rPr>
                <w:rFonts w:ascii="宋体" w:hAnsi="宋体" w:cs="宋体" w:eastAsia="宋体" w:hint="default"/>
                <w:sz w:val="18"/>
                <w:szCs w:val="18"/>
              </w:rPr>
            </w:pPr>
            <w:r>
              <w:rPr>
                <w:rFonts w:ascii="宋体" w:hAnsi="宋体" w:cs="宋体" w:eastAsia="宋体" w:hint="default"/>
                <w:sz w:val="18"/>
                <w:szCs w:val="18"/>
              </w:rPr>
              <w:t>广州御 银先端 电子科 技有限 公司</w:t>
            </w:r>
          </w:p>
        </w:tc>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56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5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95"/>
              <w:jc w:val="both"/>
              <w:rPr>
                <w:rFonts w:ascii="宋体" w:hAnsi="宋体" w:cs="宋体" w:eastAsia="宋体" w:hint="default"/>
                <w:sz w:val="18"/>
                <w:szCs w:val="18"/>
              </w:rPr>
            </w:pPr>
            <w:r>
              <w:rPr>
                <w:rFonts w:ascii="宋体" w:hAnsi="宋体" w:cs="宋体" w:eastAsia="宋体" w:hint="default"/>
                <w:sz w:val="18"/>
                <w:szCs w:val="18"/>
              </w:rPr>
              <w:t>软件及设 备研发、 生产、销 售</w:t>
            </w:r>
          </w:p>
        </w:tc>
        <w:tc>
          <w:tcPr>
            <w:tcW w:w="85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1"/>
              <w:jc w:val="center"/>
              <w:rPr>
                <w:rFonts w:ascii="Times New Roman" w:hAnsi="Times New Roman" w:cs="Times New Roman" w:eastAsia="Times New Roman" w:hint="default"/>
                <w:sz w:val="18"/>
                <w:szCs w:val="18"/>
              </w:rPr>
            </w:pPr>
            <w:r>
              <w:rPr>
                <w:rFonts w:ascii="Times New Roman"/>
                <w:sz w:val="18"/>
              </w:rPr>
              <w:t>20000000</w:t>
            </w:r>
          </w:p>
        </w:tc>
        <w:tc>
          <w:tcPr>
            <w:tcW w:w="113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9"/>
              <w:jc w:val="both"/>
              <w:rPr>
                <w:rFonts w:ascii="宋体" w:hAnsi="宋体" w:cs="宋体" w:eastAsia="宋体" w:hint="default"/>
                <w:sz w:val="18"/>
                <w:szCs w:val="18"/>
              </w:rPr>
            </w:pPr>
            <w:r>
              <w:rPr>
                <w:rFonts w:ascii="宋体" w:hAnsi="宋体" w:cs="宋体" w:eastAsia="宋体" w:hint="default"/>
                <w:sz w:val="18"/>
                <w:szCs w:val="18"/>
              </w:rPr>
              <w:t>电子产品、通 信产品、电脑 软件、机电设 备的研发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7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532" w:right="314"/>
        <w:jc w:val="left"/>
        <w:rPr>
          <w:b w:val="0"/>
          <w:bCs w:val="0"/>
        </w:rPr>
      </w:pPr>
      <w:r>
        <w:rPr/>
        <w:t>（</w:t>
      </w:r>
      <w:r>
        <w:rPr>
          <w:rFonts w:ascii="Times New Roman" w:hAnsi="Times New Roman" w:cs="Times New Roman" w:eastAsia="Times New Roman" w:hint="default"/>
        </w:rPr>
        <w:t>2</w:t>
      </w:r>
      <w:r>
        <w:rPr/>
        <w:t>）非同一控制下企业合并取得的子公司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4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711"/>
        <w:gridCol w:w="710"/>
        <w:gridCol w:w="566"/>
        <w:gridCol w:w="850"/>
        <w:gridCol w:w="852"/>
        <w:gridCol w:w="1133"/>
        <w:gridCol w:w="708"/>
        <w:gridCol w:w="710"/>
        <w:gridCol w:w="336"/>
        <w:gridCol w:w="372"/>
        <w:gridCol w:w="425"/>
        <w:gridCol w:w="425"/>
        <w:gridCol w:w="994"/>
        <w:gridCol w:w="1560"/>
      </w:tblGrid>
      <w:tr>
        <w:trPr>
          <w:trHeight w:val="2269" w:hRule="exact"/>
        </w:trPr>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72" w:right="77"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70" w:right="79" w:hanging="92"/>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89" w:right="96" w:hanging="92"/>
              <w:jc w:val="left"/>
              <w:rPr>
                <w:rFonts w:ascii="宋体" w:hAnsi="宋体" w:cs="宋体" w:eastAsia="宋体" w:hint="default"/>
                <w:sz w:val="18"/>
                <w:szCs w:val="18"/>
              </w:rPr>
            </w:pPr>
            <w:r>
              <w:rPr>
                <w:rFonts w:ascii="宋体" w:hAnsi="宋体" w:cs="宋体" w:eastAsia="宋体" w:hint="default"/>
                <w:sz w:val="18"/>
                <w:szCs w:val="18"/>
              </w:rPr>
              <w:t>注册 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79" w:right="77"/>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9" w:right="79"/>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28" w:right="2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持 股 比 例 </w:t>
            </w:r>
            <w:r>
              <w:rPr>
                <w:rFonts w:ascii="Times New Roman" w:hAnsi="Times New Roman" w:cs="Times New Roman" w:eastAsia="Times New Roman" w:hint="default"/>
                <w:sz w:val="18"/>
                <w:szCs w:val="18"/>
              </w:rPr>
              <w:t>(%)</w:t>
            </w:r>
          </w:p>
        </w:tc>
        <w:tc>
          <w:tcPr>
            <w:tcW w:w="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48" w:right="43"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表 决 权 比 例 </w:t>
            </w:r>
            <w:r>
              <w:rPr>
                <w:rFonts w:ascii="Times New Roman" w:hAnsi="Times New Roman" w:cs="Times New Roman" w:eastAsia="Times New Roman" w:hint="default"/>
                <w:sz w:val="18"/>
                <w:szCs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8" w:right="24"/>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8" w:right="26"/>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0" w:right="41"/>
              <w:jc w:val="both"/>
              <w:rPr>
                <w:rFonts w:ascii="宋体" w:hAnsi="宋体" w:cs="宋体" w:eastAsia="宋体" w:hint="default"/>
                <w:sz w:val="18"/>
                <w:szCs w:val="18"/>
              </w:rPr>
            </w:pPr>
            <w:r>
              <w:rPr>
                <w:rFonts w:ascii="宋体" w:hAnsi="宋体" w:cs="宋体" w:eastAsia="宋体" w:hint="default"/>
                <w:sz w:val="18"/>
                <w:szCs w:val="18"/>
              </w:rPr>
              <w:t>少数股东权 益中用于冲 减少数股东 损益的金额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从母公司所有者权 益冲减子公司少数 股东分担的本期亏 损超过少数股东在 该子公司年初所有 者权益中所享有份 额后的余额</w:t>
            </w:r>
          </w:p>
        </w:tc>
      </w:tr>
      <w:tr>
        <w:trPr>
          <w:trHeight w:val="1354" w:hRule="exact"/>
        </w:trPr>
        <w:tc>
          <w:tcPr>
            <w:tcW w:w="71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3"/>
              <w:ind w:left="26" w:right="132"/>
              <w:jc w:val="both"/>
              <w:rPr>
                <w:rFonts w:ascii="宋体" w:hAnsi="宋体" w:cs="宋体" w:eastAsia="宋体" w:hint="default"/>
                <w:sz w:val="18"/>
                <w:szCs w:val="18"/>
              </w:rPr>
            </w:pPr>
            <w:r>
              <w:rPr>
                <w:rFonts w:ascii="宋体" w:hAnsi="宋体" w:cs="宋体" w:eastAsia="宋体" w:hint="default"/>
                <w:sz w:val="18"/>
                <w:szCs w:val="18"/>
              </w:rPr>
              <w:t>安徽御 银电子 科技有 限公司</w:t>
            </w:r>
          </w:p>
        </w:tc>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134"/>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56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85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95"/>
              <w:jc w:val="left"/>
              <w:rPr>
                <w:rFonts w:ascii="宋体" w:hAnsi="宋体" w:cs="宋体" w:eastAsia="宋体" w:hint="default"/>
                <w:sz w:val="18"/>
                <w:szCs w:val="18"/>
              </w:rPr>
            </w:pPr>
            <w:r>
              <w:rPr>
                <w:rFonts w:ascii="宋体" w:hAnsi="宋体" w:cs="宋体" w:eastAsia="宋体" w:hint="default"/>
                <w:sz w:val="18"/>
                <w:szCs w:val="18"/>
              </w:rPr>
              <w:t>设备销 售、租赁</w:t>
            </w:r>
          </w:p>
        </w:tc>
        <w:tc>
          <w:tcPr>
            <w:tcW w:w="85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5000000</w:t>
            </w:r>
          </w:p>
        </w:tc>
        <w:tc>
          <w:tcPr>
            <w:tcW w:w="113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3"/>
              <w:ind w:left="24" w:right="19"/>
              <w:jc w:val="left"/>
              <w:rPr>
                <w:rFonts w:ascii="宋体" w:hAnsi="宋体" w:cs="宋体" w:eastAsia="宋体" w:hint="default"/>
                <w:sz w:val="18"/>
                <w:szCs w:val="18"/>
              </w:rPr>
            </w:pPr>
            <w:r>
              <w:rPr>
                <w:rFonts w:ascii="宋体" w:hAnsi="宋体" w:cs="宋体" w:eastAsia="宋体" w:hint="default"/>
                <w:sz w:val="18"/>
                <w:szCs w:val="18"/>
              </w:rPr>
              <w:t>自动柜员机 及点钞机设 备的研发、销 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7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03" w:hRule="exact"/>
        </w:trPr>
        <w:tc>
          <w:tcPr>
            <w:tcW w:w="71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8"/>
              <w:ind w:left="26" w:right="132"/>
              <w:jc w:val="left"/>
              <w:rPr>
                <w:rFonts w:ascii="宋体" w:hAnsi="宋体" w:cs="宋体" w:eastAsia="宋体" w:hint="default"/>
                <w:sz w:val="18"/>
                <w:szCs w:val="18"/>
              </w:rPr>
            </w:pPr>
            <w:r>
              <w:rPr>
                <w:rFonts w:ascii="宋体" w:hAnsi="宋体" w:cs="宋体" w:eastAsia="宋体" w:hint="default"/>
                <w:sz w:val="18"/>
                <w:szCs w:val="18"/>
              </w:rPr>
              <w:t>北京青 年御银</w:t>
            </w:r>
          </w:p>
        </w:tc>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4" w:lineRule="auto" w:before="39"/>
              <w:ind w:left="23" w:right="134"/>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56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8"/>
              <w:ind w:left="23" w:right="275"/>
              <w:jc w:val="left"/>
              <w:rPr>
                <w:rFonts w:ascii="宋体" w:hAnsi="宋体" w:cs="宋体" w:eastAsia="宋体" w:hint="default"/>
                <w:sz w:val="18"/>
                <w:szCs w:val="18"/>
              </w:rPr>
            </w:pPr>
            <w:r>
              <w:rPr>
                <w:rFonts w:ascii="宋体" w:hAnsi="宋体" w:cs="宋体" w:eastAsia="宋体" w:hint="default"/>
                <w:sz w:val="18"/>
                <w:szCs w:val="18"/>
              </w:rPr>
              <w:t>技术开 发、</w:t>
            </w:r>
          </w:p>
        </w:tc>
        <w:tc>
          <w:tcPr>
            <w:tcW w:w="85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w:t>
            </w:r>
          </w:p>
        </w:tc>
        <w:tc>
          <w:tcPr>
            <w:tcW w:w="113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8"/>
              <w:ind w:left="24" w:right="19"/>
              <w:jc w:val="left"/>
              <w:rPr>
                <w:rFonts w:ascii="宋体" w:hAnsi="宋体" w:cs="宋体" w:eastAsia="宋体" w:hint="default"/>
                <w:sz w:val="18"/>
                <w:szCs w:val="18"/>
              </w:rPr>
            </w:pPr>
            <w:r>
              <w:rPr>
                <w:rFonts w:ascii="宋体" w:hAnsi="宋体" w:cs="宋体" w:eastAsia="宋体" w:hint="default"/>
                <w:sz w:val="18"/>
                <w:szCs w:val="18"/>
              </w:rPr>
              <w:t>技术开发、技 术转让、技术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5"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2"/>
              <w:ind w:left="362" w:right="0"/>
              <w:jc w:val="lef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4"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2"/>
              <w:ind w:left="13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0"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2"/>
              <w:ind w:left="17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600" w:right="720"/>
        </w:sectPr>
      </w:pPr>
    </w:p>
    <w:p>
      <w:pPr>
        <w:spacing w:line="240" w:lineRule="auto" w:before="6"/>
        <w:rPr>
          <w:rFonts w:ascii="宋体" w:hAnsi="宋体" w:cs="宋体" w:eastAsia="宋体"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713"/>
        <w:gridCol w:w="710"/>
        <w:gridCol w:w="566"/>
        <w:gridCol w:w="850"/>
        <w:gridCol w:w="852"/>
        <w:gridCol w:w="1133"/>
        <w:gridCol w:w="708"/>
        <w:gridCol w:w="710"/>
        <w:gridCol w:w="336"/>
        <w:gridCol w:w="372"/>
        <w:gridCol w:w="425"/>
        <w:gridCol w:w="425"/>
        <w:gridCol w:w="994"/>
        <w:gridCol w:w="1560"/>
      </w:tblGrid>
      <w:tr>
        <w:trPr>
          <w:trHeight w:val="987" w:hRule="exact"/>
        </w:trPr>
        <w:tc>
          <w:tcPr>
            <w:tcW w:w="71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9" w:lineRule="auto" w:before="8"/>
              <w:ind w:left="25" w:right="135"/>
              <w:jc w:val="both"/>
              <w:rPr>
                <w:rFonts w:ascii="宋体" w:hAnsi="宋体" w:cs="宋体" w:eastAsia="宋体" w:hint="default"/>
                <w:sz w:val="18"/>
                <w:szCs w:val="18"/>
              </w:rPr>
            </w:pPr>
            <w:r>
              <w:rPr>
                <w:rFonts w:ascii="宋体" w:hAnsi="宋体" w:cs="宋体" w:eastAsia="宋体" w:hint="default"/>
                <w:sz w:val="18"/>
                <w:szCs w:val="18"/>
              </w:rPr>
              <w:t>科技有 限责任 公司</w:t>
            </w:r>
          </w:p>
        </w:tc>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566"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52"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9"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咨询、技术服 务</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552" w:right="6072"/>
        <w:jc w:val="left"/>
        <w:rPr>
          <w:b w:val="0"/>
          <w:bCs w:val="0"/>
        </w:rPr>
      </w:pPr>
      <w:r>
        <w:rPr>
          <w:rFonts w:ascii="Times New Roman" w:hAnsi="Times New Roman" w:cs="Times New Roman" w:eastAsia="Times New Roman" w:hint="default"/>
        </w:rPr>
        <w:t>2</w:t>
      </w:r>
      <w:r>
        <w:rPr/>
        <w:t>、合并范围发生变更的说明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52" w:right="6072"/>
        <w:jc w:val="left"/>
      </w:pPr>
      <w:r>
        <w:rPr/>
        <w:t>合并报表范围发生变更说明</w:t>
      </w:r>
    </w:p>
    <w:p>
      <w:pPr>
        <w:pStyle w:val="BodyText"/>
        <w:spacing w:line="340" w:lineRule="auto" w:before="115"/>
        <w:ind w:left="552" w:right="60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与上年相比本年（期）新增合并单位</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家，原因为</w:t>
      </w:r>
    </w:p>
    <w:p>
      <w:pPr>
        <w:pStyle w:val="BodyText"/>
        <w:spacing w:line="300" w:lineRule="auto" w:before="20"/>
        <w:ind w:left="552" w:right="0" w:firstLine="360"/>
        <w:jc w:val="left"/>
      </w:pPr>
      <w:r>
        <w:rPr>
          <w:spacing w:val="-1"/>
        </w:rPr>
        <w:t>与上年相比本年新增合并单位</w:t>
      </w:r>
      <w:r>
        <w:rPr>
          <w:rFonts w:ascii="Times New Roman" w:hAnsi="Times New Roman" w:cs="Times New Roman" w:eastAsia="Times New Roman" w:hint="default"/>
          <w:spacing w:val="-1"/>
        </w:rPr>
        <w:t>1</w:t>
      </w:r>
      <w:r>
        <w:rPr>
          <w:spacing w:val="-1"/>
        </w:rPr>
        <w:t>家，原因为：公司对北京青年御银科技有限责任公司从</w:t>
      </w:r>
      <w:r>
        <w:rPr>
          <w:rFonts w:ascii="Times New Roman" w:hAnsi="Times New Roman" w:cs="Times New Roman" w:eastAsia="Times New Roman" w:hint="default"/>
          <w:spacing w:val="-1"/>
        </w:rPr>
        <w:t>20%</w:t>
      </w:r>
      <w:r>
        <w:rPr>
          <w:spacing w:val="-1"/>
        </w:rPr>
        <w:t>的股权变更为</w:t>
      </w:r>
      <w:r>
        <w:rPr>
          <w:rFonts w:ascii="Times New Roman" w:hAnsi="Times New Roman" w:cs="Times New Roman" w:eastAsia="Times New Roman" w:hint="default"/>
          <w:spacing w:val="-1"/>
        </w:rPr>
        <w:t>100%</w:t>
      </w:r>
      <w:r>
        <w:rPr>
          <w:spacing w:val="-1"/>
        </w:rPr>
        <w:t>，由权益</w:t>
      </w:r>
      <w:r>
        <w:rPr/>
        <w:t> 法改为成本法，从变更之日起纳入合并范围。</w:t>
      </w:r>
    </w:p>
    <w:p>
      <w:pPr>
        <w:spacing w:line="240" w:lineRule="auto" w:before="10"/>
        <w:rPr>
          <w:rFonts w:ascii="宋体" w:hAnsi="宋体" w:cs="宋体" w:eastAsia="宋体" w:hint="default"/>
          <w:sz w:val="23"/>
          <w:szCs w:val="23"/>
        </w:rPr>
      </w:pPr>
    </w:p>
    <w:p>
      <w:pPr>
        <w:pStyle w:val="Heading3"/>
        <w:spacing w:line="240" w:lineRule="auto"/>
        <w:ind w:left="552" w:right="0"/>
        <w:jc w:val="left"/>
        <w:rPr>
          <w:b w:val="0"/>
          <w:bCs w:val="0"/>
        </w:rPr>
      </w:pPr>
      <w:r>
        <w:rPr>
          <w:rFonts w:ascii="Times New Roman" w:hAnsi="Times New Roman" w:cs="Times New Roman" w:eastAsia="Times New Roman" w:hint="default"/>
        </w:rPr>
        <w:t>3</w:t>
      </w:r>
      <w:r>
        <w:rPr/>
        <w:t>、报告期内新纳入合并范围的主体和报告期内不再纳入合并范围的主体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552" w:right="0"/>
        <w:jc w:val="left"/>
      </w:pPr>
      <w:r>
        <w:rPr/>
        <w:t>本期新纳入合并范围的子公司、特殊目的主体、通过受托经营或承租等方式形成控制权的经营实体</w:t>
      </w:r>
    </w:p>
    <w:p>
      <w:pPr>
        <w:pStyle w:val="BodyText"/>
        <w:spacing w:line="240" w:lineRule="auto" w:before="117"/>
        <w:ind w:left="0" w:right="41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547" w:type="dxa"/>
        <w:tblLayout w:type="fixed"/>
        <w:tblCellMar>
          <w:top w:w="0" w:type="dxa"/>
          <w:left w:w="0" w:type="dxa"/>
          <w:bottom w:w="0" w:type="dxa"/>
          <w:right w:w="0" w:type="dxa"/>
        </w:tblCellMar>
        <w:tblLook w:val="01E0"/>
      </w:tblPr>
      <w:tblGrid>
        <w:gridCol w:w="4074"/>
        <w:gridCol w:w="2852"/>
        <w:gridCol w:w="2646"/>
      </w:tblGrid>
      <w:tr>
        <w:trPr>
          <w:trHeight w:val="397"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8" w:hRule="exact"/>
        </w:trPr>
        <w:tc>
          <w:tcPr>
            <w:tcW w:w="407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北京青年御银科技有限责任公司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72" w:right="0"/>
              <w:jc w:val="left"/>
              <w:rPr>
                <w:rFonts w:ascii="Times New Roman" w:hAnsi="Times New Roman" w:cs="Times New Roman" w:eastAsia="Times New Roman" w:hint="default"/>
                <w:sz w:val="18"/>
                <w:szCs w:val="18"/>
              </w:rPr>
            </w:pPr>
            <w:r>
              <w:rPr>
                <w:rFonts w:ascii="Times New Roman"/>
                <w:sz w:val="18"/>
              </w:rPr>
              <w:t>1,631,148.27</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-84,051.02</w:t>
            </w:r>
          </w:p>
        </w:tc>
      </w:tr>
    </w:tbl>
    <w:p>
      <w:pPr>
        <w:pStyle w:val="BodyText"/>
        <w:spacing w:line="240" w:lineRule="auto" w:before="8"/>
        <w:ind w:left="913" w:right="0"/>
        <w:jc w:val="left"/>
      </w:pPr>
      <w:r>
        <w:rPr/>
        <w:t>本期不存在不再纳入合并范围的子公司、特殊目的主体、通过受托经营或承租等方式形成控制权的经营实体。</w:t>
      </w:r>
    </w:p>
    <w:p>
      <w:pPr>
        <w:spacing w:line="240" w:lineRule="auto" w:before="0"/>
        <w:rPr>
          <w:rFonts w:ascii="宋体" w:hAnsi="宋体" w:cs="宋体" w:eastAsia="宋体" w:hint="default"/>
          <w:sz w:val="18"/>
          <w:szCs w:val="18"/>
        </w:rPr>
      </w:pPr>
    </w:p>
    <w:p>
      <w:pPr>
        <w:pStyle w:val="Heading3"/>
        <w:spacing w:line="240" w:lineRule="auto" w:before="120"/>
        <w:ind w:left="552" w:right="6072"/>
        <w:jc w:val="left"/>
        <w:rPr>
          <w:b w:val="0"/>
          <w:bCs w:val="0"/>
        </w:rPr>
      </w:pPr>
      <w:r>
        <w:rPr>
          <w:rFonts w:ascii="Times New Roman" w:hAnsi="Times New Roman" w:cs="Times New Roman" w:eastAsia="Times New Roman" w:hint="default"/>
        </w:rPr>
        <w:t>4</w:t>
      </w:r>
      <w:r>
        <w:rPr/>
        <w:t>、报告期内发生的非同一控制下企业合并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4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549" w:type="dxa"/>
        <w:tblLayout w:type="fixed"/>
        <w:tblCellMar>
          <w:top w:w="0" w:type="dxa"/>
          <w:left w:w="0" w:type="dxa"/>
          <w:bottom w:w="0" w:type="dxa"/>
          <w:right w:w="0" w:type="dxa"/>
        </w:tblCellMar>
        <w:tblLook w:val="01E0"/>
      </w:tblPr>
      <w:tblGrid>
        <w:gridCol w:w="2976"/>
        <w:gridCol w:w="1147"/>
        <w:gridCol w:w="5447"/>
      </w:tblGrid>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商誉金额</w:t>
            </w:r>
          </w:p>
        </w:tc>
        <w:tc>
          <w:tcPr>
            <w:tcW w:w="5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1339"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sz w:val="18"/>
                <w:szCs w:val="18"/>
              </w:rPr>
              <w:t>北京青年御银科技股份有限责任公司</w:t>
            </w:r>
          </w:p>
        </w:tc>
        <w:tc>
          <w:tcPr>
            <w:tcW w:w="1147" w:type="dxa"/>
            <w:tcBorders>
              <w:top w:val="single" w:sz="4" w:space="0" w:color="000000"/>
              <w:left w:val="single" w:sz="4" w:space="0" w:color="000000"/>
              <w:bottom w:val="single" w:sz="4" w:space="0" w:color="000000"/>
              <w:right w:val="single" w:sz="13" w:space="0" w:color="CCE8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284,800.71</w:t>
            </w:r>
          </w:p>
        </w:tc>
        <w:tc>
          <w:tcPr>
            <w:tcW w:w="544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00" w:lineRule="auto" w:before="49"/>
              <w:ind w:left="11" w:right="65"/>
              <w:jc w:val="both"/>
              <w:rPr>
                <w:rFonts w:ascii="宋体" w:hAnsi="宋体" w:cs="宋体" w:eastAsia="宋体" w:hint="default"/>
                <w:sz w:val="18"/>
                <w:szCs w:val="18"/>
              </w:rPr>
            </w:pPr>
            <w:r>
              <w:rPr>
                <w:rFonts w:ascii="宋体" w:hAnsi="宋体" w:cs="宋体" w:eastAsia="宋体" w:hint="default"/>
                <w:sz w:val="18"/>
                <w:szCs w:val="18"/>
              </w:rPr>
              <w:t>本公司的合并成本为人民币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2,000,000.00 </w:t>
            </w:r>
            <w:r>
              <w:rPr>
                <w:rFonts w:ascii="宋体" w:hAnsi="宋体" w:cs="宋体" w:eastAsia="宋体" w:hint="default"/>
                <w:sz w:val="18"/>
                <w:szCs w:val="18"/>
              </w:rPr>
              <w:t>元，在合并中取得北京青年 御银科技有限责任公司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权益。北京青年御银科技有限责任公司 可辨认净资产在购买日的公允价值为人民币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1,715,199.29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元，两者的</w:t>
            </w:r>
          </w:p>
          <w:p>
            <w:pPr>
              <w:pStyle w:val="TableParagraph"/>
              <w:spacing w:line="240" w:lineRule="auto" w:before="13"/>
              <w:ind w:left="11" w:right="0"/>
              <w:jc w:val="both"/>
              <w:rPr>
                <w:rFonts w:ascii="宋体" w:hAnsi="宋体" w:cs="宋体" w:eastAsia="宋体" w:hint="default"/>
                <w:sz w:val="18"/>
                <w:szCs w:val="18"/>
              </w:rPr>
            </w:pPr>
            <w:r>
              <w:rPr>
                <w:rFonts w:ascii="宋体" w:hAnsi="宋体" w:cs="宋体" w:eastAsia="宋体" w:hint="default"/>
                <w:sz w:val="18"/>
                <w:szCs w:val="18"/>
              </w:rPr>
              <w:t>差额人民币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284,800.71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元确认为商誉。</w:t>
            </w:r>
          </w:p>
        </w:tc>
      </w:tr>
    </w:tbl>
    <w:p>
      <w:pPr>
        <w:pStyle w:val="BodyText"/>
        <w:spacing w:line="240" w:lineRule="auto" w:before="49"/>
        <w:ind w:left="552" w:right="6072"/>
        <w:jc w:val="left"/>
      </w:pPr>
      <w:r>
        <w:rPr/>
        <w:t>非同一控制下企业合并的其他说明</w:t>
      </w:r>
    </w:p>
    <w:p>
      <w:pPr>
        <w:pStyle w:val="BodyText"/>
        <w:spacing w:line="300" w:lineRule="auto" w:before="115"/>
        <w:ind w:left="552" w:right="410" w:firstLine="360"/>
        <w:jc w:val="both"/>
      </w:pPr>
      <w:r>
        <w:rPr/>
        <w:t>北京青年御银科技股份有限责任公司由北京青年旅行社股份有限公司、广州御银科技股份有限公司共同组建，于</w:t>
      </w:r>
      <w:r>
        <w:rPr>
          <w:rFonts w:ascii="Times New Roman" w:hAnsi="Times New Roman" w:cs="Times New Roman" w:eastAsia="Times New Roman" w:hint="default"/>
        </w:rPr>
        <w:t>2010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日取得北京市工商行政管理局核发的企业法人营业执照，注册号</w:t>
      </w:r>
      <w:r>
        <w:rPr>
          <w:rFonts w:ascii="Times New Roman" w:hAnsi="Times New Roman" w:cs="Times New Roman" w:eastAsia="Times New Roman" w:hint="default"/>
        </w:rPr>
        <w:t>110302013188707</w:t>
      </w:r>
      <w:r>
        <w:rPr/>
        <w:t>，原注册资本为人民币</w:t>
      </w:r>
      <w:r>
        <w:rPr>
          <w:rFonts w:ascii="Times New Roman" w:hAnsi="Times New Roman" w:cs="Times New Roman" w:eastAsia="Times New Roman" w:hint="default"/>
        </w:rPr>
        <w:t>1000</w:t>
      </w:r>
      <w:r>
        <w:rPr/>
        <w:t>万元， 实收资本</w:t>
      </w:r>
      <w:r>
        <w:rPr>
          <w:rFonts w:ascii="Times New Roman" w:hAnsi="Times New Roman" w:cs="Times New Roman" w:eastAsia="Times New Roman" w:hint="default"/>
        </w:rPr>
        <w:t>200</w:t>
      </w:r>
      <w:r>
        <w:rPr/>
        <w:t>万元（广州御银科技股份有限公司以货币投入）。根据北京青年御银科技股份有限责任公司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日召开</w:t>
      </w:r>
      <w:r>
        <w:rPr>
          <w:spacing w:val="-85"/>
        </w:rPr>
        <w:t> </w:t>
      </w:r>
      <w:r>
        <w:rPr>
          <w:spacing w:val="-85"/>
        </w:rPr>
      </w:r>
      <w:r>
        <w:rPr/>
        <w:t>的第一届第一次股东会决议和修改后公司章程的规定，公司申请减少注册资本人民币</w:t>
      </w:r>
      <w:r>
        <w:rPr>
          <w:rFonts w:ascii="Times New Roman" w:hAnsi="Times New Roman" w:cs="Times New Roman" w:eastAsia="Times New Roman" w:hint="default"/>
        </w:rPr>
        <w:t>800</w:t>
      </w:r>
      <w:r>
        <w:rPr/>
        <w:t>万元，变更后的注册资本为人民币</w:t>
      </w:r>
      <w:r>
        <w:rPr>
          <w:spacing w:val="-84"/>
        </w:rPr>
        <w:t> </w:t>
      </w:r>
      <w:r>
        <w:rPr>
          <w:spacing w:val="-84"/>
        </w:rPr>
      </w:r>
      <w:r>
        <w:rPr>
          <w:rFonts w:ascii="Times New Roman" w:hAnsi="Times New Roman" w:cs="Times New Roman" w:eastAsia="Times New Roman" w:hint="default"/>
          <w:spacing w:val="-2"/>
        </w:rPr>
        <w:t>200</w:t>
      </w:r>
      <w:r>
        <w:rPr>
          <w:spacing w:val="-2"/>
        </w:rPr>
        <w:t>万元，实收资本</w:t>
      </w:r>
      <w:r>
        <w:rPr>
          <w:rFonts w:ascii="Times New Roman" w:hAnsi="Times New Roman" w:cs="Times New Roman" w:eastAsia="Times New Roman" w:hint="default"/>
          <w:spacing w:val="-2"/>
        </w:rPr>
        <w:t>200</w:t>
      </w:r>
      <w:r>
        <w:rPr>
          <w:spacing w:val="-2"/>
        </w:rPr>
        <w:t>万元，全部由广州御银科技股份有限公司出资。变更注册资本后，广州御银科技股份有限公司对北京</w:t>
      </w:r>
      <w:r>
        <w:rPr>
          <w:spacing w:val="-62"/>
        </w:rPr>
        <w:t> </w:t>
      </w:r>
      <w:r>
        <w:rPr>
          <w:spacing w:val="-62"/>
        </w:rPr>
      </w:r>
      <w:r>
        <w:rPr/>
        <w:t>青年御银科技有限责任公司从</w:t>
      </w:r>
      <w:r>
        <w:rPr>
          <w:rFonts w:ascii="Times New Roman" w:hAnsi="Times New Roman" w:cs="Times New Roman" w:eastAsia="Times New Roman" w:hint="default"/>
        </w:rPr>
        <w:t>20%</w:t>
      </w:r>
      <w:r>
        <w:rPr/>
        <w:t>的股权变更为</w:t>
      </w:r>
      <w:r>
        <w:rPr>
          <w:rFonts w:ascii="Times New Roman" w:hAnsi="Times New Roman" w:cs="Times New Roman" w:eastAsia="Times New Roman" w:hint="default"/>
        </w:rPr>
        <w:t>100%</w:t>
      </w:r>
      <w:r>
        <w:rPr/>
        <w:t>，从变更之日起纳入合并范围。</w:t>
      </w:r>
    </w:p>
    <w:p>
      <w:pPr>
        <w:pStyle w:val="BodyText"/>
        <w:spacing w:line="300" w:lineRule="auto" w:before="13"/>
        <w:ind w:left="552" w:right="409" w:firstLine="360"/>
        <w:jc w:val="both"/>
      </w:pPr>
      <w:r>
        <w:rPr>
          <w:spacing w:val="3"/>
        </w:rPr>
        <w:t>北京青年御银科技股份有限责任公司注册资本变更登记日为</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28</w:t>
      </w:r>
      <w:r>
        <w:rPr>
          <w:spacing w:val="3"/>
        </w:rPr>
        <w:t>日，合并报表购买日的确定为最近的报表日</w:t>
      </w:r>
      <w:r>
        <w:rPr/>
        <w:t> </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日，以已支付给北京青年御银科技股份有限责任公司的出资额</w:t>
      </w:r>
      <w:r>
        <w:rPr>
          <w:rFonts w:ascii="Times New Roman" w:hAnsi="Times New Roman" w:cs="Times New Roman" w:eastAsia="Times New Roman" w:hint="default"/>
          <w:spacing w:val="-2"/>
        </w:rPr>
        <w:t>200</w:t>
      </w:r>
      <w:r>
        <w:rPr>
          <w:spacing w:val="-2"/>
        </w:rPr>
        <w:t>万元作为合并成本，北京青年御银科技股份有</w:t>
      </w:r>
      <w:r>
        <w:rPr>
          <w:spacing w:val="-59"/>
        </w:rPr>
        <w:t> </w:t>
      </w:r>
      <w:r>
        <w:rPr>
          <w:spacing w:val="-59"/>
        </w:rPr>
      </w:r>
      <w:r>
        <w:rPr/>
        <w:t>限责任公司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日的账面净值</w:t>
      </w:r>
      <w:r>
        <w:rPr>
          <w:rFonts w:ascii="Times New Roman" w:hAnsi="Times New Roman" w:cs="Times New Roman" w:eastAsia="Times New Roman" w:hint="default"/>
        </w:rPr>
        <w:t>1,715,199.29</w:t>
      </w:r>
      <w:r>
        <w:rPr/>
        <w:t>元确定为在购买日的可辨认净资产公允价值。</w:t>
      </w:r>
    </w:p>
    <w:p>
      <w:pPr>
        <w:pStyle w:val="BodyText"/>
        <w:spacing w:line="240" w:lineRule="auto" w:before="13"/>
        <w:ind w:left="913" w:right="6072"/>
        <w:jc w:val="left"/>
      </w:pPr>
      <w:r>
        <w:rPr/>
        <w:t>被购买方可辨认资产和负债的情况如下：</w:t>
      </w:r>
    </w:p>
    <w:p>
      <w:pPr>
        <w:spacing w:line="240" w:lineRule="auto" w:before="3"/>
        <w:rPr>
          <w:rFonts w:ascii="宋体" w:hAnsi="宋体" w:cs="宋体" w:eastAsia="宋体" w:hint="default"/>
          <w:sz w:val="5"/>
          <w:szCs w:val="5"/>
        </w:rPr>
      </w:pPr>
    </w:p>
    <w:tbl>
      <w:tblPr>
        <w:tblW w:w="0" w:type="auto"/>
        <w:jc w:val="left"/>
        <w:tblInd w:w="973" w:type="dxa"/>
        <w:tblLayout w:type="fixed"/>
        <w:tblCellMar>
          <w:top w:w="0" w:type="dxa"/>
          <w:left w:w="0" w:type="dxa"/>
          <w:bottom w:w="0" w:type="dxa"/>
          <w:right w:w="0" w:type="dxa"/>
        </w:tblCellMar>
        <w:tblLook w:val="01E0"/>
      </w:tblPr>
      <w:tblGrid>
        <w:gridCol w:w="1718"/>
        <w:gridCol w:w="1767"/>
        <w:gridCol w:w="1769"/>
        <w:gridCol w:w="1767"/>
        <w:gridCol w:w="1766"/>
      </w:tblGrid>
      <w:tr>
        <w:trPr>
          <w:trHeight w:val="355" w:hRule="exact"/>
        </w:trPr>
        <w:tc>
          <w:tcPr>
            <w:tcW w:w="1718"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36"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3533" w:type="dxa"/>
            <w:gridSpan w:val="2"/>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1039" w:right="0"/>
              <w:jc w:val="left"/>
              <w:rPr>
                <w:rFonts w:ascii="宋体" w:hAnsi="宋体" w:cs="宋体" w:eastAsia="宋体" w:hint="default"/>
                <w:sz w:val="18"/>
                <w:szCs w:val="18"/>
              </w:rPr>
            </w:pPr>
            <w:r>
              <w:rPr>
                <w:rFonts w:ascii="宋体" w:hAnsi="宋体" w:cs="宋体" w:eastAsia="宋体" w:hint="default"/>
                <w:sz w:val="18"/>
                <w:szCs w:val="18"/>
              </w:rPr>
              <w:t>上一资产负债表日</w:t>
            </w:r>
          </w:p>
        </w:tc>
      </w:tr>
      <w:tr>
        <w:trPr>
          <w:trHeight w:val="353" w:hRule="exact"/>
        </w:trPr>
        <w:tc>
          <w:tcPr>
            <w:tcW w:w="1718" w:type="dxa"/>
            <w:vMerge/>
            <w:tcBorders>
              <w:left w:val="single" w:sz="6" w:space="0" w:color="000000"/>
              <w:bottom w:val="single" w:sz="12" w:space="0" w:color="000000"/>
              <w:right w:val="single" w:sz="6" w:space="0" w:color="000000"/>
            </w:tcBorders>
          </w:tcPr>
          <w:p>
            <w:pPr/>
          </w:p>
        </w:tc>
        <w:tc>
          <w:tcPr>
            <w:tcW w:w="17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7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公允价值</w:t>
            </w:r>
          </w:p>
        </w:tc>
        <w:tc>
          <w:tcPr>
            <w:tcW w:w="17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76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公允价值</w:t>
            </w:r>
          </w:p>
        </w:tc>
      </w:tr>
      <w:tr>
        <w:trPr>
          <w:trHeight w:val="353" w:hRule="exact"/>
        </w:trPr>
        <w:tc>
          <w:tcPr>
            <w:tcW w:w="17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9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9,082,626.03</w:t>
            </w:r>
          </w:p>
        </w:tc>
        <w:tc>
          <w:tcPr>
            <w:tcW w:w="17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9,082,626.03</w:t>
            </w:r>
          </w:p>
        </w:tc>
        <w:tc>
          <w:tcPr>
            <w:tcW w:w="17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9,082,626.03</w:t>
            </w:r>
          </w:p>
        </w:tc>
        <w:tc>
          <w:tcPr>
            <w:tcW w:w="176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9,082,626.03</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580" w:right="720"/>
        </w:sectPr>
      </w:pPr>
    </w:p>
    <w:p>
      <w:pPr>
        <w:spacing w:line="240" w:lineRule="auto" w:before="6"/>
        <w:rPr>
          <w:rFonts w:ascii="宋体" w:hAnsi="宋体" w:cs="宋体" w:eastAsia="宋体" w:hint="default"/>
          <w:sz w:val="28"/>
          <w:szCs w:val="28"/>
        </w:rPr>
      </w:pPr>
    </w:p>
    <w:tbl>
      <w:tblPr>
        <w:tblW w:w="0" w:type="auto"/>
        <w:jc w:val="left"/>
        <w:tblInd w:w="573" w:type="dxa"/>
        <w:tblLayout w:type="fixed"/>
        <w:tblCellMar>
          <w:top w:w="0" w:type="dxa"/>
          <w:left w:w="0" w:type="dxa"/>
          <w:bottom w:w="0" w:type="dxa"/>
          <w:right w:w="0" w:type="dxa"/>
        </w:tblCellMar>
        <w:tblLook w:val="01E0"/>
      </w:tblPr>
      <w:tblGrid>
        <w:gridCol w:w="1718"/>
        <w:gridCol w:w="1767"/>
        <w:gridCol w:w="1769"/>
        <w:gridCol w:w="1767"/>
        <w:gridCol w:w="1766"/>
      </w:tblGrid>
      <w:tr>
        <w:trPr>
          <w:trHeight w:val="355" w:hRule="exact"/>
        </w:trPr>
        <w:tc>
          <w:tcPr>
            <w:tcW w:w="17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7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17,573.26</w:t>
            </w:r>
          </w:p>
        </w:tc>
        <w:tc>
          <w:tcPr>
            <w:tcW w:w="17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17,573.26</w:t>
            </w:r>
          </w:p>
        </w:tc>
        <w:tc>
          <w:tcPr>
            <w:tcW w:w="17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17,573.26</w:t>
            </w:r>
          </w:p>
        </w:tc>
        <w:tc>
          <w:tcPr>
            <w:tcW w:w="1766"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17,573.26</w:t>
            </w:r>
          </w:p>
        </w:tc>
      </w:tr>
      <w:tr>
        <w:trPr>
          <w:trHeight w:val="351" w:hRule="exact"/>
        </w:trPr>
        <w:tc>
          <w:tcPr>
            <w:tcW w:w="1718"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7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7,385,000.00</w:t>
            </w:r>
          </w:p>
        </w:tc>
        <w:tc>
          <w:tcPr>
            <w:tcW w:w="17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7,385,000.00</w:t>
            </w:r>
          </w:p>
        </w:tc>
        <w:tc>
          <w:tcPr>
            <w:tcW w:w="17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7,385,000.00</w:t>
            </w:r>
          </w:p>
        </w:tc>
        <w:tc>
          <w:tcPr>
            <w:tcW w:w="176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7,385,000.00</w:t>
            </w:r>
          </w:p>
        </w:tc>
      </w:tr>
      <w:tr>
        <w:trPr>
          <w:trHeight w:val="353" w:hRule="exact"/>
        </w:trPr>
        <w:tc>
          <w:tcPr>
            <w:tcW w:w="1718"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非流动负债</w:t>
            </w:r>
          </w:p>
        </w:tc>
        <w:tc>
          <w:tcPr>
            <w:tcW w:w="1767" w:type="dxa"/>
            <w:tcBorders>
              <w:top w:val="single" w:sz="12" w:space="0" w:color="000000"/>
              <w:left w:val="single" w:sz="6" w:space="0" w:color="000000"/>
              <w:bottom w:val="single" w:sz="12" w:space="0" w:color="000000"/>
              <w:right w:val="single" w:sz="6" w:space="0" w:color="000000"/>
            </w:tcBorders>
          </w:tcPr>
          <w:p>
            <w:pPr/>
          </w:p>
        </w:tc>
        <w:tc>
          <w:tcPr>
            <w:tcW w:w="1769" w:type="dxa"/>
            <w:tcBorders>
              <w:top w:val="single" w:sz="12" w:space="0" w:color="000000"/>
              <w:left w:val="single" w:sz="6" w:space="0" w:color="000000"/>
              <w:bottom w:val="single" w:sz="12" w:space="0" w:color="000000"/>
              <w:right w:val="single" w:sz="6" w:space="0" w:color="000000"/>
            </w:tcBorders>
          </w:tcPr>
          <w:p>
            <w:pPr/>
          </w:p>
        </w:tc>
        <w:tc>
          <w:tcPr>
            <w:tcW w:w="1767" w:type="dxa"/>
            <w:tcBorders>
              <w:top w:val="single" w:sz="12" w:space="0" w:color="000000"/>
              <w:left w:val="single" w:sz="6" w:space="0" w:color="000000"/>
              <w:bottom w:val="single" w:sz="12" w:space="0" w:color="000000"/>
              <w:right w:val="single" w:sz="6" w:space="0" w:color="000000"/>
            </w:tcBorders>
          </w:tcPr>
          <w:p>
            <w:pPr/>
          </w:p>
        </w:tc>
        <w:tc>
          <w:tcPr>
            <w:tcW w:w="1766" w:type="dxa"/>
            <w:tcBorders>
              <w:top w:val="single" w:sz="12" w:space="0" w:color="000000"/>
              <w:left w:val="single" w:sz="6" w:space="0" w:color="000000"/>
              <w:bottom w:val="single" w:sz="12" w:space="0" w:color="000000"/>
              <w:right w:val="single" w:sz="4" w:space="0" w:color="000000"/>
            </w:tcBorders>
          </w:tcPr>
          <w:p>
            <w:pPr/>
          </w:p>
        </w:tc>
      </w:tr>
    </w:tbl>
    <w:p>
      <w:pPr>
        <w:spacing w:line="240" w:lineRule="auto" w:before="11"/>
        <w:rPr>
          <w:rFonts w:ascii="宋体" w:hAnsi="宋体" w:cs="宋体" w:eastAsia="宋体" w:hint="default"/>
          <w:sz w:val="23"/>
          <w:szCs w:val="23"/>
        </w:rPr>
      </w:pPr>
    </w:p>
    <w:tbl>
      <w:tblPr>
        <w:tblW w:w="0" w:type="auto"/>
        <w:jc w:val="left"/>
        <w:tblInd w:w="573" w:type="dxa"/>
        <w:tblLayout w:type="fixed"/>
        <w:tblCellMar>
          <w:top w:w="0" w:type="dxa"/>
          <w:left w:w="0" w:type="dxa"/>
          <w:bottom w:w="0" w:type="dxa"/>
          <w:right w:w="0" w:type="dxa"/>
        </w:tblCellMar>
        <w:tblLook w:val="01E0"/>
      </w:tblPr>
      <w:tblGrid>
        <w:gridCol w:w="1716"/>
        <w:gridCol w:w="2357"/>
        <w:gridCol w:w="2357"/>
        <w:gridCol w:w="2357"/>
      </w:tblGrid>
      <w:tr>
        <w:trPr>
          <w:trHeight w:val="667" w:hRule="exact"/>
        </w:trPr>
        <w:tc>
          <w:tcPr>
            <w:tcW w:w="17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被购买方</w:t>
            </w:r>
          </w:p>
        </w:tc>
        <w:tc>
          <w:tcPr>
            <w:tcW w:w="23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自购买日至本期期末的收入</w:t>
            </w:r>
          </w:p>
        </w:tc>
        <w:tc>
          <w:tcPr>
            <w:tcW w:w="2357"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0"/>
              <w:ind w:left="1082" w:right="87" w:hanging="990"/>
              <w:jc w:val="left"/>
              <w:rPr>
                <w:rFonts w:ascii="宋体" w:hAnsi="宋体" w:cs="宋体" w:eastAsia="宋体" w:hint="default"/>
                <w:sz w:val="18"/>
                <w:szCs w:val="18"/>
              </w:rPr>
            </w:pPr>
            <w:r>
              <w:rPr>
                <w:rFonts w:ascii="宋体" w:hAnsi="宋体" w:cs="宋体" w:eastAsia="宋体" w:hint="default"/>
                <w:sz w:val="18"/>
                <w:szCs w:val="18"/>
              </w:rPr>
              <w:t>自购买日至本期期末的净利 润</w:t>
            </w:r>
          </w:p>
        </w:tc>
        <w:tc>
          <w:tcPr>
            <w:tcW w:w="2357" w:type="dxa"/>
            <w:tcBorders>
              <w:top w:val="single" w:sz="6" w:space="0" w:color="000000"/>
              <w:left w:val="single" w:sz="6" w:space="0" w:color="000000"/>
              <w:bottom w:val="single" w:sz="12" w:space="0" w:color="000000"/>
              <w:right w:val="single" w:sz="4" w:space="0" w:color="000000"/>
            </w:tcBorders>
          </w:tcPr>
          <w:p>
            <w:pPr>
              <w:pStyle w:val="TableParagraph"/>
              <w:spacing w:line="316" w:lineRule="auto" w:before="20"/>
              <w:ind w:left="634" w:right="89" w:hanging="541"/>
              <w:jc w:val="left"/>
              <w:rPr>
                <w:rFonts w:ascii="宋体" w:hAnsi="宋体" w:cs="宋体" w:eastAsia="宋体" w:hint="default"/>
                <w:sz w:val="18"/>
                <w:szCs w:val="18"/>
              </w:rPr>
            </w:pPr>
            <w:r>
              <w:rPr>
                <w:rFonts w:ascii="宋体" w:hAnsi="宋体" w:cs="宋体" w:eastAsia="宋体" w:hint="default"/>
                <w:sz w:val="18"/>
                <w:szCs w:val="18"/>
              </w:rPr>
              <w:t>自购买日至本期期末的经营 活动净现金流</w:t>
            </w:r>
          </w:p>
        </w:tc>
      </w:tr>
      <w:tr>
        <w:trPr>
          <w:trHeight w:val="665" w:hRule="exact"/>
        </w:trPr>
        <w:tc>
          <w:tcPr>
            <w:tcW w:w="171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00" w:right="38" w:hanging="360"/>
              <w:jc w:val="left"/>
              <w:rPr>
                <w:rFonts w:ascii="宋体" w:hAnsi="宋体" w:cs="宋体" w:eastAsia="宋体" w:hint="default"/>
                <w:sz w:val="18"/>
                <w:szCs w:val="18"/>
              </w:rPr>
            </w:pPr>
            <w:r>
              <w:rPr>
                <w:rFonts w:ascii="宋体" w:hAnsi="宋体" w:cs="宋体" w:eastAsia="宋体" w:hint="default"/>
                <w:sz w:val="18"/>
                <w:szCs w:val="18"/>
              </w:rPr>
              <w:t>北京青年御银科技有 限责任公司</w:t>
            </w:r>
          </w:p>
        </w:tc>
        <w:tc>
          <w:tcPr>
            <w:tcW w:w="2357" w:type="dxa"/>
            <w:tcBorders>
              <w:top w:val="single" w:sz="12" w:space="0" w:color="000000"/>
              <w:left w:val="single" w:sz="6" w:space="0" w:color="000000"/>
              <w:bottom w:val="single" w:sz="12" w:space="0" w:color="000000"/>
              <w:right w:val="single" w:sz="6" w:space="0" w:color="000000"/>
            </w:tcBorders>
          </w:tcPr>
          <w:p>
            <w:pPr/>
          </w:p>
        </w:tc>
        <w:tc>
          <w:tcPr>
            <w:tcW w:w="23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82" w:right="0"/>
              <w:jc w:val="left"/>
              <w:rPr>
                <w:rFonts w:ascii="Times New Roman" w:hAnsi="Times New Roman" w:cs="Times New Roman" w:eastAsia="Times New Roman" w:hint="default"/>
                <w:sz w:val="18"/>
                <w:szCs w:val="18"/>
              </w:rPr>
            </w:pPr>
            <w:r>
              <w:rPr>
                <w:rFonts w:ascii="Times New Roman"/>
                <w:sz w:val="18"/>
              </w:rPr>
              <w:t>-84,051.02</w:t>
            </w:r>
          </w:p>
        </w:tc>
        <w:tc>
          <w:tcPr>
            <w:tcW w:w="235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55" w:right="0"/>
              <w:jc w:val="left"/>
              <w:rPr>
                <w:rFonts w:ascii="Times New Roman" w:hAnsi="Times New Roman" w:cs="Times New Roman" w:eastAsia="Times New Roman" w:hint="default"/>
                <w:sz w:val="18"/>
                <w:szCs w:val="18"/>
              </w:rPr>
            </w:pPr>
            <w:r>
              <w:rPr>
                <w:rFonts w:ascii="Times New Roman"/>
                <w:sz w:val="18"/>
              </w:rPr>
              <w:t>25,392,987.29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144"/>
        <w:jc w:val="left"/>
        <w:rPr>
          <w:b w:val="0"/>
          <w:bCs w:val="0"/>
        </w:rPr>
      </w:pPr>
      <w:r>
        <w:rPr/>
        <w:t>七、合并财务报表主要项目注释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4"/>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325"/>
        <w:gridCol w:w="931"/>
        <w:gridCol w:w="1462"/>
        <w:gridCol w:w="1327"/>
        <w:gridCol w:w="932"/>
        <w:gridCol w:w="1594"/>
      </w:tblGrid>
      <w:tr>
        <w:trPr>
          <w:trHeight w:val="206"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6"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2D2D2"/>
          </w:tcPr>
          <w:p>
            <w:pPr/>
          </w:p>
        </w:tc>
        <w:tc>
          <w:tcPr>
            <w:tcW w:w="3853"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7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144,471.36</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223,551.20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133,283.17</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223,551.20</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1,780.00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11,188.19</w:t>
            </w:r>
          </w:p>
        </w:tc>
        <w:tc>
          <w:tcPr>
            <w:tcW w:w="132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270,556,002.11</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163,087,649.49</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255,697,315.50</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159,241,240.19</w:t>
            </w:r>
          </w:p>
        </w:tc>
      </w:tr>
      <w:tr>
        <w:trPr>
          <w:trHeight w:val="404" w:hRule="exact"/>
        </w:trPr>
        <w:tc>
          <w:tcPr>
            <w:tcW w:w="200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2,363,406.05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14,855,109.52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610,071.43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3,843,999.07</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4,276.03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3,467.22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2,940.00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2,383.46</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13.21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831.72%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109.87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26.77</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16,964,129.21</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20,194,194.96</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16,964,099.61</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18,398,023.00</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29.60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285,062.18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1,796,148.29</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5"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23.67</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287,664,602.68</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183,505,395.65</w:t>
            </w:r>
          </w:p>
        </w:tc>
      </w:tr>
    </w:tbl>
    <w:p>
      <w:pPr>
        <w:pStyle w:val="BodyText"/>
        <w:spacing w:line="357" w:lineRule="auto" w:before="49"/>
        <w:ind w:left="657" w:right="2574" w:hanging="505"/>
        <w:jc w:val="left"/>
      </w:pPr>
      <w:r>
        <w:rPr/>
        <w:t>如有因抵押、质押或冻结等对使用有限制、存放在境外、有潜在回收风险的款项应单独说明 其中受限制的货币资金明细如下：</w:t>
      </w:r>
    </w:p>
    <w:tbl>
      <w:tblPr>
        <w:tblW w:w="0" w:type="auto"/>
        <w:jc w:val="left"/>
        <w:tblInd w:w="717" w:type="dxa"/>
        <w:tblLayout w:type="fixed"/>
        <w:tblCellMar>
          <w:top w:w="0" w:type="dxa"/>
          <w:left w:w="0" w:type="dxa"/>
          <w:bottom w:w="0" w:type="dxa"/>
          <w:right w:w="0" w:type="dxa"/>
        </w:tblCellMar>
        <w:tblLook w:val="01E0"/>
      </w:tblPr>
      <w:tblGrid>
        <w:gridCol w:w="3485"/>
        <w:gridCol w:w="2141"/>
        <w:gridCol w:w="2077"/>
      </w:tblGrid>
      <w:tr>
        <w:trPr>
          <w:trHeight w:val="353" w:hRule="exact"/>
        </w:trPr>
        <w:tc>
          <w:tcPr>
            <w:tcW w:w="3485" w:type="dxa"/>
            <w:tcBorders>
              <w:top w:val="single" w:sz="6" w:space="0" w:color="000000"/>
              <w:left w:val="single" w:sz="6" w:space="0" w:color="000000"/>
              <w:bottom w:val="single" w:sz="12" w:space="0" w:color="000000"/>
              <w:right w:val="single" w:sz="6" w:space="0" w:color="000000"/>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41" w:type="dxa"/>
            <w:tcBorders>
              <w:top w:val="single" w:sz="6" w:space="0" w:color="000000"/>
              <w:left w:val="single" w:sz="6" w:space="0" w:color="000000"/>
              <w:bottom w:val="single" w:sz="12" w:space="0" w:color="000000"/>
              <w:right w:val="single" w:sz="6" w:space="0" w:color="000000"/>
            </w:tcBorders>
          </w:tcPr>
          <w:p>
            <w:pPr>
              <w:pStyle w:val="TableParagraph"/>
              <w:spacing w:line="234" w:lineRule="exact"/>
              <w:ind w:left="70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77" w:type="dxa"/>
            <w:tcBorders>
              <w:top w:val="single" w:sz="6" w:space="0" w:color="000000"/>
              <w:left w:val="single" w:sz="6" w:space="0" w:color="000000"/>
              <w:bottom w:val="single" w:sz="12" w:space="0" w:color="000000"/>
              <w:right w:val="single" w:sz="4" w:space="0" w:color="000000"/>
            </w:tcBorders>
          </w:tcPr>
          <w:p>
            <w:pPr>
              <w:pStyle w:val="TableParagraph"/>
              <w:spacing w:line="234" w:lineRule="exact"/>
              <w:ind w:left="671"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3" w:hRule="exact"/>
        </w:trPr>
        <w:tc>
          <w:tcPr>
            <w:tcW w:w="3485" w:type="dxa"/>
            <w:tcBorders>
              <w:top w:val="single" w:sz="12" w:space="0" w:color="000000"/>
              <w:left w:val="single" w:sz="6" w:space="0" w:color="000000"/>
              <w:bottom w:val="single" w:sz="12" w:space="0" w:color="000000"/>
              <w:right w:val="single" w:sz="6" w:space="0" w:color="000000"/>
            </w:tcBorders>
          </w:tcPr>
          <w:p>
            <w:pPr>
              <w:pStyle w:val="TableParagraph"/>
              <w:spacing w:line="227" w:lineRule="exact"/>
              <w:ind w:left="2" w:right="0"/>
              <w:jc w:val="left"/>
              <w:rPr>
                <w:rFonts w:ascii="宋体" w:hAnsi="宋体" w:cs="宋体" w:eastAsia="宋体" w:hint="default"/>
                <w:sz w:val="18"/>
                <w:szCs w:val="18"/>
              </w:rPr>
            </w:pPr>
            <w:r>
              <w:rPr>
                <w:rFonts w:ascii="宋体" w:hAnsi="宋体" w:cs="宋体" w:eastAsia="宋体" w:hint="default"/>
                <w:sz w:val="18"/>
                <w:szCs w:val="18"/>
              </w:rPr>
              <w:t>临时监管户</w:t>
            </w:r>
          </w:p>
        </w:tc>
        <w:tc>
          <w:tcPr>
            <w:tcW w:w="21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29.60</w:t>
            </w:r>
          </w:p>
        </w:tc>
        <w:tc>
          <w:tcPr>
            <w:tcW w:w="207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1,796,171.96</w:t>
            </w:r>
          </w:p>
        </w:tc>
      </w:tr>
      <w:tr>
        <w:trPr>
          <w:trHeight w:val="353" w:hRule="exact"/>
        </w:trPr>
        <w:tc>
          <w:tcPr>
            <w:tcW w:w="3485" w:type="dxa"/>
            <w:tcBorders>
              <w:top w:val="single" w:sz="12" w:space="0" w:color="000000"/>
              <w:left w:val="single" w:sz="6" w:space="0" w:color="000000"/>
              <w:bottom w:val="single" w:sz="12" w:space="0" w:color="000000"/>
              <w:right w:val="single" w:sz="6" w:space="0" w:color="000000"/>
            </w:tcBorders>
          </w:tcPr>
          <w:p>
            <w:pPr>
              <w:pStyle w:val="TableParagraph"/>
              <w:spacing w:line="227" w:lineRule="exact"/>
              <w:ind w:left="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1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3,752,727.92</w:t>
            </w:r>
          </w:p>
        </w:tc>
        <w:tc>
          <w:tcPr>
            <w:tcW w:w="207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7,423,787.87</w:t>
            </w:r>
          </w:p>
        </w:tc>
      </w:tr>
      <w:tr>
        <w:trPr>
          <w:trHeight w:val="350" w:hRule="exact"/>
        </w:trPr>
        <w:tc>
          <w:tcPr>
            <w:tcW w:w="3485" w:type="dxa"/>
            <w:tcBorders>
              <w:top w:val="single" w:sz="12" w:space="0" w:color="000000"/>
              <w:left w:val="single" w:sz="6" w:space="0" w:color="000000"/>
              <w:bottom w:val="single" w:sz="12" w:space="0" w:color="000000"/>
              <w:right w:val="single" w:sz="6" w:space="0" w:color="000000"/>
            </w:tcBorders>
          </w:tcPr>
          <w:p>
            <w:pPr>
              <w:pStyle w:val="TableParagraph"/>
              <w:spacing w:line="224" w:lineRule="exact"/>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1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1"/>
              <w:ind w:right="0"/>
              <w:jc w:val="right"/>
              <w:rPr>
                <w:rFonts w:ascii="Times New Roman" w:hAnsi="Times New Roman" w:cs="Times New Roman" w:eastAsia="Times New Roman" w:hint="default"/>
                <w:sz w:val="18"/>
                <w:szCs w:val="18"/>
              </w:rPr>
            </w:pPr>
            <w:r>
              <w:rPr>
                <w:rFonts w:ascii="Times New Roman"/>
                <w:spacing w:val="-1"/>
                <w:sz w:val="18"/>
              </w:rPr>
              <w:t>190,000.00</w:t>
            </w:r>
          </w:p>
        </w:tc>
        <w:tc>
          <w:tcPr>
            <w:tcW w:w="207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1"/>
              <w:ind w:right="2"/>
              <w:jc w:val="right"/>
              <w:rPr>
                <w:rFonts w:ascii="Times New Roman" w:hAnsi="Times New Roman" w:cs="Times New Roman" w:eastAsia="Times New Roman" w:hint="default"/>
                <w:sz w:val="18"/>
                <w:szCs w:val="18"/>
              </w:rPr>
            </w:pPr>
            <w:r>
              <w:rPr>
                <w:rFonts w:ascii="Times New Roman"/>
                <w:spacing w:val="-1"/>
                <w:sz w:val="18"/>
              </w:rPr>
              <w:t>3,417,300.00</w:t>
            </w:r>
          </w:p>
        </w:tc>
      </w:tr>
      <w:tr>
        <w:trPr>
          <w:trHeight w:val="353" w:hRule="exact"/>
        </w:trPr>
        <w:tc>
          <w:tcPr>
            <w:tcW w:w="3485" w:type="dxa"/>
            <w:tcBorders>
              <w:top w:val="single" w:sz="12" w:space="0" w:color="000000"/>
              <w:left w:val="single" w:sz="6" w:space="0" w:color="000000"/>
              <w:bottom w:val="single" w:sz="12" w:space="0" w:color="000000"/>
              <w:right w:val="single" w:sz="6" w:space="0" w:color="000000"/>
            </w:tcBorders>
          </w:tcPr>
          <w:p>
            <w:pPr>
              <w:pStyle w:val="TableParagraph"/>
              <w:spacing w:line="227" w:lineRule="exact"/>
              <w:ind w:left="2" w:right="0"/>
              <w:jc w:val="left"/>
              <w:rPr>
                <w:rFonts w:ascii="宋体" w:hAnsi="宋体" w:cs="宋体" w:eastAsia="宋体" w:hint="default"/>
                <w:sz w:val="18"/>
                <w:szCs w:val="18"/>
              </w:rPr>
            </w:pPr>
            <w:r>
              <w:rPr>
                <w:rFonts w:ascii="宋体" w:hAnsi="宋体" w:cs="宋体" w:eastAsia="宋体" w:hint="default"/>
                <w:sz w:val="18"/>
                <w:szCs w:val="18"/>
              </w:rPr>
              <w:t>银行承兑保证金</w:t>
            </w:r>
          </w:p>
        </w:tc>
        <w:tc>
          <w:tcPr>
            <w:tcW w:w="21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1,783,380.00</w:t>
            </w:r>
          </w:p>
        </w:tc>
        <w:tc>
          <w:tcPr>
            <w:tcW w:w="2077"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3485" w:type="dxa"/>
            <w:tcBorders>
              <w:top w:val="single" w:sz="12" w:space="0" w:color="000000"/>
              <w:left w:val="single" w:sz="6" w:space="0" w:color="000000"/>
              <w:bottom w:val="single" w:sz="12" w:space="0" w:color="000000"/>
              <w:right w:val="single" w:sz="6" w:space="0" w:color="000000"/>
            </w:tcBorders>
          </w:tcPr>
          <w:p>
            <w:pPr>
              <w:pStyle w:val="TableParagraph"/>
              <w:spacing w:line="227" w:lineRule="exact"/>
              <w:ind w:left="1"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1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5,726,137.52</w:t>
            </w:r>
          </w:p>
        </w:tc>
        <w:tc>
          <w:tcPr>
            <w:tcW w:w="207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12,637,259.83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7"/>
        <w:ind w:right="144"/>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1</w:t>
      </w:r>
      <w:r>
        <w:rPr/>
        <w:t>）交易性金融资产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3"/>
        <w:gridCol w:w="2668"/>
        <w:gridCol w:w="2658"/>
      </w:tblGrid>
      <w:tr>
        <w:trPr>
          <w:trHeight w:val="401"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3"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3"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10,001,147.60</w:t>
            </w:r>
          </w:p>
        </w:tc>
        <w:tc>
          <w:tcPr>
            <w:tcW w:w="2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10,001,147.60</w:t>
            </w:r>
          </w:p>
        </w:tc>
        <w:tc>
          <w:tcPr>
            <w:tcW w:w="26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2"/>
      </w:tblGrid>
      <w:tr>
        <w:trPr>
          <w:trHeight w:val="398"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6" w:hRule="exact"/>
        </w:trPr>
        <w:tc>
          <w:tcPr>
            <w:tcW w:w="399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40,404,000.00</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40,404,000.00</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t>（</w:t>
      </w:r>
      <w:r>
        <w:rPr>
          <w:rFonts w:ascii="宋体" w:hAnsi="宋体" w:cs="宋体" w:eastAsia="宋体" w:hint="default"/>
        </w:rPr>
        <w:t>2</w:t>
      </w:r>
      <w:r>
        <w:rPr/>
        <w:t>）期末无已质押的应收票据。</w:t>
      </w:r>
      <w:r>
        <w:rPr>
          <w:b w:val="0"/>
          <w:bCs w:val="0"/>
        </w:rPr>
      </w:r>
    </w:p>
    <w:p>
      <w:pPr>
        <w:spacing w:line="240" w:lineRule="auto" w:before="10"/>
        <w:rPr>
          <w:rFonts w:ascii="宋体" w:hAnsi="宋体" w:cs="宋体" w:eastAsia="宋体" w:hint="default"/>
          <w:b/>
          <w:bCs/>
          <w:sz w:val="25"/>
          <w:szCs w:val="25"/>
        </w:rPr>
      </w:pPr>
    </w:p>
    <w:p>
      <w:pPr>
        <w:pStyle w:val="Heading3"/>
        <w:spacing w:line="259" w:lineRule="auto"/>
        <w:ind w:right="144"/>
        <w:jc w:val="left"/>
        <w:rPr>
          <w:b w:val="0"/>
          <w:bCs w:val="0"/>
        </w:rPr>
      </w:pPr>
      <w:r>
        <w:rPr/>
        <w:t>（</w:t>
      </w:r>
      <w:r>
        <w:rPr>
          <w:rFonts w:ascii="Times New Roman" w:hAnsi="Times New Roman" w:cs="Times New Roman" w:eastAsia="Times New Roman" w:hint="default"/>
        </w:rPr>
        <w:t>3</w:t>
      </w:r>
      <w:r>
        <w:rPr/>
        <w:t>）期末无因出票人无力履约而将票据转为应收账款的票据，以及期末公司已经背书给他方但尚未到期</w:t>
      </w:r>
      <w:r>
        <w:rPr>
          <w:spacing w:val="-65"/>
        </w:rPr>
        <w:t> </w:t>
      </w:r>
      <w:r>
        <w:rPr>
          <w:spacing w:val="-65"/>
        </w:rPr>
      </w:r>
      <w:r>
        <w:rPr/>
        <w:t>的票据情况。</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宋体" w:hAnsi="宋体" w:cs="宋体" w:eastAsia="宋体" w:hint="default"/>
        </w:rPr>
        <w:t>4</w:t>
      </w:r>
      <w:r>
        <w:rPr/>
        <w:t>）期末无已贴现或质押的商业承兑票据。</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44"/>
        <w:jc w:val="left"/>
        <w:rPr>
          <w:b w:val="0"/>
          <w:bCs w:val="0"/>
        </w:rPr>
      </w:pPr>
      <w:r>
        <w:rPr/>
        <w:t>（</w:t>
      </w:r>
      <w:r>
        <w:rPr>
          <w:rFonts w:ascii="宋体" w:hAnsi="宋体" w:cs="宋体" w:eastAsia="宋体" w:hint="default"/>
        </w:rPr>
        <w:t>5</w:t>
      </w:r>
      <w:r>
        <w:rPr/>
        <w:t>）期末应收票据中无持本公司</w:t>
      </w:r>
      <w:r>
        <w:rPr>
          <w:spacing w:val="-55"/>
        </w:rPr>
        <w:t> </w:t>
      </w:r>
      <w:r>
        <w:rPr>
          <w:rFonts w:ascii="宋体" w:hAnsi="宋体" w:cs="宋体" w:eastAsia="宋体" w:hint="default"/>
        </w:rPr>
        <w:t>5</w:t>
      </w:r>
      <w:r>
        <w:rPr/>
        <w:t>％以上（含</w:t>
      </w:r>
      <w:r>
        <w:rPr>
          <w:spacing w:val="-56"/>
        </w:rPr>
        <w:t> </w:t>
      </w:r>
      <w:r>
        <w:rPr>
          <w:rFonts w:ascii="宋体" w:hAnsi="宋体" w:cs="宋体" w:eastAsia="宋体" w:hint="default"/>
        </w:rPr>
        <w:t>5</w:t>
      </w:r>
      <w:r>
        <w:rPr/>
        <w:t>％）表决权股份的股东单位欠款。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144"/>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1"/>
        <w:gridCol w:w="1227"/>
        <w:gridCol w:w="758"/>
        <w:gridCol w:w="1102"/>
        <w:gridCol w:w="742"/>
        <w:gridCol w:w="1274"/>
        <w:gridCol w:w="674"/>
        <w:gridCol w:w="1170"/>
        <w:gridCol w:w="924"/>
      </w:tblGrid>
      <w:tr>
        <w:trPr>
          <w:trHeight w:val="403" w:hRule="exact"/>
        </w:trPr>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4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701" w:type="dxa"/>
            <w:vMerge/>
            <w:tcBorders>
              <w:left w:val="single" w:sz="4" w:space="0" w:color="000000"/>
              <w:right w:val="single" w:sz="4" w:space="0" w:color="000000"/>
            </w:tcBorders>
            <w:shd w:val="clear" w:color="auto" w:fill="D2D2D2"/>
          </w:tcPr>
          <w:p>
            <w:pP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3" w:hRule="exact"/>
        </w:trPr>
        <w:tc>
          <w:tcPr>
            <w:tcW w:w="170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：账龄分析法</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152,456,424.77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15,356,966.69</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154,770,981.73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center"/>
              <w:rPr>
                <w:rFonts w:ascii="Times New Roman" w:hAnsi="Times New Roman" w:cs="Times New Roman" w:eastAsia="Times New Roman" w:hint="default"/>
                <w:sz w:val="18"/>
                <w:szCs w:val="18"/>
              </w:rPr>
            </w:pPr>
            <w:r>
              <w:rPr>
                <w:rFonts w:ascii="Times New Roman"/>
                <w:sz w:val="18"/>
              </w:rPr>
              <w:t>100%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12,449,488.92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w:t>
            </w:r>
          </w:p>
        </w:tc>
      </w:tr>
      <w:tr>
        <w:trPr>
          <w:trHeight w:val="401"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152,456,424.77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15,356,966.69</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154,770,981.73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center"/>
              <w:rPr>
                <w:rFonts w:ascii="Times New Roman" w:hAnsi="Times New Roman" w:cs="Times New Roman" w:eastAsia="Times New Roman" w:hint="default"/>
                <w:sz w:val="18"/>
                <w:szCs w:val="18"/>
              </w:rPr>
            </w:pPr>
            <w:r>
              <w:rPr>
                <w:rFonts w:ascii="Times New Roman"/>
                <w:sz w:val="18"/>
              </w:rPr>
              <w:t>100%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12,449,488.92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01"/>
        <w:gridCol w:w="1240"/>
        <w:gridCol w:w="745"/>
        <w:gridCol w:w="1102"/>
        <w:gridCol w:w="742"/>
        <w:gridCol w:w="1286"/>
        <w:gridCol w:w="616"/>
        <w:gridCol w:w="1228"/>
        <w:gridCol w:w="912"/>
      </w:tblGrid>
      <w:tr>
        <w:trPr>
          <w:trHeight w:val="403"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0"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152,456,424.77</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15,356,966.69</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8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154,770,981.73</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28"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12,449,488.92</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357" w:lineRule="auto" w:before="49"/>
        <w:ind w:left="513" w:right="-20" w:hanging="361"/>
        <w:jc w:val="left"/>
      </w:pPr>
      <w:r>
        <w:rPr/>
        <w:t>应收账款种类的说明 应收账款种类的说明：详见附注二、（十）。</w:t>
      </w:r>
    </w:p>
    <w:p>
      <w:pPr>
        <w:pStyle w:val="BodyText"/>
        <w:spacing w:line="240" w:lineRule="auto" w:before="29"/>
        <w:ind w:right="-19"/>
        <w:jc w:val="left"/>
      </w:pPr>
      <w:r>
        <w:rPr/>
        <w:t>期末单项金额重大并单项计提坏账准备的应收账款</w:t>
      </w:r>
    </w:p>
    <w:p>
      <w:pPr>
        <w:pStyle w:val="BodyText"/>
        <w:spacing w:line="340" w:lineRule="auto" w:before="115"/>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114" w:space="4715"/>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62"/>
        <w:gridCol w:w="1600"/>
        <w:gridCol w:w="929"/>
        <w:gridCol w:w="1728"/>
        <w:gridCol w:w="1461"/>
        <w:gridCol w:w="930"/>
        <w:gridCol w:w="1460"/>
      </w:tblGrid>
      <w:tr>
        <w:trPr>
          <w:trHeight w:val="402" w:hRule="exact"/>
        </w:trPr>
        <w:tc>
          <w:tcPr>
            <w:tcW w:w="146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5" w:hRule="exact"/>
        </w:trPr>
        <w:tc>
          <w:tcPr>
            <w:tcW w:w="14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462" w:type="dxa"/>
            <w:vMerge/>
            <w:tcBorders>
              <w:left w:val="single" w:sz="4" w:space="0" w:color="000000"/>
              <w:bottom w:val="nil" w:sz="6" w:space="0" w:color="auto"/>
              <w:right w:val="single" w:sz="4" w:space="0" w:color="000000"/>
            </w:tcBorders>
            <w:shd w:val="clear" w:color="auto" w:fill="D2D2D2"/>
          </w:tcPr>
          <w:p>
            <w:pPr/>
          </w:p>
        </w:tc>
        <w:tc>
          <w:tcPr>
            <w:tcW w:w="2528" w:type="dxa"/>
            <w:gridSpan w:val="2"/>
            <w:vMerge/>
            <w:tcBorders>
              <w:left w:val="single" w:sz="4" w:space="0" w:color="000000"/>
              <w:bottom w:val="single" w:sz="4" w:space="0" w:color="000000"/>
              <w:right w:val="single" w:sz="4" w:space="0" w:color="000000"/>
            </w:tcBorders>
            <w:shd w:val="clear" w:color="auto" w:fill="D2D2D2"/>
          </w:tcPr>
          <w:p>
            <w:pPr/>
          </w:p>
        </w:tc>
        <w:tc>
          <w:tcPr>
            <w:tcW w:w="17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gridSpan w:val="2"/>
            <w:vMerge/>
            <w:tcBorders>
              <w:left w:val="single" w:sz="4" w:space="0" w:color="000000"/>
              <w:bottom w:val="single" w:sz="4" w:space="0" w:color="000000"/>
              <w:right w:val="single" w:sz="4" w:space="0" w:color="000000"/>
            </w:tcBorders>
            <w:shd w:val="clear" w:color="auto" w:fill="D2D2D2"/>
          </w:tcPr>
          <w:p>
            <w:pPr/>
          </w:p>
        </w:tc>
        <w:tc>
          <w:tcPr>
            <w:tcW w:w="14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7" w:hRule="exact"/>
        </w:trPr>
        <w:tc>
          <w:tcPr>
            <w:tcW w:w="1462" w:type="dxa"/>
            <w:vMerge w:val="restart"/>
            <w:tcBorders>
              <w:top w:val="nil" w:sz="6" w:space="0" w:color="auto"/>
              <w:left w:val="single" w:sz="4" w:space="0" w:color="000000"/>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nil" w:sz="6" w:space="0" w:color="auto"/>
              <w:right w:val="single" w:sz="4" w:space="0" w:color="000000"/>
            </w:tcBorders>
            <w:shd w:val="clear" w:color="auto" w:fill="D2D2D2"/>
          </w:tcPr>
          <w:p>
            <w:pPr/>
          </w:p>
        </w:tc>
        <w:tc>
          <w:tcPr>
            <w:tcW w:w="14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0"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462"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1"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00" w:right="0"/>
              <w:jc w:val="left"/>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125,313,164.64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82.2%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6,265,658.23</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130,828,862.56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84.53%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6,541,443.13</w:t>
            </w:r>
          </w:p>
        </w:tc>
      </w:tr>
      <w:tr>
        <w:trPr>
          <w:trHeight w:val="401"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15,894,060.78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10.42%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1,589,406.08</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16,893,797.71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1,689,379.77</w:t>
            </w:r>
          </w:p>
        </w:tc>
      </w:tr>
      <w:tr>
        <w:trPr>
          <w:trHeight w:val="403"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6,555,942.59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3,277,971.30</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5,312,058.26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3.43%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2,656,029.14</w:t>
            </w:r>
          </w:p>
        </w:tc>
      </w:tr>
      <w:tr>
        <w:trPr>
          <w:trHeight w:val="401"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4,693,256.76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4,223,931.08</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1,736,263.20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1,562,636.88</w:t>
            </w:r>
          </w:p>
        </w:tc>
      </w:tr>
      <w:tr>
        <w:trPr>
          <w:trHeight w:val="403"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0"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152,456,424.77</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00" w:right="0"/>
              <w:jc w:val="left"/>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15,356,966.69</w:t>
            </w:r>
          </w:p>
        </w:tc>
        <w:tc>
          <w:tcPr>
            <w:tcW w:w="1461"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154,770,981.73</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12,449,488.92</w:t>
            </w:r>
          </w:p>
        </w:tc>
      </w:tr>
    </w:tbl>
    <w:p>
      <w:pPr>
        <w:pStyle w:val="BodyText"/>
        <w:spacing w:line="240" w:lineRule="auto" w:before="49"/>
        <w:ind w:right="144"/>
        <w:jc w:val="left"/>
      </w:pPr>
      <w:r>
        <w:rPr/>
        <w:t>组合中，采用余额百分比法计提坏账准备的应收账款</w:t>
      </w:r>
    </w:p>
    <w:p>
      <w:pPr>
        <w:pStyle w:val="BodyText"/>
        <w:spacing w:line="340" w:lineRule="auto" w:before="115"/>
        <w:ind w:right="5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38" w:lineRule="auto" w:before="41"/>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43"/>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44"/>
        <w:jc w:val="left"/>
        <w:rPr>
          <w:b w:val="0"/>
          <w:bCs w:val="0"/>
        </w:rPr>
      </w:pPr>
      <w:r>
        <w:rPr/>
        <w:t>（</w:t>
      </w:r>
      <w:r>
        <w:rPr>
          <w:rFonts w:ascii="Times New Roman" w:hAnsi="Times New Roman" w:cs="Times New Roman" w:eastAsia="Times New Roman" w:hint="default"/>
        </w:rPr>
        <w:t>2</w:t>
      </w:r>
      <w:r>
        <w:rPr/>
        <w:t>）本报告期不存在转回或收回的应收账款情况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3</w:t>
      </w:r>
      <w:r>
        <w:rPr/>
        <w:t>）本报告期不存在实际核销的应收账款情况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4</w:t>
      </w:r>
      <w:r>
        <w:rPr/>
        <w:t>）本报告期应收账款中无持有公司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04"/>
        <w:gridCol w:w="1416"/>
        <w:gridCol w:w="1277"/>
        <w:gridCol w:w="1561"/>
        <w:gridCol w:w="1916"/>
      </w:tblGrid>
      <w:tr>
        <w:trPr>
          <w:trHeight w:val="714"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40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新民信国际租赁有限公司</w:t>
            </w:r>
          </w:p>
        </w:tc>
        <w:tc>
          <w:tcPr>
            <w:tcW w:w="141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277" w:type="dxa"/>
            <w:tcBorders>
              <w:top w:val="single" w:sz="4" w:space="0" w:color="000000"/>
              <w:left w:val="single" w:sz="4" w:space="0" w:color="000000"/>
              <w:bottom w:val="single" w:sz="4" w:space="0" w:color="000000"/>
              <w:right w:val="single" w:sz="13" w:space="0" w:color="CCE8CC"/>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18,500,400.00</w:t>
            </w:r>
          </w:p>
        </w:tc>
        <w:tc>
          <w:tcPr>
            <w:tcW w:w="156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2"/>
              <w:ind w:left="663" w:right="0"/>
              <w:jc w:val="left"/>
              <w:rPr>
                <w:rFonts w:ascii="Times New Roman" w:hAnsi="Times New Roman" w:cs="Times New Roman" w:eastAsia="Times New Roman" w:hint="default"/>
                <w:sz w:val="18"/>
                <w:szCs w:val="18"/>
              </w:rPr>
            </w:pPr>
            <w:r>
              <w:rPr>
                <w:rFonts w:ascii="Times New Roman"/>
                <w:sz w:val="18"/>
              </w:rPr>
              <w:t>12.13%</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141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277" w:type="dxa"/>
            <w:tcBorders>
              <w:top w:val="single" w:sz="4" w:space="0" w:color="000000"/>
              <w:left w:val="single" w:sz="4" w:space="0" w:color="000000"/>
              <w:bottom w:val="single" w:sz="4" w:space="0" w:color="000000"/>
              <w:right w:val="single" w:sz="13" w:space="0" w:color="CCE8CC"/>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12,292,131.47</w:t>
            </w:r>
          </w:p>
        </w:tc>
        <w:tc>
          <w:tcPr>
            <w:tcW w:w="156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1"/>
              <w:ind w:left="709" w:right="0"/>
              <w:jc w:val="left"/>
              <w:rPr>
                <w:rFonts w:ascii="Times New Roman" w:hAnsi="Times New Roman" w:cs="Times New Roman" w:eastAsia="Times New Roman" w:hint="default"/>
                <w:sz w:val="18"/>
                <w:szCs w:val="18"/>
              </w:rPr>
            </w:pPr>
            <w:r>
              <w:rPr>
                <w:rFonts w:ascii="Times New Roman"/>
                <w:sz w:val="18"/>
              </w:rPr>
              <w:t>8.06%</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249" w:type="dxa"/>
        <w:tblLayout w:type="fixed"/>
        <w:tblCellMar>
          <w:top w:w="0" w:type="dxa"/>
          <w:left w:w="0" w:type="dxa"/>
          <w:bottom w:w="0" w:type="dxa"/>
          <w:right w:w="0" w:type="dxa"/>
        </w:tblCellMar>
        <w:tblLook w:val="01E0"/>
      </w:tblPr>
      <w:tblGrid>
        <w:gridCol w:w="3403"/>
        <w:gridCol w:w="1416"/>
        <w:gridCol w:w="1289"/>
        <w:gridCol w:w="1538"/>
        <w:gridCol w:w="1926"/>
      </w:tblGrid>
      <w:tr>
        <w:trPr>
          <w:trHeight w:val="402" w:hRule="exact"/>
        </w:trPr>
        <w:tc>
          <w:tcPr>
            <w:tcW w:w="340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广东省东莞市邮政局</w:t>
            </w:r>
          </w:p>
        </w:tc>
        <w:tc>
          <w:tcPr>
            <w:tcW w:w="141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289" w:type="dxa"/>
            <w:tcBorders>
              <w:top w:val="single" w:sz="4" w:space="0" w:color="000000"/>
              <w:left w:val="single" w:sz="4" w:space="0" w:color="000000"/>
              <w:bottom w:val="single" w:sz="4" w:space="0" w:color="000000"/>
              <w:right w:val="single" w:sz="13" w:space="0" w:color="CCE8CC"/>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9,623,319.98</w:t>
            </w:r>
          </w:p>
        </w:tc>
        <w:tc>
          <w:tcPr>
            <w:tcW w:w="153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6"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6.31%</w:t>
            </w:r>
          </w:p>
        </w:tc>
      </w:tr>
      <w:tr>
        <w:trPr>
          <w:trHeight w:val="402" w:hRule="exact"/>
        </w:trPr>
        <w:tc>
          <w:tcPr>
            <w:tcW w:w="340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山东省潍坊农信</w:t>
            </w:r>
          </w:p>
        </w:tc>
        <w:tc>
          <w:tcPr>
            <w:tcW w:w="141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289" w:type="dxa"/>
            <w:tcBorders>
              <w:top w:val="single" w:sz="4" w:space="0" w:color="000000"/>
              <w:left w:val="single" w:sz="4" w:space="0" w:color="000000"/>
              <w:bottom w:val="single" w:sz="4" w:space="0" w:color="000000"/>
              <w:right w:val="single" w:sz="13" w:space="0" w:color="CCE8CC"/>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8,315,300.00</w:t>
            </w:r>
          </w:p>
        </w:tc>
        <w:tc>
          <w:tcPr>
            <w:tcW w:w="153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26"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5.45%</w:t>
            </w:r>
          </w:p>
        </w:tc>
      </w:tr>
      <w:tr>
        <w:trPr>
          <w:trHeight w:val="402" w:hRule="exact"/>
        </w:trPr>
        <w:tc>
          <w:tcPr>
            <w:tcW w:w="340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中国邮政储蓄银行有限责任公司深圳分行</w:t>
            </w:r>
          </w:p>
        </w:tc>
        <w:tc>
          <w:tcPr>
            <w:tcW w:w="141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289" w:type="dxa"/>
            <w:tcBorders>
              <w:top w:val="single" w:sz="4" w:space="0" w:color="000000"/>
              <w:left w:val="single" w:sz="4" w:space="0" w:color="000000"/>
              <w:bottom w:val="single" w:sz="4" w:space="0" w:color="000000"/>
              <w:right w:val="single" w:sz="13" w:space="0" w:color="CCE8CC"/>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7,325,291.38</w:t>
            </w:r>
          </w:p>
        </w:tc>
        <w:tc>
          <w:tcPr>
            <w:tcW w:w="153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6"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4.8%</w:t>
            </w:r>
          </w:p>
        </w:tc>
      </w:tr>
      <w:tr>
        <w:trPr>
          <w:trHeight w:val="402"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28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56,056,442.83</w:t>
            </w:r>
          </w:p>
        </w:tc>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36.75%</w:t>
            </w:r>
          </w:p>
        </w:tc>
      </w:tr>
    </w:tbl>
    <w:p>
      <w:pPr>
        <w:spacing w:line="240" w:lineRule="auto" w:before="3"/>
        <w:rPr>
          <w:rFonts w:ascii="宋体" w:hAnsi="宋体" w:cs="宋体" w:eastAsia="宋体" w:hint="default"/>
          <w:sz w:val="19"/>
          <w:szCs w:val="19"/>
        </w:rPr>
      </w:pPr>
    </w:p>
    <w:p>
      <w:pPr>
        <w:pStyle w:val="Heading3"/>
        <w:spacing w:line="240" w:lineRule="auto" w:before="36"/>
        <w:ind w:left="252" w:right="0"/>
        <w:jc w:val="left"/>
        <w:rPr>
          <w:b w:val="0"/>
          <w:bCs w:val="0"/>
        </w:rPr>
      </w:pPr>
      <w:r>
        <w:rPr/>
        <w:t>（</w:t>
      </w:r>
      <w:r>
        <w:rPr>
          <w:rFonts w:ascii="Times New Roman" w:hAnsi="Times New Roman" w:cs="Times New Roman" w:eastAsia="Times New Roman" w:hint="default"/>
        </w:rPr>
        <w:t>6</w:t>
      </w:r>
      <w:r>
        <w:rPr/>
        <w:t>）期末余额中无应收关联方账款情况。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52" w:right="0"/>
        <w:jc w:val="left"/>
        <w:rPr>
          <w:b w:val="0"/>
          <w:bCs w:val="0"/>
        </w:rPr>
      </w:pPr>
      <w:r>
        <w:rPr/>
        <w:t>（</w:t>
      </w:r>
      <w:r>
        <w:rPr>
          <w:rFonts w:ascii="Times New Roman" w:hAnsi="Times New Roman" w:cs="Times New Roman" w:eastAsia="Times New Roman" w:hint="default"/>
        </w:rPr>
        <w:t>7</w:t>
      </w:r>
      <w:r>
        <w:rPr/>
        <w:t>）本报告期无未全部终止确认的被转移的应收款项情况。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252" w:right="0"/>
        <w:jc w:val="left"/>
        <w:rPr>
          <w:b w:val="0"/>
          <w:bCs w:val="0"/>
        </w:rPr>
      </w:pPr>
      <w:r>
        <w:rPr/>
        <w:t>（</w:t>
      </w:r>
      <w:r>
        <w:rPr>
          <w:rFonts w:ascii="Times New Roman" w:hAnsi="Times New Roman" w:cs="Times New Roman" w:eastAsia="Times New Roman" w:hint="default"/>
        </w:rPr>
        <w:t>8</w:t>
      </w:r>
      <w:r>
        <w:rPr/>
        <w:t>）本报告期无以应收款项为标的进行证券化的情况。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52"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52"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844"/>
        <w:gridCol w:w="1133"/>
        <w:gridCol w:w="710"/>
        <w:gridCol w:w="1133"/>
        <w:gridCol w:w="711"/>
        <w:gridCol w:w="1274"/>
        <w:gridCol w:w="850"/>
        <w:gridCol w:w="1135"/>
        <w:gridCol w:w="922"/>
      </w:tblGrid>
      <w:tr>
        <w:trPr>
          <w:trHeight w:val="401"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68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844" w:type="dxa"/>
            <w:vMerge/>
            <w:tcBorders>
              <w:left w:val="single" w:sz="4" w:space="0" w:color="000000"/>
              <w:right w:val="single" w:sz="4" w:space="0" w:color="000000"/>
            </w:tcBorders>
            <w:shd w:val="clear" w:color="auto" w:fill="D2D2D2"/>
          </w:tcPr>
          <w:p>
            <w:pP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3" w:hRule="exact"/>
        </w:trPr>
        <w:tc>
          <w:tcPr>
            <w:tcW w:w="971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：账龄分析法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22,080,294.35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center"/>
              <w:rPr>
                <w:rFonts w:ascii="Times New Roman" w:hAnsi="Times New Roman" w:cs="Times New Roman" w:eastAsia="Times New Roman" w:hint="default"/>
                <w:sz w:val="18"/>
                <w:szCs w:val="18"/>
              </w:rPr>
            </w:pPr>
            <w:r>
              <w:rPr>
                <w:rFonts w:ascii="Times New Roman"/>
                <w:sz w:val="18"/>
              </w:rPr>
              <w:t>2,071,278.82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21,966,357.65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82.03%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1,805,276.77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8.22%</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：余额百分比法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center"/>
              <w:rPr>
                <w:rFonts w:ascii="Times New Roman" w:hAnsi="Times New Roman" w:cs="Times New Roman" w:eastAsia="Times New Roman" w:hint="default"/>
                <w:sz w:val="18"/>
                <w:szCs w:val="18"/>
              </w:rPr>
            </w:pPr>
            <w:r>
              <w:rPr>
                <w:rFonts w:ascii="Times New Roman"/>
                <w:sz w:val="18"/>
              </w:rPr>
              <w:t>7,494,645.49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25.34%</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4,812,871.88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17.97%</w:t>
            </w:r>
          </w:p>
        </w:tc>
        <w:tc>
          <w:tcPr>
            <w:tcW w:w="113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29,574,939.84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center"/>
              <w:rPr>
                <w:rFonts w:ascii="Times New Roman" w:hAnsi="Times New Roman" w:cs="Times New Roman" w:eastAsia="Times New Roman" w:hint="default"/>
                <w:sz w:val="18"/>
                <w:szCs w:val="18"/>
              </w:rPr>
            </w:pPr>
            <w:r>
              <w:rPr>
                <w:rFonts w:ascii="Times New Roman"/>
                <w:sz w:val="18"/>
              </w:rPr>
              <w:t>2,071,278.82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26,779,229.53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1,805,276.77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6.74%</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29,574,939.84</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center"/>
              <w:rPr>
                <w:rFonts w:ascii="Times New Roman" w:hAnsi="Times New Roman" w:cs="Times New Roman" w:eastAsia="Times New Roman" w:hint="default"/>
                <w:sz w:val="18"/>
                <w:szCs w:val="18"/>
              </w:rPr>
            </w:pPr>
            <w:r>
              <w:rPr>
                <w:rFonts w:ascii="Times New Roman"/>
                <w:sz w:val="18"/>
              </w:rPr>
              <w:t>2,071,278.82</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26,779,229.53</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5"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1,805,276.77</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880" w:right="980"/>
        </w:sectPr>
      </w:pPr>
    </w:p>
    <w:p>
      <w:pPr>
        <w:pStyle w:val="BodyText"/>
        <w:spacing w:line="357" w:lineRule="auto" w:before="49"/>
        <w:ind w:left="613" w:right="-20" w:hanging="361"/>
        <w:jc w:val="left"/>
      </w:pPr>
      <w:r>
        <w:rPr/>
        <w:t>其他应收款种类的说明 其他应收款种类的说明：详见附注二、（十）。</w:t>
      </w:r>
    </w:p>
    <w:p>
      <w:pPr>
        <w:pStyle w:val="BodyText"/>
        <w:spacing w:line="240" w:lineRule="auto" w:before="29"/>
        <w:ind w:left="252" w:right="-19"/>
        <w:jc w:val="left"/>
      </w:pPr>
      <w:r>
        <w:rPr/>
        <w:t>期末单项金额重大并单项计提坏账准备的其他应收款</w:t>
      </w:r>
    </w:p>
    <w:p>
      <w:pPr>
        <w:pStyle w:val="BodyText"/>
        <w:spacing w:line="340" w:lineRule="auto" w:before="115"/>
        <w:ind w:left="252"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41"/>
        <w:ind w:left="25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spacing w:line="240" w:lineRule="auto"/>
        <w:ind w:left="252" w:right="0"/>
        <w:jc w:val="left"/>
      </w:pPr>
      <w:r>
        <w:rPr/>
        <w:t>单位：</w:t>
      </w:r>
      <w:r>
        <w:rPr>
          <w:spacing w:val="1"/>
        </w:rPr>
        <w:t> </w:t>
      </w:r>
      <w:r>
        <w:rPr/>
        <w:t>元</w:t>
      </w:r>
    </w:p>
    <w:p>
      <w:pPr>
        <w:spacing w:after="0" w:line="240" w:lineRule="auto"/>
        <w:jc w:val="left"/>
        <w:sectPr>
          <w:type w:val="continuous"/>
          <w:pgSz w:w="11910" w:h="16840"/>
          <w:pgMar w:top="1060" w:bottom="1160" w:left="880" w:right="980"/>
          <w:cols w:num="2" w:equalWidth="0">
            <w:col w:w="4394" w:space="4435"/>
            <w:col w:w="1221"/>
          </w:cols>
        </w:sectPr>
      </w:pPr>
    </w:p>
    <w:p>
      <w:pPr>
        <w:spacing w:line="240" w:lineRule="auto" w:before="4"/>
        <w:rPr>
          <w:rFonts w:ascii="宋体" w:hAnsi="宋体" w:cs="宋体" w:eastAsia="宋体" w:hint="default"/>
          <w:sz w:val="8"/>
          <w:szCs w:val="8"/>
        </w:rPr>
      </w:pPr>
    </w:p>
    <w:tbl>
      <w:tblPr>
        <w:tblW w:w="0" w:type="auto"/>
        <w:jc w:val="left"/>
        <w:tblInd w:w="247" w:type="dxa"/>
        <w:tblLayout w:type="fixed"/>
        <w:tblCellMar>
          <w:top w:w="0" w:type="dxa"/>
          <w:left w:w="0" w:type="dxa"/>
          <w:bottom w:w="0" w:type="dxa"/>
          <w:right w:w="0" w:type="dxa"/>
        </w:tblCellMar>
        <w:tblLook w:val="01E0"/>
      </w:tblPr>
      <w:tblGrid>
        <w:gridCol w:w="1848"/>
        <w:gridCol w:w="1698"/>
        <w:gridCol w:w="796"/>
        <w:gridCol w:w="1454"/>
        <w:gridCol w:w="1294"/>
        <w:gridCol w:w="808"/>
        <w:gridCol w:w="1662"/>
      </w:tblGrid>
      <w:tr>
        <w:trPr>
          <w:trHeight w:val="403" w:hRule="exact"/>
        </w:trPr>
        <w:tc>
          <w:tcPr>
            <w:tcW w:w="1848" w:type="dxa"/>
            <w:tcBorders>
              <w:top w:val="single" w:sz="4" w:space="0" w:color="000000"/>
              <w:left w:val="single" w:sz="4" w:space="0" w:color="000000"/>
              <w:bottom w:val="nil" w:sz="6" w:space="0" w:color="auto"/>
              <w:right w:val="single" w:sz="4" w:space="0" w:color="000000"/>
            </w:tcBorders>
            <w:shd w:val="clear" w:color="auto" w:fill="D2D2D2"/>
          </w:tcPr>
          <w:p>
            <w:pP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5" w:hRule="exact"/>
        </w:trPr>
        <w:tc>
          <w:tcPr>
            <w:tcW w:w="18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4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4"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848" w:type="dxa"/>
            <w:vMerge/>
            <w:tcBorders>
              <w:left w:val="single" w:sz="4" w:space="0" w:color="000000"/>
              <w:bottom w:val="nil" w:sz="6" w:space="0" w:color="auto"/>
              <w:right w:val="single" w:sz="4" w:space="0" w:color="000000"/>
            </w:tcBorders>
            <w:shd w:val="clear" w:color="auto" w:fill="D2D2D2"/>
          </w:tcPr>
          <w:p>
            <w:pPr/>
          </w:p>
        </w:tc>
        <w:tc>
          <w:tcPr>
            <w:tcW w:w="2494" w:type="dxa"/>
            <w:gridSpan w:val="2"/>
            <w:vMerge/>
            <w:tcBorders>
              <w:left w:val="single" w:sz="4" w:space="0" w:color="000000"/>
              <w:bottom w:val="single" w:sz="4" w:space="0" w:color="000000"/>
              <w:right w:val="single" w:sz="4" w:space="0" w:color="000000"/>
            </w:tcBorders>
            <w:shd w:val="clear" w:color="auto" w:fill="D2D2D2"/>
          </w:tcPr>
          <w:p>
            <w:pPr/>
          </w:p>
        </w:tc>
        <w:tc>
          <w:tcPr>
            <w:tcW w:w="14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1" w:type="dxa"/>
            <w:gridSpan w:val="2"/>
            <w:vMerge/>
            <w:tcBorders>
              <w:left w:val="single" w:sz="4" w:space="0" w:color="000000"/>
              <w:bottom w:val="single" w:sz="4" w:space="0" w:color="000000"/>
              <w:right w:val="single" w:sz="4" w:space="0" w:color="000000"/>
            </w:tcBorders>
            <w:shd w:val="clear" w:color="auto" w:fill="D2D2D2"/>
          </w:tcPr>
          <w:p>
            <w:pPr/>
          </w:p>
        </w:tc>
        <w:tc>
          <w:tcPr>
            <w:tcW w:w="1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7" w:hRule="exact"/>
        </w:trPr>
        <w:tc>
          <w:tcPr>
            <w:tcW w:w="1848" w:type="dxa"/>
            <w:vMerge w:val="restart"/>
            <w:tcBorders>
              <w:top w:val="nil" w:sz="6" w:space="0" w:color="auto"/>
              <w:left w:val="single" w:sz="4" w:space="0" w:color="000000"/>
              <w:right w:val="single" w:sz="4" w:space="0" w:color="000000"/>
            </w:tcBorders>
            <w:shd w:val="clear" w:color="auto" w:fill="D2D2D2"/>
          </w:tcPr>
          <w:p>
            <w:pPr/>
          </w:p>
        </w:tc>
        <w:tc>
          <w:tcPr>
            <w:tcW w:w="16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4" w:type="dxa"/>
            <w:vMerge/>
            <w:tcBorders>
              <w:left w:val="single" w:sz="4" w:space="0" w:color="000000"/>
              <w:bottom w:val="nil" w:sz="6" w:space="0" w:color="auto"/>
              <w:right w:val="single" w:sz="4" w:space="0" w:color="000000"/>
            </w:tcBorders>
            <w:shd w:val="clear" w:color="auto" w:fill="D2D2D2"/>
          </w:tcPr>
          <w:p>
            <w:pPr/>
          </w:p>
        </w:tc>
        <w:tc>
          <w:tcPr>
            <w:tcW w:w="12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662" w:type="dxa"/>
            <w:vMerge/>
            <w:tcBorders>
              <w:left w:val="single" w:sz="4" w:space="0" w:color="000000"/>
              <w:bottom w:val="nil" w:sz="6" w:space="0" w:color="auto"/>
              <w:right w:val="single" w:sz="4" w:space="0" w:color="000000"/>
            </w:tcBorders>
            <w:shd w:val="clear" w:color="auto" w:fill="D2D2D2"/>
          </w:tcPr>
          <w:p>
            <w:pPr/>
          </w:p>
        </w:tc>
      </w:tr>
      <w:tr>
        <w:trPr>
          <w:trHeight w:val="211" w:hRule="exact"/>
        </w:trPr>
        <w:tc>
          <w:tcPr>
            <w:tcW w:w="1848" w:type="dxa"/>
            <w:vMerge/>
            <w:tcBorders>
              <w:left w:val="single" w:sz="4" w:space="0" w:color="000000"/>
              <w:bottom w:val="single" w:sz="4" w:space="0" w:color="000000"/>
              <w:right w:val="single" w:sz="4" w:space="0" w:color="000000"/>
            </w:tcBorders>
            <w:shd w:val="clear" w:color="auto" w:fill="D2D2D2"/>
          </w:tcPr>
          <w:p>
            <w:pPr/>
          </w:p>
        </w:tc>
        <w:tc>
          <w:tcPr>
            <w:tcW w:w="1698"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14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94"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1"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8"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18,107,102.43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82.01%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905,290.23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20,110,207.09</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91.55%</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1,005,540.14</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2,742,874.63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12.42%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274,287.46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978,984.21</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4.45%</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97,898.42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8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7"/>
        <w:gridCol w:w="1697"/>
        <w:gridCol w:w="802"/>
        <w:gridCol w:w="1448"/>
        <w:gridCol w:w="1294"/>
        <w:gridCol w:w="814"/>
        <w:gridCol w:w="1668"/>
      </w:tblGrid>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538,961.08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2.44%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269,480.54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219,028.77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109,514.39</w:t>
            </w:r>
          </w:p>
        </w:tc>
      </w:tr>
      <w:tr>
        <w:trPr>
          <w:trHeight w:val="404"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691,356.21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04" w:right="0"/>
              <w:jc w:val="left"/>
              <w:rPr>
                <w:rFonts w:ascii="Times New Roman" w:hAnsi="Times New Roman" w:cs="Times New Roman" w:eastAsia="Times New Roman" w:hint="default"/>
                <w:sz w:val="18"/>
                <w:szCs w:val="18"/>
              </w:rPr>
            </w:pPr>
            <w:r>
              <w:rPr>
                <w:rFonts w:ascii="Times New Roman"/>
                <w:sz w:val="18"/>
              </w:rPr>
              <w:t>3.13%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622,220.59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658,137.58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592,323.82</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97"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22,080,294.35</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35" w:right="0"/>
              <w:jc w:val="left"/>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2,071,278.82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21,966,357.65</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1,805,276.77</w:t>
            </w:r>
          </w:p>
        </w:tc>
      </w:tr>
    </w:tbl>
    <w:p>
      <w:pPr>
        <w:spacing w:after="0" w:line="240" w:lineRule="auto"/>
        <w:jc w:val="right"/>
        <w:rPr>
          <w:rFonts w:ascii="Times New Roman" w:hAnsi="Times New Roman" w:cs="Times New Roman" w:eastAsia="Times New Roman" w:hint="default"/>
          <w:sz w:val="18"/>
          <w:szCs w:val="18"/>
        </w:rPr>
        <w:sectPr>
          <w:footerReference w:type="default" r:id="rId23"/>
          <w:pgSz w:w="11910" w:h="16840"/>
          <w:pgMar w:footer="980" w:header="745" w:top="1060" w:bottom="1160" w:left="980" w:right="980"/>
        </w:sectPr>
      </w:pPr>
    </w:p>
    <w:p>
      <w:pPr>
        <w:pStyle w:val="BodyText"/>
        <w:spacing w:line="240" w:lineRule="auto" w:before="49"/>
        <w:ind w:right="-19"/>
        <w:jc w:val="left"/>
      </w:pPr>
      <w:r>
        <w:rPr/>
        <w:t>组合中，采用余额百分比法计提坏账准备的其他应收款</w:t>
      </w:r>
    </w:p>
    <w:p>
      <w:pPr>
        <w:pStyle w:val="BodyText"/>
        <w:spacing w:line="240" w:lineRule="auto" w:before="115"/>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4" w:space="4355"/>
            <w:col w:w="11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8"/>
        <w:gridCol w:w="2165"/>
        <w:gridCol w:w="2168"/>
        <w:gridCol w:w="2168"/>
      </w:tblGrid>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应收补贴款</w:t>
            </w:r>
            <w:r>
              <w:rPr>
                <w:rFonts w:ascii="Times New Roman" w:hAnsi="Times New Roman" w:cs="Times New Roman" w:eastAsia="Times New Roman" w:hint="default"/>
                <w:sz w:val="18"/>
                <w:szCs w:val="18"/>
              </w:rPr>
              <w:t>-</w:t>
            </w:r>
            <w:r>
              <w:rPr>
                <w:rFonts w:ascii="宋体" w:hAnsi="宋体" w:cs="宋体" w:eastAsia="宋体" w:hint="default"/>
                <w:sz w:val="18"/>
                <w:szCs w:val="18"/>
              </w:rPr>
              <w:t>增值税退税</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6,168,699.31</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应收补贴款</w:t>
            </w:r>
            <w:r>
              <w:rPr>
                <w:rFonts w:ascii="Times New Roman" w:hAnsi="Times New Roman" w:cs="Times New Roman" w:eastAsia="Times New Roman" w:hint="default"/>
                <w:sz w:val="18"/>
                <w:szCs w:val="18"/>
              </w:rPr>
              <w:t>-</w:t>
            </w:r>
            <w:r>
              <w:rPr>
                <w:rFonts w:ascii="宋体" w:hAnsi="宋体" w:cs="宋体" w:eastAsia="宋体" w:hint="default"/>
                <w:sz w:val="18"/>
                <w:szCs w:val="18"/>
              </w:rPr>
              <w:t>出口退税</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1,325,946.18</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7,494,645.49</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21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44"/>
        <w:jc w:val="left"/>
      </w:pPr>
      <w:r>
        <w:rPr/>
        <w:t>组合中，采用其他方法计提坏账准备的其他应收款</w:t>
      </w:r>
    </w:p>
    <w:p>
      <w:pPr>
        <w:pStyle w:val="BodyText"/>
        <w:spacing w:line="338" w:lineRule="auto" w:before="117"/>
        <w:ind w:right="5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43"/>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44"/>
        <w:jc w:val="left"/>
        <w:rPr>
          <w:b w:val="0"/>
          <w:bCs w:val="0"/>
        </w:rPr>
      </w:pPr>
      <w:r>
        <w:rPr/>
        <w:t>（</w:t>
      </w:r>
      <w:r>
        <w:rPr>
          <w:rFonts w:ascii="Times New Roman" w:hAnsi="Times New Roman" w:cs="Times New Roman" w:eastAsia="Times New Roman" w:hint="default"/>
        </w:rPr>
        <w:t>2</w:t>
      </w:r>
      <w:r>
        <w:rPr/>
        <w:t>）本报告期不存在转回或收回的其他应收款情况。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3</w:t>
      </w:r>
      <w:r>
        <w:rPr/>
        <w:t>）本报告期不存在实际核销的其他应收款情况。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4</w:t>
      </w:r>
      <w:r>
        <w:rPr/>
        <w:t>）本报告期其他应收款中无持有公司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5</w:t>
      </w:r>
      <w:r>
        <w:rPr/>
        <w:t>）其他应收款金额前五名单位情况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6"/>
        <w:gridCol w:w="1691"/>
        <w:gridCol w:w="1926"/>
        <w:gridCol w:w="1903"/>
        <w:gridCol w:w="1926"/>
      </w:tblGrid>
      <w:tr>
        <w:trPr>
          <w:trHeight w:val="714"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38" w:right="51"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广州市国家税务局</w:t>
            </w:r>
          </w:p>
        </w:tc>
        <w:tc>
          <w:tcPr>
            <w:tcW w:w="16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税收主管部门</w:t>
            </w:r>
          </w:p>
        </w:tc>
        <w:tc>
          <w:tcPr>
            <w:tcW w:w="1926" w:type="dxa"/>
            <w:tcBorders>
              <w:top w:val="single" w:sz="4" w:space="0" w:color="000000"/>
              <w:left w:val="single" w:sz="9" w:space="0" w:color="CCE8CC"/>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7,494,645.49</w:t>
            </w:r>
          </w:p>
        </w:tc>
        <w:tc>
          <w:tcPr>
            <w:tcW w:w="190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926"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2"/>
              <w:ind w:left="674" w:right="0"/>
              <w:jc w:val="left"/>
              <w:rPr>
                <w:rFonts w:ascii="Times New Roman" w:hAnsi="Times New Roman" w:cs="Times New Roman" w:eastAsia="Times New Roman" w:hint="default"/>
                <w:sz w:val="18"/>
                <w:szCs w:val="18"/>
              </w:rPr>
            </w:pPr>
            <w:r>
              <w:rPr>
                <w:rFonts w:ascii="Times New Roman"/>
                <w:sz w:val="18"/>
              </w:rPr>
              <w:t>25.34%</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深圳市信威电子有限公司</w:t>
            </w:r>
          </w:p>
        </w:tc>
        <w:tc>
          <w:tcPr>
            <w:tcW w:w="16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926" w:type="dxa"/>
            <w:tcBorders>
              <w:top w:val="single" w:sz="4" w:space="0" w:color="000000"/>
              <w:left w:val="single" w:sz="9" w:space="0" w:color="CCE8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90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926"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1"/>
              <w:ind w:left="674" w:right="0"/>
              <w:jc w:val="left"/>
              <w:rPr>
                <w:rFonts w:ascii="Times New Roman" w:hAnsi="Times New Roman" w:cs="Times New Roman" w:eastAsia="Times New Roman" w:hint="default"/>
                <w:sz w:val="18"/>
                <w:szCs w:val="18"/>
              </w:rPr>
            </w:pPr>
            <w:r>
              <w:rPr>
                <w:rFonts w:ascii="Times New Roman"/>
                <w:sz w:val="18"/>
              </w:rPr>
              <w:t>23.67%</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16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1926" w:type="dxa"/>
            <w:tcBorders>
              <w:top w:val="single" w:sz="4" w:space="0" w:color="000000"/>
              <w:left w:val="single" w:sz="9" w:space="0" w:color="CCE8CC"/>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789,038.13</w:t>
            </w:r>
          </w:p>
        </w:tc>
        <w:tc>
          <w:tcPr>
            <w:tcW w:w="190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926"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2"/>
              <w:ind w:left="720" w:right="0"/>
              <w:jc w:val="left"/>
              <w:rPr>
                <w:rFonts w:ascii="Times New Roman" w:hAnsi="Times New Roman" w:cs="Times New Roman" w:eastAsia="Times New Roman" w:hint="default"/>
                <w:sz w:val="18"/>
                <w:szCs w:val="18"/>
              </w:rPr>
            </w:pPr>
            <w:r>
              <w:rPr>
                <w:rFonts w:ascii="Times New Roman"/>
                <w:sz w:val="18"/>
              </w:rPr>
              <w:t>2.67%</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张兴琼</w:t>
            </w:r>
          </w:p>
        </w:tc>
        <w:tc>
          <w:tcPr>
            <w:tcW w:w="16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w:t>
            </w:r>
          </w:p>
        </w:tc>
        <w:tc>
          <w:tcPr>
            <w:tcW w:w="1926" w:type="dxa"/>
            <w:tcBorders>
              <w:top w:val="single" w:sz="4" w:space="0" w:color="000000"/>
              <w:left w:val="single" w:sz="9" w:space="0" w:color="CCE8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576,400.00</w:t>
            </w:r>
          </w:p>
        </w:tc>
        <w:tc>
          <w:tcPr>
            <w:tcW w:w="190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926"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1"/>
              <w:ind w:left="720" w:right="0"/>
              <w:jc w:val="left"/>
              <w:rPr>
                <w:rFonts w:ascii="Times New Roman" w:hAnsi="Times New Roman" w:cs="Times New Roman" w:eastAsia="Times New Roman" w:hint="default"/>
                <w:sz w:val="18"/>
                <w:szCs w:val="18"/>
              </w:rPr>
            </w:pPr>
            <w:r>
              <w:rPr>
                <w:rFonts w:ascii="Times New Roman"/>
                <w:sz w:val="18"/>
              </w:rPr>
              <w:t>1.95%</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6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26" w:type="dxa"/>
            <w:tcBorders>
              <w:top w:val="single" w:sz="4" w:space="0" w:color="000000"/>
              <w:left w:val="single" w:sz="9" w:space="0" w:color="CCE8CC"/>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560,000.00</w:t>
            </w:r>
          </w:p>
        </w:tc>
        <w:tc>
          <w:tcPr>
            <w:tcW w:w="190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926"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2"/>
              <w:ind w:left="720" w:right="0"/>
              <w:jc w:val="left"/>
              <w:rPr>
                <w:rFonts w:ascii="Times New Roman" w:hAnsi="Times New Roman" w:cs="Times New Roman" w:eastAsia="Times New Roman" w:hint="default"/>
                <w:sz w:val="18"/>
                <w:szCs w:val="18"/>
              </w:rPr>
            </w:pPr>
            <w:r>
              <w:rPr>
                <w:rFonts w:ascii="Times New Roman"/>
                <w:sz w:val="18"/>
              </w:rPr>
              <w:t>1.89%</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16,420,083.62</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19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674" w:right="0"/>
              <w:jc w:val="left"/>
              <w:rPr>
                <w:rFonts w:ascii="Times New Roman" w:hAnsi="Times New Roman" w:cs="Times New Roman" w:eastAsia="Times New Roman" w:hint="default"/>
                <w:sz w:val="18"/>
                <w:szCs w:val="18"/>
              </w:rPr>
            </w:pPr>
            <w:r>
              <w:rPr>
                <w:rFonts w:ascii="Times New Roman"/>
                <w:sz w:val="18"/>
              </w:rPr>
              <w:t>55.52%</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19"/>
        <w:gridCol w:w="2443"/>
        <w:gridCol w:w="2429"/>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241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关键管理人员</w:t>
            </w:r>
          </w:p>
        </w:tc>
        <w:tc>
          <w:tcPr>
            <w:tcW w:w="2443" w:type="dxa"/>
            <w:tcBorders>
              <w:top w:val="single" w:sz="4" w:space="0" w:color="000000"/>
              <w:left w:val="single" w:sz="10" w:space="0" w:color="CCE8CC"/>
              <w:bottom w:val="single" w:sz="4" w:space="0" w:color="000000"/>
              <w:right w:val="single" w:sz="4" w:space="0" w:color="000000"/>
            </w:tcBorders>
          </w:tcPr>
          <w:p>
            <w:pPr>
              <w:pStyle w:val="TableParagraph"/>
              <w:spacing w:line="240" w:lineRule="auto" w:before="92"/>
              <w:ind w:left="1590" w:right="0"/>
              <w:jc w:val="left"/>
              <w:rPr>
                <w:rFonts w:ascii="Times New Roman" w:hAnsi="Times New Roman" w:cs="Times New Roman" w:eastAsia="Times New Roman" w:hint="default"/>
                <w:sz w:val="18"/>
                <w:szCs w:val="18"/>
              </w:rPr>
            </w:pPr>
            <w:r>
              <w:rPr>
                <w:rFonts w:ascii="Times New Roman"/>
                <w:sz w:val="18"/>
              </w:rPr>
              <w:t>789,038.13</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2.67%</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77"/>
        <w:gridCol w:w="2419"/>
        <w:gridCol w:w="2443"/>
        <w:gridCol w:w="2429"/>
      </w:tblGrid>
      <w:tr>
        <w:trPr>
          <w:trHeight w:val="402" w:hRule="exact"/>
        </w:trPr>
        <w:tc>
          <w:tcPr>
            <w:tcW w:w="22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庞泰松</w:t>
            </w:r>
          </w:p>
        </w:tc>
        <w:tc>
          <w:tcPr>
            <w:tcW w:w="241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关键管理人员</w:t>
            </w:r>
          </w:p>
        </w:tc>
        <w:tc>
          <w:tcPr>
            <w:tcW w:w="2443" w:type="dxa"/>
            <w:tcBorders>
              <w:top w:val="single" w:sz="4" w:space="0" w:color="000000"/>
              <w:left w:val="single" w:sz="10" w:space="0" w:color="CCE8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41,482.30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4"/>
              <w:jc w:val="right"/>
              <w:rPr>
                <w:rFonts w:ascii="Times New Roman" w:hAnsi="Times New Roman" w:cs="Times New Roman" w:eastAsia="Times New Roman" w:hint="default"/>
                <w:sz w:val="18"/>
                <w:szCs w:val="18"/>
              </w:rPr>
            </w:pPr>
            <w:r>
              <w:rPr>
                <w:rFonts w:ascii="Times New Roman"/>
                <w:sz w:val="18"/>
              </w:rPr>
              <w:t>0.14%</w:t>
            </w:r>
          </w:p>
        </w:tc>
      </w:tr>
      <w:tr>
        <w:trPr>
          <w:trHeight w:val="402" w:hRule="exact"/>
        </w:trPr>
        <w:tc>
          <w:tcPr>
            <w:tcW w:w="22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徐德银</w:t>
            </w:r>
          </w:p>
        </w:tc>
        <w:tc>
          <w:tcPr>
            <w:tcW w:w="241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关键管理人员</w:t>
            </w:r>
          </w:p>
        </w:tc>
        <w:tc>
          <w:tcPr>
            <w:tcW w:w="2443" w:type="dxa"/>
            <w:tcBorders>
              <w:top w:val="single" w:sz="4" w:space="0" w:color="000000"/>
              <w:left w:val="single" w:sz="10" w:space="0" w:color="CCE8CC"/>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49,663.99</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4"/>
              <w:jc w:val="righ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22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241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关键管理人员</w:t>
            </w:r>
          </w:p>
        </w:tc>
        <w:tc>
          <w:tcPr>
            <w:tcW w:w="2443" w:type="dxa"/>
            <w:tcBorders>
              <w:top w:val="single" w:sz="4" w:space="0" w:color="000000"/>
              <w:left w:val="single" w:sz="10" w:space="0" w:color="CCE8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4"/>
              <w:jc w:val="right"/>
              <w:rPr>
                <w:rFonts w:ascii="Times New Roman" w:hAnsi="Times New Roman" w:cs="Times New Roman" w:eastAsia="Times New Roman" w:hint="default"/>
                <w:sz w:val="18"/>
                <w:szCs w:val="18"/>
              </w:rPr>
            </w:pPr>
            <w:r>
              <w:rPr>
                <w:rFonts w:ascii="Times New Roman"/>
                <w:sz w:val="18"/>
              </w:rPr>
              <w:t>0.14%</w:t>
            </w:r>
          </w:p>
        </w:tc>
      </w:tr>
      <w:tr>
        <w:trPr>
          <w:trHeight w:val="402" w:hRule="exact"/>
        </w:trPr>
        <w:tc>
          <w:tcPr>
            <w:tcW w:w="22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张成虎</w:t>
            </w:r>
          </w:p>
        </w:tc>
        <w:tc>
          <w:tcPr>
            <w:tcW w:w="241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关键管理人员</w:t>
            </w:r>
          </w:p>
        </w:tc>
        <w:tc>
          <w:tcPr>
            <w:tcW w:w="2443" w:type="dxa"/>
            <w:tcBorders>
              <w:top w:val="single" w:sz="4" w:space="0" w:color="000000"/>
              <w:left w:val="single" w:sz="10" w:space="0" w:color="CCE8CC"/>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25,246.00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4"/>
              <w:jc w:val="right"/>
              <w:rPr>
                <w:rFonts w:ascii="Times New Roman" w:hAnsi="Times New Roman" w:cs="Times New Roman" w:eastAsia="Times New Roman" w:hint="default"/>
                <w:sz w:val="18"/>
                <w:szCs w:val="18"/>
              </w:rPr>
            </w:pPr>
            <w:r>
              <w:rPr>
                <w:rFonts w:ascii="Times New Roman"/>
                <w:sz w:val="18"/>
              </w:rPr>
              <w:t>0.09%</w:t>
            </w:r>
          </w:p>
        </w:tc>
      </w:tr>
      <w:tr>
        <w:trPr>
          <w:trHeight w:val="40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4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946,230.42</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4"/>
              <w:jc w:val="right"/>
              <w:rPr>
                <w:rFonts w:ascii="Times New Roman" w:hAnsi="Times New Roman" w:cs="Times New Roman" w:eastAsia="Times New Roman" w:hint="default"/>
                <w:sz w:val="18"/>
                <w:szCs w:val="18"/>
              </w:rPr>
            </w:pPr>
            <w:r>
              <w:rPr>
                <w:rFonts w:ascii="Times New Roman"/>
                <w:sz w:val="18"/>
              </w:rPr>
              <w:t>3.21%</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t>（</w:t>
      </w:r>
      <w:r>
        <w:rPr>
          <w:rFonts w:ascii="Times New Roman" w:hAnsi="Times New Roman" w:cs="Times New Roman" w:eastAsia="Times New Roman" w:hint="default"/>
        </w:rPr>
        <w:t>8</w:t>
      </w:r>
      <w:r>
        <w:rPr/>
        <w:t>）本报告期无未全部终止确认的被转移的其他应收款项情况。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9</w:t>
      </w:r>
      <w:r>
        <w:rPr/>
        <w:t>）本报告期无以其他应收款为标的进行证券化的情况。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4"/>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4"/>
        <w:gridCol w:w="3187"/>
        <w:gridCol w:w="1064"/>
        <w:gridCol w:w="3053"/>
        <w:gridCol w:w="1064"/>
      </w:tblGrid>
      <w:tr>
        <w:trPr>
          <w:trHeight w:val="206" w:hRule="exact"/>
        </w:trPr>
        <w:tc>
          <w:tcPr>
            <w:tcW w:w="1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204" w:type="dxa"/>
            <w:vMerge/>
            <w:tcBorders>
              <w:left w:val="single" w:sz="4" w:space="0" w:color="000000"/>
              <w:bottom w:val="nil" w:sz="6" w:space="0" w:color="auto"/>
              <w:right w:val="single" w:sz="4" w:space="0" w:color="000000"/>
            </w:tcBorders>
            <w:shd w:val="clear" w:color="auto" w:fill="D2D2D2"/>
          </w:tcPr>
          <w:p>
            <w:pPr/>
          </w:p>
        </w:tc>
        <w:tc>
          <w:tcPr>
            <w:tcW w:w="31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4" w:hRule="exact"/>
        </w:trPr>
        <w:tc>
          <w:tcPr>
            <w:tcW w:w="1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7"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5,520,358.01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77.55%</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59,348,739.58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1,597,700.26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22.45%</w:t>
            </w:r>
          </w:p>
        </w:tc>
        <w:tc>
          <w:tcPr>
            <w:tcW w:w="305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7,118,058.27</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59,348,739.58</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3"/>
        <w:gridCol w:w="1330"/>
        <w:gridCol w:w="1330"/>
        <w:gridCol w:w="1328"/>
        <w:gridCol w:w="1332"/>
      </w:tblGrid>
      <w:tr>
        <w:trPr>
          <w:trHeight w:val="397"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7" w:hRule="exact"/>
        </w:trPr>
        <w:tc>
          <w:tcPr>
            <w:tcW w:w="425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TalarisCach</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Dispensing</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Systems</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AB</w:t>
            </w:r>
            <w:r>
              <w:rPr>
                <w:rFonts w:ascii="宋体" w:hAnsi="宋体" w:cs="宋体" w:eastAsia="宋体" w:hint="default"/>
                <w:sz w:val="18"/>
                <w:szCs w:val="18"/>
              </w:rPr>
              <w:t>（</w:t>
            </w:r>
            <w:r>
              <w:rPr>
                <w:rFonts w:ascii="Times New Roman" w:hAnsi="Times New Roman" w:cs="Times New Roman" w:eastAsia="Times New Roman" w:hint="default"/>
                <w:sz w:val="18"/>
                <w:szCs w:val="18"/>
              </w:rPr>
              <w:t>Talaris</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p>
        </w:tc>
        <w:tc>
          <w:tcPr>
            <w:tcW w:w="133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2,049,672.19</w:t>
            </w:r>
          </w:p>
        </w:tc>
        <w:tc>
          <w:tcPr>
            <w:tcW w:w="132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3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预付货款</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北京东宝金龙经贸发展有限公司</w:t>
            </w:r>
          </w:p>
        </w:tc>
        <w:tc>
          <w:tcPr>
            <w:tcW w:w="133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960,000.00</w:t>
            </w:r>
          </w:p>
        </w:tc>
        <w:tc>
          <w:tcPr>
            <w:tcW w:w="132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3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预付货款</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富士通先端科技</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33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581,861.37</w:t>
            </w:r>
          </w:p>
        </w:tc>
        <w:tc>
          <w:tcPr>
            <w:tcW w:w="132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3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预付货款</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广东御和电子科技有限公司</w:t>
            </w:r>
          </w:p>
        </w:tc>
        <w:tc>
          <w:tcPr>
            <w:tcW w:w="133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484,436.47</w:t>
            </w:r>
          </w:p>
        </w:tc>
        <w:tc>
          <w:tcPr>
            <w:tcW w:w="132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3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预付货款</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日电产三协电子（上海）有限公司</w:t>
            </w:r>
          </w:p>
        </w:tc>
        <w:tc>
          <w:tcPr>
            <w:tcW w:w="133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349,842.14</w:t>
            </w:r>
          </w:p>
        </w:tc>
        <w:tc>
          <w:tcPr>
            <w:tcW w:w="132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3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预付货款</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4,425,812.17</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506" w:lineRule="auto" w:before="36"/>
        <w:ind w:right="1557"/>
        <w:jc w:val="left"/>
        <w:rPr>
          <w:b w:val="0"/>
          <w:bCs w:val="0"/>
        </w:rPr>
      </w:pPr>
      <w:r>
        <w:rPr/>
        <w:t>（</w:t>
      </w:r>
      <w:r>
        <w:rPr>
          <w:rFonts w:ascii="Times New Roman" w:hAnsi="Times New Roman" w:cs="Times New Roman" w:eastAsia="Times New Roman" w:hint="default"/>
        </w:rPr>
        <w:t>3</w:t>
      </w:r>
      <w:r>
        <w:rPr/>
        <w:t>）本报告期预付款项中无持有本公司</w:t>
      </w:r>
      <w:r>
        <w:rPr>
          <w:spacing w:val="-55"/>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％）以上表决权股份的股东单位情况。</w:t>
      </w:r>
      <w:r>
        <w:rPr>
          <w:w w:val="100"/>
        </w:rPr>
        <w:t> </w:t>
      </w:r>
      <w:r>
        <w:rPr>
          <w:rFonts w:ascii="Times New Roman" w:hAnsi="Times New Roman" w:cs="Times New Roman" w:eastAsia="Times New Roman" w:hint="default"/>
        </w:rPr>
        <w:t>7</w:t>
      </w:r>
      <w:r>
        <w:rPr/>
        <w:t>、存货</w:t>
      </w:r>
      <w:r>
        <w:rPr>
          <w:b w:val="0"/>
          <w:bCs w:val="0"/>
        </w:rPr>
      </w:r>
    </w:p>
    <w:p>
      <w:pPr>
        <w:pStyle w:val="Heading3"/>
        <w:spacing w:line="240" w:lineRule="auto" w:before="63"/>
        <w:ind w:right="144"/>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footerReference w:type="default" r:id="rId24"/>
          <w:pgSz w:w="11910" w:h="16840"/>
          <w:pgMar w:footer="980" w:header="745" w:top="1060" w:bottom="1160" w:left="980" w:right="980"/>
          <w:pgNumType w:start="101"/>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462"/>
        <w:gridCol w:w="1193"/>
        <w:gridCol w:w="1330"/>
        <w:gridCol w:w="1327"/>
        <w:gridCol w:w="1330"/>
        <w:gridCol w:w="1328"/>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6" w:hRule="exact"/>
        </w:trPr>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133,582,502.68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171,187.82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133,411,314.86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79,478,184.19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535,138.05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78,943,046.14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在产品</w:t>
            </w:r>
          </w:p>
        </w:tc>
        <w:tc>
          <w:tcPr>
            <w:tcW w:w="1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36,039,697.66</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36,039,697.66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16,704,413.17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16,704,413.17</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1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16,520,292.02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16,520,292.02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20,906,202.05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20,906,202.05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辅助材料</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177,264.02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177,264.02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87,505.83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87,505.83</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半成品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6,413,450.73</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6,413,450.73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3,927,334.60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3,927,334.60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发出商品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137,268,751.53</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137,268,751.53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119,752,759.21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119,752,759.21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330,001,958.64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171,187.82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329,830,770.82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240,856,399.05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535,138.05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240,321,261.00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5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26"/>
        <w:gridCol w:w="1616"/>
        <w:gridCol w:w="1616"/>
        <w:gridCol w:w="1414"/>
        <w:gridCol w:w="1431"/>
        <w:gridCol w:w="1757"/>
      </w:tblGrid>
      <w:tr>
        <w:trPr>
          <w:trHeight w:val="206" w:hRule="exact"/>
        </w:trPr>
        <w:tc>
          <w:tcPr>
            <w:tcW w:w="17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28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7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92"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5" w:type="dxa"/>
            <w:gridSpan w:val="2"/>
            <w:vMerge/>
            <w:tcBorders>
              <w:left w:val="single" w:sz="4" w:space="0" w:color="000000"/>
              <w:bottom w:val="single" w:sz="4" w:space="0" w:color="000000"/>
              <w:right w:val="single" w:sz="4" w:space="0" w:color="000000"/>
            </w:tcBorders>
            <w:shd w:val="clear" w:color="auto" w:fill="D2D2D2"/>
          </w:tcPr>
          <w:p>
            <w:pPr/>
          </w:p>
        </w:tc>
        <w:tc>
          <w:tcPr>
            <w:tcW w:w="17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1726" w:type="dxa"/>
            <w:vMerge/>
            <w:tcBorders>
              <w:left w:val="single" w:sz="4" w:space="0" w:color="000000"/>
              <w:bottom w:val="nil" w:sz="6" w:space="0" w:color="auto"/>
              <w:right w:val="single" w:sz="4" w:space="0" w:color="000000"/>
            </w:tcBorders>
            <w:shd w:val="clear" w:color="auto" w:fill="D2D2D2"/>
          </w:tcPr>
          <w:p>
            <w:pPr/>
          </w:p>
        </w:tc>
        <w:tc>
          <w:tcPr>
            <w:tcW w:w="1616" w:type="dxa"/>
            <w:vMerge/>
            <w:tcBorders>
              <w:left w:val="single" w:sz="4" w:space="0" w:color="000000"/>
              <w:bottom w:val="nil" w:sz="6" w:space="0" w:color="auto"/>
              <w:right w:val="single" w:sz="4" w:space="0" w:color="000000"/>
            </w:tcBorders>
            <w:shd w:val="clear" w:color="auto" w:fill="D2D2D2"/>
          </w:tcPr>
          <w:p>
            <w:pPr/>
          </w:p>
        </w:tc>
        <w:tc>
          <w:tcPr>
            <w:tcW w:w="1616" w:type="dxa"/>
            <w:vMerge/>
            <w:tcBorders>
              <w:left w:val="single" w:sz="4" w:space="0" w:color="000000"/>
              <w:bottom w:val="nil" w:sz="6" w:space="0" w:color="auto"/>
              <w:right w:val="single" w:sz="4" w:space="0" w:color="000000"/>
            </w:tcBorders>
            <w:shd w:val="clear" w:color="auto" w:fill="D2D2D2"/>
          </w:tcPr>
          <w:p>
            <w:pPr/>
          </w:p>
        </w:tc>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7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4" w:type="dxa"/>
            <w:vMerge/>
            <w:tcBorders>
              <w:left w:val="single" w:sz="4" w:space="0" w:color="000000"/>
              <w:bottom w:val="single" w:sz="4" w:space="0" w:color="000000"/>
              <w:right w:val="single" w:sz="4" w:space="0" w:color="000000"/>
            </w:tcBorders>
            <w:shd w:val="clear" w:color="auto" w:fill="D2D2D2"/>
          </w:tcPr>
          <w:p>
            <w:pPr/>
          </w:p>
        </w:tc>
        <w:tc>
          <w:tcPr>
            <w:tcW w:w="1431" w:type="dxa"/>
            <w:vMerge/>
            <w:tcBorders>
              <w:left w:val="single" w:sz="4" w:space="0" w:color="000000"/>
              <w:bottom w:val="single" w:sz="4" w:space="0" w:color="000000"/>
              <w:right w:val="single" w:sz="4" w:space="0" w:color="000000"/>
            </w:tcBorders>
            <w:shd w:val="clear" w:color="auto" w:fill="D2D2D2"/>
          </w:tcPr>
          <w:p>
            <w:pPr/>
          </w:p>
        </w:tc>
        <w:tc>
          <w:tcPr>
            <w:tcW w:w="17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535,138.05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571,856.91</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935,807.14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171,187.82</w:t>
            </w:r>
          </w:p>
        </w:tc>
      </w:tr>
      <w:tr>
        <w:trPr>
          <w:trHeight w:val="403" w:hRule="exact"/>
        </w:trPr>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9"/>
                <w:sz w:val="18"/>
                <w:szCs w:val="18"/>
              </w:rPr>
              <w:t> </w:t>
            </w:r>
            <w:r>
              <w:rPr>
                <w:rFonts w:ascii="宋体" w:hAnsi="宋体" w:cs="宋体" w:eastAsia="宋体" w:hint="default"/>
                <w:sz w:val="18"/>
                <w:szCs w:val="18"/>
              </w:rPr>
              <w:t>计</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535,138.05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571,856.91</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935,807.14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171,187.82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852"/>
        <w:gridCol w:w="2965"/>
        <w:gridCol w:w="2410"/>
        <w:gridCol w:w="3829"/>
      </w:tblGrid>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项目</w:t>
            </w:r>
          </w:p>
        </w:tc>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本期转回存货跌价准备的原因</w:t>
            </w:r>
          </w:p>
        </w:tc>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本期转回金额占该项存货期末余额的比例（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17" w:hRule="exact"/>
        </w:trPr>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2965" w:type="dxa"/>
            <w:vMerge w:val="restart"/>
            <w:tcBorders>
              <w:top w:val="single" w:sz="4" w:space="0" w:color="000000"/>
              <w:left w:val="single" w:sz="10" w:space="0" w:color="D2D2D2"/>
              <w:right w:val="single" w:sz="4" w:space="0" w:color="000000"/>
            </w:tcBorders>
            <w:shd w:val="clear" w:color="auto" w:fill="CCE8CC"/>
          </w:tcPr>
          <w:p>
            <w:pPr>
              <w:pStyle w:val="TableParagraph"/>
              <w:spacing w:line="316" w:lineRule="auto" w:before="49"/>
              <w:ind w:left="4" w:right="62"/>
              <w:jc w:val="both"/>
              <w:rPr>
                <w:rFonts w:ascii="宋体" w:hAnsi="宋体" w:cs="宋体" w:eastAsia="宋体" w:hint="default"/>
                <w:sz w:val="18"/>
                <w:szCs w:val="18"/>
              </w:rPr>
            </w:pPr>
            <w:r>
              <w:rPr>
                <w:rFonts w:ascii="宋体" w:hAnsi="宋体" w:cs="宋体" w:eastAsia="宋体" w:hint="default"/>
                <w:sz w:val="18"/>
                <w:szCs w:val="18"/>
              </w:rPr>
              <w:t>超库龄原材料计提跌价准备，周转超 过一年的原材料按账面价值与市场公 允价值孰低的原则计提跌价准备</w:t>
            </w:r>
          </w:p>
        </w:tc>
        <w:tc>
          <w:tcPr>
            <w:tcW w:w="2410" w:type="dxa"/>
            <w:vMerge w:val="restart"/>
            <w:tcBorders>
              <w:top w:val="single" w:sz="4" w:space="0" w:color="000000"/>
              <w:left w:val="single" w:sz="4" w:space="0" w:color="000000"/>
              <w:right w:val="single" w:sz="4" w:space="0" w:color="000000"/>
            </w:tcBorders>
            <w:shd w:val="clear" w:color="auto" w:fill="CCE8CC"/>
          </w:tcPr>
          <w:p>
            <w:pPr/>
          </w:p>
        </w:tc>
        <w:tc>
          <w:tcPr>
            <w:tcW w:w="3829" w:type="dxa"/>
            <w:vMerge w:val="restart"/>
            <w:tcBorders>
              <w:top w:val="single" w:sz="4" w:space="0" w:color="000000"/>
              <w:left w:val="single" w:sz="4" w:space="0" w:color="000000"/>
              <w:right w:val="single" w:sz="4" w:space="0" w:color="000000"/>
            </w:tcBorders>
          </w:tcPr>
          <w:p>
            <w:pPr/>
          </w:p>
        </w:tc>
      </w:tr>
      <w:tr>
        <w:trPr>
          <w:trHeight w:val="394" w:hRule="exact"/>
        </w:trPr>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1"/>
              <w:jc w:val="center"/>
              <w:rPr>
                <w:rFonts w:ascii="宋体" w:hAnsi="宋体" w:cs="宋体" w:eastAsia="宋体" w:hint="default"/>
                <w:sz w:val="18"/>
                <w:szCs w:val="18"/>
              </w:rPr>
            </w:pPr>
            <w:r>
              <w:rPr>
                <w:rFonts w:ascii="宋体" w:hAnsi="宋体" w:cs="宋体" w:eastAsia="宋体" w:hint="default"/>
                <w:sz w:val="18"/>
                <w:szCs w:val="18"/>
              </w:rPr>
              <w:t>原材料</w:t>
            </w:r>
          </w:p>
        </w:tc>
        <w:tc>
          <w:tcPr>
            <w:tcW w:w="2965" w:type="dxa"/>
            <w:vMerge/>
            <w:tcBorders>
              <w:left w:val="single" w:sz="10" w:space="0" w:color="D2D2D2"/>
              <w:right w:val="single" w:sz="4" w:space="0" w:color="000000"/>
            </w:tcBorders>
            <w:shd w:val="clear" w:color="auto" w:fill="CCE8CC"/>
          </w:tcPr>
          <w:p>
            <w:pPr/>
          </w:p>
        </w:tc>
        <w:tc>
          <w:tcPr>
            <w:tcW w:w="2410" w:type="dxa"/>
            <w:vMerge/>
            <w:tcBorders>
              <w:left w:val="single" w:sz="4" w:space="0" w:color="000000"/>
              <w:right w:val="single" w:sz="4" w:space="0" w:color="000000"/>
            </w:tcBorders>
            <w:shd w:val="clear" w:color="auto" w:fill="CCE8CC"/>
          </w:tcPr>
          <w:p>
            <w:pPr/>
          </w:p>
        </w:tc>
        <w:tc>
          <w:tcPr>
            <w:tcW w:w="3829" w:type="dxa"/>
            <w:vMerge/>
            <w:tcBorders>
              <w:left w:val="single" w:sz="4" w:space="0" w:color="000000"/>
              <w:right w:val="single" w:sz="4" w:space="0" w:color="000000"/>
            </w:tcBorders>
          </w:tcPr>
          <w:p>
            <w:pPr/>
          </w:p>
        </w:tc>
      </w:tr>
      <w:tr>
        <w:trPr>
          <w:trHeight w:val="317" w:hRule="exact"/>
        </w:trPr>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2965" w:type="dxa"/>
            <w:vMerge/>
            <w:tcBorders>
              <w:left w:val="single" w:sz="10" w:space="0" w:color="D2D2D2"/>
              <w:bottom w:val="single" w:sz="4" w:space="0" w:color="000000"/>
              <w:right w:val="single" w:sz="4" w:space="0" w:color="000000"/>
            </w:tcBorders>
            <w:shd w:val="clear" w:color="auto" w:fill="CCE8CC"/>
          </w:tcPr>
          <w:p>
            <w:pPr/>
          </w:p>
        </w:tc>
        <w:tc>
          <w:tcPr>
            <w:tcW w:w="2410" w:type="dxa"/>
            <w:vMerge/>
            <w:tcBorders>
              <w:left w:val="single" w:sz="4" w:space="0" w:color="000000"/>
              <w:bottom w:val="single" w:sz="4" w:space="0" w:color="000000"/>
              <w:right w:val="single" w:sz="4" w:space="0" w:color="000000"/>
            </w:tcBorders>
            <w:shd w:val="clear" w:color="auto" w:fill="CCE8CC"/>
          </w:tcPr>
          <w:p>
            <w:pPr/>
          </w:p>
        </w:tc>
        <w:tc>
          <w:tcPr>
            <w:tcW w:w="3829"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存货的说明</w:t>
      </w:r>
    </w:p>
    <w:p>
      <w:pPr>
        <w:pStyle w:val="BodyText"/>
        <w:spacing w:line="240" w:lineRule="auto" w:before="115"/>
        <w:ind w:left="513" w:right="0"/>
        <w:jc w:val="left"/>
      </w:pPr>
      <w:r>
        <w:rPr/>
        <w:t>期末存货余额无借款费用资本化金额。</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5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7"/>
        <w:gridCol w:w="2924"/>
        <w:gridCol w:w="3191"/>
      </w:tblGrid>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预缴税金</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6,647,613.61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6,647,613.61</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8194"/>
        <w:jc w:val="left"/>
      </w:pPr>
      <w:r>
        <w:rPr/>
        <w:t>其他流动资产说明 一年内到期的非流动资产</w:t>
      </w:r>
    </w:p>
    <w:tbl>
      <w:tblPr>
        <w:tblW w:w="0" w:type="auto"/>
        <w:jc w:val="left"/>
        <w:tblInd w:w="287" w:type="dxa"/>
        <w:tblLayout w:type="fixed"/>
        <w:tblCellMar>
          <w:top w:w="0" w:type="dxa"/>
          <w:left w:w="0" w:type="dxa"/>
          <w:bottom w:w="0" w:type="dxa"/>
          <w:right w:w="0" w:type="dxa"/>
        </w:tblCellMar>
        <w:tblLook w:val="01E0"/>
      </w:tblPr>
      <w:tblGrid>
        <w:gridCol w:w="3970"/>
        <w:gridCol w:w="2480"/>
        <w:gridCol w:w="2482"/>
      </w:tblGrid>
      <w:tr>
        <w:trPr>
          <w:trHeight w:val="355" w:hRule="exact"/>
        </w:trPr>
        <w:tc>
          <w:tcPr>
            <w:tcW w:w="3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24" w:lineRule="exact"/>
              <w:ind w:left="1" w:right="0"/>
              <w:jc w:val="center"/>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24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18"/>
                <w:szCs w:val="18"/>
              </w:rPr>
            </w:pPr>
            <w:r>
              <w:rPr>
                <w:rFonts w:ascii="Times New Roman"/>
                <w:spacing w:val="-1"/>
                <w:sz w:val="18"/>
              </w:rPr>
              <w:t>41,520,542.38</w:t>
            </w:r>
          </w:p>
        </w:tc>
        <w:tc>
          <w:tcPr>
            <w:tcW w:w="248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0"/>
              <w:ind w:right="2"/>
              <w:jc w:val="right"/>
              <w:rPr>
                <w:rFonts w:ascii="Times New Roman" w:hAnsi="Times New Roman" w:cs="Times New Roman" w:eastAsia="Times New Roman" w:hint="default"/>
                <w:sz w:val="18"/>
                <w:szCs w:val="18"/>
              </w:rPr>
            </w:pPr>
            <w:r>
              <w:rPr>
                <w:rFonts w:ascii="Times New Roman"/>
                <w:spacing w:val="-1"/>
                <w:sz w:val="18"/>
              </w:rPr>
              <w:t>76,064,857.02</w:t>
            </w: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24"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18"/>
                <w:szCs w:val="18"/>
              </w:rPr>
            </w:pPr>
            <w:r>
              <w:rPr>
                <w:rFonts w:ascii="Times New Roman"/>
                <w:spacing w:val="-1"/>
                <w:sz w:val="18"/>
              </w:rPr>
              <w:t>41,520,542.38</w:t>
            </w:r>
          </w:p>
        </w:tc>
        <w:tc>
          <w:tcPr>
            <w:tcW w:w="248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0"/>
              <w:ind w:right="2"/>
              <w:jc w:val="right"/>
              <w:rPr>
                <w:rFonts w:ascii="Times New Roman" w:hAnsi="Times New Roman" w:cs="Times New Roman" w:eastAsia="Times New Roman" w:hint="default"/>
                <w:sz w:val="18"/>
                <w:szCs w:val="18"/>
              </w:rPr>
            </w:pPr>
            <w:r>
              <w:rPr>
                <w:rFonts w:ascii="Times New Roman"/>
                <w:spacing w:val="-1"/>
                <w:sz w:val="18"/>
              </w:rPr>
              <w:t>76,064,857.02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7"/>
        <w:ind w:right="144"/>
        <w:jc w:val="left"/>
        <w:rPr>
          <w:b w:val="0"/>
          <w:bCs w:val="0"/>
        </w:rPr>
      </w:pPr>
      <w:r>
        <w:rPr>
          <w:rFonts w:ascii="Times New Roman" w:hAnsi="Times New Roman" w:cs="Times New Roman" w:eastAsia="Times New Roman" w:hint="default"/>
        </w:rPr>
        <w:t>9</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8"/>
      </w:tblGrid>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69,856,890.72</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134,577,416.07</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69,856,890.72</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134,577,416.07</w:t>
            </w:r>
          </w:p>
        </w:tc>
      </w:tr>
    </w:tbl>
    <w:p>
      <w:pPr>
        <w:pStyle w:val="BodyText"/>
        <w:spacing w:line="300" w:lineRule="auto" w:before="49"/>
        <w:ind w:right="189"/>
        <w:jc w:val="left"/>
      </w:pPr>
      <w:r>
        <w:rPr/>
        <w:t>本期将持有至到期投资重分类为可供出售金融资产的，本期重分类的金额</w:t>
      </w:r>
      <w:r>
        <w:rPr>
          <w:spacing w:val="-45"/>
        </w:rPr>
        <w:t> </w:t>
      </w:r>
      <w:r>
        <w:rPr>
          <w:rFonts w:ascii="Times New Roman" w:hAnsi="Times New Roman" w:cs="Times New Roman" w:eastAsia="Times New Roman" w:hint="default"/>
        </w:rPr>
        <w:t>0.00 </w:t>
      </w:r>
      <w:r>
        <w:rPr/>
        <w:t>元，该金额占重分类前持有至到期投资总额 的比例</w:t>
      </w:r>
      <w:r>
        <w:rPr>
          <w:spacing w:val="-45"/>
        </w:rPr>
        <w:t> </w:t>
      </w:r>
      <w:r>
        <w:rPr>
          <w:rFonts w:ascii="Times New Roman" w:hAnsi="Times New Roman" w:cs="Times New Roman" w:eastAsia="Times New Roman" w:hint="default"/>
        </w:rPr>
        <w:t>0%</w:t>
      </w:r>
      <w:r>
        <w:rPr/>
        <w:t>。</w:t>
      </w:r>
    </w:p>
    <w:p>
      <w:pPr>
        <w:pStyle w:val="BodyText"/>
        <w:spacing w:line="357" w:lineRule="auto" w:before="54"/>
        <w:ind w:left="513" w:right="144" w:hanging="361"/>
        <w:jc w:val="left"/>
      </w:pPr>
      <w:r>
        <w:rPr/>
        <w:t>可供出售金融资产的说明 </w:t>
      </w:r>
      <w:r>
        <w:rPr>
          <w:spacing w:val="-2"/>
        </w:rPr>
        <w:t>公司持有广东星河生物科技股份有限公司股权</w:t>
      </w:r>
      <w:r>
        <w:rPr>
          <w:rFonts w:ascii="Times New Roman" w:hAnsi="Times New Roman" w:cs="Times New Roman" w:eastAsia="Times New Roman" w:hint="default"/>
          <w:spacing w:val="-2"/>
        </w:rPr>
        <w:t>8,688,668.00</w:t>
      </w:r>
      <w:r>
        <w:rPr>
          <w:spacing w:val="-2"/>
        </w:rPr>
        <w:t>股，</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日的收盘价为每股</w:t>
      </w:r>
      <w:r>
        <w:rPr>
          <w:rFonts w:ascii="Times New Roman" w:hAnsi="Times New Roman" w:cs="Times New Roman" w:eastAsia="Times New Roman" w:hint="default"/>
          <w:spacing w:val="-2"/>
        </w:rPr>
        <w:t>8.04</w:t>
      </w:r>
      <w:r>
        <w:rPr>
          <w:spacing w:val="-2"/>
        </w:rPr>
        <w:t>元（资料来源：深圳</w:t>
      </w:r>
    </w:p>
    <w:p>
      <w:pPr>
        <w:pStyle w:val="BodyText"/>
        <w:spacing w:line="201" w:lineRule="exact"/>
        <w:ind w:right="144"/>
        <w:jc w:val="left"/>
      </w:pPr>
      <w:r>
        <w:rPr/>
        <w:t>证券交易所）。</w:t>
      </w:r>
    </w:p>
    <w:p>
      <w:pPr>
        <w:pStyle w:val="BodyText"/>
        <w:spacing w:line="240" w:lineRule="auto" w:before="76"/>
        <w:ind w:left="23" w:right="4260"/>
        <w:jc w:val="center"/>
      </w:pPr>
      <w:r>
        <w:rPr/>
        <w:t>星河生物股份质押情况详见附注五、（二十一）短期借款。</w:t>
      </w:r>
    </w:p>
    <w:p>
      <w:pPr>
        <w:spacing w:line="240" w:lineRule="auto" w:before="0"/>
        <w:rPr>
          <w:rFonts w:ascii="宋体" w:hAnsi="宋体" w:cs="宋体" w:eastAsia="宋体" w:hint="default"/>
          <w:sz w:val="18"/>
          <w:szCs w:val="18"/>
        </w:rPr>
      </w:pPr>
    </w:p>
    <w:p>
      <w:pPr>
        <w:pStyle w:val="Heading3"/>
        <w:spacing w:line="240" w:lineRule="auto" w:before="120"/>
        <w:ind w:right="144"/>
        <w:jc w:val="left"/>
        <w:rPr>
          <w:b w:val="0"/>
          <w:bCs w:val="0"/>
        </w:rPr>
      </w:pPr>
      <w:r>
        <w:rPr/>
        <w:t>（</w:t>
      </w:r>
      <w:r>
        <w:rPr>
          <w:rFonts w:ascii="Times New Roman" w:hAnsi="Times New Roman" w:cs="Times New Roman" w:eastAsia="Times New Roman" w:hint="default"/>
        </w:rPr>
        <w:t>2</w:t>
      </w:r>
      <w:r>
        <w:rPr/>
        <w:t>）本报告期内不存在可供出售金融资产中的长期债权投资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4"/>
        <w:jc w:val="left"/>
        <w:rPr>
          <w:b w:val="0"/>
          <w:bCs w:val="0"/>
        </w:rPr>
      </w:pPr>
      <w:r>
        <w:rPr>
          <w:rFonts w:ascii="Times New Roman" w:hAnsi="Times New Roman" w:cs="Times New Roman" w:eastAsia="Times New Roman" w:hint="default"/>
        </w:rPr>
        <w:t>10</w:t>
      </w:r>
      <w:r>
        <w:rPr/>
        <w:t>、长期应收款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69"/>
        <w:gridCol w:w="3335"/>
        <w:gridCol w:w="3455"/>
      </w:tblGrid>
      <w:tr>
        <w:trPr>
          <w:trHeight w:val="403"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33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191,086,162.90</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245,005,518.43</w:t>
            </w:r>
          </w:p>
        </w:tc>
      </w:tr>
      <w:tr>
        <w:trPr>
          <w:trHeight w:val="403"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其中：未实现融资收益</w:t>
            </w:r>
          </w:p>
        </w:tc>
        <w:tc>
          <w:tcPr>
            <w:tcW w:w="33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70,032,993.84</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75,712,615.70</w:t>
            </w:r>
          </w:p>
        </w:tc>
      </w:tr>
      <w:tr>
        <w:trPr>
          <w:trHeight w:val="401"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-41,520,542.38</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-76,064,857.02</w:t>
            </w:r>
          </w:p>
        </w:tc>
      </w:tr>
      <w:tr>
        <w:trPr>
          <w:trHeight w:val="403"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149,565,620.52</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168,940,661.41</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708"/>
        <w:gridCol w:w="853"/>
        <w:gridCol w:w="708"/>
        <w:gridCol w:w="708"/>
        <w:gridCol w:w="708"/>
        <w:gridCol w:w="710"/>
        <w:gridCol w:w="708"/>
        <w:gridCol w:w="1136"/>
        <w:gridCol w:w="425"/>
        <w:gridCol w:w="552"/>
        <w:gridCol w:w="797"/>
      </w:tblGrid>
      <w:tr>
        <w:trPr>
          <w:trHeight w:val="164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核算方 法</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增减变 动</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59" w:right="77" w:hanging="181"/>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1" w:right="77"/>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 资单位 持股比 例</w:t>
            </w: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 w:right="31"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 资单位 表决权 比例</w:t>
            </w:r>
            <w:r>
              <w:rPr>
                <w:rFonts w:ascii="Times New Roman" w:hAnsi="Times New Roman" w:cs="Times New Roman" w:eastAsia="Times New Roman" w:hint="default"/>
                <w:sz w:val="18"/>
                <w:szCs w:val="18"/>
              </w:rPr>
              <w:t>(%)</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11"/>
              <w:jc w:val="center"/>
              <w:rPr>
                <w:rFonts w:ascii="宋体" w:hAnsi="宋体" w:cs="宋体" w:eastAsia="宋体" w:hint="default"/>
                <w:sz w:val="18"/>
                <w:szCs w:val="18"/>
              </w:rPr>
            </w:pPr>
            <w:r>
              <w:rPr>
                <w:rFonts w:ascii="宋体" w:hAnsi="宋体" w:cs="宋体" w:eastAsia="宋体" w:hint="default"/>
                <w:sz w:val="18"/>
                <w:szCs w:val="18"/>
              </w:rPr>
              <w:t>在被投资单 位持股比例 与表决权比 例不一致的 说明</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8" w:right="24"/>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1" w:right="89"/>
              <w:jc w:val="both"/>
              <w:rPr>
                <w:rFonts w:ascii="宋体" w:hAnsi="宋体" w:cs="宋体" w:eastAsia="宋体" w:hint="default"/>
                <w:sz w:val="18"/>
                <w:szCs w:val="18"/>
              </w:rPr>
            </w:pPr>
            <w:r>
              <w:rPr>
                <w:rFonts w:ascii="宋体" w:hAnsi="宋体" w:cs="宋体" w:eastAsia="宋体" w:hint="default"/>
                <w:sz w:val="18"/>
                <w:szCs w:val="18"/>
              </w:rPr>
              <w:t>本期 计提 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20" w:hRule="exact"/>
        </w:trPr>
        <w:tc>
          <w:tcPr>
            <w:tcW w:w="156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3"/>
              <w:ind w:left="24" w:right="84"/>
              <w:jc w:val="left"/>
              <w:rPr>
                <w:rFonts w:ascii="宋体" w:hAnsi="宋体" w:cs="宋体" w:eastAsia="宋体" w:hint="default"/>
                <w:sz w:val="18"/>
                <w:szCs w:val="18"/>
              </w:rPr>
            </w:pPr>
            <w:r>
              <w:rPr>
                <w:rFonts w:ascii="宋体" w:hAnsi="宋体" w:cs="宋体" w:eastAsia="宋体" w:hint="default"/>
                <w:sz w:val="18"/>
                <w:szCs w:val="18"/>
              </w:rPr>
              <w:t>北京青年御银科技 有限责任公司</w:t>
            </w:r>
          </w:p>
        </w:tc>
        <w:tc>
          <w:tcPr>
            <w:tcW w:w="70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1,943,03</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9.86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center"/>
              <w:rPr>
                <w:rFonts w:ascii="Times New Roman" w:hAnsi="Times New Roman" w:cs="Times New Roman" w:eastAsia="Times New Roman" w:hint="default"/>
                <w:sz w:val="18"/>
                <w:szCs w:val="18"/>
              </w:rPr>
            </w:pPr>
            <w:r>
              <w:rPr>
                <w:rFonts w:ascii="Times New Roman"/>
                <w:sz w:val="18"/>
              </w:rPr>
              <w:t>-1,943,0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39.86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68"/>
              <w:ind w:right="60"/>
              <w:jc w:val="center"/>
              <w:rPr>
                <w:rFonts w:ascii="宋体" w:hAnsi="宋体" w:cs="宋体" w:eastAsia="宋体" w:hint="default"/>
                <w:sz w:val="18"/>
                <w:szCs w:val="18"/>
              </w:rPr>
            </w:pPr>
            <w:r>
              <w:rPr>
                <w:rFonts w:ascii="宋体" w:hAnsi="宋体" w:cs="宋体" w:eastAsia="宋体" w:hint="default"/>
                <w:sz w:val="18"/>
                <w:szCs w:val="18"/>
              </w:rPr>
              <w:t>广州市农村信用合</w:t>
            </w:r>
          </w:p>
        </w:tc>
        <w:tc>
          <w:tcPr>
            <w:tcW w:w="70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60,000.0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z w:val="18"/>
              </w:rPr>
              <w:t>60,000.0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9" w:right="0"/>
              <w:jc w:val="lef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12,180.00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59"/>
        <w:gridCol w:w="708"/>
        <w:gridCol w:w="853"/>
        <w:gridCol w:w="708"/>
        <w:gridCol w:w="708"/>
        <w:gridCol w:w="708"/>
        <w:gridCol w:w="710"/>
        <w:gridCol w:w="709"/>
        <w:gridCol w:w="1135"/>
        <w:gridCol w:w="425"/>
        <w:gridCol w:w="552"/>
        <w:gridCol w:w="797"/>
      </w:tblGrid>
      <w:tr>
        <w:trPr>
          <w:trHeight w:val="362" w:hRule="exact"/>
        </w:trPr>
        <w:tc>
          <w:tcPr>
            <w:tcW w:w="155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作联社</w:t>
            </w:r>
          </w:p>
        </w:tc>
        <w:tc>
          <w:tcPr>
            <w:tcW w:w="708"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深圳市信威电子有 限公司</w:t>
            </w:r>
          </w:p>
        </w:tc>
        <w:tc>
          <w:tcPr>
            <w:tcW w:w="70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5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上海博科资讯股份 有限公司</w:t>
            </w:r>
          </w:p>
        </w:tc>
        <w:tc>
          <w:tcPr>
            <w:tcW w:w="70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9,800,00</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9,800,00</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w:t>
            </w:r>
          </w:p>
        </w:tc>
        <w:tc>
          <w:tcPr>
            <w:tcW w:w="1135"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广州花都稠州村镇 银行股份有限公司</w:t>
            </w:r>
          </w:p>
        </w:tc>
        <w:tc>
          <w:tcPr>
            <w:tcW w:w="70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w:t>
            </w:r>
          </w:p>
        </w:tc>
        <w:tc>
          <w:tcPr>
            <w:tcW w:w="1135"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46,860,00</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46,803,0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39.86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-11,943,</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039.86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34,860,0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12,180.00</w:t>
            </w:r>
          </w:p>
        </w:tc>
      </w:tr>
    </w:tbl>
    <w:p>
      <w:pPr>
        <w:pStyle w:val="BodyText"/>
        <w:spacing w:line="240" w:lineRule="auto" w:before="49"/>
        <w:ind w:right="185"/>
        <w:jc w:val="left"/>
      </w:pPr>
      <w:r>
        <w:rPr/>
        <w:t>长期股权投资的说明</w:t>
      </w:r>
    </w:p>
    <w:p>
      <w:pPr>
        <w:pStyle w:val="BodyText"/>
        <w:spacing w:line="300" w:lineRule="auto" w:before="115"/>
        <w:ind w:left="513" w:right="99"/>
        <w:jc w:val="left"/>
      </w:pPr>
      <w:r>
        <w:rPr>
          <w:spacing w:val="-1"/>
        </w:rPr>
        <w:t>公司对北京青年御银科技有限责任公司从</w:t>
      </w:r>
      <w:r>
        <w:rPr>
          <w:rFonts w:ascii="Times New Roman" w:hAnsi="Times New Roman" w:cs="Times New Roman" w:eastAsia="Times New Roman" w:hint="default"/>
          <w:spacing w:val="-1"/>
        </w:rPr>
        <w:t>20%</w:t>
      </w:r>
      <w:r>
        <w:rPr>
          <w:spacing w:val="-1"/>
        </w:rPr>
        <w:t>的股权变更为</w:t>
      </w:r>
      <w:r>
        <w:rPr>
          <w:rFonts w:ascii="Times New Roman" w:hAnsi="Times New Roman" w:cs="Times New Roman" w:eastAsia="Times New Roman" w:hint="default"/>
          <w:spacing w:val="-1"/>
        </w:rPr>
        <w:t>100%</w:t>
      </w:r>
      <w:r>
        <w:rPr>
          <w:spacing w:val="-1"/>
        </w:rPr>
        <w:t>，由权益法改为成本法，从变更之日起纳入合并范围。</w:t>
      </w:r>
      <w:r>
        <w:rPr>
          <w:spacing w:val="-62"/>
        </w:rPr>
        <w:t> </w:t>
      </w:r>
      <w:r>
        <w:rPr>
          <w:spacing w:val="-62"/>
        </w:rPr>
      </w:r>
      <w:r>
        <w:rPr/>
        <w:t>公司不存在向投资企业转移资金的能力受到限制的有关情况。</w:t>
      </w:r>
    </w:p>
    <w:p>
      <w:pPr>
        <w:spacing w:line="240" w:lineRule="auto" w:before="10"/>
        <w:rPr>
          <w:rFonts w:ascii="宋体" w:hAnsi="宋体" w:cs="宋体" w:eastAsia="宋体" w:hint="default"/>
          <w:sz w:val="23"/>
          <w:szCs w:val="23"/>
        </w:rPr>
      </w:pPr>
    </w:p>
    <w:p>
      <w:pPr>
        <w:pStyle w:val="Heading3"/>
        <w:spacing w:line="240" w:lineRule="auto"/>
        <w:ind w:right="185"/>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85"/>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6"/>
        <w:gridCol w:w="1473"/>
        <w:gridCol w:w="1328"/>
        <w:gridCol w:w="1594"/>
        <w:gridCol w:w="1597"/>
        <w:gridCol w:w="1460"/>
      </w:tblGrid>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544,683,308.64</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93,997,757.42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72,909,791.45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565,771,274.61</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3,974,019.85</w:t>
            </w:r>
          </w:p>
        </w:tc>
        <w:tc>
          <w:tcPr>
            <w:tcW w:w="2921" w:type="dxa"/>
            <w:gridSpan w:val="2"/>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3,974,019.85</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11,027,153.00</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661,458.61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61,623.82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11,626,987.79</w:t>
            </w:r>
          </w:p>
        </w:tc>
      </w:tr>
      <w:tr>
        <w:trPr>
          <w:trHeight w:val="404"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15,390,157.22</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4,380,386.42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1,061,231.21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18,709,312.43</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655"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510,723,259.77</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88,451,850.84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71,786,936.42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527,388,174.19</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3,568,718.80</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504,061.55</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4,072,780.35</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192,451,214.37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6,534.04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69,945,314.41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33,039,093.97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229,363,968.85</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1,816,930.27</w:t>
            </w:r>
          </w:p>
        </w:tc>
        <w:tc>
          <w:tcPr>
            <w:tcW w:w="13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195,683.28</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2,012,613.55</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7,208,252.72</w:t>
            </w:r>
          </w:p>
        </w:tc>
        <w:tc>
          <w:tcPr>
            <w:tcW w:w="13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1,410,118.52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51,537.30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8,566,833.94</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7,409,663.33</w:t>
            </w:r>
          </w:p>
        </w:tc>
        <w:tc>
          <w:tcPr>
            <w:tcW w:w="13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2,502,664.55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854,967.87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9,057,360.01</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655"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174,423,983.33</w:t>
            </w:r>
          </w:p>
        </w:tc>
        <w:tc>
          <w:tcPr>
            <w:tcW w:w="13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65,198,261.50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32,132,588.80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207,489,656.03</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1,592,384.72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6,534.04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638,586.56</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2,237,505.32</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7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352,232,094.27</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336,407,305.76</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2,157,089.58</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1,961,406.30</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3,818,900.28</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3,060,153.85</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7,980,493.89</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9,651,952.42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9"/>
        <w:gridCol w:w="1474"/>
        <w:gridCol w:w="4506"/>
        <w:gridCol w:w="1460"/>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667"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336,299,276.44</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319,898,518.16</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70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1,976,334.08</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1,835,275.03</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352,232,094.27</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336,407,305.76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2,157,089.58</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1,961,406.30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3,818,900.28</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3,060,153.85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7,980,493.89</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9,651,952.42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667"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336,299,276.44</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319,898,518.16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70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1,976,334.08</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1,835,275.03</w:t>
            </w:r>
          </w:p>
        </w:tc>
      </w:tr>
    </w:tbl>
    <w:p>
      <w:pPr>
        <w:pStyle w:val="BodyText"/>
        <w:spacing w:line="338" w:lineRule="auto" w:before="49"/>
        <w:ind w:right="3030"/>
        <w:jc w:val="left"/>
      </w:pPr>
      <w:r>
        <w:rPr/>
        <w:t>本期折旧额</w:t>
      </w:r>
      <w:r>
        <w:rPr>
          <w:spacing w:val="-47"/>
        </w:rPr>
        <w:t> </w:t>
      </w:r>
      <w:r>
        <w:rPr>
          <w:rFonts w:ascii="Times New Roman" w:hAnsi="Times New Roman" w:cs="Times New Roman" w:eastAsia="Times New Roman" w:hint="default"/>
        </w:rPr>
        <w:t>69,951,848.45</w:t>
      </w:r>
      <w:r>
        <w:rPr>
          <w:rFonts w:ascii="Times New Roman" w:hAnsi="Times New Roman" w:cs="Times New Roman" w:eastAsia="Times New Roman" w:hint="default"/>
          <w:spacing w:val="-1"/>
        </w:rPr>
        <w:t> </w:t>
      </w:r>
      <w:r>
        <w:rPr/>
        <w:t>元；本期由在建工程转入固定资产原价为</w:t>
      </w:r>
      <w:r>
        <w:rPr>
          <w:spacing w:val="-47"/>
        </w:rPr>
        <w:t> </w:t>
      </w:r>
      <w:r>
        <w:rPr>
          <w:rFonts w:ascii="Times New Roman" w:hAnsi="Times New Roman" w:cs="Times New Roman" w:eastAsia="Times New Roman" w:hint="default"/>
        </w:rPr>
        <w:t>72,095,504.84</w:t>
      </w:r>
      <w:r>
        <w:rPr>
          <w:rFonts w:ascii="Times New Roman" w:hAnsi="Times New Roman" w:cs="Times New Roman" w:eastAsia="Times New Roman" w:hint="default"/>
          <w:spacing w:val="-1"/>
        </w:rPr>
        <w:t> </w:t>
      </w:r>
      <w:r>
        <w:rPr/>
        <w:t>元。 固定资产说明</w:t>
      </w:r>
    </w:p>
    <w:p>
      <w:pPr>
        <w:pStyle w:val="BodyText"/>
        <w:spacing w:line="240" w:lineRule="auto" w:before="44"/>
        <w:ind w:right="0"/>
        <w:jc w:val="left"/>
        <w:rPr>
          <w:rFonts w:ascii="Times New Roman" w:hAnsi="Times New Roman" w:cs="Times New Roman" w:eastAsia="Times New Roman" w:hint="default"/>
        </w:rPr>
      </w:pPr>
      <w:r>
        <w:rPr/>
        <w:t>期末用于抵押的固定资产账面价值为</w:t>
      </w:r>
      <w:r>
        <w:rPr>
          <w:spacing w:val="-47"/>
        </w:rPr>
        <w:t> </w:t>
      </w:r>
      <w:r>
        <w:rPr>
          <w:rFonts w:ascii="Times New Roman" w:hAnsi="Times New Roman" w:cs="Times New Roman" w:eastAsia="Times New Roman" w:hint="default"/>
        </w:rPr>
        <w:t>45,718,177.09</w:t>
      </w:r>
      <w:r>
        <w:rPr>
          <w:rFonts w:ascii="Times New Roman" w:hAnsi="Times New Roman" w:cs="Times New Roman" w:eastAsia="Times New Roman" w:hint="default"/>
          <w:spacing w:val="-10"/>
        </w:rPr>
        <w:t> </w:t>
      </w:r>
      <w:r>
        <w:rPr/>
        <w:t>元，其中：</w:t>
      </w:r>
      <w:r>
        <w:rPr>
          <w:spacing w:val="-23"/>
        </w:rPr>
        <w:t> </w:t>
      </w:r>
      <w:r>
        <w:rPr>
          <w:rFonts w:ascii="Times New Roman" w:hAnsi="Times New Roman" w:cs="Times New Roman" w:eastAsia="Times New Roman" w:hint="default"/>
        </w:rPr>
        <w:t>ATM</w:t>
      </w:r>
      <w:r>
        <w:rPr>
          <w:rFonts w:ascii="Times New Roman" w:hAnsi="Times New Roman" w:cs="Times New Roman" w:eastAsia="Times New Roman" w:hint="default"/>
          <w:spacing w:val="-12"/>
        </w:rPr>
        <w:t> </w:t>
      </w:r>
      <w:r>
        <w:rPr/>
        <w:t>账面价值</w:t>
      </w:r>
      <w:r>
        <w:rPr>
          <w:spacing w:val="-48"/>
        </w:rPr>
        <w:t> </w:t>
      </w:r>
      <w:r>
        <w:rPr>
          <w:rFonts w:ascii="Times New Roman" w:hAnsi="Times New Roman" w:cs="Times New Roman" w:eastAsia="Times New Roman" w:hint="default"/>
        </w:rPr>
        <w:t>43,816,634.93</w:t>
      </w:r>
      <w:r>
        <w:rPr/>
        <w:t>，房屋及建筑物为</w:t>
      </w:r>
      <w:r>
        <w:rPr>
          <w:spacing w:val="-48"/>
        </w:rPr>
        <w:t> </w:t>
      </w:r>
      <w:r>
        <w:rPr>
          <w:rFonts w:ascii="Times New Roman" w:hAnsi="Times New Roman" w:cs="Times New Roman" w:eastAsia="Times New Roman" w:hint="default"/>
        </w:rPr>
        <w:t>1,901,542.16</w:t>
      </w:r>
    </w:p>
    <w:p>
      <w:pPr>
        <w:pStyle w:val="BodyText"/>
        <w:spacing w:line="240" w:lineRule="auto" w:before="63"/>
        <w:ind w:right="144"/>
        <w:jc w:val="left"/>
      </w:pPr>
      <w:r>
        <w:rPr/>
        <w:t>元，详见附注五、（二十一）短期借款。</w:t>
      </w:r>
    </w:p>
    <w:p>
      <w:pPr>
        <w:spacing w:line="240" w:lineRule="auto" w:before="0"/>
        <w:rPr>
          <w:rFonts w:ascii="宋体" w:hAnsi="宋体" w:cs="宋体" w:eastAsia="宋体" w:hint="default"/>
          <w:sz w:val="18"/>
          <w:szCs w:val="18"/>
        </w:rPr>
      </w:pPr>
    </w:p>
    <w:p>
      <w:pPr>
        <w:pStyle w:val="Heading3"/>
        <w:spacing w:line="240" w:lineRule="auto" w:before="120"/>
        <w:ind w:right="144"/>
        <w:jc w:val="left"/>
        <w:rPr>
          <w:b w:val="0"/>
          <w:bCs w:val="0"/>
        </w:rPr>
      </w:pPr>
      <w:r>
        <w:rPr/>
        <w:t>（</w:t>
      </w:r>
      <w:r>
        <w:rPr>
          <w:rFonts w:ascii="Times New Roman" w:hAnsi="Times New Roman" w:cs="Times New Roman" w:eastAsia="Times New Roman" w:hint="default"/>
        </w:rPr>
        <w:t>2</w:t>
      </w:r>
      <w:r>
        <w:rPr/>
        <w:t>）本期末无暂时闲置的固定资产。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3</w:t>
      </w:r>
      <w:r>
        <w:rPr/>
        <w:t>）报告期内不存在通过融资租赁租入的固定资产。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4</w:t>
      </w:r>
      <w:r>
        <w:rPr/>
        <w:t>）报告期内不存在通过经营租赁租出的固定资产。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5</w:t>
      </w:r>
      <w:r>
        <w:rPr/>
        <w:t>）本期末无期末持有待售的固定资产。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6</w:t>
      </w:r>
      <w:r>
        <w:rPr/>
        <w:t>）本期末未办妥产权证书的固定资产。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4"/>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1"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安装</w:t>
            </w:r>
            <w:r>
              <w:rPr>
                <w:rFonts w:ascii="Times New Roman" w:hAnsi="Times New Roman" w:cs="Times New Roman" w:eastAsia="Times New Roman" w:hint="default"/>
                <w:sz w:val="18"/>
                <w:szCs w:val="18"/>
              </w:rPr>
              <w:t>/</w:t>
            </w:r>
            <w:r>
              <w:rPr>
                <w:rFonts w:ascii="宋体" w:hAnsi="宋体" w:cs="宋体" w:eastAsia="宋体" w:hint="default"/>
                <w:sz w:val="18"/>
                <w:szCs w:val="18"/>
              </w:rPr>
              <w:t>调试的自产</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ATM</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166,067,792.05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166,067,792.05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170,419,062.78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170,419,062.78</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高塘办公楼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4,984,439.83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4,984,439.83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101,535.00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101,535.00</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科学城厂房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51,192,938.39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51,192,938.39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774,435.74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774,435.74</w:t>
            </w:r>
          </w:p>
        </w:tc>
      </w:tr>
      <w:tr>
        <w:trPr>
          <w:trHeight w:val="404"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222,245,170.27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222,245,170.27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171,295,033.52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171,295,033.52</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4"/>
        <w:gridCol w:w="737"/>
        <w:gridCol w:w="734"/>
        <w:gridCol w:w="735"/>
        <w:gridCol w:w="605"/>
        <w:gridCol w:w="568"/>
        <w:gridCol w:w="1132"/>
        <w:gridCol w:w="638"/>
        <w:gridCol w:w="737"/>
        <w:gridCol w:w="893"/>
        <w:gridCol w:w="710"/>
        <w:gridCol w:w="605"/>
        <w:gridCol w:w="737"/>
      </w:tblGrid>
      <w:tr>
        <w:trPr>
          <w:trHeight w:val="714"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2"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1"/>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6"/>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7"/>
              <w:jc w:val="left"/>
              <w:rPr>
                <w:rFonts w:ascii="宋体" w:hAnsi="宋体" w:cs="宋体" w:eastAsia="宋体" w:hint="default"/>
                <w:sz w:val="18"/>
                <w:szCs w:val="18"/>
              </w:rPr>
            </w:pPr>
            <w:r>
              <w:rPr>
                <w:rFonts w:ascii="宋体" w:hAnsi="宋体" w:cs="宋体" w:eastAsia="宋体" w:hint="default"/>
                <w:sz w:val="18"/>
                <w:szCs w:val="18"/>
              </w:rPr>
              <w:t>其他 减少</w:t>
            </w:r>
          </w:p>
        </w:tc>
        <w:tc>
          <w:tcPr>
            <w:tcW w:w="1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 w:right="65"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工程投入占 预算比例</w:t>
            </w:r>
            <w:r>
              <w:rPr>
                <w:rFonts w:ascii="Times New Roman" w:hAnsi="Times New Roman" w:cs="Times New Roman" w:eastAsia="Times New Roman" w:hint="default"/>
                <w:sz w:val="18"/>
                <w:szCs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38"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93" w:right="91"/>
              <w:jc w:val="left"/>
              <w:rPr>
                <w:rFonts w:ascii="宋体" w:hAnsi="宋体" w:cs="宋体" w:eastAsia="宋体" w:hint="default"/>
                <w:sz w:val="18"/>
                <w:szCs w:val="18"/>
              </w:rPr>
            </w:pPr>
            <w:r>
              <w:rPr>
                <w:rFonts w:ascii="宋体" w:hAnsi="宋体" w:cs="宋体" w:eastAsia="宋体" w:hint="default"/>
                <w:sz w:val="18"/>
                <w:szCs w:val="18"/>
              </w:rPr>
              <w:t>利息资 本化累</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81" w:right="20" w:hanging="58"/>
              <w:jc w:val="left"/>
              <w:rPr>
                <w:rFonts w:ascii="宋体" w:hAnsi="宋体" w:cs="宋体" w:eastAsia="宋体" w:hint="default"/>
                <w:sz w:val="18"/>
                <w:szCs w:val="18"/>
              </w:rPr>
            </w:pPr>
            <w:r>
              <w:rPr>
                <w:rFonts w:ascii="宋体" w:hAnsi="宋体" w:cs="宋体" w:eastAsia="宋体" w:hint="default"/>
                <w:spacing w:val="-13"/>
                <w:sz w:val="18"/>
                <w:szCs w:val="18"/>
              </w:rPr>
              <w:t>其中：本期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利息资本</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81" w:right="77"/>
              <w:jc w:val="left"/>
              <w:rPr>
                <w:rFonts w:ascii="宋体" w:hAnsi="宋体" w:cs="宋体" w:eastAsia="宋体" w:hint="default"/>
                <w:sz w:val="18"/>
                <w:szCs w:val="18"/>
              </w:rPr>
            </w:pPr>
            <w:r>
              <w:rPr>
                <w:rFonts w:ascii="宋体" w:hAnsi="宋体" w:cs="宋体" w:eastAsia="宋体" w:hint="default"/>
                <w:sz w:val="18"/>
                <w:szCs w:val="18"/>
              </w:rPr>
              <w:t>本期利 息资本</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8" w:right="2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4"/>
        <w:gridCol w:w="737"/>
        <w:gridCol w:w="734"/>
        <w:gridCol w:w="735"/>
        <w:gridCol w:w="605"/>
        <w:gridCol w:w="566"/>
        <w:gridCol w:w="1134"/>
        <w:gridCol w:w="637"/>
        <w:gridCol w:w="737"/>
        <w:gridCol w:w="893"/>
        <w:gridCol w:w="710"/>
        <w:gridCol w:w="605"/>
        <w:gridCol w:w="737"/>
      </w:tblGrid>
      <w:tr>
        <w:trPr>
          <w:trHeight w:val="358"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计金额</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化金额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化率</w:t>
            </w:r>
            <w:r>
              <w:rPr>
                <w:rFonts w:ascii="Times New Roman" w:hAnsi="Times New Roman" w:cs="Times New Roman" w:eastAsia="Times New Roman" w:hint="default"/>
                <w:spacing w:val="-1"/>
                <w:sz w:val="18"/>
                <w:szCs w:val="18"/>
              </w:rPr>
              <w:t>(%)</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8" w:hRule="exact"/>
        </w:trPr>
        <w:tc>
          <w:tcPr>
            <w:tcW w:w="7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4"/>
              <w:ind w:left="22" w:right="159"/>
              <w:jc w:val="left"/>
              <w:rPr>
                <w:rFonts w:ascii="宋体" w:hAnsi="宋体" w:cs="宋体" w:eastAsia="宋体" w:hint="default"/>
                <w:sz w:val="18"/>
                <w:szCs w:val="18"/>
              </w:rPr>
            </w:pPr>
            <w:r>
              <w:rPr>
                <w:rFonts w:ascii="宋体" w:hAnsi="宋体" w:cs="宋体" w:eastAsia="宋体" w:hint="default"/>
                <w:sz w:val="18"/>
                <w:szCs w:val="18"/>
              </w:rPr>
              <w:t>高塘办 公楼</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9" w:right="0"/>
              <w:jc w:val="center"/>
              <w:rPr>
                <w:rFonts w:ascii="Times New Roman" w:hAnsi="Times New Roman" w:cs="Times New Roman" w:eastAsia="Times New Roman" w:hint="default"/>
                <w:sz w:val="18"/>
                <w:szCs w:val="18"/>
              </w:rPr>
            </w:pPr>
            <w:r>
              <w:rPr>
                <w:rFonts w:ascii="Times New Roman"/>
                <w:sz w:val="18"/>
              </w:rPr>
              <w:t>154,690,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101,535.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4,882,90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4.83</w:t>
            </w:r>
          </w:p>
        </w:tc>
        <w:tc>
          <w:tcPr>
            <w:tcW w:w="60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3.22%</w:t>
            </w:r>
          </w:p>
        </w:tc>
        <w:tc>
          <w:tcPr>
            <w:tcW w:w="63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4"/>
              <w:ind w:left="25" w:right="60"/>
              <w:jc w:val="left"/>
              <w:rPr>
                <w:rFonts w:ascii="宋体" w:hAnsi="宋体" w:cs="宋体" w:eastAsia="宋体" w:hint="default"/>
                <w:sz w:val="18"/>
                <w:szCs w:val="18"/>
              </w:rPr>
            </w:pPr>
            <w:r>
              <w:rPr>
                <w:rFonts w:ascii="宋体" w:hAnsi="宋体" w:cs="宋体" w:eastAsia="宋体" w:hint="default"/>
                <w:sz w:val="18"/>
                <w:szCs w:val="18"/>
              </w:rPr>
              <w:t>筹建状 态</w:t>
            </w:r>
          </w:p>
        </w:tc>
        <w:tc>
          <w:tcPr>
            <w:tcW w:w="737"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4"/>
              <w:ind w:left="23" w:right="29"/>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4" w:right="0"/>
              <w:jc w:val="left"/>
              <w:rPr>
                <w:rFonts w:ascii="Times New Roman" w:hAnsi="Times New Roman" w:cs="Times New Roman" w:eastAsia="Times New Roman" w:hint="default"/>
                <w:sz w:val="18"/>
                <w:szCs w:val="18"/>
              </w:rPr>
            </w:pPr>
            <w:r>
              <w:rPr>
                <w:rFonts w:ascii="Times New Roman"/>
                <w:sz w:val="18"/>
              </w:rPr>
              <w:t>4,984,43</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9.83</w:t>
            </w:r>
          </w:p>
        </w:tc>
      </w:tr>
      <w:tr>
        <w:trPr>
          <w:trHeight w:val="1027" w:hRule="exact"/>
        </w:trPr>
        <w:tc>
          <w:tcPr>
            <w:tcW w:w="7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科学城 厂房</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108,623,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774,435.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50,418,5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02.65</w:t>
            </w:r>
          </w:p>
        </w:tc>
        <w:tc>
          <w:tcPr>
            <w:tcW w:w="60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47.13%</w:t>
            </w:r>
          </w:p>
        </w:tc>
        <w:tc>
          <w:tcPr>
            <w:tcW w:w="63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center"/>
              <w:rPr>
                <w:rFonts w:ascii="Times New Roman" w:hAnsi="Times New Roman" w:cs="Times New Roman" w:eastAsia="Times New Roman" w:hint="default"/>
                <w:sz w:val="18"/>
                <w:szCs w:val="18"/>
              </w:rPr>
            </w:pPr>
            <w:r>
              <w:rPr>
                <w:rFonts w:ascii="Times New Roman"/>
                <w:sz w:val="18"/>
              </w:rPr>
              <w:t>47.13%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224,172.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224,172.69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4.74%</w:t>
            </w:r>
          </w:p>
        </w:tc>
        <w:tc>
          <w:tcPr>
            <w:tcW w:w="60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3" w:right="29"/>
              <w:jc w:val="both"/>
              <w:rPr>
                <w:rFonts w:ascii="宋体" w:hAnsi="宋体" w:cs="宋体" w:eastAsia="宋体" w:hint="default"/>
                <w:sz w:val="18"/>
                <w:szCs w:val="18"/>
              </w:rPr>
            </w:pPr>
            <w:r>
              <w:rPr>
                <w:rFonts w:ascii="宋体" w:hAnsi="宋体" w:cs="宋体" w:eastAsia="宋体" w:hint="default"/>
                <w:sz w:val="18"/>
                <w:szCs w:val="18"/>
              </w:rPr>
              <w:t>自有资 金、金 融贷款</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51,192,9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38.39</w:t>
            </w:r>
          </w:p>
        </w:tc>
      </w:tr>
      <w:tr>
        <w:trPr>
          <w:trHeight w:val="713"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263,313,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875,970.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55,301,4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07.48</w:t>
            </w:r>
          </w:p>
        </w:tc>
        <w:tc>
          <w:tcPr>
            <w:tcW w:w="60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224,172.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224,172.69</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56,177,3</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78.22</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t>（</w:t>
      </w:r>
      <w:r>
        <w:rPr>
          <w:rFonts w:ascii="Times New Roman" w:hAnsi="Times New Roman" w:cs="Times New Roman" w:eastAsia="Times New Roman" w:hint="default"/>
        </w:rPr>
        <w:t>3</w:t>
      </w:r>
      <w:r>
        <w:rPr/>
        <w:t>）重大在建工程的工程进度情况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8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科学城厂房</w:t>
            </w:r>
          </w:p>
        </w:tc>
        <w:tc>
          <w:tcPr>
            <w:tcW w:w="319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47.13%</w:t>
            </w:r>
          </w:p>
        </w:tc>
        <w:tc>
          <w:tcPr>
            <w:tcW w:w="3180" w:type="dxa"/>
            <w:tcBorders>
              <w:top w:val="single" w:sz="4" w:space="0" w:color="000000"/>
              <w:left w:val="single" w:sz="4" w:space="0" w:color="000000"/>
              <w:bottom w:val="single" w:sz="4" w:space="0" w:color="000000"/>
              <w:right w:val="single" w:sz="4" w:space="0" w:color="000000"/>
            </w:tcBorders>
            <w:shd w:val="clear" w:color="auto" w:fill="CCE8CC"/>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144"/>
        <w:jc w:val="left"/>
        <w:rPr>
          <w:b w:val="0"/>
          <w:bCs w:val="0"/>
        </w:rPr>
      </w:pPr>
      <w:r>
        <w:rPr/>
        <w:t>（</w:t>
      </w:r>
      <w:r>
        <w:rPr>
          <w:rFonts w:ascii="Times New Roman" w:hAnsi="Times New Roman" w:cs="Times New Roman" w:eastAsia="Times New Roman" w:hint="default"/>
        </w:rPr>
        <w:t>4</w:t>
      </w:r>
      <w:r>
        <w:rPr/>
        <w:t>）在建工程的说明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2348"/>
        <w:jc w:val="left"/>
      </w:pPr>
      <w:r>
        <w:rPr/>
        <w:t>期末用于抵押的在建工程账面价值为</w:t>
      </w:r>
      <w:r>
        <w:rPr>
          <w:rFonts w:ascii="Times New Roman" w:hAnsi="Times New Roman" w:cs="Times New Roman" w:eastAsia="Times New Roman" w:hint="default"/>
        </w:rPr>
        <w:t>1,845,855.90</w:t>
      </w:r>
      <w:r>
        <w:rPr/>
        <w:t>元，详见附注五、（二十一）短期借款。 期末在建工程未有减值迹象，故未对其计提减值准备。</w:t>
      </w:r>
    </w:p>
    <w:p>
      <w:pPr>
        <w:spacing w:line="240" w:lineRule="auto" w:before="10"/>
        <w:rPr>
          <w:rFonts w:ascii="宋体" w:hAnsi="宋体" w:cs="宋体" w:eastAsia="宋体" w:hint="default"/>
          <w:sz w:val="23"/>
          <w:szCs w:val="23"/>
        </w:rPr>
      </w:pPr>
    </w:p>
    <w:p>
      <w:pPr>
        <w:pStyle w:val="Heading3"/>
        <w:spacing w:line="240" w:lineRule="auto"/>
        <w:ind w:right="144"/>
        <w:jc w:val="left"/>
        <w:rPr>
          <w:b w:val="0"/>
          <w:bCs w:val="0"/>
        </w:rPr>
      </w:pPr>
      <w:r>
        <w:rPr>
          <w:rFonts w:ascii="Times New Roman" w:hAnsi="Times New Roman" w:cs="Times New Roman" w:eastAsia="Times New Roman" w:hint="default"/>
        </w:rPr>
        <w:t>14</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6"/>
        <w:gridCol w:w="1649"/>
        <w:gridCol w:w="1647"/>
        <w:gridCol w:w="1649"/>
        <w:gridCol w:w="1649"/>
      </w:tblGrid>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6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48,611,644.55</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19,820,620.00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68,432,264.55</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(1).NS_5GT_108 </w:t>
            </w:r>
            <w:r>
              <w:rPr>
                <w:rFonts w:ascii="宋体" w:hAnsi="宋体" w:cs="宋体" w:eastAsia="宋体" w:hint="default"/>
                <w:sz w:val="18"/>
                <w:szCs w:val="18"/>
              </w:rPr>
              <w:t>防火墙</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5,800.00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5,800.00</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科学城土地使用权＊</w:t>
            </w:r>
            <w:r>
              <w:rPr>
                <w:rFonts w:ascii="Times New Roman" w:hAnsi="Times New Roman" w:cs="Times New Roman" w:eastAsia="Times New Roman" w:hint="default"/>
                <w:sz w:val="18"/>
                <w:szCs w:val="18"/>
              </w:rPr>
              <w:t>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9,270,000.00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9,270,000.00</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金蝶软件</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188,250.00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12,760.00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201,010.00</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(4).KINGTELLER&amp;</w:t>
            </w:r>
            <w:r>
              <w:rPr>
                <w:rFonts w:ascii="宋体" w:hAnsi="宋体" w:cs="宋体" w:eastAsia="宋体" w:hint="default"/>
                <w:sz w:val="18"/>
                <w:szCs w:val="18"/>
              </w:rPr>
              <w:t>御银商标</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3,904.80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3,904.80</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(5).1688A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大堂式外观专利</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1,809.60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1,809.60</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自动柜员机面板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外观专利</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8,575.00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8,575.00</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人民币防伪鉴别仪外观专利</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3,305.00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3,305.00</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(8).URT racker</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事务系统</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3,630.00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3,630.00</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办公自动化系统</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系统</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(10).VideoArts</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培训技术课程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26,700.00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26,700.00</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(11).OA</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系统瑞星杀毒软件及防火墙</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48,850.00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48,850.00</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(12).Altium Limited</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绘图软件款</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77"/>
        <w:gridCol w:w="1649"/>
        <w:gridCol w:w="1647"/>
        <w:gridCol w:w="1649"/>
        <w:gridCol w:w="1649"/>
      </w:tblGrid>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(13).coreldraw x5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简体中文版软件</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11,600.00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11,600.00</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微软软件</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541,940.00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541,940.00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1,083,880.00</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高尔夫球会籍</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2,096,000.00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5,376,000.00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高塘土地使用权＊</w:t>
            </w:r>
            <w:r>
              <w:rPr>
                <w:rFonts w:ascii="Times New Roman" w:hAnsi="Times New Roman" w:cs="Times New Roman" w:eastAsia="Times New Roman" w:hint="default"/>
                <w:sz w:val="18"/>
                <w:szCs w:val="18"/>
              </w:rPr>
              <w:t>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29,901,342.00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29,901,342.00</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新一代自助设备交易平台系统</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5,055,938.15</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5,055,938.15</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北森人力资源测评系统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V2.0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56,320.00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56,320.00</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(19).LY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产品追溯软件系统</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85,600.00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85,600.00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自助终端综合维护系统</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4,700,000.00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4,700,000.00</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宋体" w:hAnsi="宋体" w:cs="宋体" w:eastAsia="宋体" w:hint="default"/>
                <w:sz w:val="18"/>
                <w:szCs w:val="18"/>
              </w:rPr>
              <w:t>安全管理系统</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4,200,000.00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4,200,000.00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(22).ATM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报警视频系统</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3,800,000.00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3,800,000.00</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(23).ATM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监控开发系统研发项目</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(24).ATM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管理系统</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178,000.00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178,000.00</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(25).ATM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远程分类统一处理平台</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900,235.99</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1,760,631.15</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2,660,867.14</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(1).NS_5GT_108 </w:t>
            </w:r>
            <w:r>
              <w:rPr>
                <w:rFonts w:ascii="宋体" w:hAnsi="宋体" w:cs="宋体" w:eastAsia="宋体" w:hint="default"/>
                <w:sz w:val="18"/>
                <w:szCs w:val="18"/>
              </w:rPr>
              <w:t>防火墙</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5,606.86</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193.14</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5,800.00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科学城土地使用权＊</w:t>
            </w:r>
            <w:r>
              <w:rPr>
                <w:rFonts w:ascii="Times New Roman" w:hAnsi="Times New Roman" w:cs="Times New Roman" w:eastAsia="Times New Roman" w:hint="default"/>
                <w:sz w:val="18"/>
                <w:szCs w:val="18"/>
              </w:rPr>
              <w:t>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216,300.00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185,400.00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401,700.00</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金蝶软件</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142,149.79</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14,365.02</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156,514.81</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(4).KINGTELLER&amp;</w:t>
            </w:r>
            <w:r>
              <w:rPr>
                <w:rFonts w:ascii="宋体" w:hAnsi="宋体" w:cs="宋体" w:eastAsia="宋体" w:hint="default"/>
                <w:sz w:val="18"/>
                <w:szCs w:val="18"/>
              </w:rPr>
              <w:t>御银商标</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3,904.80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3,904.80</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(5).1688A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大堂式外观专利</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1,809.60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1,809.60</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自动柜员机面板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外观专利</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7,692.18</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679.76</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8,371.94</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人民币防伪鉴别仪外观专利</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2,889.60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290.22</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3,179.82</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(8).URT racker</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事务系统</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3,630.00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3,630.00</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办公自动化系统</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系统</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18,750.15</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5,000.04</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23,750.19</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(10).VideoArts</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培训技术课程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19,135.00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5,340.00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24,475.00</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(11).OA</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系统瑞星杀毒软件及防火墙</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17,504.44</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4,884.96</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22,389.40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(12).Altium Limited</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绘图软件款</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64,750.00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21,000.00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85,750.00</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(13).coreldraw x5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简体中文版软件</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773.36</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1,160.04</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1,933.40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微软软件</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54,193.98</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180,646.60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234,840.58</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高尔夫球会籍</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高塘土地使用权＊</w:t>
            </w:r>
            <w:r>
              <w:rPr>
                <w:rFonts w:ascii="Times New Roman" w:hAnsi="Times New Roman" w:cs="Times New Roman" w:eastAsia="Times New Roman" w:hint="default"/>
                <w:sz w:val="18"/>
                <w:szCs w:val="18"/>
              </w:rPr>
              <w:t>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299,013.41</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598,026.84</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897,040.25</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新一代自助设备交易平台系统</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42,132.82</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505,593.84</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547,726.66</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北森人力资源测评系统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V2.0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4,223.97</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4,223.97</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(19).LY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产品追溯软件系统</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4,360.04</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4,360.04</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自助终端综合维护系统</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78,333.34</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78,333.34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76"/>
        <w:gridCol w:w="1649"/>
        <w:gridCol w:w="1647"/>
        <w:gridCol w:w="1649"/>
        <w:gridCol w:w="1649"/>
      </w:tblGrid>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宋体" w:hAnsi="宋体" w:cs="宋体" w:eastAsia="宋体" w:hint="default"/>
                <w:sz w:val="18"/>
                <w:szCs w:val="18"/>
              </w:rPr>
              <w:t>安全管理系统</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w:t>
            </w:r>
          </w:p>
        </w:tc>
      </w:tr>
      <w:tr>
        <w:trPr>
          <w:trHeight w:val="404"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(22).ATM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报警视频系统</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63,333.34</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63,333.34</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(23).ATM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监控开发系统研发项目</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(24).ATM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管理系统</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17,800.00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17,800.00</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(25).ATM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远程分类统一处理平台</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47,711,408.56</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18,059,988.85</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65,771,397.41</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(1).NS_5GT_108 </w:t>
            </w:r>
            <w:r>
              <w:rPr>
                <w:rFonts w:ascii="宋体" w:hAnsi="宋体" w:cs="宋体" w:eastAsia="宋体" w:hint="default"/>
                <w:sz w:val="18"/>
                <w:szCs w:val="18"/>
              </w:rPr>
              <w:t>防火墙</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193.14</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-193.14</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科学城土地使用权＊</w:t>
            </w:r>
            <w:r>
              <w:rPr>
                <w:rFonts w:ascii="Times New Roman" w:hAnsi="Times New Roman" w:cs="Times New Roman" w:eastAsia="Times New Roman" w:hint="default"/>
                <w:sz w:val="18"/>
                <w:szCs w:val="18"/>
              </w:rPr>
              <w:t>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9,053,700.00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-185,400.00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8,868,300.00</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金蝶软件</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46,100.21</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-1,605.02</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44,495.19</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(4).KINGTELLER&amp;</w:t>
            </w:r>
            <w:r>
              <w:rPr>
                <w:rFonts w:ascii="宋体" w:hAnsi="宋体" w:cs="宋体" w:eastAsia="宋体" w:hint="default"/>
                <w:sz w:val="18"/>
                <w:szCs w:val="18"/>
              </w:rPr>
              <w:t>御银商标</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(5).1688A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大堂式外观专利</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自动柜员机面板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外观专利</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882.82</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-679.76</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203.06</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人民币防伪鉴别仪外观专利</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415.40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-290.22</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125.18</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(8).URT racker</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事务系统</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办公自动化系统</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系统</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31,249.85</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-5,000.04</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26,249.81</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(10).VideoArts</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培训技术课程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7,565.00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-5,340.00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2,225.00</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(11).OA</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系统瑞星杀毒软件及防火墙</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31,345.56</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-4,884.96</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26,460.60</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(12).Altium Limited</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绘图软件款</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145,250.00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-21,000.00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124,250.00</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(13).coreldraw x5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简体中文版软件</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10,826.64</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-1,160.04</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9,666.60</w:t>
            </w:r>
          </w:p>
        </w:tc>
      </w:tr>
      <w:tr>
        <w:trPr>
          <w:trHeight w:val="404"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微软软件</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487,746.02</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361,293.40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849,039.42</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高尔夫球会籍</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2,096,000.00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5,376,000.00</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高塘土地使用权＊</w:t>
            </w:r>
            <w:r>
              <w:rPr>
                <w:rFonts w:ascii="Times New Roman" w:hAnsi="Times New Roman" w:cs="Times New Roman" w:eastAsia="Times New Roman" w:hint="default"/>
                <w:sz w:val="18"/>
                <w:szCs w:val="18"/>
              </w:rPr>
              <w:t>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29,602,328.59</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-598,026.84</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29,004,301.75</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新一代自助设备交易平台系统</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5,013,805.33</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-505,593.84</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4,508,211.49</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北森人力资源测评系统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52,096.03</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52,096.03</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(19).LY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产品追溯软件系统</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81,239.96</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81,239.96</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自助终端综合维护系统</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4,621,666.66</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4,621,666.66</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宋体" w:hAnsi="宋体" w:cs="宋体" w:eastAsia="宋体" w:hint="default"/>
                <w:sz w:val="18"/>
                <w:szCs w:val="18"/>
              </w:rPr>
              <w:t>安全管理系统</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4,130,000.00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4,130,000.00</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(22).ATM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报警视频系统</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3,736,666.66</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3,736,666.66</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(23).ATM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监控开发系统研发项目</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(24).ATM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管理系统</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160,200.00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160,200.00</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(25).ATM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远程分类统一处理平台</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(1).NS_5GT_108 </w:t>
            </w:r>
            <w:r>
              <w:rPr>
                <w:rFonts w:ascii="宋体" w:hAnsi="宋体" w:cs="宋体" w:eastAsia="宋体" w:hint="default"/>
                <w:sz w:val="18"/>
                <w:szCs w:val="18"/>
              </w:rPr>
              <w:t>防火墙</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科学城土地使用权＊</w:t>
            </w:r>
            <w:r>
              <w:rPr>
                <w:rFonts w:ascii="Times New Roman" w:hAnsi="Times New Roman" w:cs="Times New Roman" w:eastAsia="Times New Roman" w:hint="default"/>
                <w:sz w:val="18"/>
                <w:szCs w:val="18"/>
              </w:rPr>
              <w:t>1</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金蝶软件</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76"/>
        <w:gridCol w:w="1649"/>
        <w:gridCol w:w="1647"/>
        <w:gridCol w:w="1649"/>
        <w:gridCol w:w="1649"/>
      </w:tblGrid>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(4).KINGTELLER&amp;</w:t>
            </w:r>
            <w:r>
              <w:rPr>
                <w:rFonts w:ascii="宋体" w:hAnsi="宋体" w:cs="宋体" w:eastAsia="宋体" w:hint="default"/>
                <w:sz w:val="18"/>
                <w:szCs w:val="18"/>
              </w:rPr>
              <w:t>御银商标</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(5).1688A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大堂式外观专利</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自动柜员机面板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外观专利</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人民币防伪鉴别仪外观专利</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(8).URT racker</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事务系统</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办公自动化系统</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系统</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(10).VideoArts</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培训技术课程</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(11).OA</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系统瑞星杀毒软件及防火墙</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(12).Altium Limited</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绘图软件款</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(13).coreldraw x5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简体中文版软件</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微软软件</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高尔夫球会籍</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高塘土地使用权＊</w:t>
            </w:r>
            <w:r>
              <w:rPr>
                <w:rFonts w:ascii="Times New Roman" w:hAnsi="Times New Roman" w:cs="Times New Roman" w:eastAsia="Times New Roman" w:hint="default"/>
                <w:sz w:val="18"/>
                <w:szCs w:val="18"/>
              </w:rPr>
              <w:t>2</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新一代自助设备交易平台系统</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北森人力资源测评系统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V2.0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(19).LY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产品追溯软件系统</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自助终端综合维护系统</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宋体" w:hAnsi="宋体" w:cs="宋体" w:eastAsia="宋体" w:hint="default"/>
                <w:sz w:val="18"/>
                <w:szCs w:val="18"/>
              </w:rPr>
              <w:t>安全管理系统</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(22).ATM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报警视频系统</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(23).ATM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监控开发系统研发项目</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(24).ATM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管理系统</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(25).ATM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远程分类统一处理平台</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47,711,408.56</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18,059,988.85</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65,771,397.41</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(1).NS_5GT_108 </w:t>
            </w:r>
            <w:r>
              <w:rPr>
                <w:rFonts w:ascii="宋体" w:hAnsi="宋体" w:cs="宋体" w:eastAsia="宋体" w:hint="default"/>
                <w:sz w:val="18"/>
                <w:szCs w:val="18"/>
              </w:rPr>
              <w:t>防火墙</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193.14</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-193.14</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科学城土地使用权＊</w:t>
            </w:r>
            <w:r>
              <w:rPr>
                <w:rFonts w:ascii="Times New Roman" w:hAnsi="Times New Roman" w:cs="Times New Roman" w:eastAsia="Times New Roman" w:hint="default"/>
                <w:sz w:val="18"/>
                <w:szCs w:val="18"/>
              </w:rPr>
              <w:t>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9,053,700.00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-185,400.00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8,868,300.00</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金蝶软件</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46,100.21</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-1,605.02</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44,495.19</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(4).KINGTELLER&amp;</w:t>
            </w:r>
            <w:r>
              <w:rPr>
                <w:rFonts w:ascii="宋体" w:hAnsi="宋体" w:cs="宋体" w:eastAsia="宋体" w:hint="default"/>
                <w:sz w:val="18"/>
                <w:szCs w:val="18"/>
              </w:rPr>
              <w:t>御银商标</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(5).1688A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大堂式外观专利</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自动柜员机面板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外观专利</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882.82</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-679.76</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203.06</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人民币防伪鉴别仪外观专利</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415.40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-290.22</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125.18</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(8).URT racker</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事务系统</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办公自动化系统</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系统</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31,249.85</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-5,000.04</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26,249.81</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(10).VideoArts</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培训技术课程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7,565.00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2,225.00</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(11).OA</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系统瑞星杀毒软件及防火墙</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31,345.56</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-4,884.96</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26,460.60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76"/>
        <w:gridCol w:w="1649"/>
        <w:gridCol w:w="1647"/>
        <w:gridCol w:w="1649"/>
        <w:gridCol w:w="1649"/>
      </w:tblGrid>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(12).Altium Limited</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绘图软件款</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145,250.00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124,250.00</w:t>
            </w:r>
          </w:p>
        </w:tc>
      </w:tr>
      <w:tr>
        <w:trPr>
          <w:trHeight w:val="404"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(13).coreldraw x5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简体中文版软件</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10,826.64</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-1,160.04</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9,666.60</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微软软件</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487,746.02</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361,293.40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849,039.42</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高尔夫球会籍</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2,096,000.00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5,376,000.00</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高塘土地使用权＊</w:t>
            </w:r>
            <w:r>
              <w:rPr>
                <w:rFonts w:ascii="Times New Roman" w:hAnsi="Times New Roman" w:cs="Times New Roman" w:eastAsia="Times New Roman" w:hint="default"/>
                <w:sz w:val="18"/>
                <w:szCs w:val="18"/>
              </w:rPr>
              <w:t>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29,602,328.59</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-598,026.84</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29,004,301.75</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新一代自助设备交易平台系统</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5,013,805.33</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-505,593.84</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4,508,211.49</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北森人力资源测评系统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V2.0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52,096.03</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52,096.03</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(19).LY</w:t>
            </w:r>
            <w:r>
              <w:rPr>
                <w:rFonts w:ascii="Times New Roman" w:hAnsi="Times New Roman" w:cs="Times New Roman" w:eastAsia="Times New Roman" w:hint="default"/>
                <w:sz w:val="18"/>
                <w:szCs w:val="18"/>
              </w:rPr>
              <w:t> </w:t>
            </w:r>
            <w:r>
              <w:rPr>
                <w:rFonts w:ascii="宋体" w:hAnsi="宋体" w:cs="宋体" w:eastAsia="宋体" w:hint="default"/>
                <w:sz w:val="18"/>
                <w:szCs w:val="18"/>
              </w:rPr>
              <w:t>产品追溯软件系统</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81,239.96</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81,239.96</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自助终端综合维护系统</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4,621,666.66</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4,621,666.66</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宋体" w:hAnsi="宋体" w:cs="宋体" w:eastAsia="宋体" w:hint="default"/>
                <w:sz w:val="18"/>
                <w:szCs w:val="18"/>
              </w:rPr>
              <w:t>安全管理系统</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4,130,000.00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4,130,000.00</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(22).ATM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报警视频系统</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3,736,666.66</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3,736,666.66</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(23).ATM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监控开发系统研发项目</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(24).ATM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管理系统</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160,200.00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160,200.00</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(25).ATM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远程分类统一处理平台</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4,000,000.00</w:t>
            </w:r>
          </w:p>
        </w:tc>
      </w:tr>
    </w:tbl>
    <w:p>
      <w:pPr>
        <w:pStyle w:val="BodyText"/>
        <w:spacing w:line="240" w:lineRule="auto" w:before="49"/>
        <w:ind w:right="144"/>
        <w:jc w:val="left"/>
      </w:pPr>
      <w:r>
        <w:rPr/>
        <w:t>本期摊销额</w:t>
      </w:r>
      <w:r>
        <w:rPr>
          <w:spacing w:val="-47"/>
        </w:rPr>
        <w:t> </w:t>
      </w:r>
      <w:r>
        <w:rPr>
          <w:rFonts w:ascii="Times New Roman" w:hAnsi="Times New Roman" w:cs="Times New Roman" w:eastAsia="Times New Roman" w:hint="default"/>
        </w:rPr>
        <w:t>1,760,631.15</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144"/>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5"/>
        <w:gridCol w:w="1133"/>
        <w:gridCol w:w="1416"/>
        <w:gridCol w:w="1277"/>
        <w:gridCol w:w="1453"/>
        <w:gridCol w:w="1594"/>
      </w:tblGrid>
      <w:tr>
        <w:trPr>
          <w:trHeight w:val="403" w:hRule="exact"/>
        </w:trPr>
        <w:tc>
          <w:tcPr>
            <w:tcW w:w="26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695"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监控开发系统研发项目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自助终端综合维护系统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安全管理系统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管理系统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报警视频系统</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远程分类统一处理平台</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BH</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服务及管理系统</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6,731,695.33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6,731,695.33</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预警通知平台</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3,400,000.00</w:t>
            </w:r>
          </w:p>
        </w:tc>
      </w:tr>
      <w:tr>
        <w:trPr>
          <w:trHeight w:val="404"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7,728,500.00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19,431,195.33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10,131,695.33</w:t>
            </w:r>
          </w:p>
        </w:tc>
      </w:tr>
    </w:tbl>
    <w:p>
      <w:pPr>
        <w:pStyle w:val="BodyText"/>
        <w:spacing w:line="338" w:lineRule="auto" w:before="49"/>
        <w:ind w:right="3771"/>
        <w:jc w:val="left"/>
      </w:pPr>
      <w:r>
        <w:rPr/>
        <w:t>本期开发支出占本期研究开发项目支出总额的比例</w:t>
      </w:r>
      <w:r>
        <w:rPr>
          <w:spacing w:val="-44"/>
        </w:rPr>
        <w:t> </w:t>
      </w:r>
      <w:r>
        <w:rPr>
          <w:rFonts w:ascii="Times New Roman" w:hAnsi="Times New Roman" w:cs="Times New Roman" w:eastAsia="Times New Roman" w:hint="default"/>
        </w:rPr>
        <w:t>24.21%</w:t>
      </w:r>
      <w:r>
        <w:rPr/>
        <w:t>。 通过公司内部研发形成的无形资产占无形资产期末账面价值的比例</w:t>
      </w:r>
      <w:r>
        <w:rPr>
          <w:spacing w:val="-42"/>
        </w:rPr>
        <w:t> </w:t>
      </w:r>
      <w:r>
        <w:rPr>
          <w:rFonts w:ascii="Times New Roman" w:hAnsi="Times New Roman" w:cs="Times New Roman" w:eastAsia="Times New Roman" w:hint="default"/>
        </w:rPr>
        <w:t>25.89%</w:t>
      </w:r>
      <w:r>
        <w:rPr/>
        <w:t>。</w:t>
      </w:r>
    </w:p>
    <w:p>
      <w:pPr>
        <w:pStyle w:val="BodyText"/>
        <w:spacing w:line="240" w:lineRule="auto" w:before="22"/>
        <w:ind w:left="513" w:right="0"/>
        <w:jc w:val="left"/>
      </w:pPr>
      <w:r>
        <w:rPr/>
        <w:t>公司开发项目的说明，包括本期发生的单项价值在</w:t>
      </w:r>
      <w:r>
        <w:rPr>
          <w:spacing w:val="-45"/>
        </w:rPr>
        <w:t> </w:t>
      </w:r>
      <w:r>
        <w:rPr>
          <w:rFonts w:ascii="Times New Roman" w:hAnsi="Times New Roman" w:cs="Times New Roman" w:eastAsia="Times New Roman" w:hint="default"/>
        </w:rPr>
        <w:t>100 </w:t>
      </w:r>
      <w:r>
        <w:rPr>
          <w:spacing w:val="-3"/>
        </w:rPr>
        <w:t>万元以上且以评估值为入账依据的，应披露评估机构名称、评估</w:t>
      </w:r>
    </w:p>
    <w:p>
      <w:pPr>
        <w:pStyle w:val="BodyText"/>
        <w:spacing w:line="240" w:lineRule="auto" w:before="63"/>
        <w:ind w:right="144"/>
        <w:jc w:val="left"/>
      </w:pPr>
      <w:r>
        <w:rPr/>
        <w:t>方法</w:t>
      </w:r>
    </w:p>
    <w:p>
      <w:pPr>
        <w:pStyle w:val="BodyText"/>
        <w:spacing w:line="240" w:lineRule="auto" w:before="115"/>
        <w:ind w:left="513" w:right="0"/>
        <w:jc w:val="left"/>
      </w:pPr>
      <w:r>
        <w:rPr/>
        <w:t>①科学城土地使用权：权证号为穗府国用（</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05000060</w:t>
      </w:r>
      <w:r>
        <w:rPr/>
        <w:t>号，使用权面积为</w:t>
      </w:r>
      <w:r>
        <w:rPr>
          <w:rFonts w:ascii="Times New Roman" w:hAnsi="Times New Roman" w:cs="Times New Roman" w:eastAsia="Times New Roman" w:hint="default"/>
        </w:rPr>
        <w:t>15,000.00</w:t>
      </w:r>
      <w:r>
        <w:rPr/>
        <w:t>平方米，为工矿仓储用地，使</w:t>
      </w:r>
    </w:p>
    <w:p>
      <w:pPr>
        <w:pStyle w:val="BodyText"/>
        <w:spacing w:line="240" w:lineRule="auto" w:before="62"/>
        <w:ind w:right="144"/>
        <w:jc w:val="left"/>
      </w:pPr>
      <w:r>
        <w:rPr/>
        <w:t>用年限至</w:t>
      </w:r>
      <w:r>
        <w:rPr>
          <w:rFonts w:ascii="Times New Roman" w:hAnsi="Times New Roman" w:cs="Times New Roman" w:eastAsia="Times New Roman" w:hint="default"/>
        </w:rPr>
        <w:t>2060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日终止，该土地使用权以出让方式取得。</w:t>
      </w:r>
    </w:p>
    <w:p>
      <w:pPr>
        <w:spacing w:after="0" w:line="240" w:lineRule="auto"/>
        <w:jc w:val="left"/>
        <w:sectPr>
          <w:footerReference w:type="default" r:id="rId25"/>
          <w:pgSz w:w="11910" w:h="16840"/>
          <w:pgMar w:footer="980" w:header="745" w:top="1060" w:bottom="1160" w:left="980" w:right="980"/>
          <w:pgNumType w:start="110"/>
        </w:sectPr>
      </w:pPr>
    </w:p>
    <w:p>
      <w:pPr>
        <w:spacing w:line="240" w:lineRule="auto" w:before="9"/>
        <w:rPr>
          <w:rFonts w:ascii="宋体" w:hAnsi="宋体" w:cs="宋体" w:eastAsia="宋体" w:hint="default"/>
          <w:sz w:val="25"/>
          <w:szCs w:val="25"/>
        </w:rPr>
      </w:pPr>
    </w:p>
    <w:p>
      <w:pPr>
        <w:pStyle w:val="BodyText"/>
        <w:spacing w:line="300" w:lineRule="auto" w:before="44"/>
        <w:ind w:right="191" w:firstLine="360"/>
        <w:jc w:val="both"/>
      </w:pPr>
      <w:r>
        <w:rPr>
          <w:spacing w:val="-2"/>
        </w:rPr>
        <w:t>②高塘土地使用权：权证号为穗府国用（</w:t>
      </w:r>
      <w:r>
        <w:rPr>
          <w:rFonts w:ascii="Times New Roman" w:hAnsi="Times New Roman" w:cs="Times New Roman" w:eastAsia="Times New Roman" w:hint="default"/>
          <w:spacing w:val="-2"/>
        </w:rPr>
        <w:t>2011</w:t>
      </w:r>
      <w:r>
        <w:rPr>
          <w:spacing w:val="-2"/>
        </w:rPr>
        <w:t>）第</w:t>
      </w:r>
      <w:r>
        <w:rPr>
          <w:rFonts w:ascii="Times New Roman" w:hAnsi="Times New Roman" w:cs="Times New Roman" w:eastAsia="Times New Roman" w:hint="default"/>
          <w:spacing w:val="-2"/>
        </w:rPr>
        <w:t>01100110</w:t>
      </w:r>
      <w:r>
        <w:rPr>
          <w:spacing w:val="-2"/>
        </w:rPr>
        <w:t>号，使用权面积为</w:t>
      </w:r>
      <w:r>
        <w:rPr>
          <w:rFonts w:ascii="Times New Roman" w:hAnsi="Times New Roman" w:cs="Times New Roman" w:eastAsia="Times New Roman" w:hint="default"/>
          <w:spacing w:val="-2"/>
        </w:rPr>
        <w:t>14,693.00</w:t>
      </w:r>
      <w:r>
        <w:rPr>
          <w:spacing w:val="-2"/>
        </w:rPr>
        <w:t>平方米，用途为科教用地，该土</w:t>
      </w:r>
      <w:r>
        <w:rPr/>
        <w:t> 地使用权以出让方式取得，土地出让使用年限自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日起计算，居民份额用地</w:t>
      </w:r>
      <w:r>
        <w:rPr>
          <w:rFonts w:ascii="Times New Roman" w:hAnsi="Times New Roman" w:cs="Times New Roman" w:eastAsia="Times New Roman" w:hint="default"/>
        </w:rPr>
        <w:t>70</w:t>
      </w:r>
      <w:r>
        <w:rPr/>
        <w:t>年，商业、旅游、娱乐份额用地</w:t>
      </w:r>
      <w:r>
        <w:rPr>
          <w:rFonts w:ascii="Times New Roman" w:hAnsi="Times New Roman" w:cs="Times New Roman" w:eastAsia="Times New Roman" w:hint="default"/>
        </w:rPr>
        <w:t>40</w:t>
      </w:r>
      <w:r>
        <w:rPr>
          <w:rFonts w:ascii="Times New Roman" w:hAnsi="Times New Roman" w:cs="Times New Roman" w:eastAsia="Times New Roman" w:hint="default"/>
          <w:spacing w:val="-40"/>
        </w:rPr>
        <w:t> </w:t>
      </w:r>
      <w:r>
        <w:rPr/>
        <w:t>年，其他用地</w:t>
      </w:r>
      <w:r>
        <w:rPr>
          <w:rFonts w:ascii="Times New Roman" w:hAnsi="Times New Roman" w:cs="Times New Roman" w:eastAsia="Times New Roman" w:hint="default"/>
        </w:rPr>
        <w:t>50</w:t>
      </w:r>
      <w:r>
        <w:rPr/>
        <w:t>年，土地属于其他用地按</w:t>
      </w:r>
      <w:r>
        <w:rPr>
          <w:rFonts w:ascii="Times New Roman" w:hAnsi="Times New Roman" w:cs="Times New Roman" w:eastAsia="Times New Roman" w:hint="default"/>
        </w:rPr>
        <w:t>50</w:t>
      </w:r>
      <w:r>
        <w:rPr/>
        <w:t>年摊销。</w:t>
      </w:r>
    </w:p>
    <w:p>
      <w:pPr>
        <w:pStyle w:val="BodyText"/>
        <w:spacing w:line="240" w:lineRule="auto" w:before="13"/>
        <w:ind w:left="513" w:right="185"/>
        <w:jc w:val="left"/>
      </w:pPr>
      <w:r>
        <w:rPr/>
        <w:t>③本期无以明显高于账面价值的价格出售无形资产的情况。</w:t>
      </w:r>
    </w:p>
    <w:p>
      <w:pPr>
        <w:pStyle w:val="BodyText"/>
        <w:spacing w:line="240" w:lineRule="auto" w:before="76"/>
        <w:ind w:left="513" w:right="185"/>
        <w:jc w:val="left"/>
      </w:pPr>
      <w:r>
        <w:rPr/>
        <w:t>④期末用于抵押的无形资产账面价值为</w:t>
      </w:r>
      <w:r>
        <w:rPr>
          <w:rFonts w:ascii="Times New Roman" w:hAnsi="Times New Roman" w:cs="Times New Roman" w:eastAsia="Times New Roman" w:hint="default"/>
        </w:rPr>
        <w:t>8,868,300.00</w:t>
      </w:r>
      <w:r>
        <w:rPr/>
        <w:t>元，详见附注五、（三十）长期借款。</w:t>
      </w:r>
    </w:p>
    <w:p>
      <w:pPr>
        <w:spacing w:line="240" w:lineRule="auto" w:before="2"/>
        <w:rPr>
          <w:rFonts w:ascii="宋体" w:hAnsi="宋体" w:cs="宋体" w:eastAsia="宋体" w:hint="default"/>
          <w:sz w:val="26"/>
          <w:szCs w:val="26"/>
        </w:rPr>
      </w:pPr>
    </w:p>
    <w:p>
      <w:pPr>
        <w:pStyle w:val="Heading3"/>
        <w:spacing w:line="240" w:lineRule="auto"/>
        <w:ind w:right="185"/>
        <w:jc w:val="left"/>
        <w:rPr>
          <w:b w:val="0"/>
          <w:bCs w:val="0"/>
        </w:rPr>
      </w:pPr>
      <w:r>
        <w:rPr>
          <w:rFonts w:ascii="Times New Roman" w:hAnsi="Times New Roman" w:cs="Times New Roman" w:eastAsia="Times New Roman" w:hint="default"/>
        </w:rPr>
        <w:t>15</w:t>
      </w:r>
      <w:r>
        <w:rPr/>
        <w:t>、商誉</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1320"/>
        <w:gridCol w:w="1318"/>
        <w:gridCol w:w="1318"/>
        <w:gridCol w:w="1318"/>
        <w:gridCol w:w="1318"/>
      </w:tblGrid>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北京青年御银科技有限责任公司</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284,800.71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284,800.71</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284,800.71</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284,800.71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284,800.71</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284,800.71</w:t>
            </w:r>
          </w:p>
        </w:tc>
      </w:tr>
    </w:tbl>
    <w:p>
      <w:pPr>
        <w:pStyle w:val="BodyText"/>
        <w:spacing w:line="240" w:lineRule="auto" w:before="49"/>
        <w:ind w:right="185"/>
        <w:jc w:val="left"/>
      </w:pPr>
      <w:r>
        <w:rPr/>
        <w:t>说明商誉的减值测试方法和减值准备计提方法</w:t>
      </w:r>
    </w:p>
    <w:p>
      <w:pPr>
        <w:pStyle w:val="BodyText"/>
        <w:spacing w:line="300" w:lineRule="auto" w:before="115"/>
        <w:ind w:right="191" w:firstLine="360"/>
        <w:jc w:val="both"/>
      </w:pPr>
      <w:r>
        <w:rPr>
          <w:spacing w:val="-1"/>
        </w:rPr>
        <w:t>（</w:t>
      </w:r>
      <w:r>
        <w:rPr>
          <w:rFonts w:ascii="Times New Roman" w:hAnsi="Times New Roman" w:cs="Times New Roman" w:eastAsia="Times New Roman" w:hint="default"/>
          <w:spacing w:val="-1"/>
        </w:rPr>
        <w:t>1</w:t>
      </w:r>
      <w:r>
        <w:rPr>
          <w:spacing w:val="-1"/>
        </w:rPr>
        <w:t>）商誉的计算过程。公司对北京青年御银科技有限责任公司从</w:t>
      </w:r>
      <w:r>
        <w:rPr>
          <w:rFonts w:ascii="Times New Roman" w:hAnsi="Times New Roman" w:cs="Times New Roman" w:eastAsia="Times New Roman" w:hint="default"/>
          <w:spacing w:val="-1"/>
        </w:rPr>
        <w:t>20%</w:t>
      </w:r>
      <w:r>
        <w:rPr>
          <w:spacing w:val="-1"/>
        </w:rPr>
        <w:t>的股权变更为</w:t>
      </w:r>
      <w:r>
        <w:rPr>
          <w:rFonts w:ascii="Times New Roman" w:hAnsi="Times New Roman" w:cs="Times New Roman" w:eastAsia="Times New Roman" w:hint="default"/>
          <w:spacing w:val="-1"/>
        </w:rPr>
        <w:t>100%</w:t>
      </w:r>
      <w:r>
        <w:rPr>
          <w:spacing w:val="-1"/>
        </w:rPr>
        <w:t>，由权益法改为成本法，从变</w:t>
      </w:r>
      <w:r>
        <w:rPr/>
        <w:t> 更之日起纳入合并范围。以变更登记日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日为购买日，已支付给北京青年御银科技股份有限责任公司的实收资本</w:t>
      </w:r>
      <w:r>
        <w:rPr>
          <w:spacing w:val="-85"/>
        </w:rPr>
        <w:t> </w:t>
      </w:r>
      <w:r>
        <w:rPr>
          <w:spacing w:val="-85"/>
        </w:rPr>
      </w:r>
      <w:r>
        <w:rPr>
          <w:rFonts w:ascii="Times New Roman" w:hAnsi="Times New Roman" w:cs="Times New Roman" w:eastAsia="Times New Roman" w:hint="default"/>
        </w:rPr>
        <w:t>200</w:t>
      </w:r>
      <w:r>
        <w:rPr/>
        <w:t>万人民币作为合并成本，北京青年御银科技股份有限责任公司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日的账面净值</w:t>
      </w:r>
      <w:r>
        <w:rPr>
          <w:rFonts w:ascii="Times New Roman" w:hAnsi="Times New Roman" w:cs="Times New Roman" w:eastAsia="Times New Roman" w:hint="default"/>
        </w:rPr>
        <w:t>1,715,199.29</w:t>
      </w:r>
      <w:r>
        <w:rPr/>
        <w:t>元为在购买日的可</w:t>
      </w:r>
      <w:r>
        <w:rPr>
          <w:spacing w:val="-46"/>
        </w:rPr>
        <w:t> </w:t>
      </w:r>
      <w:r>
        <w:rPr>
          <w:spacing w:val="-46"/>
        </w:rPr>
      </w:r>
      <w:r>
        <w:rPr/>
        <w:t>辨认净资产公允价值，两者的差额人民币</w:t>
      </w:r>
      <w:r>
        <w:rPr>
          <w:rFonts w:ascii="Times New Roman" w:hAnsi="Times New Roman" w:cs="Times New Roman" w:eastAsia="Times New Roman" w:hint="default"/>
        </w:rPr>
        <w:t>284,800.71</w:t>
      </w:r>
      <w:r>
        <w:rPr/>
        <w:t>元确认为与北京青年御银科技有限责任公司相关的商誉。</w:t>
      </w:r>
    </w:p>
    <w:p>
      <w:pPr>
        <w:pStyle w:val="BodyText"/>
        <w:spacing w:line="300" w:lineRule="auto" w:before="13"/>
        <w:ind w:right="101" w:firstLine="360"/>
        <w:jc w:val="both"/>
      </w:pPr>
      <w:r>
        <w:rPr>
          <w:spacing w:val="-2"/>
        </w:rPr>
        <w:t>（</w:t>
      </w:r>
      <w:r>
        <w:rPr>
          <w:rFonts w:ascii="Times New Roman" w:hAnsi="Times New Roman" w:cs="Times New Roman" w:eastAsia="Times New Roman" w:hint="default"/>
          <w:spacing w:val="-2"/>
        </w:rPr>
        <w:t>2</w:t>
      </w:r>
      <w:r>
        <w:rPr>
          <w:spacing w:val="-2"/>
        </w:rPr>
        <w:t>）商誉减值测试的方法。北京青年御银有限责任公司期末只有极少量固定资产和无形资产，没有实质性的经营活动，</w:t>
      </w:r>
      <w:r>
        <w:rPr/>
        <w:t> 不产生营业收入，明显不存在商誉，故全额计提商誉减值准备。</w:t>
      </w:r>
    </w:p>
    <w:p>
      <w:pPr>
        <w:spacing w:line="240" w:lineRule="auto" w:before="10"/>
        <w:rPr>
          <w:rFonts w:ascii="宋体" w:hAnsi="宋体" w:cs="宋体" w:eastAsia="宋体" w:hint="default"/>
          <w:sz w:val="23"/>
          <w:szCs w:val="23"/>
        </w:rPr>
      </w:pPr>
    </w:p>
    <w:p>
      <w:pPr>
        <w:pStyle w:val="Heading3"/>
        <w:spacing w:line="240" w:lineRule="auto"/>
        <w:ind w:right="185"/>
        <w:jc w:val="left"/>
        <w:rPr>
          <w:b w:val="0"/>
          <w:bCs w:val="0"/>
        </w:rPr>
      </w:pPr>
      <w:r>
        <w:rPr>
          <w:rFonts w:ascii="Times New Roman" w:hAnsi="Times New Roman" w:cs="Times New Roman" w:eastAsia="Times New Roman" w:hint="default"/>
        </w:rPr>
        <w:t>16</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78"/>
        <w:gridCol w:w="1356"/>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5,280.87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5,280.87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13" w:space="0" w:color="CCE8CC"/>
            </w:tcBorders>
          </w:tcPr>
          <w:p>
            <w:pPr/>
          </w:p>
        </w:tc>
        <w:tc>
          <w:tcPr>
            <w:tcW w:w="1356"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2,130.39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2,130.39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13" w:space="0" w:color="CCE8CC"/>
            </w:tcBorders>
          </w:tcPr>
          <w:p>
            <w:pPr/>
          </w:p>
        </w:tc>
        <w:tc>
          <w:tcPr>
            <w:tcW w:w="1356"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15,608.75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15,608.75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13" w:space="0" w:color="CCE8CC"/>
            </w:tcBorders>
          </w:tcPr>
          <w:p>
            <w:pPr/>
          </w:p>
        </w:tc>
        <w:tc>
          <w:tcPr>
            <w:tcW w:w="1356"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58,657.04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58,657.04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13" w:space="0" w:color="CCE8CC"/>
            </w:tcBorders>
          </w:tcPr>
          <w:p>
            <w:pPr/>
          </w:p>
        </w:tc>
        <w:tc>
          <w:tcPr>
            <w:tcW w:w="1356"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48,004.11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48,004.11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13" w:space="0" w:color="CCE8CC"/>
            </w:tcBorders>
          </w:tcPr>
          <w:p>
            <w:pPr/>
          </w:p>
        </w:tc>
        <w:tc>
          <w:tcPr>
            <w:tcW w:w="1356"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99,695.80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99,695.80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13" w:space="0" w:color="CCE8CC"/>
            </w:tcBorders>
          </w:tcPr>
          <w:p>
            <w:pPr/>
          </w:p>
        </w:tc>
        <w:tc>
          <w:tcPr>
            <w:tcW w:w="1356"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96,018.60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96,018.60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13" w:space="0" w:color="CCE8CC"/>
            </w:tcBorders>
          </w:tcPr>
          <w:p>
            <w:pPr/>
          </w:p>
        </w:tc>
        <w:tc>
          <w:tcPr>
            <w:tcW w:w="1356"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124,666.72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93,500.04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13" w:space="0" w:color="CCE8CC"/>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31,166.68</w:t>
            </w:r>
          </w:p>
        </w:tc>
        <w:tc>
          <w:tcPr>
            <w:tcW w:w="1356"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35,838.72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26,879.04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13" w:space="0" w:color="CCE8CC"/>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8,959.68</w:t>
            </w:r>
          </w:p>
        </w:tc>
        <w:tc>
          <w:tcPr>
            <w:tcW w:w="1356"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81,599.94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54,399.96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13" w:space="0" w:color="CCE8CC"/>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27,199.98</w:t>
            </w:r>
          </w:p>
        </w:tc>
        <w:tc>
          <w:tcPr>
            <w:tcW w:w="1356"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41,045.00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24,627.00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13" w:space="0" w:color="CCE8CC"/>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16,418.00</w:t>
            </w:r>
          </w:p>
        </w:tc>
        <w:tc>
          <w:tcPr>
            <w:tcW w:w="1356"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41,941.41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23,966.52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13" w:space="0" w:color="CCE8CC"/>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17,974.89</w:t>
            </w:r>
          </w:p>
        </w:tc>
        <w:tc>
          <w:tcPr>
            <w:tcW w:w="1356"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200,409.09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114,519.48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13" w:space="0" w:color="CCE8CC"/>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85,889.61</w:t>
            </w:r>
          </w:p>
        </w:tc>
        <w:tc>
          <w:tcPr>
            <w:tcW w:w="1356"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71,130.95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37,111.80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13" w:space="0" w:color="CCE8CC"/>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34,019.15</w:t>
            </w:r>
          </w:p>
        </w:tc>
        <w:tc>
          <w:tcPr>
            <w:tcW w:w="1356" w:type="dxa"/>
            <w:tcBorders>
              <w:top w:val="single" w:sz="4" w:space="0" w:color="000000"/>
              <w:left w:val="single" w:sz="4" w:space="0" w:color="000000"/>
              <w:bottom w:val="single" w:sz="4" w:space="0" w:color="000000"/>
              <w:right w:val="single" w:sz="4" w:space="0" w:color="000000"/>
            </w:tcBorders>
            <w:shd w:val="clear" w:color="auto" w:fill="CCE8CC"/>
          </w:tcPr>
          <w:p>
            <w:pPr/>
          </w:p>
        </w:tc>
      </w:tr>
    </w:tbl>
    <w:p>
      <w:pPr>
        <w:spacing w:after="0"/>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78"/>
        <w:gridCol w:w="135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111,864.00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27,966.00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13" w:space="0" w:color="CCE8CC"/>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83,898.00</w:t>
            </w:r>
          </w:p>
        </w:tc>
        <w:tc>
          <w:tcPr>
            <w:tcW w:w="1356"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576,700.00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48,058.34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13" w:space="0" w:color="CCE8CC"/>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528,641.66</w:t>
            </w:r>
          </w:p>
        </w:tc>
        <w:tc>
          <w:tcPr>
            <w:tcW w:w="1356"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38,341.66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13" w:space="0" w:color="CCE8CC"/>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421,758.34</w:t>
            </w:r>
          </w:p>
        </w:tc>
        <w:tc>
          <w:tcPr>
            <w:tcW w:w="1356"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5" w:right="0"/>
              <w:jc w:val="left"/>
              <w:rPr>
                <w:rFonts w:ascii="Times New Roman" w:hAnsi="Times New Roman" w:cs="Times New Roman" w:eastAsia="Times New Roman" w:hint="default"/>
                <w:sz w:val="18"/>
                <w:szCs w:val="18"/>
              </w:rPr>
            </w:pPr>
            <w:r>
              <w:rPr>
                <w:rFonts w:ascii="Times New Roman"/>
                <w:sz w:val="18"/>
              </w:rPr>
              <w:t>922,027.39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1,148,664.00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814,765.40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1,255,925.99</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rFonts w:ascii="Times New Roman" w:hAnsi="Times New Roman" w:cs="Times New Roman" w:eastAsia="Times New Roman" w:hint="default"/>
        </w:rPr>
        <w:t>17</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44"/>
        <w:jc w:val="left"/>
      </w:pPr>
      <w:r>
        <w:rPr/>
        <w:t>已确认的递延所得税资产和递延所得税负债</w:t>
      </w:r>
    </w:p>
    <w:p>
      <w:pPr>
        <w:pStyle w:val="BodyText"/>
        <w:spacing w:line="240" w:lineRule="auto" w:before="11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959"/>
        <w:gridCol w:w="2799"/>
        <w:gridCol w:w="2799"/>
      </w:tblGrid>
      <w:tr>
        <w:trPr>
          <w:trHeight w:val="406" w:hRule="exact"/>
        </w:trPr>
        <w:tc>
          <w:tcPr>
            <w:tcW w:w="3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4"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6" w:hRule="exact"/>
        </w:trPr>
        <w:tc>
          <w:tcPr>
            <w:tcW w:w="3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7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2,602,060.40</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2,368,399.27</w:t>
            </w:r>
          </w:p>
        </w:tc>
      </w:tr>
      <w:tr>
        <w:trPr>
          <w:trHeight w:val="403" w:hRule="exact"/>
        </w:trPr>
        <w:tc>
          <w:tcPr>
            <w:tcW w:w="395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6,516,450.00</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5,842,440.00</w:t>
            </w:r>
          </w:p>
        </w:tc>
      </w:tr>
      <w:tr>
        <w:trPr>
          <w:trHeight w:val="401" w:hRule="exact"/>
        </w:trPr>
        <w:tc>
          <w:tcPr>
            <w:tcW w:w="395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融资租赁预计税金</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1,656,043.17</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2,040,915.34</w:t>
            </w:r>
          </w:p>
        </w:tc>
      </w:tr>
      <w:tr>
        <w:trPr>
          <w:trHeight w:val="408" w:hRule="exact"/>
        </w:trPr>
        <w:tc>
          <w:tcPr>
            <w:tcW w:w="3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7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10,774,553.57</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10,251,754.61</w:t>
            </w:r>
          </w:p>
        </w:tc>
      </w:tr>
      <w:tr>
        <w:trPr>
          <w:trHeight w:val="391"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8" w:hRule="exact"/>
        </w:trPr>
        <w:tc>
          <w:tcPr>
            <w:tcW w:w="3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计入资本公积的可供出售金融资产公允价值变动</w:t>
            </w:r>
          </w:p>
        </w:tc>
        <w:tc>
          <w:tcPr>
            <w:tcW w:w="27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2,216,723.00</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10,681,946.17</w:t>
            </w:r>
          </w:p>
        </w:tc>
      </w:tr>
      <w:tr>
        <w:trPr>
          <w:trHeight w:val="401" w:hRule="exact"/>
        </w:trPr>
        <w:tc>
          <w:tcPr>
            <w:tcW w:w="395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7,495,491.00</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17,649,374.74</w:t>
            </w:r>
          </w:p>
        </w:tc>
      </w:tr>
      <w:tr>
        <w:trPr>
          <w:trHeight w:val="403" w:hRule="exact"/>
        </w:trPr>
        <w:tc>
          <w:tcPr>
            <w:tcW w:w="3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9,712,214.00</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28,331,320.91</w:t>
            </w:r>
          </w:p>
        </w:tc>
      </w:tr>
    </w:tbl>
    <w:p>
      <w:pPr>
        <w:pStyle w:val="BodyText"/>
        <w:spacing w:line="240" w:lineRule="auto" w:before="49"/>
        <w:ind w:right="144"/>
        <w:jc w:val="left"/>
      </w:pPr>
      <w:r>
        <w:rPr/>
        <w:t>应纳税差异和可抵扣差异项目明细</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48"/>
        <w:gridCol w:w="2933"/>
        <w:gridCol w:w="2787"/>
      </w:tblGrid>
      <w:tr>
        <w:trPr>
          <w:trHeight w:val="401" w:hRule="exact"/>
        </w:trPr>
        <w:tc>
          <w:tcPr>
            <w:tcW w:w="38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3" w:hRule="exact"/>
        </w:trPr>
        <w:tc>
          <w:tcPr>
            <w:tcW w:w="3848" w:type="dxa"/>
            <w:vMerge/>
            <w:tcBorders>
              <w:left w:val="single" w:sz="4" w:space="0" w:color="000000"/>
              <w:bottom w:val="single" w:sz="4" w:space="0" w:color="000000"/>
              <w:right w:val="single" w:sz="4" w:space="0" w:color="000000"/>
            </w:tcBorders>
            <w:shd w:val="clear" w:color="auto" w:fill="D2D2D2"/>
          </w:tcPr>
          <w:p>
            <w:pPr/>
          </w:p>
        </w:tc>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396"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8" w:hRule="exact"/>
        </w:trPr>
        <w:tc>
          <w:tcPr>
            <w:tcW w:w="384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2933" w:type="dxa"/>
            <w:tcBorders>
              <w:top w:val="single" w:sz="4" w:space="0" w:color="000000"/>
              <w:left w:val="single" w:sz="10" w:space="0" w:color="CCE8CC"/>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49,969,940.00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111,589,791.17</w:t>
            </w:r>
          </w:p>
        </w:tc>
      </w:tr>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w:t>
            </w:r>
          </w:p>
        </w:tc>
        <w:tc>
          <w:tcPr>
            <w:tcW w:w="2933" w:type="dxa"/>
            <w:tcBorders>
              <w:top w:val="single" w:sz="4" w:space="0" w:color="000000"/>
              <w:left w:val="single" w:sz="10" w:space="0" w:color="CCE8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14,778,153.33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71,212,974.47</w:t>
            </w:r>
          </w:p>
        </w:tc>
      </w:tr>
      <w:tr>
        <w:trPr>
          <w:trHeight w:val="408"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64,748,093.33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182,802,765.64</w:t>
            </w:r>
          </w:p>
        </w:tc>
      </w:tr>
      <w:tr>
        <w:trPr>
          <w:trHeight w:val="391"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9" w:hRule="exact"/>
        </w:trPr>
        <w:tc>
          <w:tcPr>
            <w:tcW w:w="384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933" w:type="dxa"/>
            <w:tcBorders>
              <w:top w:val="single" w:sz="4" w:space="0" w:color="000000"/>
              <w:left w:val="single" w:sz="10" w:space="0" w:color="CCE8CC"/>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17,428,245.53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14,254,765.69</w:t>
            </w:r>
          </w:p>
        </w:tc>
      </w:tr>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2933" w:type="dxa"/>
            <w:tcBorders>
              <w:top w:val="single" w:sz="4" w:space="0" w:color="000000"/>
              <w:left w:val="single" w:sz="10" w:space="0" w:color="CCE8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171,187.80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535,138.05</w:t>
            </w:r>
          </w:p>
        </w:tc>
      </w:tr>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933" w:type="dxa"/>
            <w:tcBorders>
              <w:top w:val="single" w:sz="4" w:space="0" w:color="000000"/>
              <w:left w:val="single" w:sz="10" w:space="0" w:color="CCE8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43,443,000.00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38,949,600.00</w:t>
            </w:r>
          </w:p>
        </w:tc>
      </w:tr>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融资租赁预计税金</w:t>
            </w:r>
          </w:p>
        </w:tc>
        <w:tc>
          <w:tcPr>
            <w:tcW w:w="2933" w:type="dxa"/>
            <w:tcBorders>
              <w:top w:val="single" w:sz="4" w:space="0" w:color="000000"/>
              <w:left w:val="single" w:sz="10" w:space="0" w:color="CCE8CC"/>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11,040,287.80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13,606,102.27</w:t>
            </w:r>
          </w:p>
        </w:tc>
      </w:tr>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72,082,721.13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67,345,606.01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4"/>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44"/>
        <w:jc w:val="left"/>
      </w:pPr>
      <w:r>
        <w:rPr/>
        <w:t>互抵后的递延所得税资产及负债的组成项目</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48"/>
        <w:gridCol w:w="1985"/>
        <w:gridCol w:w="2127"/>
        <w:gridCol w:w="1841"/>
        <w:gridCol w:w="2060"/>
      </w:tblGrid>
      <w:tr>
        <w:trPr>
          <w:trHeight w:val="161" w:hRule="exact"/>
        </w:trPr>
        <w:tc>
          <w:tcPr>
            <w:tcW w:w="15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66" w:right="87" w:hanging="180"/>
              <w:jc w:val="left"/>
              <w:rPr>
                <w:rFonts w:ascii="宋体" w:hAnsi="宋体" w:cs="宋体" w:eastAsia="宋体" w:hint="default"/>
                <w:sz w:val="18"/>
                <w:szCs w:val="18"/>
              </w:rPr>
            </w:pPr>
            <w:r>
              <w:rPr>
                <w:rFonts w:ascii="宋体" w:hAnsi="宋体" w:cs="宋体" w:eastAsia="宋体" w:hint="default"/>
                <w:sz w:val="18"/>
                <w:szCs w:val="18"/>
              </w:rPr>
              <w:t>报告期末互抵后的递延 所得税资产或负债</w:t>
            </w:r>
          </w:p>
        </w:tc>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报告期末互抵后的可抵扣 或应纳税暂时性差异</w:t>
            </w:r>
          </w:p>
        </w:tc>
        <w:tc>
          <w:tcPr>
            <w:tcW w:w="184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8" w:right="101"/>
              <w:jc w:val="left"/>
              <w:rPr>
                <w:rFonts w:ascii="宋体" w:hAnsi="宋体" w:cs="宋体" w:eastAsia="宋体" w:hint="default"/>
                <w:sz w:val="18"/>
                <w:szCs w:val="18"/>
              </w:rPr>
            </w:pPr>
            <w:r>
              <w:rPr>
                <w:rFonts w:ascii="宋体" w:hAnsi="宋体" w:cs="宋体" w:eastAsia="宋体" w:hint="default"/>
                <w:sz w:val="18"/>
                <w:szCs w:val="18"/>
              </w:rPr>
              <w:t>报告期初互抵后的递 延所得税资产或负债</w:t>
            </w:r>
          </w:p>
        </w:tc>
        <w:tc>
          <w:tcPr>
            <w:tcW w:w="20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6" w:right="33" w:hanging="180"/>
              <w:jc w:val="left"/>
              <w:rPr>
                <w:rFonts w:ascii="宋体" w:hAnsi="宋体" w:cs="宋体" w:eastAsia="宋体" w:hint="default"/>
                <w:sz w:val="18"/>
                <w:szCs w:val="18"/>
              </w:rPr>
            </w:pPr>
            <w:r>
              <w:rPr>
                <w:rFonts w:ascii="宋体" w:hAnsi="宋体" w:cs="宋体" w:eastAsia="宋体" w:hint="default"/>
                <w:sz w:val="18"/>
                <w:szCs w:val="18"/>
              </w:rPr>
              <w:t>报告期初互抵后的可抵扣 或应纳税暂时性差异</w:t>
            </w:r>
          </w:p>
        </w:tc>
      </w:tr>
      <w:tr>
        <w:trPr>
          <w:trHeight w:val="391" w:hRule="exact"/>
        </w:trPr>
        <w:tc>
          <w:tcPr>
            <w:tcW w:w="15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shd w:val="clear" w:color="auto" w:fill="D2D2D2"/>
          </w:tcPr>
          <w:p>
            <w:pPr/>
          </w:p>
        </w:tc>
        <w:tc>
          <w:tcPr>
            <w:tcW w:w="1841" w:type="dxa"/>
            <w:vMerge/>
            <w:tcBorders>
              <w:left w:val="single" w:sz="4" w:space="0" w:color="000000"/>
              <w:right w:val="single" w:sz="4" w:space="0" w:color="000000"/>
            </w:tcBorders>
            <w:shd w:val="clear" w:color="auto" w:fill="D2D2D2"/>
          </w:tcPr>
          <w:p>
            <w:pPr/>
          </w:p>
        </w:tc>
        <w:tc>
          <w:tcPr>
            <w:tcW w:w="2060" w:type="dxa"/>
            <w:vMerge/>
            <w:tcBorders>
              <w:left w:val="single" w:sz="4" w:space="0" w:color="000000"/>
              <w:right w:val="single" w:sz="4" w:space="0" w:color="000000"/>
            </w:tcBorders>
            <w:shd w:val="clear" w:color="auto" w:fill="D2D2D2"/>
          </w:tcPr>
          <w:p>
            <w:pPr/>
          </w:p>
        </w:tc>
      </w:tr>
      <w:tr>
        <w:trPr>
          <w:trHeight w:val="161" w:hRule="exact"/>
        </w:trPr>
        <w:tc>
          <w:tcPr>
            <w:tcW w:w="15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shd w:val="clear" w:color="auto" w:fill="D2D2D2"/>
          </w:tcPr>
          <w:p>
            <w:pPr/>
          </w:p>
        </w:tc>
        <w:tc>
          <w:tcPr>
            <w:tcW w:w="1841" w:type="dxa"/>
            <w:vMerge/>
            <w:tcBorders>
              <w:left w:val="single" w:sz="4" w:space="0" w:color="000000"/>
              <w:bottom w:val="single" w:sz="4" w:space="0" w:color="000000"/>
              <w:right w:val="single" w:sz="4" w:space="0" w:color="000000"/>
            </w:tcBorders>
            <w:shd w:val="clear" w:color="auto" w:fill="D2D2D2"/>
          </w:tcPr>
          <w:p>
            <w:pPr/>
          </w:p>
        </w:tc>
        <w:tc>
          <w:tcPr>
            <w:tcW w:w="206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8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10,774,553.57</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10,251,754.61</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8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9,712,214.00</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28,331,320.91</w:t>
            </w:r>
          </w:p>
        </w:tc>
        <w:tc>
          <w:tcPr>
            <w:tcW w:w="20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rFonts w:ascii="Times New Roman" w:hAnsi="Times New Roman" w:cs="Times New Roman" w:eastAsia="Times New Roman" w:hint="default"/>
        </w:rPr>
        <w:t>18</w:t>
      </w:r>
      <w:r>
        <w:rPr/>
        <w:t>、资产减值准备明细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3"/>
        <w:gridCol w:w="1538"/>
        <w:gridCol w:w="1529"/>
        <w:gridCol w:w="1399"/>
        <w:gridCol w:w="1397"/>
        <w:gridCol w:w="1452"/>
      </w:tblGrid>
      <w:tr>
        <w:trPr>
          <w:trHeight w:val="207" w:hRule="exact"/>
        </w:trPr>
        <w:tc>
          <w:tcPr>
            <w:tcW w:w="22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2243" w:type="dxa"/>
            <w:vMerge/>
            <w:tcBorders>
              <w:left w:val="single" w:sz="4" w:space="0" w:color="000000"/>
              <w:bottom w:val="nil" w:sz="6" w:space="0" w:color="auto"/>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14,254,765.69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3,173,479.81</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17,428,245.50</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535,138.05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571,856.91</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935,807.14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171,187.82</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三、商誉减值准备</w:t>
            </w:r>
          </w:p>
        </w:tc>
        <w:tc>
          <w:tcPr>
            <w:tcW w:w="1538" w:type="dxa"/>
            <w:tcBorders>
              <w:top w:val="single" w:sz="4" w:space="0" w:color="000000"/>
              <w:left w:val="single" w:sz="9" w:space="0" w:color="D2D2D2"/>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284,800.71</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284,800.71</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14,789,903.74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4,030,137.43</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935,807.14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17,884,234.03</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rFonts w:ascii="Times New Roman" w:hAnsi="Times New Roman" w:cs="Times New Roman" w:eastAsia="Times New Roman" w:hint="default"/>
        </w:rPr>
        <w:t>19</w:t>
      </w:r>
      <w:r>
        <w:rPr/>
        <w:t>、其他非流动资产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9"/>
      </w:tblGrid>
      <w:tr>
        <w:trPr>
          <w:trHeight w:val="404"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预付工程款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1,853,035.66</w:t>
            </w:r>
          </w:p>
        </w:tc>
        <w:tc>
          <w:tcPr>
            <w:tcW w:w="30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1,853,035.66</w:t>
            </w:r>
          </w:p>
        </w:tc>
        <w:tc>
          <w:tcPr>
            <w:tcW w:w="30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rFonts w:ascii="Times New Roman" w:hAnsi="Times New Roman" w:cs="Times New Roman" w:eastAsia="Times New Roman" w:hint="default"/>
        </w:rPr>
        <w:t>20</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59"/>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4"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37,522,685.52</w:t>
            </w:r>
          </w:p>
        </w:tc>
        <w:tc>
          <w:tcPr>
            <w:tcW w:w="30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抵押并保证借款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质押并保证借款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18,856,397.84</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66,789,540.00</w:t>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抵押质押并保证借款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58,763,397.06</w:t>
            </w:r>
          </w:p>
        </w:tc>
        <w:tc>
          <w:tcPr>
            <w:tcW w:w="30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125,142,480.42</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121,789,540.00</w:t>
            </w:r>
          </w:p>
        </w:tc>
      </w:tr>
    </w:tbl>
    <w:p>
      <w:pPr>
        <w:pStyle w:val="BodyText"/>
        <w:spacing w:line="240" w:lineRule="auto" w:before="49"/>
        <w:ind w:right="144"/>
        <w:jc w:val="left"/>
      </w:pPr>
      <w:r>
        <w:rPr/>
        <w:t>短期借款分类的说明</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94" w:firstLine="360"/>
        <w:jc w:val="left"/>
      </w:pPr>
      <w:r>
        <w:rPr/>
        <w:t>①公司于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日与广州农村商业银行股份有限公司白云新城支行签订编号为</w:t>
      </w:r>
      <w:r>
        <w:rPr>
          <w:rFonts w:ascii="Times New Roman" w:hAnsi="Times New Roman" w:cs="Times New Roman" w:eastAsia="Times New Roman" w:hint="default"/>
        </w:rPr>
        <w:t>1216001201200005</w:t>
      </w:r>
      <w:r>
        <w:rPr/>
        <w:t>的综合授信合同， </w:t>
      </w:r>
      <w:r>
        <w:rPr>
          <w:spacing w:val="-2"/>
        </w:rPr>
        <w:t>获得折合人民币</w:t>
      </w:r>
      <w:r>
        <w:rPr>
          <w:rFonts w:ascii="Times New Roman" w:hAnsi="Times New Roman" w:cs="Times New Roman" w:eastAsia="Times New Roman" w:hint="default"/>
          <w:spacing w:val="-2"/>
        </w:rPr>
        <w:t>10,000</w:t>
      </w:r>
      <w:r>
        <w:rPr>
          <w:spacing w:val="-2"/>
        </w:rPr>
        <w:t>万的授信额度，本期取得人民币</w:t>
      </w:r>
      <w:r>
        <w:rPr>
          <w:rFonts w:ascii="Times New Roman" w:hAnsi="Times New Roman" w:cs="Times New Roman" w:eastAsia="Times New Roman" w:hint="default"/>
          <w:spacing w:val="-2"/>
        </w:rPr>
        <w:t>1,000</w:t>
      </w:r>
      <w:r>
        <w:rPr>
          <w:spacing w:val="-2"/>
        </w:rPr>
        <w:t>万元短期借款。杨文江为其担保；另以本公司新塘镇太平洋工业</w:t>
      </w:r>
      <w:r>
        <w:rPr>
          <w:spacing w:val="-57"/>
        </w:rPr>
        <w:t> </w:t>
      </w:r>
      <w:r>
        <w:rPr>
          <w:spacing w:val="-57"/>
        </w:rPr>
      </w:r>
      <w:r>
        <w:rPr/>
        <w:t>区（增国用</w:t>
      </w:r>
      <w:r>
        <w:rPr>
          <w:rFonts w:ascii="Times New Roman" w:hAnsi="Times New Roman" w:cs="Times New Roman" w:eastAsia="Times New Roman" w:hint="default"/>
        </w:rPr>
        <w:t>[2004]</w:t>
      </w:r>
      <w:r>
        <w:rPr/>
        <w:t>第</w:t>
      </w:r>
      <w:r>
        <w:rPr>
          <w:rFonts w:ascii="Times New Roman" w:hAnsi="Times New Roman" w:cs="Times New Roman" w:eastAsia="Times New Roman" w:hint="default"/>
        </w:rPr>
        <w:t>B0201924</w:t>
      </w:r>
      <w:r>
        <w:rPr/>
        <w:t>号）、增城市新塘镇太平洋工业区</w:t>
      </w:r>
      <w:r>
        <w:rPr>
          <w:rFonts w:ascii="Times New Roman" w:hAnsi="Times New Roman" w:cs="Times New Roman" w:eastAsia="Times New Roman" w:hint="default"/>
        </w:rPr>
        <w:t>69</w:t>
      </w:r>
      <w:r>
        <w:rPr/>
        <w:t>号（粤房新字</w:t>
      </w:r>
      <w:r>
        <w:rPr>
          <w:rFonts w:ascii="Times New Roman" w:hAnsi="Times New Roman" w:cs="Times New Roman" w:eastAsia="Times New Roman" w:hint="default"/>
        </w:rPr>
        <w:t>3145</w:t>
      </w:r>
      <w:r>
        <w:rPr/>
        <w:t>号、粤房新字</w:t>
      </w:r>
      <w:r>
        <w:rPr>
          <w:rFonts w:ascii="Times New Roman" w:hAnsi="Times New Roman" w:cs="Times New Roman" w:eastAsia="Times New Roman" w:hint="default"/>
        </w:rPr>
        <w:t>3110</w:t>
      </w:r>
      <w:r>
        <w:rPr/>
        <w:t>号）房产作抵押。抵 押物原值</w:t>
      </w:r>
      <w:r>
        <w:rPr>
          <w:rFonts w:ascii="Times New Roman" w:hAnsi="Times New Roman" w:cs="Times New Roman" w:eastAsia="Times New Roman" w:hint="default"/>
        </w:rPr>
        <w:t>3,862,919.85</w:t>
      </w:r>
      <w:r>
        <w:rPr/>
        <w:t>元，截止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日抵押物净值</w:t>
      </w:r>
      <w:r>
        <w:rPr>
          <w:rFonts w:ascii="Times New Roman" w:hAnsi="Times New Roman" w:cs="Times New Roman" w:eastAsia="Times New Roman" w:hint="default"/>
        </w:rPr>
        <w:t>1,901,542.16</w:t>
      </w:r>
      <w:r>
        <w:rPr/>
        <w:t>元。</w:t>
      </w:r>
    </w:p>
    <w:p>
      <w:pPr>
        <w:pStyle w:val="BodyText"/>
        <w:spacing w:line="300" w:lineRule="auto" w:before="13"/>
        <w:ind w:right="190" w:firstLine="360"/>
        <w:jc w:val="both"/>
      </w:pPr>
      <w:r>
        <w:rPr/>
        <w:t>②子公司御银科技（香港）有限公司与中国工商银行（澳门）股份有限公司签订编号为</w:t>
      </w:r>
      <w:r>
        <w:rPr>
          <w:rFonts w:ascii="Times New Roman" w:hAnsi="Times New Roman" w:cs="Times New Roman" w:eastAsia="Times New Roman" w:hint="default"/>
        </w:rPr>
        <w:t>LUX2012-02</w:t>
      </w:r>
      <w:r>
        <w:rPr/>
        <w:t>的借款合同，取得 </w:t>
      </w:r>
      <w:r>
        <w:rPr>
          <w:rFonts w:ascii="Times New Roman" w:hAnsi="Times New Roman" w:cs="Times New Roman" w:eastAsia="Times New Roman" w:hint="default"/>
        </w:rPr>
        <w:t>300</w:t>
      </w:r>
      <w:r>
        <w:rPr/>
        <w:t>万美元（期末折合人民</w:t>
      </w:r>
      <w:r>
        <w:rPr>
          <w:rFonts w:ascii="Times New Roman" w:hAnsi="Times New Roman" w:cs="Times New Roman" w:eastAsia="Times New Roman" w:hint="default"/>
        </w:rPr>
        <w:t>18,856,397.84</w:t>
      </w:r>
      <w:r>
        <w:rPr/>
        <w:t>元）短期借款。以本公司向工商银行广州工业大道支行申请出具的备用信用证作担</w:t>
      </w:r>
      <w:r>
        <w:rPr>
          <w:spacing w:val="-49"/>
        </w:rPr>
        <w:t> </w:t>
      </w:r>
      <w:r>
        <w:rPr>
          <w:spacing w:val="-49"/>
        </w:rPr>
      </w:r>
      <w:r>
        <w:rPr>
          <w:spacing w:val="-2"/>
        </w:rPr>
        <w:t>保；子公司广州御新软件有限公司以持有的</w:t>
      </w:r>
      <w:r>
        <w:rPr>
          <w:rFonts w:ascii="Times New Roman" w:hAnsi="Times New Roman" w:cs="Times New Roman" w:eastAsia="Times New Roman" w:hint="default"/>
          <w:spacing w:val="-2"/>
        </w:rPr>
        <w:t>370</w:t>
      </w:r>
      <w:r>
        <w:rPr>
          <w:spacing w:val="-2"/>
        </w:rPr>
        <w:t>万股星河生物股票质押给工商银行广州工业大道支行，质押担保总额</w:t>
      </w:r>
      <w:r>
        <w:rPr>
          <w:rFonts w:ascii="Times New Roman" w:hAnsi="Times New Roman" w:cs="Times New Roman" w:eastAsia="Times New Roman" w:hint="default"/>
          <w:spacing w:val="-2"/>
        </w:rPr>
        <w:t>5,409.40</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万元人民币。</w:t>
      </w:r>
    </w:p>
    <w:p>
      <w:pPr>
        <w:pStyle w:val="BodyText"/>
        <w:spacing w:line="300" w:lineRule="auto" w:before="31"/>
        <w:ind w:right="186" w:firstLine="360"/>
        <w:jc w:val="both"/>
      </w:pPr>
      <w:r>
        <w:rPr/>
        <w:t>③公司于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日与深圳发展银行股份有限公司广州分行签订编号为深发穗营综字第</w:t>
      </w:r>
      <w:r>
        <w:rPr>
          <w:rFonts w:ascii="Times New Roman" w:hAnsi="Times New Roman" w:cs="Times New Roman" w:eastAsia="Times New Roman" w:hint="default"/>
        </w:rPr>
        <w:t>20120615003</w:t>
      </w:r>
      <w:r>
        <w:rPr/>
        <w:t>号的综合授信</w:t>
      </w:r>
      <w:r>
        <w:rPr>
          <w:spacing w:val="2"/>
        </w:rPr>
        <w:t> </w:t>
      </w:r>
      <w:r>
        <w:rPr/>
        <w:t>额度合同，获得折合人民币</w:t>
      </w:r>
      <w:r>
        <w:rPr>
          <w:rFonts w:ascii="Times New Roman" w:hAnsi="Times New Roman" w:cs="Times New Roman" w:eastAsia="Times New Roman" w:hint="default"/>
        </w:rPr>
        <w:t>15,000</w:t>
      </w:r>
      <w:r>
        <w:rPr/>
        <w:t>万的综合授信额度，并在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日与其签订编号为深发穗营贷字第</w:t>
      </w:r>
      <w:r>
        <w:rPr>
          <w:rFonts w:ascii="Times New Roman" w:hAnsi="Times New Roman" w:cs="Times New Roman" w:eastAsia="Times New Roman" w:hint="default"/>
        </w:rPr>
        <w:t>20120615003001</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spacing w:val="-1"/>
        </w:rPr>
        <w:t>号的贷款合同，取得人民币</w:t>
      </w:r>
      <w:r>
        <w:rPr>
          <w:rFonts w:ascii="Times New Roman" w:hAnsi="Times New Roman" w:cs="Times New Roman" w:eastAsia="Times New Roman" w:hint="default"/>
          <w:spacing w:val="-1"/>
        </w:rPr>
        <w:t>3,000</w:t>
      </w:r>
      <w:r>
        <w:rPr>
          <w:spacing w:val="-1"/>
        </w:rPr>
        <w:t>万元短期借款。杨文江、广州御银自动柜员机技术有限公司为其提供担保；另以本公司</w:t>
      </w:r>
      <w:r>
        <w:rPr>
          <w:rFonts w:ascii="Times New Roman" w:hAnsi="Times New Roman" w:cs="Times New Roman" w:eastAsia="Times New Roman" w:hint="default"/>
          <w:spacing w:val="-1"/>
        </w:rPr>
        <w:t>355</w:t>
      </w:r>
      <w:r>
        <w:rPr>
          <w:rFonts w:ascii="Times New Roman" w:hAnsi="Times New Roman" w:cs="Times New Roman" w:eastAsia="Times New Roman" w:hint="default"/>
          <w:spacing w:val="-25"/>
        </w:rPr>
        <w:t> </w:t>
      </w:r>
      <w:r>
        <w:rPr>
          <w:spacing w:val="-2"/>
        </w:rPr>
        <w:t>台</w:t>
      </w:r>
      <w:r>
        <w:rPr>
          <w:rFonts w:ascii="Times New Roman" w:hAnsi="Times New Roman" w:cs="Times New Roman" w:eastAsia="Times New Roman" w:hint="default"/>
          <w:spacing w:val="-2"/>
        </w:rPr>
        <w:t>ATM</w:t>
      </w:r>
      <w:r>
        <w:rPr>
          <w:spacing w:val="-2"/>
        </w:rPr>
        <w:t>设备作抵押，其中：以已作为融资租赁出租的</w:t>
      </w:r>
      <w:r>
        <w:rPr>
          <w:rFonts w:ascii="Times New Roman" w:hAnsi="Times New Roman" w:cs="Times New Roman" w:eastAsia="Times New Roman" w:hint="default"/>
          <w:spacing w:val="-2"/>
        </w:rPr>
        <w:t>ATM</w:t>
      </w:r>
      <w:r>
        <w:rPr>
          <w:spacing w:val="-2"/>
        </w:rPr>
        <w:t>设备拥有的长期应收款账面价值</w:t>
      </w:r>
      <w:r>
        <w:rPr>
          <w:rFonts w:ascii="Times New Roman" w:hAnsi="Times New Roman" w:cs="Times New Roman" w:eastAsia="Times New Roman" w:hint="default"/>
          <w:spacing w:val="-2"/>
        </w:rPr>
        <w:t>5,296.03</w:t>
      </w:r>
      <w:r>
        <w:rPr>
          <w:spacing w:val="-2"/>
        </w:rPr>
        <w:t>万元质押，同时将上述已</w:t>
      </w:r>
      <w:r>
        <w:rPr>
          <w:spacing w:val="-47"/>
        </w:rPr>
        <w:t> </w:t>
      </w:r>
      <w:r>
        <w:rPr>
          <w:spacing w:val="-47"/>
        </w:rPr>
      </w:r>
      <w:r>
        <w:rPr>
          <w:spacing w:val="-1"/>
        </w:rPr>
        <w:t>作融资租赁的</w:t>
      </w:r>
      <w:r>
        <w:rPr>
          <w:rFonts w:ascii="Times New Roman" w:hAnsi="Times New Roman" w:cs="Times New Roman" w:eastAsia="Times New Roman" w:hint="default"/>
          <w:spacing w:val="-1"/>
        </w:rPr>
        <w:t>ATM</w:t>
      </w:r>
      <w:r>
        <w:rPr>
          <w:spacing w:val="-1"/>
        </w:rPr>
        <w:t>机未来的出租收益作为作质押；作为固定资产的</w:t>
      </w:r>
      <w:r>
        <w:rPr>
          <w:rFonts w:ascii="Times New Roman" w:hAnsi="Times New Roman" w:cs="Times New Roman" w:eastAsia="Times New Roman" w:hint="default"/>
          <w:spacing w:val="-1"/>
        </w:rPr>
        <w:t>ATM</w:t>
      </w:r>
      <w:r>
        <w:rPr>
          <w:spacing w:val="-1"/>
        </w:rPr>
        <w:t>设备抵押物原值</w:t>
      </w:r>
      <w:r>
        <w:rPr>
          <w:rFonts w:ascii="Times New Roman" w:hAnsi="Times New Roman" w:cs="Times New Roman" w:eastAsia="Times New Roman" w:hint="default"/>
          <w:spacing w:val="-1"/>
        </w:rPr>
        <w:t>3,298,231.81</w:t>
      </w:r>
      <w:r>
        <w:rPr>
          <w:spacing w:val="-1"/>
        </w:rPr>
        <w:t>元，截止</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20"/>
        </w:rPr>
        <w:t> </w:t>
      </w:r>
      <w:r>
        <w:rPr>
          <w:spacing w:val="6"/>
        </w:rPr>
        <w:t>日抵押物净值</w:t>
      </w:r>
      <w:r>
        <w:rPr>
          <w:rFonts w:ascii="Times New Roman" w:hAnsi="Times New Roman" w:cs="Times New Roman" w:eastAsia="Times New Roman" w:hint="default"/>
          <w:spacing w:val="6"/>
        </w:rPr>
        <w:t>2,488,061.95</w:t>
      </w:r>
      <w:r>
        <w:rPr>
          <w:spacing w:val="6"/>
        </w:rPr>
        <w:t>元；作为在建工程的</w:t>
      </w:r>
      <w:r>
        <w:rPr>
          <w:rFonts w:ascii="Times New Roman" w:hAnsi="Times New Roman" w:cs="Times New Roman" w:eastAsia="Times New Roman" w:hint="default"/>
          <w:spacing w:val="6"/>
        </w:rPr>
        <w:t>ATM</w:t>
      </w:r>
      <w:r>
        <w:rPr>
          <w:spacing w:val="6"/>
        </w:rPr>
        <w:t>设备抵押物原值</w:t>
      </w:r>
      <w:r>
        <w:rPr>
          <w:rFonts w:ascii="Times New Roman" w:hAnsi="Times New Roman" w:cs="Times New Roman" w:eastAsia="Times New Roman" w:hint="default"/>
          <w:spacing w:val="6"/>
        </w:rPr>
        <w:t>1,845,855.90</w:t>
      </w:r>
      <w:r>
        <w:rPr>
          <w:spacing w:val="6"/>
        </w:rPr>
        <w:t>元，截止</w:t>
      </w:r>
      <w:r>
        <w:rPr>
          <w:rFonts w:ascii="Times New Roman" w:hAnsi="Times New Roman" w:cs="Times New Roman" w:eastAsia="Times New Roman" w:hint="default"/>
          <w:spacing w:val="6"/>
        </w:rPr>
        <w:t>2012</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日抵押物净值</w:t>
      </w:r>
      <w:r>
        <w:rPr>
          <w:spacing w:val="-24"/>
        </w:rPr>
        <w:t> </w:t>
      </w:r>
      <w:r>
        <w:rPr>
          <w:spacing w:val="-24"/>
        </w:rPr>
      </w:r>
      <w:r>
        <w:rPr>
          <w:rFonts w:ascii="Times New Roman" w:hAnsi="Times New Roman" w:cs="Times New Roman" w:eastAsia="Times New Roman" w:hint="default"/>
        </w:rPr>
        <w:t>1,845,855.90</w:t>
      </w:r>
      <w:r>
        <w:rPr/>
        <w:t>元。</w:t>
      </w:r>
    </w:p>
    <w:p>
      <w:pPr>
        <w:pStyle w:val="BodyText"/>
        <w:spacing w:line="300" w:lineRule="auto" w:before="13"/>
        <w:ind w:right="114" w:firstLine="360"/>
        <w:jc w:val="left"/>
        <w:rPr>
          <w:rFonts w:ascii="Times New Roman" w:hAnsi="Times New Roman" w:cs="Times New Roman" w:eastAsia="Times New Roman" w:hint="default"/>
        </w:rPr>
      </w:pPr>
      <w:r>
        <w:rPr/>
        <w:t>④公司于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日与中国银行股份有限公司广州天河支行签订了编号为</w:t>
      </w:r>
      <w:r>
        <w:rPr>
          <w:rFonts w:ascii="Times New Roman" w:hAnsi="Times New Roman" w:cs="Times New Roman" w:eastAsia="Times New Roman" w:hint="default"/>
        </w:rPr>
        <w:t>GED475860120110050-1</w:t>
      </w:r>
      <w:r>
        <w:rPr/>
        <w:t>的授信额度协议，</w:t>
      </w:r>
      <w:r>
        <w:rPr>
          <w:w w:val="99"/>
        </w:rPr>
        <w:t> </w:t>
      </w:r>
      <w:r>
        <w:rPr/>
        <w:t>获得折合人民币</w:t>
      </w:r>
      <w:r>
        <w:rPr>
          <w:rFonts w:ascii="Times New Roman" w:hAnsi="Times New Roman" w:cs="Times New Roman" w:eastAsia="Times New Roman" w:hint="default"/>
        </w:rPr>
        <w:t>12,000</w:t>
      </w:r>
      <w:r>
        <w:rPr/>
        <w:t>万的授信额度，本期分别取得人民币</w:t>
      </w:r>
      <w:r>
        <w:rPr>
          <w:rFonts w:ascii="Times New Roman" w:hAnsi="Times New Roman" w:cs="Times New Roman" w:eastAsia="Times New Roman" w:hint="default"/>
        </w:rPr>
        <w:t>1,500</w:t>
      </w:r>
      <w:r>
        <w:rPr/>
        <w:t>万元、</w:t>
      </w:r>
      <w:r>
        <w:rPr>
          <w:rFonts w:ascii="Times New Roman" w:hAnsi="Times New Roman" w:cs="Times New Roman" w:eastAsia="Times New Roman" w:hint="default"/>
        </w:rPr>
        <w:t>2,189,706.00</w:t>
      </w:r>
      <w:r>
        <w:rPr/>
        <w:t>美元（期末折合人民币为</w:t>
      </w:r>
      <w:r>
        <w:rPr>
          <w:rFonts w:ascii="Times New Roman" w:hAnsi="Times New Roman" w:cs="Times New Roman" w:eastAsia="Times New Roman" w:hint="default"/>
        </w:rPr>
        <w:t>13,763,397.06</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t>元）的短期借款。杨文江为其担保；另以本公司</w:t>
      </w:r>
      <w:r>
        <w:rPr>
          <w:rFonts w:ascii="Times New Roman" w:hAnsi="Times New Roman" w:cs="Times New Roman" w:eastAsia="Times New Roman" w:hint="default"/>
        </w:rPr>
        <w:t>1344</w:t>
      </w:r>
      <w:r>
        <w:rPr/>
        <w:t>台</w:t>
      </w:r>
      <w:r>
        <w:rPr>
          <w:rFonts w:ascii="Times New Roman" w:hAnsi="Times New Roman" w:cs="Times New Roman" w:eastAsia="Times New Roman" w:hint="default"/>
        </w:rPr>
        <w:t>ATM</w:t>
      </w:r>
      <w:r>
        <w:rPr/>
        <w:t>设备作抵押，抵押物原值</w:t>
      </w:r>
      <w:r>
        <w:rPr>
          <w:rFonts w:ascii="Times New Roman" w:hAnsi="Times New Roman" w:cs="Times New Roman" w:eastAsia="Times New Roman" w:hint="default"/>
        </w:rPr>
        <w:t>64,692,503.47</w:t>
      </w:r>
      <w:r>
        <w:rPr/>
        <w:t>元，截止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p>
    <w:p>
      <w:pPr>
        <w:pStyle w:val="BodyText"/>
        <w:spacing w:line="300" w:lineRule="auto" w:before="13"/>
        <w:ind w:right="99"/>
        <w:jc w:val="left"/>
      </w:pPr>
      <w:r>
        <w:rPr/>
        <w:t>日抵押物净值</w:t>
      </w:r>
      <w:r>
        <w:rPr>
          <w:rFonts w:ascii="Times New Roman" w:hAnsi="Times New Roman" w:cs="Times New Roman" w:eastAsia="Times New Roman" w:hint="default"/>
        </w:rPr>
        <w:t>41,328,572.98</w:t>
      </w:r>
      <w:r>
        <w:rPr/>
        <w:t>元；并同时将上述</w:t>
      </w:r>
      <w:r>
        <w:rPr>
          <w:rFonts w:ascii="Times New Roman" w:hAnsi="Times New Roman" w:cs="Times New Roman" w:eastAsia="Times New Roman" w:hint="default"/>
        </w:rPr>
        <w:t>1334</w:t>
      </w:r>
      <w:r>
        <w:rPr/>
        <w:t>台柜员机设备的的未来出租收益（基于</w:t>
      </w:r>
      <w:r>
        <w:rPr>
          <w:rFonts w:ascii="Times New Roman" w:hAnsi="Times New Roman" w:cs="Times New Roman" w:eastAsia="Times New Roman" w:hint="default"/>
        </w:rPr>
        <w:t>ATM</w:t>
      </w:r>
      <w:r>
        <w:rPr/>
        <w:t>设备出租而产生的应收账款） 一并质押。</w:t>
      </w:r>
    </w:p>
    <w:p>
      <w:pPr>
        <w:pStyle w:val="BodyText"/>
        <w:spacing w:line="300" w:lineRule="auto" w:before="31"/>
        <w:ind w:right="188" w:firstLine="360"/>
        <w:jc w:val="both"/>
      </w:pPr>
      <w:r>
        <w:rPr/>
        <w:t>⑤公司于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日与中国工商银行股份有限公司广州工业大道支行签订了编号为工行支行</w:t>
      </w:r>
      <w:r>
        <w:rPr>
          <w:rFonts w:ascii="Times New Roman" w:hAnsi="Times New Roman" w:cs="Times New Roman" w:eastAsia="Times New Roman" w:hint="default"/>
        </w:rPr>
        <w:t>2012</w:t>
      </w:r>
      <w:r>
        <w:rPr/>
        <w:t>年流借字第</w:t>
      </w:r>
      <w:r>
        <w:rPr>
          <w:rFonts w:ascii="Times New Roman" w:hAnsi="Times New Roman" w:cs="Times New Roman" w:eastAsia="Times New Roman" w:hint="default"/>
        </w:rPr>
        <w:t>011</w:t>
      </w:r>
      <w:r>
        <w:rPr/>
        <w:t>号 </w:t>
      </w:r>
      <w:r>
        <w:rPr>
          <w:spacing w:val="-2"/>
        </w:rPr>
        <w:t>的流动资金借款合同，取得人民币</w:t>
      </w:r>
      <w:r>
        <w:rPr>
          <w:rFonts w:ascii="Times New Roman" w:hAnsi="Times New Roman" w:cs="Times New Roman" w:eastAsia="Times New Roman" w:hint="default"/>
          <w:spacing w:val="-2"/>
        </w:rPr>
        <w:t>500</w:t>
      </w:r>
      <w:r>
        <w:rPr>
          <w:spacing w:val="-2"/>
        </w:rPr>
        <w:t>万元短期借款，广州御银自动柜员机技术有限公司为其担保；另外公司于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29</w:t>
      </w:r>
      <w:r>
        <w:rPr>
          <w:rFonts w:ascii="Times New Roman" w:hAnsi="Times New Roman" w:cs="Times New Roman" w:eastAsia="Times New Roman" w:hint="default"/>
          <w:spacing w:val="-11"/>
        </w:rPr>
        <w:t> </w:t>
      </w:r>
      <w:r>
        <w:rPr>
          <w:spacing w:val="16"/>
        </w:rPr>
        <w:t>日与中国工商银行股份有限公司广州工业大道签订了进口押汇总协议，</w:t>
      </w:r>
      <w:r>
        <w:rPr>
          <w:spacing w:val="-67"/>
        </w:rPr>
        <w:t> </w:t>
      </w:r>
      <w:r>
        <w:rPr>
          <w:spacing w:val="8"/>
        </w:rPr>
        <w:t>取得</w:t>
      </w:r>
      <w:r>
        <w:rPr>
          <w:spacing w:val="-62"/>
        </w:rPr>
        <w:t> </w:t>
      </w:r>
      <w:r>
        <w:rPr>
          <w:rFonts w:ascii="Times New Roman" w:hAnsi="Times New Roman" w:cs="Times New Roman" w:eastAsia="Times New Roman" w:hint="default"/>
        </w:rPr>
        <w:t>5,174,240.00</w:t>
      </w:r>
      <w:r>
        <w:rPr>
          <w:rFonts w:ascii="Times New Roman" w:hAnsi="Times New Roman" w:cs="Times New Roman" w:eastAsia="Times New Roman" w:hint="default"/>
          <w:spacing w:val="-21"/>
        </w:rPr>
        <w:t> </w:t>
      </w:r>
      <w:r>
        <w:rPr>
          <w:spacing w:val="14"/>
        </w:rPr>
        <w:t>美元（期末折合人民币为</w:t>
      </w:r>
      <w:r>
        <w:rPr>
          <w:spacing w:val="-83"/>
        </w:rPr>
        <w:t> </w:t>
      </w:r>
      <w:r>
        <w:rPr>
          <w:spacing w:val="-83"/>
        </w:rPr>
      </w:r>
      <w:r>
        <w:rPr>
          <w:rFonts w:ascii="Times New Roman" w:hAnsi="Times New Roman" w:cs="Times New Roman" w:eastAsia="Times New Roman" w:hint="default"/>
        </w:rPr>
        <w:t>32,522,685.52</w:t>
      </w:r>
      <w:r>
        <w:rPr/>
        <w:t>元）的信用证押汇贷款，杨文江、广州御银自动柜员机技术有限公司为其提供担保。</w:t>
      </w:r>
    </w:p>
    <w:p>
      <w:pPr>
        <w:spacing w:line="240" w:lineRule="auto" w:before="5"/>
        <w:rPr>
          <w:rFonts w:ascii="宋体" w:hAnsi="宋体" w:cs="宋体" w:eastAsia="宋体" w:hint="default"/>
          <w:sz w:val="22"/>
          <w:szCs w:val="22"/>
        </w:rPr>
      </w:pPr>
    </w:p>
    <w:p>
      <w:pPr>
        <w:pStyle w:val="Heading3"/>
        <w:spacing w:line="240" w:lineRule="auto"/>
        <w:ind w:right="185"/>
        <w:jc w:val="left"/>
        <w:rPr>
          <w:b w:val="0"/>
          <w:bCs w:val="0"/>
        </w:rPr>
      </w:pPr>
      <w:r>
        <w:rPr/>
        <w:t>（</w:t>
      </w:r>
      <w:r>
        <w:rPr>
          <w:rFonts w:ascii="Times New Roman" w:hAnsi="Times New Roman" w:cs="Times New Roman" w:eastAsia="Times New Roman" w:hint="default"/>
        </w:rPr>
        <w:t>2</w:t>
      </w:r>
      <w:r>
        <w:rPr/>
        <w:t>）期末不存在已到期未偿还的短期借款。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85"/>
        <w:jc w:val="left"/>
        <w:rPr>
          <w:b w:val="0"/>
          <w:bCs w:val="0"/>
        </w:rPr>
      </w:pPr>
      <w:r>
        <w:rPr>
          <w:rFonts w:ascii="Times New Roman" w:hAnsi="Times New Roman" w:cs="Times New Roman" w:eastAsia="Times New Roman" w:hint="default"/>
        </w:rPr>
        <w:t>21</w:t>
      </w:r>
      <w:r>
        <w:rPr/>
        <w:t>、应付票据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9"/>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5,823,982.00</w:t>
            </w:r>
          </w:p>
        </w:tc>
        <w:tc>
          <w:tcPr>
            <w:tcW w:w="30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5,823,982.00</w:t>
            </w:r>
          </w:p>
        </w:tc>
        <w:tc>
          <w:tcPr>
            <w:tcW w:w="305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85"/>
        <w:jc w:val="left"/>
      </w:pPr>
      <w:r>
        <w:rPr/>
        <w:t>下一会计期间将到期的金额</w:t>
      </w:r>
      <w:r>
        <w:rPr>
          <w:spacing w:val="-46"/>
        </w:rPr>
        <w:t> </w:t>
      </w:r>
      <w:r>
        <w:rPr>
          <w:rFonts w:ascii="Times New Roman" w:hAnsi="Times New Roman" w:cs="Times New Roman" w:eastAsia="Times New Roman" w:hint="default"/>
        </w:rPr>
        <w:t>5,823,982.00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85"/>
        <w:jc w:val="left"/>
        <w:rPr>
          <w:b w:val="0"/>
          <w:bCs w:val="0"/>
        </w:rPr>
      </w:pPr>
      <w:r>
        <w:rPr>
          <w:rFonts w:ascii="Times New Roman" w:hAnsi="Times New Roman" w:cs="Times New Roman" w:eastAsia="Times New Roman" w:hint="default"/>
        </w:rPr>
        <w:t>22</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85"/>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9"/>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36,581,462.06</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87,034,913.22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59"/>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86,997.88</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2,594,312.72</w:t>
            </w:r>
          </w:p>
        </w:tc>
      </w:tr>
      <w:tr>
        <w:trPr>
          <w:trHeight w:val="404" w:hRule="exact"/>
        </w:trPr>
        <w:tc>
          <w:tcPr>
            <w:tcW w:w="359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80,638.59</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1,024,487.97</w:t>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1,049,222.41</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45,427.26</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37,798,320.94</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90,699,141.17</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t>（</w:t>
      </w:r>
      <w:r>
        <w:rPr>
          <w:rFonts w:ascii="Times New Roman" w:hAnsi="Times New Roman" w:cs="Times New Roman" w:eastAsia="Times New Roman" w:hint="default"/>
        </w:rPr>
        <w:t>2</w:t>
      </w:r>
      <w:r>
        <w:rPr/>
        <w:t>）期末余额中欠持本公司</w:t>
      </w:r>
      <w:r>
        <w:rPr>
          <w:spacing w:val="-55"/>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3</w:t>
      </w:r>
      <w:r>
        <w:rPr/>
        <w:t>）期末无账龄超过一年的大额应付账款。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4"/>
        <w:jc w:val="left"/>
        <w:rPr>
          <w:b w:val="0"/>
          <w:bCs w:val="0"/>
        </w:rPr>
      </w:pPr>
      <w:r>
        <w:rPr>
          <w:rFonts w:ascii="Times New Roman" w:hAnsi="Times New Roman" w:cs="Times New Roman" w:eastAsia="Times New Roman" w:hint="default"/>
        </w:rPr>
        <w:t>23</w:t>
      </w:r>
      <w:r>
        <w:rPr/>
        <w:t>、预收账款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43"/>
        <w:gridCol w:w="2802"/>
        <w:gridCol w:w="2922"/>
      </w:tblGrid>
      <w:tr>
        <w:trPr>
          <w:trHeight w:val="396" w:hRule="exact"/>
        </w:trPr>
        <w:tc>
          <w:tcPr>
            <w:tcW w:w="3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8" w:hRule="exact"/>
        </w:trPr>
        <w:tc>
          <w:tcPr>
            <w:tcW w:w="384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6"/>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02" w:type="dxa"/>
            <w:tcBorders>
              <w:top w:val="single" w:sz="4" w:space="0" w:color="000000"/>
              <w:left w:val="single" w:sz="10" w:space="0" w:color="CCE8CC"/>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48,903,408.79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59,640,951.25</w:t>
            </w:r>
          </w:p>
        </w:tc>
      </w:tr>
      <w:tr>
        <w:trPr>
          <w:trHeight w:val="402" w:hRule="exact"/>
        </w:trPr>
        <w:tc>
          <w:tcPr>
            <w:tcW w:w="384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02" w:type="dxa"/>
            <w:tcBorders>
              <w:top w:val="single" w:sz="4" w:space="0" w:color="000000"/>
              <w:left w:val="single" w:sz="10" w:space="0" w:color="CCE8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4,995,687.38</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4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02" w:type="dxa"/>
            <w:tcBorders>
              <w:top w:val="single" w:sz="4" w:space="0" w:color="000000"/>
              <w:left w:val="single" w:sz="10" w:space="0" w:color="CCE8CC"/>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4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802" w:type="dxa"/>
            <w:tcBorders>
              <w:top w:val="single" w:sz="4" w:space="0" w:color="000000"/>
              <w:left w:val="single" w:sz="10" w:space="0" w:color="CCE8CC"/>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53,899,096.17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59,640,951.25</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t>（</w:t>
      </w:r>
      <w:r>
        <w:rPr>
          <w:rFonts w:ascii="Times New Roman" w:hAnsi="Times New Roman" w:cs="Times New Roman" w:eastAsia="Times New Roman" w:hint="default"/>
        </w:rPr>
        <w:t>2</w:t>
      </w:r>
      <w:r>
        <w:rPr/>
        <w:t>）期末余额中无欠持本公司</w:t>
      </w:r>
      <w:r>
        <w:rPr>
          <w:spacing w:val="-57"/>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3</w:t>
      </w:r>
      <w:r>
        <w:rPr/>
        <w:t>）期末无账龄超过一年的大额预收账款情况。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4"/>
        <w:jc w:val="left"/>
        <w:rPr>
          <w:b w:val="0"/>
          <w:bCs w:val="0"/>
        </w:rPr>
      </w:pPr>
      <w:r>
        <w:rPr>
          <w:rFonts w:ascii="Times New Roman" w:hAnsi="Times New Roman" w:cs="Times New Roman" w:eastAsia="Times New Roman" w:hint="default"/>
        </w:rPr>
        <w:t>24</w:t>
      </w:r>
      <w:r>
        <w:rPr/>
        <w:t>、应付职工薪酬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2"/>
        <w:gridCol w:w="1754"/>
        <w:gridCol w:w="1755"/>
        <w:gridCol w:w="1755"/>
        <w:gridCol w:w="1755"/>
      </w:tblGrid>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7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2,221,279.69</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38,570,885.75</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38,239,742.90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2,552,422.54</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754" w:type="dxa"/>
            <w:tcBorders>
              <w:top w:val="single" w:sz="4" w:space="0" w:color="000000"/>
              <w:left w:val="single" w:sz="10" w:space="0" w:color="D2D2D2"/>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3,457,978.23</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3,457,978.23</w:t>
            </w:r>
          </w:p>
        </w:tc>
        <w:tc>
          <w:tcPr>
            <w:tcW w:w="17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7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14,129.36</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3,303,770.89</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3,313,495.65</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4,404.60</w:t>
            </w: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4,872.08</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1,347,071.21</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1,350,673.21</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1,270.08</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8,318.28</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1,594,222.56</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1,599,709.84</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2,831.00</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4,521.70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189,923.46</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194,421.64</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23.52</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-3,978.26</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35,938.96</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31,913.58</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47.12</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395.56</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134,848.39</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135,089.71</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154.24</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重大疾病医疗补助</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1,766.31</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1,687.67</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78.64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52"/>
        <w:gridCol w:w="1754"/>
        <w:gridCol w:w="1755"/>
        <w:gridCol w:w="1755"/>
        <w:gridCol w:w="1755"/>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144,528.00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604,002.00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748,530.00</w:t>
            </w:r>
          </w:p>
        </w:tc>
        <w:tc>
          <w:tcPr>
            <w:tcW w:w="175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16,894.67</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426,338.70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426,338.70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16,894.67</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其中：工会经费和职工教育经费</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16,894.67</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426,338.70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426,338.70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16,894.67</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2,396,831.72</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46,362,975.57</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46,186,085.48</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2,573,721.81</w:t>
            </w:r>
          </w:p>
        </w:tc>
      </w:tr>
    </w:tbl>
    <w:p>
      <w:pPr>
        <w:pStyle w:val="BodyText"/>
        <w:spacing w:line="240" w:lineRule="auto" w:before="49"/>
        <w:ind w:right="144"/>
        <w:jc w:val="left"/>
      </w:pPr>
      <w:r>
        <w:rPr/>
        <w:t>应付职工薪酬中属于拖欠性质的金额</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40" w:lineRule="auto" w:before="101"/>
        <w:ind w:right="1227"/>
        <w:jc w:val="left"/>
      </w:pPr>
      <w:r>
        <w:rPr/>
        <w:t>工会经费和职工教育经费金额</w:t>
      </w:r>
      <w:r>
        <w:rPr>
          <w:spacing w:val="-46"/>
        </w:rPr>
        <w:t> </w:t>
      </w:r>
      <w:r>
        <w:rPr>
          <w:rFonts w:ascii="Times New Roman" w:hAnsi="Times New Roman" w:cs="Times New Roman" w:eastAsia="Times New Roman" w:hint="default"/>
        </w:rPr>
        <w:t>426,338.70</w:t>
      </w:r>
      <w:r>
        <w:rPr>
          <w:rFonts w:ascii="Times New Roman" w:hAnsi="Times New Roman" w:cs="Times New Roman" w:eastAsia="Times New Roman" w:hint="default"/>
          <w:spacing w:val="1"/>
        </w:rPr>
        <w:t> </w:t>
      </w:r>
      <w:r>
        <w:rPr/>
        <w:t>元，非货币性福利金额</w:t>
      </w:r>
      <w:r>
        <w:rPr>
          <w:spacing w:val="-47"/>
        </w:rPr>
        <w:t> </w:t>
      </w:r>
      <w:r>
        <w:rPr>
          <w:rFonts w:ascii="Times New Roman" w:hAnsi="Times New Roman" w:cs="Times New Roman" w:eastAsia="Times New Roman" w:hint="default"/>
        </w:rPr>
        <w:t>0.00 </w:t>
      </w:r>
      <w:r>
        <w:rPr/>
        <w:t>元，因解除劳动关系给予补偿</w:t>
      </w:r>
      <w:r>
        <w:rPr>
          <w:spacing w:val="-46"/>
        </w:rPr>
        <w:t> </w:t>
      </w:r>
      <w:r>
        <w:rPr>
          <w:rFonts w:ascii="Times New Roman" w:hAnsi="Times New Roman" w:cs="Times New Roman" w:eastAsia="Times New Roman" w:hint="default"/>
        </w:rPr>
        <w:t>0.00 </w:t>
      </w:r>
      <w:r>
        <w:rPr/>
        <w:t>元。 应付职工薪酬预计发放时间、金额等安排</w:t>
      </w:r>
    </w:p>
    <w:p>
      <w:pPr>
        <w:pStyle w:val="BodyText"/>
        <w:spacing w:line="240" w:lineRule="auto" w:before="41"/>
        <w:ind w:right="144"/>
        <w:jc w:val="left"/>
      </w:pPr>
      <w:r>
        <w:rPr/>
        <w:t>工资当月计提，下月发放。</w:t>
      </w:r>
    </w:p>
    <w:p>
      <w:pPr>
        <w:spacing w:line="240" w:lineRule="auto" w:before="0"/>
        <w:rPr>
          <w:rFonts w:ascii="宋体" w:hAnsi="宋体" w:cs="宋体" w:eastAsia="宋体" w:hint="default"/>
          <w:sz w:val="18"/>
          <w:szCs w:val="18"/>
        </w:rPr>
      </w:pPr>
    </w:p>
    <w:p>
      <w:pPr>
        <w:pStyle w:val="Heading3"/>
        <w:spacing w:line="240" w:lineRule="auto" w:before="120"/>
        <w:ind w:right="144"/>
        <w:jc w:val="left"/>
        <w:rPr>
          <w:b w:val="0"/>
          <w:bCs w:val="0"/>
        </w:rPr>
      </w:pPr>
      <w:r>
        <w:rPr>
          <w:rFonts w:ascii="Times New Roman" w:hAnsi="Times New Roman" w:cs="Times New Roman" w:eastAsia="Times New Roman" w:hint="default"/>
        </w:rPr>
        <w:t>25</w:t>
      </w:r>
      <w:r>
        <w:rPr/>
        <w:t>、应交税费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12"/>
        <w:gridCol w:w="2801"/>
        <w:gridCol w:w="2658"/>
      </w:tblGrid>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3,937,209.83</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16,708,945.88</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11,620,870.23</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14,517,809.86</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-2,063,590.26</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2,118,478.26</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104,506.95</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119,830.27</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955,031.74</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1,306,410.68</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641,585.83</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873,434.95</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59,657.20</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78,321.30</w:t>
            </w:r>
          </w:p>
        </w:tc>
      </w:tr>
      <w:tr>
        <w:trPr>
          <w:trHeight w:val="404" w:hRule="exact"/>
        </w:trPr>
        <w:tc>
          <w:tcPr>
            <w:tcW w:w="411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342,888.74</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388,881.42</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15,598,160.26</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36,112,112.62</w:t>
            </w:r>
          </w:p>
        </w:tc>
      </w:tr>
    </w:tbl>
    <w:p>
      <w:pPr>
        <w:pStyle w:val="BodyText"/>
        <w:spacing w:line="240" w:lineRule="auto" w:before="49"/>
        <w:ind w:right="144"/>
        <w:jc w:val="left"/>
      </w:pPr>
      <w:r>
        <w:rPr/>
        <w:t>应交税费说明，所在地税务机关同意各分公司、分厂之间应纳税所得额相互调剂的，应说明税款计算过程</w:t>
      </w:r>
    </w:p>
    <w:p>
      <w:pPr>
        <w:spacing w:line="240" w:lineRule="auto" w:before="0"/>
        <w:rPr>
          <w:rFonts w:ascii="宋体" w:hAnsi="宋体" w:cs="宋体" w:eastAsia="宋体" w:hint="default"/>
          <w:sz w:val="18"/>
          <w:szCs w:val="18"/>
        </w:rPr>
      </w:pPr>
    </w:p>
    <w:p>
      <w:pPr>
        <w:pStyle w:val="Heading3"/>
        <w:spacing w:line="240" w:lineRule="auto" w:before="120"/>
        <w:ind w:right="144"/>
        <w:jc w:val="left"/>
        <w:rPr>
          <w:b w:val="0"/>
          <w:bCs w:val="0"/>
        </w:rPr>
      </w:pPr>
      <w:r>
        <w:rPr>
          <w:rFonts w:ascii="Times New Roman" w:hAnsi="Times New Roman" w:cs="Times New Roman" w:eastAsia="Times New Roman" w:hint="default"/>
        </w:rPr>
        <w:t>26</w:t>
      </w:r>
      <w:r>
        <w:rPr/>
        <w:t>、应付利息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00"/>
        <w:gridCol w:w="2801"/>
        <w:gridCol w:w="2658"/>
      </w:tblGrid>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120,270.75</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456,079.36</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120,270.75</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456,079.36</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rFonts w:ascii="Times New Roman" w:hAnsi="Times New Roman" w:cs="Times New Roman" w:eastAsia="Times New Roman" w:hint="default"/>
        </w:rPr>
        <w:t>27</w:t>
      </w:r>
      <w:r>
        <w:rPr/>
        <w:t>、其他应付款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90"/>
      </w:tblGrid>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33,181,056.81</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9" w:right="0"/>
              <w:jc w:val="left"/>
              <w:rPr>
                <w:rFonts w:ascii="Times New Roman" w:hAnsi="Times New Roman" w:cs="Times New Roman" w:eastAsia="Times New Roman" w:hint="default"/>
                <w:sz w:val="18"/>
                <w:szCs w:val="18"/>
              </w:rPr>
            </w:pPr>
            <w:r>
              <w:rPr>
                <w:rFonts w:ascii="Times New Roman"/>
                <w:sz w:val="18"/>
              </w:rPr>
              <w:t>7,988,911.86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2"/>
        <w:gridCol w:w="3058"/>
        <w:gridCol w:w="2790"/>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3,656,208.19</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6,631,192.58</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2,614,956.33</w:t>
            </w:r>
          </w:p>
        </w:tc>
        <w:tc>
          <w:tcPr>
            <w:tcW w:w="27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1,688.69</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1,688.69</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39,453,910.02</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14,621,793.13</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t>（</w:t>
      </w:r>
      <w:r>
        <w:rPr>
          <w:rFonts w:ascii="Times New Roman" w:hAnsi="Times New Roman" w:cs="Times New Roman" w:eastAsia="Times New Roman" w:hint="default"/>
        </w:rPr>
        <w:t>2</w:t>
      </w:r>
      <w:r>
        <w:rPr/>
        <w:t>）期末余额中欠持有本公司</w:t>
      </w:r>
      <w:r>
        <w:rPr>
          <w:spacing w:val="-57"/>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3</w:t>
      </w:r>
      <w:r>
        <w:rPr/>
        <w:t>）期末余额中无账龄超过一年的大额其他应付款情况。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9"/>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2799"/>
        <w:gridCol w:w="2180"/>
        <w:gridCol w:w="2408"/>
        <w:gridCol w:w="1135"/>
      </w:tblGrid>
      <w:tr>
        <w:trPr>
          <w:trHeight w:val="490"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性质或内容</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8" w:right="0"/>
              <w:jc w:val="left"/>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pacing w:val="1"/>
                <w:sz w:val="18"/>
                <w:szCs w:val="18"/>
              </w:rPr>
              <w:t> </w:t>
            </w:r>
            <w:r>
              <w:rPr>
                <w:rFonts w:ascii="宋体" w:hAnsi="宋体" w:cs="宋体" w:eastAsia="宋体" w:hint="default"/>
                <w:sz w:val="18"/>
                <w:szCs w:val="18"/>
              </w:rPr>
              <w:t>注</w:t>
            </w:r>
          </w:p>
        </w:tc>
      </w:tr>
      <w:tr>
        <w:trPr>
          <w:trHeight w:val="490"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北京青年旅行社股份有限公司</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23,775,000.00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与前投资单位的往来</w:t>
            </w:r>
          </w:p>
        </w:tc>
        <w:tc>
          <w:tcPr>
            <w:tcW w:w="113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144"/>
        <w:jc w:val="left"/>
        <w:rPr>
          <w:b w:val="0"/>
          <w:bCs w:val="0"/>
        </w:rPr>
      </w:pPr>
      <w:r>
        <w:rPr>
          <w:rFonts w:ascii="Times New Roman" w:hAnsi="Times New Roman" w:cs="Times New Roman" w:eastAsia="Times New Roman" w:hint="default"/>
        </w:rPr>
        <w:t>28</w:t>
      </w:r>
      <w:r>
        <w:rPr/>
        <w:t>、预计负债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3"/>
        <w:gridCol w:w="1873"/>
        <w:gridCol w:w="1860"/>
        <w:gridCol w:w="1861"/>
        <w:gridCol w:w="1995"/>
      </w:tblGrid>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38,949,600.00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21,700,800.00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17,207,400.00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43,443,000.00</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38,949,600.00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21,700,800.00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17,207,400.00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43,443,000.00</w:t>
            </w:r>
          </w:p>
        </w:tc>
      </w:tr>
    </w:tbl>
    <w:p>
      <w:pPr>
        <w:pStyle w:val="BodyText"/>
        <w:spacing w:line="240" w:lineRule="auto" w:before="49"/>
        <w:ind w:right="144"/>
        <w:jc w:val="left"/>
      </w:pPr>
      <w:r>
        <w:rPr/>
        <w:t>预计负债说明</w:t>
      </w:r>
    </w:p>
    <w:p>
      <w:pPr>
        <w:pStyle w:val="BodyText"/>
        <w:spacing w:line="240" w:lineRule="auto" w:before="115"/>
        <w:ind w:left="513" w:right="144"/>
        <w:jc w:val="left"/>
      </w:pPr>
      <w:r>
        <w:rPr/>
        <w:t>按一定的标准将销售机器的保修期间、融资租赁机器的租赁期间所发生的维护费用在收入确认期间确认为预计负债。</w:t>
      </w:r>
    </w:p>
    <w:p>
      <w:pPr>
        <w:spacing w:line="240" w:lineRule="auto" w:before="0"/>
        <w:rPr>
          <w:rFonts w:ascii="宋体" w:hAnsi="宋体" w:cs="宋体" w:eastAsia="宋体" w:hint="default"/>
          <w:sz w:val="18"/>
          <w:szCs w:val="18"/>
        </w:rPr>
      </w:pPr>
    </w:p>
    <w:p>
      <w:pPr>
        <w:pStyle w:val="Heading3"/>
        <w:spacing w:line="240" w:lineRule="auto" w:before="120"/>
        <w:ind w:right="144"/>
        <w:jc w:val="left"/>
        <w:rPr>
          <w:b w:val="0"/>
          <w:bCs w:val="0"/>
        </w:rPr>
      </w:pPr>
      <w:r>
        <w:rPr>
          <w:rFonts w:ascii="Times New Roman" w:hAnsi="Times New Roman" w:cs="Times New Roman" w:eastAsia="Times New Roman" w:hint="default"/>
        </w:rPr>
        <w:t>29</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9"/>
      </w:tblGrid>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保证并抵押借款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40,452,254.45</w:t>
            </w:r>
          </w:p>
        </w:tc>
        <w:tc>
          <w:tcPr>
            <w:tcW w:w="30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40,452,254.45</w:t>
            </w:r>
          </w:p>
        </w:tc>
        <w:tc>
          <w:tcPr>
            <w:tcW w:w="305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44"/>
        <w:jc w:val="left"/>
      </w:pPr>
      <w:r>
        <w:rPr/>
        <w:t>长期借款分类的说明</w:t>
      </w:r>
    </w:p>
    <w:p>
      <w:pPr>
        <w:pStyle w:val="BodyText"/>
        <w:spacing w:line="300" w:lineRule="auto" w:before="115"/>
        <w:ind w:right="146" w:firstLine="360"/>
        <w:jc w:val="both"/>
      </w:pPr>
      <w:r>
        <w:rPr/>
        <w:t>子公司广州御银自动柜员机有限公司与中国工商银行股份有限公司广州工业大道支行签订了编号为工业支行</w:t>
      </w:r>
      <w:r>
        <w:rPr>
          <w:rFonts w:ascii="Times New Roman" w:hAnsi="Times New Roman" w:cs="Times New Roman" w:eastAsia="Times New Roman" w:hint="default"/>
        </w:rPr>
        <w:t>2012</w:t>
      </w:r>
      <w:r>
        <w:rPr/>
        <w:t>年项</w:t>
      </w:r>
      <w:r>
        <w:rPr>
          <w:spacing w:val="2"/>
        </w:rPr>
        <w:t> </w:t>
      </w:r>
      <w:r>
        <w:rPr/>
        <w:t>借字第</w:t>
      </w:r>
      <w:r>
        <w:rPr>
          <w:rFonts w:ascii="Times New Roman" w:hAnsi="Times New Roman" w:cs="Times New Roman" w:eastAsia="Times New Roman" w:hint="default"/>
        </w:rPr>
        <w:t>006</w:t>
      </w:r>
      <w:r>
        <w:rPr/>
        <w:t>号的固定资产借款合同，本合同项下借款额度为人民币</w:t>
      </w:r>
      <w:r>
        <w:rPr>
          <w:rFonts w:ascii="Times New Roman" w:hAnsi="Times New Roman" w:cs="Times New Roman" w:eastAsia="Times New Roman" w:hint="default"/>
        </w:rPr>
        <w:t>8,500</w:t>
      </w:r>
      <w:r>
        <w:rPr/>
        <w:t>万元，用途为</w:t>
      </w:r>
      <w:r>
        <w:rPr>
          <w:rFonts w:ascii="Times New Roman" w:hAnsi="Times New Roman" w:cs="Times New Roman" w:eastAsia="Times New Roman" w:hint="default"/>
        </w:rPr>
        <w:t>“</w:t>
      </w:r>
      <w:r>
        <w:rPr/>
        <w:t>柜员机产能扩充</w:t>
      </w:r>
      <w:r>
        <w:rPr>
          <w:rFonts w:ascii="Times New Roman" w:hAnsi="Times New Roman" w:cs="Times New Roman" w:eastAsia="Times New Roman" w:hint="default"/>
        </w:rPr>
        <w:t>”</w:t>
      </w:r>
      <w:r>
        <w:rPr/>
        <w:t>项目建设，期限为</w:t>
      </w:r>
      <w:r>
        <w:rPr>
          <w:rFonts w:ascii="Times New Roman" w:hAnsi="Times New Roman" w:cs="Times New Roman" w:eastAsia="Times New Roman" w:hint="default"/>
        </w:rPr>
        <w:t>5</w:t>
      </w:r>
      <w:r>
        <w:rPr>
          <w:rFonts w:ascii="Times New Roman" w:hAnsi="Times New Roman" w:cs="Times New Roman" w:eastAsia="Times New Roman" w:hint="default"/>
          <w:spacing w:val="19"/>
        </w:rPr>
        <w:t> </w:t>
      </w:r>
      <w:r>
        <w:rPr>
          <w:spacing w:val="-2"/>
        </w:rPr>
        <w:t>年。杨文江、广州御银科技股份有限公司为其提供担保；另以科学城土地使用权（穗府国用第</w:t>
      </w:r>
      <w:r>
        <w:rPr>
          <w:rFonts w:ascii="Times New Roman" w:hAnsi="Times New Roman" w:cs="Times New Roman" w:eastAsia="Times New Roman" w:hint="default"/>
          <w:spacing w:val="-2"/>
        </w:rPr>
        <w:t>05000060</w:t>
      </w:r>
      <w:r>
        <w:rPr>
          <w:spacing w:val="-2"/>
        </w:rPr>
        <w:t>号）作抵押，抵押物</w:t>
      </w:r>
      <w:r>
        <w:rPr>
          <w:spacing w:val="-61"/>
        </w:rPr>
        <w:t> </w:t>
      </w:r>
      <w:r>
        <w:rPr>
          <w:spacing w:val="-61"/>
        </w:rPr>
      </w:r>
      <w:r>
        <w:rPr/>
        <w:t>原值</w:t>
      </w:r>
      <w:r>
        <w:rPr>
          <w:rFonts w:ascii="Times New Roman" w:hAnsi="Times New Roman" w:cs="Times New Roman" w:eastAsia="Times New Roman" w:hint="default"/>
        </w:rPr>
        <w:t>9,270,000.00</w:t>
      </w:r>
      <w:r>
        <w:rPr>
          <w:rFonts w:ascii="Times New Roman" w:hAnsi="Times New Roman" w:cs="Times New Roman" w:eastAsia="Times New Roman" w:hint="default"/>
          <w:spacing w:val="21"/>
        </w:rPr>
        <w:t> </w:t>
      </w:r>
      <w:r>
        <w:rPr/>
        <w:t>元，截止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日抵押物净值</w:t>
      </w:r>
      <w:r>
        <w:rPr>
          <w:rFonts w:ascii="Times New Roman" w:hAnsi="Times New Roman" w:cs="Times New Roman" w:eastAsia="Times New Roman" w:hint="default"/>
        </w:rPr>
        <w:t>8,868,300.00</w:t>
      </w:r>
      <w:r>
        <w:rPr/>
        <w:t>元。</w:t>
      </w:r>
    </w:p>
    <w:p>
      <w:pPr>
        <w:spacing w:line="240" w:lineRule="auto" w:before="4"/>
        <w:rPr>
          <w:rFonts w:ascii="宋体" w:hAnsi="宋体" w:cs="宋体" w:eastAsia="宋体" w:hint="default"/>
          <w:sz w:val="22"/>
          <w:szCs w:val="22"/>
        </w:rPr>
      </w:pPr>
    </w:p>
    <w:p>
      <w:pPr>
        <w:pStyle w:val="Heading3"/>
        <w:spacing w:line="240" w:lineRule="auto"/>
        <w:ind w:right="144"/>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19"/>
        <w:gridCol w:w="1558"/>
        <w:gridCol w:w="1560"/>
        <w:gridCol w:w="852"/>
        <w:gridCol w:w="566"/>
        <w:gridCol w:w="850"/>
        <w:gridCol w:w="1136"/>
        <w:gridCol w:w="850"/>
        <w:gridCol w:w="780"/>
      </w:tblGrid>
      <w:tr>
        <w:trPr>
          <w:trHeight w:val="402"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5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4"/>
              <w:ind w:left="98" w:right="0"/>
              <w:jc w:val="left"/>
              <w:rPr>
                <w:rFonts w:ascii="宋体" w:hAnsi="宋体" w:cs="宋体" w:eastAsia="宋体" w:hint="default"/>
                <w:sz w:val="18"/>
                <w:szCs w:val="18"/>
              </w:rPr>
            </w:pPr>
            <w:r>
              <w:rPr>
                <w:rFonts w:ascii="宋体" w:hAnsi="宋体" w:cs="宋体" w:eastAsia="宋体" w:hint="default"/>
                <w:sz w:val="18"/>
                <w:szCs w:val="18"/>
              </w:rPr>
              <w:t>利率</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9"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本币金额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4" w:right="122"/>
              <w:jc w:val="both"/>
              <w:rPr>
                <w:rFonts w:ascii="宋体" w:hAnsi="宋体" w:cs="宋体" w:eastAsia="宋体" w:hint="default"/>
                <w:sz w:val="18"/>
                <w:szCs w:val="18"/>
              </w:rPr>
            </w:pPr>
            <w:r>
              <w:rPr>
                <w:rFonts w:ascii="宋体" w:hAnsi="宋体" w:cs="宋体" w:eastAsia="宋体" w:hint="default"/>
                <w:sz w:val="18"/>
                <w:szCs w:val="18"/>
              </w:rPr>
              <w:t>中国工商银行股 份有限公司广州 工业大道支行</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2"/>
              <w:jc w:val="center"/>
              <w:rPr>
                <w:rFonts w:ascii="宋体" w:hAnsi="宋体" w:cs="宋体" w:eastAsia="宋体" w:hint="default"/>
                <w:sz w:val="18"/>
                <w:szCs w:val="18"/>
              </w:rPr>
            </w:pPr>
            <w:r>
              <w:rPr>
                <w:rFonts w:ascii="宋体" w:hAnsi="宋体" w:cs="宋体" w:eastAsia="宋体" w:hint="default"/>
                <w:sz w:val="18"/>
                <w:szCs w:val="18"/>
              </w:rPr>
              <w:t>人民币元</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6.4%</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40,452,254.45</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center"/>
              <w:rPr>
                <w:rFonts w:ascii="Times New Roman" w:hAnsi="Times New Roman" w:cs="Times New Roman" w:eastAsia="Times New Roman" w:hint="default"/>
                <w:sz w:val="18"/>
                <w:szCs w:val="18"/>
              </w:rPr>
            </w:pPr>
            <w:r>
              <w:rPr>
                <w:rFonts w:ascii="Times New Roman"/>
                <w:sz w:val="18"/>
              </w:rPr>
              <w:t>40,452,254.45</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rFonts w:ascii="Times New Roman" w:hAnsi="Times New Roman" w:cs="Times New Roman" w:eastAsia="Times New Roman" w:hint="default"/>
        </w:rPr>
        <w:t>30</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5"/>
        <w:gridCol w:w="1196"/>
        <w:gridCol w:w="1198"/>
        <w:gridCol w:w="1196"/>
        <w:gridCol w:w="1184"/>
        <w:gridCol w:w="1209"/>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994"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9"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344,430,450.00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241,101,315.00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241,101,315.00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left"/>
              <w:rPr>
                <w:rFonts w:ascii="Times New Roman" w:hAnsi="Times New Roman" w:cs="Times New Roman" w:eastAsia="Times New Roman" w:hint="default"/>
                <w:sz w:val="18"/>
                <w:szCs w:val="18"/>
              </w:rPr>
            </w:pPr>
            <w:r>
              <w:rPr>
                <w:rFonts w:ascii="Times New Roman"/>
                <w:sz w:val="18"/>
              </w:rPr>
              <w:t>585,531,765.00</w:t>
            </w:r>
          </w:p>
        </w:tc>
      </w:tr>
    </w:tbl>
    <w:p>
      <w:pPr>
        <w:pStyle w:val="BodyText"/>
        <w:spacing w:line="240" w:lineRule="auto" w:before="49"/>
        <w:ind w:right="144"/>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3"/>
        </w:rPr>
        <w:t> </w:t>
      </w:r>
      <w:r>
        <w:rPr>
          <w:rFonts w:ascii="Times New Roman" w:hAnsi="Times New Roman" w:cs="Times New Roman" w:eastAsia="Times New Roman" w:hint="default"/>
        </w:rPr>
        <w:t>3</w:t>
      </w:r>
    </w:p>
    <w:p>
      <w:pPr>
        <w:pStyle w:val="BodyText"/>
        <w:spacing w:line="338" w:lineRule="auto" w:before="63"/>
        <w:ind w:left="513" w:right="144" w:hanging="361"/>
        <w:jc w:val="left"/>
        <w:rPr>
          <w:rFonts w:ascii="Times New Roman" w:hAnsi="Times New Roman" w:cs="Times New Roman" w:eastAsia="Times New Roman" w:hint="default"/>
        </w:rPr>
      </w:pPr>
      <w:r>
        <w:rPr/>
        <w:t>年的股份有限公司，设立前的年份只需说明净资产情况；有限责任公司整体变更为股份公司应说明公司设立时的验资情况 公司股本历史沿革详见附注一、公司基本情况。 </w:t>
      </w:r>
      <w:r>
        <w:rPr>
          <w:spacing w:val="-2"/>
        </w:rPr>
        <w:t>对本期股本发生变动执行验资的会计师事务所名称及验资报告文号：立信会计师事务所（特殊普通合伙）于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9</w:t>
      </w:r>
    </w:p>
    <w:p>
      <w:pPr>
        <w:pStyle w:val="BodyText"/>
        <w:spacing w:line="230" w:lineRule="exact"/>
        <w:ind w:right="144"/>
        <w:jc w:val="left"/>
      </w:pPr>
      <w:r>
        <w:rPr/>
        <w:t>日出具信会师报字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310238</w:t>
      </w:r>
      <w:r>
        <w:rPr/>
        <w:t>号验资报告。</w:t>
      </w:r>
    </w:p>
    <w:p>
      <w:pPr>
        <w:spacing w:line="240" w:lineRule="auto" w:before="2"/>
        <w:rPr>
          <w:rFonts w:ascii="宋体" w:hAnsi="宋体" w:cs="宋体" w:eastAsia="宋体" w:hint="default"/>
          <w:sz w:val="26"/>
          <w:szCs w:val="26"/>
        </w:rPr>
      </w:pPr>
    </w:p>
    <w:p>
      <w:pPr>
        <w:pStyle w:val="Heading3"/>
        <w:spacing w:line="240" w:lineRule="auto"/>
        <w:ind w:right="144"/>
        <w:jc w:val="left"/>
        <w:rPr>
          <w:b w:val="0"/>
          <w:bCs w:val="0"/>
        </w:rPr>
      </w:pPr>
      <w:r>
        <w:rPr>
          <w:rFonts w:ascii="Times New Roman" w:hAnsi="Times New Roman" w:cs="Times New Roman" w:eastAsia="Times New Roman" w:hint="default"/>
        </w:rPr>
        <w:t>31</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437,536,164.17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549,108.73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241,101,315.00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196,983,957.90</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63,898,102.43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2,813,349.00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48,518,706.72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18,192,744.71</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501,434,266.60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3,362,457.73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289,620,021.72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215,176,702.61</w:t>
            </w:r>
          </w:p>
        </w:tc>
      </w:tr>
    </w:tbl>
    <w:p>
      <w:pPr>
        <w:pStyle w:val="BodyText"/>
        <w:spacing w:line="240" w:lineRule="auto" w:before="49"/>
        <w:ind w:right="144"/>
        <w:jc w:val="left"/>
      </w:pPr>
      <w:r>
        <w:rPr/>
        <w:t>资本公积说明</w:t>
      </w:r>
    </w:p>
    <w:p>
      <w:pPr>
        <w:pStyle w:val="BodyText"/>
        <w:spacing w:line="240" w:lineRule="auto" w:before="115"/>
        <w:ind w:left="513" w:right="144"/>
        <w:jc w:val="left"/>
      </w:pPr>
      <w:r>
        <w:rPr/>
        <w:t>（</w:t>
      </w:r>
      <w:r>
        <w:rPr>
          <w:rFonts w:ascii="Times New Roman" w:hAnsi="Times New Roman" w:cs="Times New Roman" w:eastAsia="Times New Roman" w:hint="default"/>
        </w:rPr>
        <w:t>1</w:t>
      </w:r>
      <w:r>
        <w:rPr/>
        <w:t>）经本公司</w:t>
      </w:r>
      <w:r>
        <w:rPr>
          <w:rFonts w:ascii="Times New Roman" w:hAnsi="Times New Roman" w:cs="Times New Roman" w:eastAsia="Times New Roman" w:hint="default"/>
        </w:rPr>
        <w:t>2011</w:t>
      </w:r>
      <w:r>
        <w:rPr/>
        <w:t>年度股东大会审议通过，本公司于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日以资本公积人民币</w:t>
      </w:r>
      <w:r>
        <w:rPr>
          <w:rFonts w:ascii="Times New Roman" w:hAnsi="Times New Roman" w:cs="Times New Roman" w:eastAsia="Times New Roman" w:hint="default"/>
        </w:rPr>
        <w:t>241,101,315.00</w:t>
      </w:r>
      <w:r>
        <w:rPr/>
        <w:t>元转增股本。</w:t>
      </w:r>
    </w:p>
    <w:p>
      <w:pPr>
        <w:pStyle w:val="BodyText"/>
        <w:spacing w:line="240" w:lineRule="auto" w:before="63"/>
        <w:ind w:left="513" w:right="144"/>
        <w:jc w:val="left"/>
      </w:pPr>
      <w:r>
        <w:rPr/>
        <w:t>（</w:t>
      </w:r>
      <w:r>
        <w:rPr>
          <w:rFonts w:ascii="Times New Roman" w:hAnsi="Times New Roman" w:cs="Times New Roman" w:eastAsia="Times New Roman" w:hint="default"/>
        </w:rPr>
        <w:t>2</w:t>
      </w:r>
      <w:r>
        <w:rPr/>
        <w:t>）将</w:t>
      </w:r>
      <w:r>
        <w:rPr>
          <w:rFonts w:ascii="Times New Roman" w:hAnsi="Times New Roman" w:cs="Times New Roman" w:eastAsia="Times New Roman" w:hint="default"/>
        </w:rPr>
        <w:t>2011</w:t>
      </w:r>
      <w:r>
        <w:rPr/>
        <w:t>年确认的属于</w:t>
      </w:r>
      <w:r>
        <w:rPr>
          <w:rFonts w:ascii="Times New Roman" w:hAnsi="Times New Roman" w:cs="Times New Roman" w:eastAsia="Times New Roman" w:hint="default"/>
        </w:rPr>
        <w:t>2012</w:t>
      </w:r>
      <w:r>
        <w:rPr/>
        <w:t>年未达条件的资本公积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549,108.73</w:t>
      </w:r>
      <w:r>
        <w:rPr/>
        <w:t>元转到资本溢价。</w:t>
      </w:r>
    </w:p>
    <w:p>
      <w:pPr>
        <w:pStyle w:val="BodyText"/>
        <w:spacing w:line="240" w:lineRule="auto" w:before="63"/>
        <w:ind w:left="513" w:right="144"/>
        <w:jc w:val="left"/>
      </w:pPr>
      <w:r>
        <w:rPr/>
        <w:t>（</w:t>
      </w:r>
      <w:r>
        <w:rPr>
          <w:rFonts w:ascii="Times New Roman" w:hAnsi="Times New Roman" w:cs="Times New Roman" w:eastAsia="Times New Roman" w:hint="default"/>
        </w:rPr>
        <w:t>3</w:t>
      </w:r>
      <w:r>
        <w:rPr/>
        <w:t>）股份支付详见附注八、股份支付。</w:t>
      </w:r>
    </w:p>
    <w:p>
      <w:pPr>
        <w:spacing w:line="240" w:lineRule="auto" w:before="2"/>
        <w:rPr>
          <w:rFonts w:ascii="宋体" w:hAnsi="宋体" w:cs="宋体" w:eastAsia="宋体" w:hint="default"/>
          <w:sz w:val="26"/>
          <w:szCs w:val="26"/>
        </w:rPr>
      </w:pPr>
    </w:p>
    <w:p>
      <w:pPr>
        <w:pStyle w:val="Heading3"/>
        <w:spacing w:line="240" w:lineRule="auto"/>
        <w:ind w:right="144"/>
        <w:jc w:val="left"/>
        <w:rPr>
          <w:b w:val="0"/>
          <w:bCs w:val="0"/>
        </w:rPr>
      </w:pPr>
      <w:r>
        <w:rPr>
          <w:rFonts w:ascii="Times New Roman" w:hAnsi="Times New Roman" w:cs="Times New Roman" w:eastAsia="Times New Roman" w:hint="default"/>
        </w:rPr>
        <w:t>32</w:t>
      </w:r>
      <w:r>
        <w:rPr/>
        <w:t>、盈余公积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32,509,291.52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1,942,871.91</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34,452,163.43</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1,322,286.97</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1,322,286.97</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33,831,578.49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1,942,871.91</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35,774,450.40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4"/>
        <w:jc w:val="left"/>
        <w:rPr>
          <w:b w:val="0"/>
          <w:bCs w:val="0"/>
        </w:rPr>
      </w:pPr>
      <w:r>
        <w:rPr>
          <w:rFonts w:ascii="Times New Roman" w:hAnsi="Times New Roman" w:cs="Times New Roman" w:eastAsia="Times New Roman" w:hint="default"/>
        </w:rPr>
        <w:t>33</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41"/>
        <w:gridCol w:w="2122"/>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434,707,969.26</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124,053,846.73</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1,942,871.91</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17,221,522.50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1"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539,597,421.58</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44"/>
        <w:jc w:val="left"/>
      </w:pPr>
      <w:r>
        <w:rPr/>
        <w:t>调整年初未分配利润明细：</w:t>
      </w:r>
    </w:p>
    <w:p>
      <w:pPr>
        <w:pStyle w:val="BodyText"/>
        <w:spacing w:line="240" w:lineRule="auto" w:before="117"/>
        <w:ind w:right="144"/>
        <w:jc w:val="left"/>
      </w:pPr>
      <w:r>
        <w:rPr>
          <w:rFonts w:ascii="Times New Roman" w:hAnsi="Times New Roman" w:cs="Times New Roman" w:eastAsia="Times New Roman" w:hint="default"/>
        </w:rPr>
        <w:t>1)</w:t>
      </w:r>
      <w:r>
        <w:rPr/>
        <w:t>、由于《企业会计准则》及其相关新规定进行追溯调整，影响年初未分配利润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44"/>
        <w:jc w:val="left"/>
      </w:pPr>
      <w:r>
        <w:rPr>
          <w:rFonts w:ascii="Times New Roman" w:hAnsi="Times New Roman" w:cs="Times New Roman" w:eastAsia="Times New Roman" w:hint="default"/>
        </w:rPr>
        <w:t>2)</w:t>
      </w:r>
      <w:r>
        <w:rPr/>
        <w:t>、由于会计政策变更，影响年初未分配利润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44"/>
        <w:jc w:val="left"/>
      </w:pPr>
      <w:r>
        <w:rPr>
          <w:rFonts w:ascii="Times New Roman" w:hAnsi="Times New Roman" w:cs="Times New Roman" w:eastAsia="Times New Roman" w:hint="default"/>
        </w:rPr>
        <w:t>3)</w:t>
      </w:r>
      <w:r>
        <w:rPr/>
        <w:t>、由于重大会计差错更正，影响年初未分配利润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44"/>
        <w:jc w:val="left"/>
      </w:pPr>
      <w:r>
        <w:rPr>
          <w:rFonts w:ascii="Times New Roman" w:hAnsi="Times New Roman" w:cs="Times New Roman" w:eastAsia="Times New Roman" w:hint="default"/>
        </w:rPr>
        <w:t>4)</w:t>
      </w:r>
      <w:r>
        <w:rPr/>
        <w:t>、由于同一控制导致的合并范围变更，影响年初未分配利润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26" w:lineRule="auto" w:before="101"/>
        <w:ind w:right="144"/>
        <w:jc w:val="left"/>
      </w:pPr>
      <w:r>
        <w:rPr>
          <w:rFonts w:ascii="Times New Roman" w:hAnsi="Times New Roman" w:cs="Times New Roman" w:eastAsia="Times New Roman" w:hint="default"/>
        </w:rPr>
        <w:t>5)</w:t>
      </w:r>
      <w:r>
        <w:rPr/>
        <w:t>、其他调整合计影响年初未分配利润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r>
        <w:rPr>
          <w:w w:val="99"/>
        </w:rPr>
        <w:t> </w:t>
      </w:r>
      <w:r>
        <w:rPr>
          <w:spacing w:val="-2"/>
        </w:rPr>
        <w:t>未分配利润说明，对于首次公开发行证券的公司，如果发行前的滚存利润经股东大会决议由新老股东共同享有，应明确予以</w:t>
      </w:r>
      <w:r>
        <w:rPr>
          <w:spacing w:val="-64"/>
        </w:rPr>
        <w:t> </w:t>
      </w:r>
      <w:r>
        <w:rPr>
          <w:spacing w:val="-64"/>
        </w:rPr>
      </w:r>
      <w:r>
        <w:rPr>
          <w:spacing w:val="-2"/>
        </w:rPr>
        <w:t>说明；如果发行前的滚存利润经股东大会决议在发行前进行分配并由老股东享有，公司应明确披露应付股利中老股东享有的</w:t>
      </w:r>
      <w:r>
        <w:rPr>
          <w:spacing w:val="-65"/>
        </w:rPr>
        <w:t> </w:t>
      </w:r>
      <w:r>
        <w:rPr>
          <w:spacing w:val="-65"/>
        </w:rPr>
      </w:r>
      <w:r>
        <w:rPr/>
        <w:t>经审计的利润数</w:t>
      </w:r>
    </w:p>
    <w:p>
      <w:pPr>
        <w:pStyle w:val="BodyText"/>
        <w:spacing w:line="300" w:lineRule="auto" w:before="52"/>
        <w:ind w:right="144" w:firstLine="360"/>
        <w:jc w:val="left"/>
      </w:pPr>
      <w:r>
        <w:rPr/>
        <w:t>经公司</w:t>
      </w:r>
      <w:r>
        <w:rPr>
          <w:rFonts w:ascii="Times New Roman" w:hAnsi="Times New Roman" w:cs="Times New Roman" w:eastAsia="Times New Roman" w:hint="default"/>
        </w:rPr>
        <w:t>2011</w:t>
      </w:r>
      <w:r>
        <w:rPr/>
        <w:t>年度股东大会审议通过，以</w:t>
      </w:r>
      <w:r>
        <w:rPr>
          <w:rFonts w:ascii="Times New Roman" w:hAnsi="Times New Roman" w:cs="Times New Roman" w:eastAsia="Times New Roman" w:hint="default"/>
        </w:rPr>
        <w:t>2011</w:t>
      </w:r>
      <w:r>
        <w:rPr/>
        <w:t>年年末总股本</w:t>
      </w:r>
      <w:r>
        <w:rPr>
          <w:rFonts w:ascii="Times New Roman" w:hAnsi="Times New Roman" w:cs="Times New Roman" w:eastAsia="Times New Roman" w:hint="default"/>
        </w:rPr>
        <w:t>34,443.045</w:t>
      </w:r>
      <w:r>
        <w:rPr/>
        <w:t>万股为基数，向全体股东每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0.50 </w:t>
      </w:r>
      <w:r>
        <w:rPr/>
        <w:t>元（含税），上述方案已于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日实施。</w:t>
      </w:r>
    </w:p>
    <w:p>
      <w:pPr>
        <w:spacing w:line="240" w:lineRule="auto" w:before="4"/>
        <w:rPr>
          <w:rFonts w:ascii="宋体" w:hAnsi="宋体" w:cs="宋体" w:eastAsia="宋体" w:hint="default"/>
          <w:sz w:val="22"/>
          <w:szCs w:val="22"/>
        </w:rPr>
      </w:pPr>
    </w:p>
    <w:p>
      <w:pPr>
        <w:pStyle w:val="Heading3"/>
        <w:spacing w:line="240" w:lineRule="auto"/>
        <w:ind w:right="144"/>
        <w:jc w:val="left"/>
        <w:rPr>
          <w:b w:val="0"/>
          <w:bCs w:val="0"/>
        </w:rPr>
      </w:pPr>
      <w:r>
        <w:rPr>
          <w:rFonts w:ascii="Times New Roman" w:hAnsi="Times New Roman" w:cs="Times New Roman" w:eastAsia="Times New Roman" w:hint="default"/>
        </w:rPr>
        <w:t>34</w:t>
      </w:r>
      <w:r>
        <w:rPr/>
        <w:t>、营业收入、营业成本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1"/>
      </w:tblGrid>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739,320,354.60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736,720,370.48</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10,590,959.56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4,737,441.58</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404,850,462.22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353,299,726.98</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739,320,354.60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397,878,432.81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736,720,370.48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349,982,661.01</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739,320,354.60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397,878,432.81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736,720,370.48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349,982,661.01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4"/>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产品销售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465,756,929.32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259,440,959.49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354,205,999.66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166,713,903.52</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合作运营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162,445,968.21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94,179,191.94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167,370,888.61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84,716,035.06</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融资租赁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91,167,475.10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40,299,511.58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199,574,598.36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95,295,800.11</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技术、金融服务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19,949,981.97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3,958,769.80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15,568,883.85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3,256,922.32</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739,320,354.60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397,878,432.81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736,720,370.48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349,982,661.01</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41,917,978.50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19,078,351.45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94,596,865.70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46,382,762.69</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w:t>
            </w:r>
            <w:r>
              <w:rPr>
                <w:rFonts w:ascii="Times New Roman" w:hAnsi="Times New Roman" w:cs="Times New Roman" w:eastAsia="Times New Roman" w:hint="default"/>
                <w:sz w:val="18"/>
                <w:szCs w:val="18"/>
              </w:rPr>
              <w:t>(</w:t>
            </w:r>
            <w:r>
              <w:rPr>
                <w:rFonts w:ascii="宋体" w:hAnsi="宋体" w:cs="宋体" w:eastAsia="宋体" w:hint="default"/>
                <w:sz w:val="18"/>
                <w:szCs w:val="18"/>
              </w:rPr>
              <w:t>除广州</w:t>
            </w:r>
            <w:r>
              <w:rPr>
                <w:rFonts w:ascii="Times New Roman" w:hAnsi="Times New Roman" w:cs="Times New Roman" w:eastAsia="Times New Roman" w:hint="default"/>
                <w:sz w:val="18"/>
                <w:szCs w:val="18"/>
              </w:rPr>
              <w:t>)</w:t>
            </w:r>
            <w:r>
              <w:rPr>
                <w:rFonts w:ascii="宋体" w:hAnsi="宋体" w:cs="宋体" w:eastAsia="宋体" w:hint="default"/>
                <w:sz w:val="18"/>
                <w:szCs w:val="18"/>
              </w:rPr>
              <w:t>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181,422,229.56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89,891,312.59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226,699,966.36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97,785,223.46</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广东省外地区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515,980,146.54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288,908,768.77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415,423,538.42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205,814,674.86</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739,320,354.60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397,878,432.81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736,720,370.48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349,982,661.01</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28"/>
        <w:gridCol w:w="2410"/>
        <w:gridCol w:w="3332"/>
      </w:tblGrid>
      <w:tr>
        <w:trPr>
          <w:trHeight w:val="397"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6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7" w:hRule="exact"/>
        </w:trPr>
        <w:tc>
          <w:tcPr>
            <w:tcW w:w="382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94,069,090.36</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12.54%</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中国邮政储蓄银行有限责任公司深圳分行</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73,037,737.68</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9.74%</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天津滨河创新科技有限公司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71,307,692.27</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9.51%</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广东省东莞市邮政局</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45,097,091.55</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6.01%</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中国邮政集团公司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39,017,692.47</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5.2%</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322,529,304.33</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43%</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rFonts w:ascii="Times New Roman" w:hAnsi="Times New Roman" w:cs="Times New Roman" w:eastAsia="Times New Roman" w:hint="default"/>
        </w:rPr>
        <w:t>35</w:t>
      </w:r>
      <w:r>
        <w:rPr/>
        <w:t>、营业税金及附加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84"/>
        <w:gridCol w:w="1991"/>
        <w:gridCol w:w="1862"/>
        <w:gridCol w:w="2922"/>
      </w:tblGrid>
      <w:tr>
        <w:trPr>
          <w:trHeight w:val="403" w:hRule="exact"/>
        </w:trPr>
        <w:tc>
          <w:tcPr>
            <w:tcW w:w="2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1" w:hRule="exact"/>
        </w:trPr>
        <w:tc>
          <w:tcPr>
            <w:tcW w:w="2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919" w:right="0"/>
              <w:jc w:val="left"/>
              <w:rPr>
                <w:rFonts w:ascii="Times New Roman" w:hAnsi="Times New Roman" w:cs="Times New Roman" w:eastAsia="Times New Roman" w:hint="default"/>
                <w:sz w:val="18"/>
                <w:szCs w:val="18"/>
              </w:rPr>
            </w:pPr>
            <w:r>
              <w:rPr>
                <w:rFonts w:ascii="Times New Roman"/>
                <w:sz w:val="18"/>
              </w:rPr>
              <w:t>12,650,555.78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4" w:right="0"/>
              <w:jc w:val="left"/>
              <w:rPr>
                <w:rFonts w:ascii="Times New Roman" w:hAnsi="Times New Roman" w:cs="Times New Roman" w:eastAsia="Times New Roman" w:hint="default"/>
                <w:sz w:val="18"/>
                <w:szCs w:val="18"/>
              </w:rPr>
            </w:pPr>
            <w:r>
              <w:rPr>
                <w:rFonts w:ascii="Times New Roman"/>
                <w:sz w:val="18"/>
              </w:rPr>
              <w:t>18,801,376.39</w:t>
            </w:r>
          </w:p>
        </w:tc>
        <w:tc>
          <w:tcPr>
            <w:tcW w:w="292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应税收入的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p>
        </w:tc>
      </w:tr>
    </w:tbl>
    <w:p>
      <w:pPr>
        <w:spacing w:after="0" w:line="240" w:lineRule="auto"/>
        <w:jc w:val="left"/>
        <w:rPr>
          <w:rFonts w:ascii="Times New Roman" w:hAnsi="Times New Roman" w:cs="Times New Roman" w:eastAsia="Times New Roman" w:hint="default"/>
          <w:sz w:val="18"/>
          <w:szCs w:val="18"/>
        </w:rPr>
        <w:sectPr>
          <w:footerReference w:type="default" r:id="rId26"/>
          <w:pgSz w:w="11910" w:h="16840"/>
          <w:pgMar w:footer="980" w:header="745" w:top="1060" w:bottom="1160" w:left="980" w:right="980"/>
          <w:pgNumType w:start="1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795"/>
        <w:gridCol w:w="1992"/>
        <w:gridCol w:w="1862"/>
        <w:gridCol w:w="2922"/>
      </w:tblGrid>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3,056,318.09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3,199,154.63</w:t>
            </w:r>
          </w:p>
        </w:tc>
        <w:tc>
          <w:tcPr>
            <w:tcW w:w="292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应交流转税额的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w:t>
            </w:r>
          </w:p>
        </w:tc>
      </w:tr>
      <w:tr>
        <w:trPr>
          <w:trHeight w:val="404"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2,188,783.61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2,304,701.07</w:t>
            </w:r>
          </w:p>
        </w:tc>
        <w:tc>
          <w:tcPr>
            <w:tcW w:w="292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应交流转税额的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830,215.19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781,550.59</w:t>
            </w:r>
          </w:p>
        </w:tc>
        <w:tc>
          <w:tcPr>
            <w:tcW w:w="292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应税收入</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0.1%</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18,725,872.67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25,086,782.68</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rFonts w:ascii="Times New Roman" w:hAnsi="Times New Roman" w:cs="Times New Roman" w:eastAsia="Times New Roman" w:hint="default"/>
        </w:rPr>
        <w:t>36</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工资福利费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12,941,483.23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11,646,010.27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7,669,787.92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4,908,795.04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3,570,321.27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2,989,595.35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市场服务费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21,867,003.18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20,591,005.69</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4,583,861.46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4,194,728.05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9,908,576.28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11,968,194.95</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1,184,312.46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1,015,713.84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5,801,266.32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5,385,304.90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6,132,564.48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5,788,800.07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4,809,998.68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4,710,875.94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8,703,442.77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8,295,524.63</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87,172,618.05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81,494,548.73</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rFonts w:ascii="Times New Roman" w:hAnsi="Times New Roman" w:cs="Times New Roman" w:eastAsia="Times New Roman" w:hint="default"/>
        </w:rPr>
        <w:t>37</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35,297,542.99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27,388,556.45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17,613,531.55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16,342,393.24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工资福利费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14,033,077.97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11,553,210.78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5,636,392.65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4,713,090.94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4,656,470.47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5,227,316.39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5,153,166.49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3,606,256.76</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1,445,290.70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1,354,210.23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3,115,968.78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3,861,902.95</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股权激励费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2,813,349.00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2,532,530.11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2,174,731.76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1,968,269.47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2,368,558.07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2,002,377.30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2,297,575.92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1,539,695.23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9,465,239.72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9,480,859.06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106,070,896.07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91,570,668.91</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rFonts w:ascii="Times New Roman" w:hAnsi="Times New Roman" w:cs="Times New Roman" w:eastAsia="Times New Roman" w:hint="default"/>
        </w:rPr>
        <w:t>38</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5,150,885.54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7,292,340.45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-587,106.25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-903,363.61</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-963,730.28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-998,184.02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1,073,363.13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1,773,589.30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4,673,412.14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7,164,382.12</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rFonts w:ascii="Times New Roman" w:hAnsi="Times New Roman" w:cs="Times New Roman" w:eastAsia="Times New Roman" w:hint="default"/>
        </w:rPr>
        <w:t>39</w:t>
      </w:r>
      <w:r>
        <w:rPr/>
        <w:t>、公允价值变动收益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2"/>
      </w:tblGrid>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1,147.60</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其中：衍生金融工具产生的公允价值变动收益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1,147.60</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1,147.60</w:t>
            </w:r>
          </w:p>
        </w:tc>
        <w:tc>
          <w:tcPr>
            <w:tcW w:w="29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rFonts w:ascii="Times New Roman" w:hAnsi="Times New Roman" w:cs="Times New Roman" w:eastAsia="Times New Roman" w:hint="default"/>
        </w:rPr>
        <w:t>40</w:t>
      </w:r>
      <w:r>
        <w:rPr/>
        <w:t>、投资收益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2"/>
      </w:tblGrid>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7,308.00</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-56,960.14</w:t>
            </w:r>
          </w:p>
        </w:tc>
      </w:tr>
      <w:tr>
        <w:trPr>
          <w:trHeight w:val="404"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持有可供出售金融资产等期间取得的投资收益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2,084,855.40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4,057,376.71</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可供出售金融资产等取得的投资收益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6,992,703.64</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56,960.14</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9,146,699.18</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4,007,724.57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4"/>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17"/>
        <w:gridCol w:w="2004"/>
        <w:gridCol w:w="1728"/>
        <w:gridCol w:w="2922"/>
      </w:tblGrid>
      <w:tr>
        <w:trPr>
          <w:trHeight w:val="403"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1" w:hRule="exact"/>
        </w:trPr>
        <w:tc>
          <w:tcPr>
            <w:tcW w:w="291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广州市农村信用合作联社</w:t>
            </w:r>
          </w:p>
        </w:tc>
        <w:tc>
          <w:tcPr>
            <w:tcW w:w="2004" w:type="dxa"/>
            <w:tcBorders>
              <w:top w:val="single" w:sz="4" w:space="0" w:color="000000"/>
              <w:left w:val="single" w:sz="10" w:space="0" w:color="CCE8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7,308.00</w:t>
            </w:r>
          </w:p>
        </w:tc>
        <w:tc>
          <w:tcPr>
            <w:tcW w:w="2922"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3"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7,308.00</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44"/>
        <w:jc w:val="left"/>
      </w:pPr>
      <w:r>
        <w:rPr/>
        <w:t>投资收益的说明，若投资收益汇回有重大限制的，应予以说明。若不存在此类重大限制，也应做出说明</w:t>
      </w:r>
    </w:p>
    <w:p>
      <w:pPr>
        <w:pStyle w:val="BodyText"/>
        <w:spacing w:line="300" w:lineRule="auto" w:before="115"/>
        <w:ind w:left="513" w:right="188"/>
        <w:jc w:val="left"/>
      </w:pPr>
      <w:r>
        <w:rPr/>
        <w:t>本期出售广东星河生物科技股份有限公司股票</w:t>
      </w:r>
      <w:r>
        <w:rPr>
          <w:rFonts w:ascii="Times New Roman" w:hAnsi="Times New Roman" w:cs="Times New Roman" w:eastAsia="Times New Roman" w:hint="default"/>
        </w:rPr>
        <w:t>1,735,609.00</w:t>
      </w:r>
      <w:r>
        <w:rPr/>
        <w:t>股，成本为</w:t>
      </w:r>
      <w:r>
        <w:rPr>
          <w:rFonts w:ascii="Times New Roman" w:hAnsi="Times New Roman" w:cs="Times New Roman" w:eastAsia="Times New Roman" w:hint="default"/>
        </w:rPr>
        <w:t>11,003,761.06</w:t>
      </w:r>
      <w:r>
        <w:rPr/>
        <w:t>元，取得投资收益</w:t>
      </w:r>
      <w:r>
        <w:rPr>
          <w:rFonts w:ascii="Times New Roman" w:hAnsi="Times New Roman" w:cs="Times New Roman" w:eastAsia="Times New Roman" w:hint="default"/>
        </w:rPr>
        <w:t>6,992,703.64</w:t>
      </w:r>
      <w:r>
        <w:rPr/>
        <w:t>元。 投资收益汇回不存在重大限制。</w:t>
      </w:r>
    </w:p>
    <w:p>
      <w:pPr>
        <w:spacing w:line="240" w:lineRule="auto" w:before="10"/>
        <w:rPr>
          <w:rFonts w:ascii="宋体" w:hAnsi="宋体" w:cs="宋体" w:eastAsia="宋体" w:hint="default"/>
          <w:sz w:val="23"/>
          <w:szCs w:val="23"/>
        </w:rPr>
      </w:pPr>
    </w:p>
    <w:p>
      <w:pPr>
        <w:pStyle w:val="Heading3"/>
        <w:spacing w:line="240" w:lineRule="auto"/>
        <w:ind w:right="144"/>
        <w:jc w:val="left"/>
        <w:rPr>
          <w:b w:val="0"/>
          <w:bCs w:val="0"/>
        </w:rPr>
      </w:pPr>
      <w:r>
        <w:rPr>
          <w:rFonts w:ascii="Times New Roman" w:hAnsi="Times New Roman" w:cs="Times New Roman" w:eastAsia="Times New Roman" w:hint="default"/>
        </w:rPr>
        <w:t>41</w:t>
      </w:r>
      <w:r>
        <w:rPr/>
        <w:t>、资产减值损失</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90"/>
      </w:tblGrid>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3,169,723.63</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5,034,082.20</w:t>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571,856.91</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535,138.05</w:t>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284,800.71</w:t>
            </w:r>
          </w:p>
        </w:tc>
        <w:tc>
          <w:tcPr>
            <w:tcW w:w="27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4,026,381.25</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5,569,220.25</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rFonts w:ascii="Times New Roman" w:hAnsi="Times New Roman" w:cs="Times New Roman" w:eastAsia="Times New Roman" w:hint="default"/>
        </w:rPr>
        <w:t>42</w:t>
      </w:r>
      <w:r>
        <w:rPr/>
        <w:t>、营业外收入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2054"/>
        <w:gridCol w:w="2055"/>
        <w:gridCol w:w="2766"/>
      </w:tblGrid>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0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183,066.59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64,722.82</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183,066.59</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0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183,066.59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64,722.82</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183,066.59</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0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6,480,000.00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2,484,000.00</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6,480,000.00</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补贴收入</w:t>
            </w:r>
            <w:r>
              <w:rPr>
                <w:rFonts w:ascii="Times New Roman" w:hAnsi="Times New Roman" w:cs="Times New Roman" w:eastAsia="Times New Roman" w:hint="default"/>
                <w:sz w:val="18"/>
                <w:szCs w:val="18"/>
              </w:rPr>
              <w:t>-</w:t>
            </w:r>
            <w:r>
              <w:rPr>
                <w:rFonts w:ascii="宋体" w:hAnsi="宋体" w:cs="宋体" w:eastAsia="宋体" w:hint="default"/>
                <w:sz w:val="18"/>
                <w:szCs w:val="18"/>
              </w:rPr>
              <w:t>增值税退税</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20,563,570.97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20,721,434.03</w:t>
            </w:r>
          </w:p>
        </w:tc>
        <w:tc>
          <w:tcPr>
            <w:tcW w:w="27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34,416.59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46,967.50</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34,416.59</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27,261,054.15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23,317,124.35</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6,697,483.18</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5"/>
        <w:gridCol w:w="1347"/>
        <w:gridCol w:w="1346"/>
        <w:gridCol w:w="3332"/>
      </w:tblGrid>
      <w:tr>
        <w:trPr>
          <w:trHeight w:val="396"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20" w:hRule="exact"/>
        </w:trPr>
        <w:tc>
          <w:tcPr>
            <w:tcW w:w="354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市级企业技术中心创新能力建设资金</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500,000.00</w:t>
            </w:r>
          </w:p>
        </w:tc>
        <w:tc>
          <w:tcPr>
            <w:tcW w:w="1346" w:type="dxa"/>
            <w:tcBorders>
              <w:top w:val="single" w:sz="4" w:space="0" w:color="000000"/>
              <w:left w:val="single" w:sz="4" w:space="0" w:color="000000"/>
              <w:bottom w:val="single" w:sz="4" w:space="0" w:color="000000"/>
              <w:right w:val="single" w:sz="4" w:space="0" w:color="000000"/>
            </w:tcBorders>
          </w:tcPr>
          <w:p>
            <w:pPr/>
          </w:p>
        </w:tc>
        <w:tc>
          <w:tcPr>
            <w:tcW w:w="333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3"/>
              <w:ind w:left="23" w:right="56"/>
              <w:jc w:val="left"/>
              <w:rPr>
                <w:rFonts w:ascii="宋体" w:hAnsi="宋体" w:cs="宋体" w:eastAsia="宋体" w:hint="default"/>
                <w:sz w:val="18"/>
                <w:szCs w:val="18"/>
              </w:rPr>
            </w:pPr>
            <w:r>
              <w:rPr>
                <w:rFonts w:ascii="宋体" w:hAnsi="宋体" w:cs="宋体" w:eastAsia="宋体" w:hint="default"/>
                <w:sz w:val="18"/>
                <w:szCs w:val="18"/>
              </w:rPr>
              <w:t>天河经贸局市级企业技术中心创新能力建 设资金</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45"/>
        <w:gridCol w:w="1347"/>
        <w:gridCol w:w="1346"/>
        <w:gridCol w:w="3332"/>
      </w:tblGrid>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广州市服务外包发展专项资金</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1346" w:type="dxa"/>
            <w:tcBorders>
              <w:top w:val="single" w:sz="4" w:space="0" w:color="000000"/>
              <w:left w:val="single" w:sz="4" w:space="0" w:color="000000"/>
              <w:bottom w:val="single" w:sz="4" w:space="0" w:color="000000"/>
              <w:right w:val="single" w:sz="4" w:space="0" w:color="000000"/>
            </w:tcBorders>
          </w:tcPr>
          <w:p>
            <w:pPr/>
          </w:p>
        </w:tc>
        <w:tc>
          <w:tcPr>
            <w:tcW w:w="333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天河经贸局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年服务外包款</w:t>
            </w:r>
          </w:p>
        </w:tc>
      </w:tr>
      <w:tr>
        <w:trPr>
          <w:trHeight w:val="716" w:hRule="exact"/>
        </w:trPr>
        <w:tc>
          <w:tcPr>
            <w:tcW w:w="354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年第七批科学技术经费</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650,000.00</w:t>
            </w:r>
          </w:p>
        </w:tc>
        <w:tc>
          <w:tcPr>
            <w:tcW w:w="1346" w:type="dxa"/>
            <w:tcBorders>
              <w:top w:val="single" w:sz="4" w:space="0" w:color="000000"/>
              <w:left w:val="single" w:sz="4" w:space="0" w:color="000000"/>
              <w:bottom w:val="single" w:sz="4" w:space="0" w:color="000000"/>
              <w:right w:val="single" w:sz="4" w:space="0" w:color="000000"/>
            </w:tcBorders>
          </w:tcPr>
          <w:p>
            <w:pPr/>
          </w:p>
        </w:tc>
        <w:tc>
          <w:tcPr>
            <w:tcW w:w="333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97" w:lineRule="auto" w:before="51"/>
              <w:ind w:left="23" w:right="144"/>
              <w:jc w:val="left"/>
              <w:rPr>
                <w:rFonts w:ascii="宋体" w:hAnsi="宋体" w:cs="宋体" w:eastAsia="宋体" w:hint="default"/>
                <w:sz w:val="18"/>
                <w:szCs w:val="18"/>
              </w:rPr>
            </w:pPr>
            <w:r>
              <w:rPr>
                <w:rFonts w:ascii="宋体" w:hAnsi="宋体" w:cs="宋体" w:eastAsia="宋体" w:hint="default"/>
                <w:sz w:val="18"/>
                <w:szCs w:val="18"/>
              </w:rPr>
              <w:t>广州市科技和信息化局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年第七批科 学技术经费</w:t>
            </w:r>
          </w:p>
        </w:tc>
      </w:tr>
      <w:tr>
        <w:trPr>
          <w:trHeight w:val="713" w:hRule="exact"/>
        </w:trPr>
        <w:tc>
          <w:tcPr>
            <w:tcW w:w="354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年第三批科学技术经费</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346" w:type="dxa"/>
            <w:tcBorders>
              <w:top w:val="single" w:sz="4" w:space="0" w:color="000000"/>
              <w:left w:val="single" w:sz="4" w:space="0" w:color="000000"/>
              <w:bottom w:val="single" w:sz="4" w:space="0" w:color="000000"/>
              <w:right w:val="single" w:sz="4" w:space="0" w:color="000000"/>
            </w:tcBorders>
          </w:tcPr>
          <w:p>
            <w:pPr/>
          </w:p>
        </w:tc>
        <w:tc>
          <w:tcPr>
            <w:tcW w:w="333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00" w:lineRule="auto" w:before="49"/>
              <w:ind w:left="23" w:right="144"/>
              <w:jc w:val="left"/>
              <w:rPr>
                <w:rFonts w:ascii="宋体" w:hAnsi="宋体" w:cs="宋体" w:eastAsia="宋体" w:hint="default"/>
                <w:sz w:val="18"/>
                <w:szCs w:val="18"/>
              </w:rPr>
            </w:pPr>
            <w:r>
              <w:rPr>
                <w:rFonts w:ascii="宋体" w:hAnsi="宋体" w:cs="宋体" w:eastAsia="宋体" w:hint="default"/>
                <w:sz w:val="18"/>
                <w:szCs w:val="18"/>
              </w:rPr>
              <w:t>广州市科技和信息化局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年第三批科 学技术经费</w:t>
            </w: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广州市民营企业奖励专项资金</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1,550,000.00</w:t>
            </w:r>
          </w:p>
        </w:tc>
        <w:tc>
          <w:tcPr>
            <w:tcW w:w="1346" w:type="dxa"/>
            <w:tcBorders>
              <w:top w:val="single" w:sz="4" w:space="0" w:color="000000"/>
              <w:left w:val="single" w:sz="4" w:space="0" w:color="000000"/>
              <w:bottom w:val="single" w:sz="4" w:space="0" w:color="000000"/>
              <w:right w:val="single" w:sz="4" w:space="0" w:color="000000"/>
            </w:tcBorders>
          </w:tcPr>
          <w:p>
            <w:pPr/>
          </w:p>
        </w:tc>
        <w:tc>
          <w:tcPr>
            <w:tcW w:w="333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广州市经济贸易局民营企业奖励专项资金</w:t>
            </w: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广州市创新型企业</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580,000.00</w:t>
            </w:r>
          </w:p>
        </w:tc>
        <w:tc>
          <w:tcPr>
            <w:tcW w:w="1346" w:type="dxa"/>
            <w:tcBorders>
              <w:top w:val="single" w:sz="4" w:space="0" w:color="000000"/>
              <w:left w:val="single" w:sz="4" w:space="0" w:color="000000"/>
              <w:bottom w:val="single" w:sz="4" w:space="0" w:color="000000"/>
              <w:right w:val="single" w:sz="4" w:space="0" w:color="000000"/>
            </w:tcBorders>
          </w:tcPr>
          <w:p>
            <w:pPr/>
          </w:p>
        </w:tc>
        <w:tc>
          <w:tcPr>
            <w:tcW w:w="333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广州市科技和信息化局广州市创新型企业</w:t>
            </w: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服务外包发展专项资金</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346" w:type="dxa"/>
            <w:tcBorders>
              <w:top w:val="single" w:sz="4" w:space="0" w:color="000000"/>
              <w:left w:val="single" w:sz="4" w:space="0" w:color="000000"/>
              <w:bottom w:val="single" w:sz="4" w:space="0" w:color="000000"/>
              <w:right w:val="single" w:sz="4" w:space="0" w:color="000000"/>
            </w:tcBorders>
          </w:tcPr>
          <w:p>
            <w:pPr/>
          </w:p>
        </w:tc>
        <w:tc>
          <w:tcPr>
            <w:tcW w:w="333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年服务外包发展专项资金</w:t>
            </w: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民营企业奖励</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1,150,000.00</w:t>
            </w:r>
          </w:p>
        </w:tc>
        <w:tc>
          <w:tcPr>
            <w:tcW w:w="1346" w:type="dxa"/>
            <w:tcBorders>
              <w:top w:val="single" w:sz="4" w:space="0" w:color="000000"/>
              <w:left w:val="single" w:sz="4" w:space="0" w:color="000000"/>
              <w:bottom w:val="single" w:sz="4" w:space="0" w:color="000000"/>
              <w:right w:val="single" w:sz="4" w:space="0" w:color="000000"/>
            </w:tcBorders>
          </w:tcPr>
          <w:p>
            <w:pPr/>
          </w:p>
        </w:tc>
        <w:tc>
          <w:tcPr>
            <w:tcW w:w="333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年市民营企业奖励</w:t>
            </w:r>
          </w:p>
        </w:tc>
      </w:tr>
      <w:tr>
        <w:trPr>
          <w:trHeight w:val="716" w:hRule="exact"/>
        </w:trPr>
        <w:tc>
          <w:tcPr>
            <w:tcW w:w="354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广州市软件和信息服务发展专项资金</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346" w:type="dxa"/>
            <w:tcBorders>
              <w:top w:val="single" w:sz="4" w:space="0" w:color="000000"/>
              <w:left w:val="single" w:sz="4" w:space="0" w:color="000000"/>
              <w:bottom w:val="single" w:sz="4" w:space="0" w:color="000000"/>
              <w:right w:val="single" w:sz="4" w:space="0" w:color="000000"/>
            </w:tcBorders>
          </w:tcPr>
          <w:p>
            <w:pPr/>
          </w:p>
        </w:tc>
        <w:tc>
          <w:tcPr>
            <w:tcW w:w="333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97"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年第二批广州市软件和信息服务发展 专项资金</w:t>
            </w: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用电补贴</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346" w:type="dxa"/>
            <w:tcBorders>
              <w:top w:val="single" w:sz="4" w:space="0" w:color="000000"/>
              <w:left w:val="single" w:sz="4" w:space="0" w:color="000000"/>
              <w:bottom w:val="single" w:sz="4" w:space="0" w:color="000000"/>
              <w:right w:val="single" w:sz="4" w:space="0" w:color="000000"/>
            </w:tcBorders>
          </w:tcPr>
          <w:p>
            <w:pPr/>
          </w:p>
        </w:tc>
        <w:tc>
          <w:tcPr>
            <w:tcW w:w="333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广州市国土资源和房屋管理局用电补贴款</w:t>
            </w: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广州市软件（动漫）产业发展资金项目经费</w:t>
            </w:r>
          </w:p>
        </w:tc>
        <w:tc>
          <w:tcPr>
            <w:tcW w:w="134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33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重点软件和动漫企业人才税收奖励</w:t>
            </w: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广州市服务外包发展专项资金</w:t>
            </w:r>
          </w:p>
        </w:tc>
        <w:tc>
          <w:tcPr>
            <w:tcW w:w="134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333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天河经贸局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年服务外包款</w:t>
            </w: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向国外申请专利专项资助资金</w:t>
            </w:r>
          </w:p>
        </w:tc>
        <w:tc>
          <w:tcPr>
            <w:tcW w:w="134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4,000.00</w:t>
            </w:r>
          </w:p>
        </w:tc>
        <w:tc>
          <w:tcPr>
            <w:tcW w:w="333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专利资助款</w:t>
            </w: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加工贸易转型升级自主品牌项目资金</w:t>
            </w:r>
          </w:p>
        </w:tc>
        <w:tc>
          <w:tcPr>
            <w:tcW w:w="134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33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加工贸易转型升级自主品牌项目资金</w:t>
            </w:r>
          </w:p>
        </w:tc>
      </w:tr>
      <w:tr>
        <w:trPr>
          <w:trHeight w:val="715" w:hRule="exact"/>
        </w:trPr>
        <w:tc>
          <w:tcPr>
            <w:tcW w:w="354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市级企业技术中心创新能力建设资金</w:t>
            </w:r>
          </w:p>
        </w:tc>
        <w:tc>
          <w:tcPr>
            <w:tcW w:w="134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33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4"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天河经贸局市级企业技术中心创新能力建 设资金</w:t>
            </w:r>
          </w:p>
        </w:tc>
      </w:tr>
      <w:tr>
        <w:trPr>
          <w:trHeight w:val="402" w:hRule="exact"/>
        </w:trPr>
        <w:tc>
          <w:tcPr>
            <w:tcW w:w="354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向国外申请专利专项资助资金</w:t>
            </w:r>
          </w:p>
        </w:tc>
        <w:tc>
          <w:tcPr>
            <w:tcW w:w="134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333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广东进出口商会泰国展费用补贴款</w:t>
            </w:r>
          </w:p>
        </w:tc>
      </w:tr>
      <w:tr>
        <w:trPr>
          <w:trHeight w:val="402"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6,480,000.00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2,484,000.00</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rFonts w:ascii="Times New Roman" w:hAnsi="Times New Roman" w:cs="Times New Roman" w:eastAsia="Times New Roman" w:hint="default"/>
        </w:rPr>
        <w:t>43</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2"/>
        <w:gridCol w:w="1985"/>
        <w:gridCol w:w="1985"/>
        <w:gridCol w:w="3049"/>
      </w:tblGrid>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0"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19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23,396,042.16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2,361,736.68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10,669,411.23</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9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10,669,411.23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2,361,736.68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10,669,411.23</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9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罚款、赔款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11,580.00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76,944.04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11,580.00</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短款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303,064.00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203,063.18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303,064.00</w:t>
            </w: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材料报废、亏损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2,771,366.68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2,302,607.10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2,771,366.68</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115,412.48</w:t>
            </w:r>
          </w:p>
        </w:tc>
        <w:tc>
          <w:tcPr>
            <w:tcW w:w="19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115,412.48</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93,111.55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42,470.00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93,111.55</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26,790,576.87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4,986,821.00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14,063,945.94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4"/>
        <w:jc w:val="left"/>
        <w:rPr>
          <w:b w:val="0"/>
          <w:bCs w:val="0"/>
        </w:rPr>
      </w:pPr>
      <w:r>
        <w:rPr>
          <w:rFonts w:ascii="Times New Roman" w:hAnsi="Times New Roman" w:cs="Times New Roman" w:eastAsia="Times New Roman" w:hint="default"/>
        </w:rPr>
        <w:t>44</w:t>
      </w:r>
      <w:r>
        <w:rPr/>
        <w:t>、所得税费用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20,818,829.30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14,640,930.57</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-10,862,680.21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6,159,996.73</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9,956,149.09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20,800,927.30</w:t>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45</w:t>
      </w:r>
      <w:r>
        <w:rPr/>
        <w:t>、基本每股收益和稀释每股收益的计算过程</w:t>
      </w:r>
      <w:r>
        <w:rPr>
          <w:b w:val="0"/>
          <w:bCs w:val="0"/>
        </w:rPr>
      </w:r>
    </w:p>
    <w:p>
      <w:pPr>
        <w:spacing w:line="240" w:lineRule="auto" w:before="4"/>
        <w:rPr>
          <w:rFonts w:ascii="宋体" w:hAnsi="宋体" w:cs="宋体" w:eastAsia="宋体" w:hint="default"/>
          <w:b/>
          <w:bCs/>
          <w:sz w:val="26"/>
          <w:szCs w:val="26"/>
        </w:rPr>
      </w:pPr>
    </w:p>
    <w:p>
      <w:pPr>
        <w:pStyle w:val="BodyText"/>
        <w:spacing w:line="321" w:lineRule="auto"/>
        <w:ind w:left="513" w:right="6711"/>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）基本每股收益 基本每股收益</w:t>
      </w:r>
      <w:r>
        <w:rPr>
          <w:rFonts w:ascii="Times New Roman" w:hAnsi="Times New Roman" w:cs="Times New Roman" w:eastAsia="Times New Roman" w:hint="default"/>
        </w:rPr>
        <w:t>=P0÷S</w:t>
      </w:r>
      <w:r>
        <w:rPr>
          <w:rFonts w:ascii="Times New Roman" w:hAnsi="Times New Roman" w:cs="Times New Roman" w:eastAsia="Times New Roman" w:hint="default"/>
          <w:w w:val="99"/>
        </w:rPr>
        <w:t> </w:t>
      </w:r>
      <w:r>
        <w:rPr>
          <w:rFonts w:ascii="Times New Roman" w:hAnsi="Times New Roman" w:cs="Times New Roman" w:eastAsia="Times New Roman" w:hint="default"/>
        </w:rPr>
        <w:t>S=S0+S1+Si×Mi÷M0-Sj×Mj÷M0-Sk</w:t>
      </w:r>
    </w:p>
    <w:p>
      <w:pPr>
        <w:spacing w:line="251" w:lineRule="exact" w:before="0"/>
        <w:ind w:left="152" w:right="0" w:firstLine="360"/>
        <w:jc w:val="left"/>
        <w:rPr>
          <w:rFonts w:ascii="宋体" w:hAnsi="宋体" w:cs="宋体" w:eastAsia="宋体" w:hint="default"/>
          <w:sz w:val="20"/>
          <w:szCs w:val="20"/>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P0</w:t>
      </w:r>
      <w:r>
        <w:rPr>
          <w:rFonts w:ascii="宋体" w:hAnsi="宋体" w:cs="宋体" w:eastAsia="宋体" w:hint="default"/>
          <w:sz w:val="18"/>
          <w:szCs w:val="18"/>
        </w:rPr>
        <w:t>为</w:t>
      </w:r>
      <w:r>
        <w:rPr>
          <w:rFonts w:ascii="宋体" w:hAnsi="宋体" w:cs="宋体" w:eastAsia="宋体" w:hint="default"/>
          <w:sz w:val="20"/>
          <w:szCs w:val="20"/>
        </w:rPr>
        <w:t>归属于母公司所有者的净利润</w:t>
      </w:r>
      <w:r>
        <w:rPr>
          <w:rFonts w:ascii="宋体" w:hAnsi="宋体" w:cs="宋体" w:eastAsia="宋体" w:hint="default"/>
          <w:sz w:val="18"/>
          <w:szCs w:val="18"/>
        </w:rPr>
        <w:t>或</w:t>
      </w:r>
      <w:r>
        <w:rPr>
          <w:rFonts w:ascii="宋体" w:hAnsi="宋体" w:cs="宋体" w:eastAsia="宋体" w:hint="default"/>
          <w:sz w:val="20"/>
          <w:szCs w:val="20"/>
        </w:rPr>
        <w:t>扣除非经常性损益后归属于公司普通股股东的净利润；</w:t>
      </w:r>
      <w:r>
        <w:rPr>
          <w:rFonts w:ascii="Times New Roman" w:hAnsi="Times New Roman" w:cs="Times New Roman" w:eastAsia="Times New Roman" w:hint="default"/>
          <w:sz w:val="18"/>
          <w:szCs w:val="18"/>
        </w:rPr>
        <w:t>S</w:t>
      </w:r>
      <w:r>
        <w:rPr>
          <w:rFonts w:ascii="宋体" w:hAnsi="宋体" w:cs="宋体" w:eastAsia="宋体" w:hint="default"/>
          <w:sz w:val="18"/>
          <w:szCs w:val="18"/>
        </w:rPr>
        <w:t>为</w:t>
      </w:r>
      <w:r>
        <w:rPr>
          <w:rFonts w:ascii="宋体" w:hAnsi="宋体" w:cs="宋体" w:eastAsia="宋体" w:hint="default"/>
          <w:sz w:val="20"/>
          <w:szCs w:val="20"/>
        </w:rPr>
        <w:t>发行在</w:t>
      </w:r>
    </w:p>
    <w:p>
      <w:pPr>
        <w:spacing w:line="273" w:lineRule="auto" w:before="39"/>
        <w:ind w:left="152" w:right="148" w:firstLine="0"/>
        <w:jc w:val="both"/>
        <w:rPr>
          <w:rFonts w:ascii="宋体" w:hAnsi="宋体" w:cs="宋体" w:eastAsia="宋体" w:hint="default"/>
          <w:sz w:val="18"/>
          <w:szCs w:val="18"/>
        </w:rPr>
      </w:pPr>
      <w:r>
        <w:rPr>
          <w:rFonts w:ascii="宋体" w:hAnsi="宋体" w:cs="宋体" w:eastAsia="宋体" w:hint="default"/>
          <w:spacing w:val="-1"/>
          <w:w w:val="95"/>
          <w:sz w:val="20"/>
          <w:szCs w:val="20"/>
        </w:rPr>
        <w:t>外的普通股加权平均数；</w:t>
      </w:r>
      <w:r>
        <w:rPr>
          <w:rFonts w:ascii="Times New Roman" w:hAnsi="Times New Roman" w:cs="Times New Roman" w:eastAsia="Times New Roman" w:hint="default"/>
          <w:spacing w:val="-1"/>
          <w:w w:val="95"/>
          <w:sz w:val="18"/>
          <w:szCs w:val="18"/>
        </w:rPr>
        <w:t>S0</w:t>
      </w:r>
      <w:r>
        <w:rPr>
          <w:rFonts w:ascii="宋体" w:hAnsi="宋体" w:cs="宋体" w:eastAsia="宋体" w:hint="default"/>
          <w:spacing w:val="-1"/>
          <w:w w:val="95"/>
          <w:sz w:val="18"/>
          <w:szCs w:val="18"/>
        </w:rPr>
        <w:t>为期</w:t>
      </w:r>
      <w:r>
        <w:rPr>
          <w:rFonts w:ascii="宋体" w:hAnsi="宋体" w:cs="宋体" w:eastAsia="宋体" w:hint="default"/>
          <w:spacing w:val="-1"/>
          <w:w w:val="95"/>
          <w:sz w:val="20"/>
          <w:szCs w:val="20"/>
        </w:rPr>
        <w:t>初股份总数</w:t>
      </w:r>
      <w:r>
        <w:rPr>
          <w:rFonts w:ascii="宋体" w:hAnsi="宋体" w:cs="宋体" w:eastAsia="宋体" w:hint="default"/>
          <w:spacing w:val="-1"/>
          <w:w w:val="95"/>
          <w:sz w:val="18"/>
          <w:szCs w:val="18"/>
        </w:rPr>
        <w:t>；</w:t>
      </w:r>
      <w:r>
        <w:rPr>
          <w:rFonts w:ascii="Times New Roman" w:hAnsi="Times New Roman" w:cs="Times New Roman" w:eastAsia="Times New Roman" w:hint="default"/>
          <w:spacing w:val="-1"/>
          <w:w w:val="95"/>
          <w:sz w:val="18"/>
          <w:szCs w:val="18"/>
        </w:rPr>
        <w:t>S1</w:t>
      </w:r>
      <w:r>
        <w:rPr>
          <w:rFonts w:ascii="宋体" w:hAnsi="宋体" w:cs="宋体" w:eastAsia="宋体" w:hint="default"/>
          <w:spacing w:val="-1"/>
          <w:w w:val="95"/>
          <w:sz w:val="18"/>
          <w:szCs w:val="18"/>
        </w:rPr>
        <w:t>为报告期因</w:t>
      </w:r>
      <w:r>
        <w:rPr>
          <w:rFonts w:ascii="宋体" w:hAnsi="宋体" w:cs="宋体" w:eastAsia="宋体" w:hint="default"/>
          <w:spacing w:val="-1"/>
          <w:w w:val="95"/>
          <w:sz w:val="20"/>
          <w:szCs w:val="20"/>
        </w:rPr>
        <w:t>公积金转增股本或股票股利分配等增加股份数</w:t>
      </w:r>
      <w:r>
        <w:rPr>
          <w:rFonts w:ascii="宋体" w:hAnsi="宋体" w:cs="宋体" w:eastAsia="宋体" w:hint="default"/>
          <w:spacing w:val="-1"/>
          <w:w w:val="95"/>
          <w:sz w:val="18"/>
          <w:szCs w:val="18"/>
        </w:rPr>
        <w:t>；</w:t>
      </w:r>
      <w:r>
        <w:rPr>
          <w:rFonts w:ascii="Times New Roman" w:hAnsi="Times New Roman" w:cs="Times New Roman" w:eastAsia="Times New Roman" w:hint="default"/>
          <w:spacing w:val="-1"/>
          <w:w w:val="95"/>
          <w:sz w:val="18"/>
          <w:szCs w:val="18"/>
        </w:rPr>
        <w:t>Si</w:t>
      </w:r>
      <w:r>
        <w:rPr>
          <w:rFonts w:ascii="宋体" w:hAnsi="宋体" w:cs="宋体" w:eastAsia="宋体" w:hint="default"/>
          <w:spacing w:val="-1"/>
          <w:w w:val="95"/>
          <w:sz w:val="18"/>
          <w:szCs w:val="18"/>
        </w:rPr>
        <w:t>为报</w:t>
      </w:r>
      <w:r>
        <w:rPr>
          <w:rFonts w:ascii="宋体" w:hAnsi="宋体" w:cs="宋体" w:eastAsia="宋体" w:hint="default"/>
          <w:spacing w:val="26"/>
          <w:w w:val="95"/>
          <w:sz w:val="18"/>
          <w:szCs w:val="18"/>
        </w:rPr>
        <w:t> </w:t>
      </w:r>
      <w:r>
        <w:rPr>
          <w:rFonts w:ascii="宋体" w:hAnsi="宋体" w:cs="宋体" w:eastAsia="宋体" w:hint="default"/>
          <w:sz w:val="18"/>
          <w:szCs w:val="18"/>
        </w:rPr>
        <w:t>告期因</w:t>
      </w:r>
      <w:r>
        <w:rPr>
          <w:rFonts w:ascii="宋体" w:hAnsi="宋体" w:cs="宋体" w:eastAsia="宋体" w:hint="default"/>
          <w:sz w:val="20"/>
          <w:szCs w:val="20"/>
        </w:rPr>
        <w:t>发行新股或债转股等增加股份数</w:t>
      </w:r>
      <w:r>
        <w:rPr>
          <w:rFonts w:ascii="宋体" w:hAnsi="宋体" w:cs="宋体" w:eastAsia="宋体" w:hint="default"/>
          <w:sz w:val="18"/>
          <w:szCs w:val="18"/>
        </w:rPr>
        <w:t>；</w:t>
      </w:r>
      <w:r>
        <w:rPr>
          <w:rFonts w:ascii="Times New Roman" w:hAnsi="Times New Roman" w:cs="Times New Roman" w:eastAsia="Times New Roman" w:hint="default"/>
          <w:sz w:val="18"/>
          <w:szCs w:val="18"/>
        </w:rPr>
        <w:t>Sj</w:t>
      </w:r>
      <w:r>
        <w:rPr>
          <w:rFonts w:ascii="宋体" w:hAnsi="宋体" w:cs="宋体" w:eastAsia="宋体" w:hint="default"/>
          <w:sz w:val="18"/>
          <w:szCs w:val="18"/>
        </w:rPr>
        <w:t>为</w:t>
      </w:r>
      <w:r>
        <w:rPr>
          <w:rFonts w:ascii="宋体" w:hAnsi="宋体" w:cs="宋体" w:eastAsia="宋体" w:hint="default"/>
          <w:sz w:val="20"/>
          <w:szCs w:val="20"/>
        </w:rPr>
        <w:t>报告期因回购等减少股份数</w:t>
      </w:r>
      <w:r>
        <w:rPr>
          <w:rFonts w:ascii="宋体" w:hAnsi="宋体" w:cs="宋体" w:eastAsia="宋体" w:hint="default"/>
          <w:sz w:val="18"/>
          <w:szCs w:val="18"/>
        </w:rPr>
        <w:t>；</w:t>
      </w:r>
      <w:r>
        <w:rPr>
          <w:rFonts w:ascii="Times New Roman" w:hAnsi="Times New Roman" w:cs="Times New Roman" w:eastAsia="Times New Roman" w:hint="default"/>
          <w:sz w:val="18"/>
          <w:szCs w:val="18"/>
        </w:rPr>
        <w:t>Sk</w:t>
      </w:r>
      <w:r>
        <w:rPr>
          <w:rFonts w:ascii="宋体" w:hAnsi="宋体" w:cs="宋体" w:eastAsia="宋体" w:hint="default"/>
          <w:sz w:val="18"/>
          <w:szCs w:val="18"/>
        </w:rPr>
        <w:t>为</w:t>
      </w:r>
      <w:r>
        <w:rPr>
          <w:rFonts w:ascii="宋体" w:hAnsi="宋体" w:cs="宋体" w:eastAsia="宋体" w:hint="default"/>
          <w:sz w:val="20"/>
          <w:szCs w:val="20"/>
        </w:rPr>
        <w:t>报告期缩股数</w:t>
      </w:r>
      <w:r>
        <w:rPr>
          <w:rFonts w:ascii="宋体" w:hAnsi="宋体" w:cs="宋体" w:eastAsia="宋体" w:hint="default"/>
          <w:sz w:val="18"/>
          <w:szCs w:val="18"/>
        </w:rPr>
        <w:t>；</w:t>
      </w:r>
      <w:r>
        <w:rPr>
          <w:rFonts w:ascii="Times New Roman" w:hAnsi="Times New Roman" w:cs="Times New Roman" w:eastAsia="Times New Roman" w:hint="default"/>
          <w:sz w:val="18"/>
          <w:szCs w:val="18"/>
        </w:rPr>
        <w:t>M0</w:t>
      </w:r>
      <w:r>
        <w:rPr>
          <w:rFonts w:ascii="宋体" w:hAnsi="宋体" w:cs="宋体" w:eastAsia="宋体" w:hint="default"/>
          <w:sz w:val="18"/>
          <w:szCs w:val="18"/>
        </w:rPr>
        <w:t>为</w:t>
      </w:r>
      <w:r>
        <w:rPr>
          <w:rFonts w:ascii="宋体" w:hAnsi="宋体" w:cs="宋体" w:eastAsia="宋体" w:hint="default"/>
          <w:sz w:val="20"/>
          <w:szCs w:val="20"/>
        </w:rPr>
        <w:t>报告期月份</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数</w:t>
      </w:r>
      <w:r>
        <w:rPr>
          <w:rFonts w:ascii="宋体" w:hAnsi="宋体" w:cs="宋体" w:eastAsia="宋体" w:hint="default"/>
          <w:sz w:val="18"/>
          <w:szCs w:val="18"/>
        </w:rPr>
        <w:t>；</w:t>
      </w:r>
      <w:r>
        <w:rPr>
          <w:rFonts w:ascii="Times New Roman" w:hAnsi="Times New Roman" w:cs="Times New Roman" w:eastAsia="Times New Roman" w:hint="default"/>
          <w:sz w:val="18"/>
          <w:szCs w:val="18"/>
        </w:rPr>
        <w:t>Mi</w:t>
      </w:r>
      <w:r>
        <w:rPr>
          <w:rFonts w:ascii="宋体" w:hAnsi="宋体" w:cs="宋体" w:eastAsia="宋体" w:hint="default"/>
          <w:sz w:val="18"/>
          <w:szCs w:val="18"/>
        </w:rPr>
        <w:t>为</w:t>
      </w:r>
      <w:r>
        <w:rPr>
          <w:rFonts w:ascii="宋体" w:hAnsi="宋体" w:cs="宋体" w:eastAsia="宋体" w:hint="default"/>
          <w:sz w:val="20"/>
          <w:szCs w:val="20"/>
        </w:rPr>
        <w:t>增加股份次月起至报告期期末的累计月数</w:t>
      </w:r>
      <w:r>
        <w:rPr>
          <w:rFonts w:ascii="宋体" w:hAnsi="宋体" w:cs="宋体" w:eastAsia="宋体" w:hint="default"/>
          <w:sz w:val="18"/>
          <w:szCs w:val="18"/>
        </w:rPr>
        <w:t>；</w:t>
      </w:r>
      <w:r>
        <w:rPr>
          <w:rFonts w:ascii="Times New Roman" w:hAnsi="Times New Roman" w:cs="Times New Roman" w:eastAsia="Times New Roman" w:hint="default"/>
          <w:sz w:val="18"/>
          <w:szCs w:val="18"/>
        </w:rPr>
        <w:t>Mj</w:t>
      </w:r>
      <w:r>
        <w:rPr>
          <w:rFonts w:ascii="宋体" w:hAnsi="宋体" w:cs="宋体" w:eastAsia="宋体" w:hint="default"/>
          <w:sz w:val="18"/>
          <w:szCs w:val="18"/>
        </w:rPr>
        <w:t>为</w:t>
      </w:r>
      <w:r>
        <w:rPr>
          <w:rFonts w:ascii="宋体" w:hAnsi="宋体" w:cs="宋体" w:eastAsia="宋体" w:hint="default"/>
          <w:sz w:val="20"/>
          <w:szCs w:val="20"/>
        </w:rPr>
        <w:t>减少股份次月起至报告期期末的累计月数</w:t>
      </w:r>
      <w:r>
        <w:rPr>
          <w:rFonts w:ascii="宋体" w:hAnsi="宋体" w:cs="宋体" w:eastAsia="宋体" w:hint="default"/>
          <w:sz w:val="18"/>
          <w:szCs w:val="18"/>
        </w:rPr>
        <w:t>。</w:t>
      </w:r>
    </w:p>
    <w:p>
      <w:pPr>
        <w:pStyle w:val="BodyText"/>
        <w:spacing w:line="240" w:lineRule="auto" w:before="26"/>
        <w:ind w:left="513" w:right="144"/>
        <w:jc w:val="left"/>
      </w:pPr>
      <w:r>
        <w:rPr/>
        <w:t>基本每股收益以归属于本公司普通股股东的合并净利润除以本公司发行在外普通股的加权平均数计算：</w:t>
      </w:r>
    </w:p>
    <w:p>
      <w:pPr>
        <w:spacing w:line="240" w:lineRule="auto" w:before="3"/>
        <w:rPr>
          <w:rFonts w:ascii="宋体" w:hAnsi="宋体" w:cs="宋体" w:eastAsia="宋体" w:hint="default"/>
          <w:sz w:val="5"/>
          <w:szCs w:val="5"/>
        </w:rPr>
      </w:pPr>
    </w:p>
    <w:tbl>
      <w:tblPr>
        <w:tblW w:w="0" w:type="auto"/>
        <w:jc w:val="left"/>
        <w:tblInd w:w="726" w:type="dxa"/>
        <w:tblLayout w:type="fixed"/>
        <w:tblCellMar>
          <w:top w:w="0" w:type="dxa"/>
          <w:left w:w="0" w:type="dxa"/>
          <w:bottom w:w="0" w:type="dxa"/>
          <w:right w:w="0" w:type="dxa"/>
        </w:tblCellMar>
        <w:tblLook w:val="01E0"/>
      </w:tblPr>
      <w:tblGrid>
        <w:gridCol w:w="4347"/>
        <w:gridCol w:w="1721"/>
        <w:gridCol w:w="1721"/>
      </w:tblGrid>
      <w:tr>
        <w:trPr>
          <w:trHeight w:val="353" w:hRule="exact"/>
        </w:trPr>
        <w:tc>
          <w:tcPr>
            <w:tcW w:w="43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9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21"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left="225" w:right="0"/>
              <w:jc w:val="left"/>
              <w:rPr>
                <w:rFonts w:ascii="宋体" w:hAnsi="宋体" w:cs="宋体" w:eastAsia="宋体" w:hint="default"/>
                <w:sz w:val="18"/>
                <w:szCs w:val="18"/>
              </w:rPr>
            </w:pPr>
            <w:r>
              <w:rPr>
                <w:rFonts w:ascii="宋体" w:hAnsi="宋体" w:cs="宋体" w:eastAsia="宋体" w:hint="default"/>
                <w:sz w:val="18"/>
                <w:szCs w:val="18"/>
              </w:rPr>
              <w:t>上期金额（注）</w:t>
            </w:r>
          </w:p>
        </w:tc>
      </w:tr>
      <w:tr>
        <w:trPr>
          <w:trHeight w:val="353" w:hRule="exact"/>
        </w:trPr>
        <w:tc>
          <w:tcPr>
            <w:tcW w:w="43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归属于本公司普通股股东的合并净利润</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124,053,846.73</w:t>
            </w:r>
          </w:p>
        </w:tc>
        <w:tc>
          <w:tcPr>
            <w:tcW w:w="172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178,809,583.01</w:t>
            </w:r>
          </w:p>
        </w:tc>
      </w:tr>
      <w:tr>
        <w:trPr>
          <w:trHeight w:val="353" w:hRule="exact"/>
        </w:trPr>
        <w:tc>
          <w:tcPr>
            <w:tcW w:w="43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本公司发行在外普通股的加权平均数</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585,531,765.00</w:t>
            </w:r>
          </w:p>
        </w:tc>
        <w:tc>
          <w:tcPr>
            <w:tcW w:w="172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585,531,765.00</w:t>
            </w:r>
          </w:p>
        </w:tc>
      </w:tr>
      <w:tr>
        <w:trPr>
          <w:trHeight w:val="353" w:hRule="exact"/>
        </w:trPr>
        <w:tc>
          <w:tcPr>
            <w:tcW w:w="43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0.2119</w:t>
            </w:r>
          </w:p>
        </w:tc>
        <w:tc>
          <w:tcPr>
            <w:tcW w:w="172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0.3054</w:t>
            </w:r>
          </w:p>
        </w:tc>
      </w:tr>
    </w:tbl>
    <w:p>
      <w:pPr>
        <w:pStyle w:val="BodyText"/>
        <w:spacing w:line="240" w:lineRule="auto" w:before="8"/>
        <w:ind w:left="513" w:right="144"/>
        <w:jc w:val="left"/>
      </w:pPr>
      <w:r>
        <w:rPr/>
        <w:t>普通股的加权平均数计算过程如下：</w:t>
      </w:r>
    </w:p>
    <w:p>
      <w:pPr>
        <w:spacing w:line="240" w:lineRule="auto" w:before="3"/>
        <w:rPr>
          <w:rFonts w:ascii="宋体" w:hAnsi="宋体" w:cs="宋体" w:eastAsia="宋体" w:hint="default"/>
          <w:sz w:val="5"/>
          <w:szCs w:val="5"/>
        </w:rPr>
      </w:pPr>
    </w:p>
    <w:tbl>
      <w:tblPr>
        <w:tblW w:w="0" w:type="auto"/>
        <w:jc w:val="left"/>
        <w:tblInd w:w="712" w:type="dxa"/>
        <w:tblLayout w:type="fixed"/>
        <w:tblCellMar>
          <w:top w:w="0" w:type="dxa"/>
          <w:left w:w="0" w:type="dxa"/>
          <w:bottom w:w="0" w:type="dxa"/>
          <w:right w:w="0" w:type="dxa"/>
        </w:tblCellMar>
        <w:tblLook w:val="01E0"/>
      </w:tblPr>
      <w:tblGrid>
        <w:gridCol w:w="4331"/>
        <w:gridCol w:w="1709"/>
        <w:gridCol w:w="1709"/>
      </w:tblGrid>
      <w:tr>
        <w:trPr>
          <w:trHeight w:val="356" w:hRule="exact"/>
        </w:trPr>
        <w:tc>
          <w:tcPr>
            <w:tcW w:w="43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48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09"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8"/>
              <w:ind w:left="216" w:right="0"/>
              <w:jc w:val="left"/>
              <w:rPr>
                <w:rFonts w:ascii="宋体" w:hAnsi="宋体" w:cs="宋体" w:eastAsia="宋体" w:hint="default"/>
                <w:sz w:val="18"/>
                <w:szCs w:val="18"/>
              </w:rPr>
            </w:pPr>
            <w:r>
              <w:rPr>
                <w:rFonts w:ascii="宋体" w:hAnsi="宋体" w:cs="宋体" w:eastAsia="宋体" w:hint="default"/>
                <w:sz w:val="18"/>
                <w:szCs w:val="18"/>
              </w:rPr>
              <w:t>上期金额（注）</w:t>
            </w:r>
          </w:p>
        </w:tc>
      </w:tr>
      <w:tr>
        <w:trPr>
          <w:trHeight w:val="350" w:hRule="exact"/>
        </w:trPr>
        <w:tc>
          <w:tcPr>
            <w:tcW w:w="43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年初已发行普通股股数</w:t>
            </w:r>
          </w:p>
        </w:tc>
        <w:tc>
          <w:tcPr>
            <w:tcW w:w="1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344,430,450.00</w:t>
            </w:r>
          </w:p>
        </w:tc>
        <w:tc>
          <w:tcPr>
            <w:tcW w:w="170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264,946,500.00</w:t>
            </w:r>
          </w:p>
        </w:tc>
      </w:tr>
      <w:tr>
        <w:trPr>
          <w:trHeight w:val="353" w:hRule="exact"/>
        </w:trPr>
        <w:tc>
          <w:tcPr>
            <w:tcW w:w="43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加：报告期因公积金转增股本增加股份数</w:t>
            </w:r>
          </w:p>
        </w:tc>
        <w:tc>
          <w:tcPr>
            <w:tcW w:w="1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241,101,315.00</w:t>
            </w:r>
          </w:p>
        </w:tc>
        <w:tc>
          <w:tcPr>
            <w:tcW w:w="170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320,585,265.00</w:t>
            </w:r>
          </w:p>
        </w:tc>
      </w:tr>
      <w:tr>
        <w:trPr>
          <w:trHeight w:val="353" w:hRule="exact"/>
        </w:trPr>
        <w:tc>
          <w:tcPr>
            <w:tcW w:w="43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减：本期回购的普通股加权数</w:t>
            </w:r>
          </w:p>
        </w:tc>
        <w:tc>
          <w:tcPr>
            <w:tcW w:w="1709" w:type="dxa"/>
            <w:tcBorders>
              <w:top w:val="single" w:sz="12" w:space="0" w:color="000000"/>
              <w:left w:val="single" w:sz="6" w:space="0" w:color="000000"/>
              <w:bottom w:val="single" w:sz="12" w:space="0" w:color="000000"/>
              <w:right w:val="single" w:sz="6" w:space="0" w:color="000000"/>
            </w:tcBorders>
          </w:tcPr>
          <w:p>
            <w:pPr/>
          </w:p>
        </w:tc>
        <w:tc>
          <w:tcPr>
            <w:tcW w:w="1709"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43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年末发行在外的普通股加权数</w:t>
            </w:r>
          </w:p>
        </w:tc>
        <w:tc>
          <w:tcPr>
            <w:tcW w:w="1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585,531,765.00</w:t>
            </w:r>
          </w:p>
        </w:tc>
        <w:tc>
          <w:tcPr>
            <w:tcW w:w="170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585,531,765.00</w:t>
            </w:r>
          </w:p>
        </w:tc>
      </w:tr>
    </w:tbl>
    <w:p>
      <w:pPr>
        <w:pStyle w:val="BodyText"/>
        <w:spacing w:line="240" w:lineRule="auto" w:before="8"/>
        <w:ind w:left="513" w:right="144"/>
        <w:jc w:val="left"/>
      </w:pPr>
      <w:r>
        <w:rPr/>
        <w:t>注：上期金额，按《企业会计准则第</w:t>
      </w:r>
      <w:r>
        <w:rPr>
          <w:rFonts w:ascii="Times New Roman" w:hAnsi="Times New Roman" w:cs="Times New Roman" w:eastAsia="Times New Roman" w:hint="default"/>
        </w:rPr>
        <w:t>34</w:t>
      </w:r>
      <w:r>
        <w:rPr/>
        <w:t>号</w:t>
      </w:r>
      <w:r>
        <w:rPr>
          <w:rFonts w:ascii="Times New Roman" w:hAnsi="Times New Roman" w:cs="Times New Roman" w:eastAsia="Times New Roman" w:hint="default"/>
        </w:rPr>
        <w:t>——</w:t>
      </w:r>
      <w:r>
        <w:rPr/>
        <w:t>每股收益》规定进行了调整计算。</w:t>
      </w:r>
    </w:p>
    <w:p>
      <w:pPr>
        <w:spacing w:line="240" w:lineRule="auto" w:before="0"/>
        <w:rPr>
          <w:rFonts w:ascii="宋体" w:hAnsi="宋体" w:cs="宋体" w:eastAsia="宋体" w:hint="default"/>
          <w:sz w:val="18"/>
          <w:szCs w:val="18"/>
        </w:rPr>
      </w:pPr>
    </w:p>
    <w:p>
      <w:pPr>
        <w:spacing w:line="285" w:lineRule="auto" w:before="139"/>
        <w:ind w:left="513" w:right="4543" w:firstLine="0"/>
        <w:jc w:val="left"/>
        <w:rPr>
          <w:rFonts w:ascii="宋体" w:hAnsi="宋体" w:cs="宋体" w:eastAsia="宋体" w:hint="default"/>
          <w:sz w:val="20"/>
          <w:szCs w:val="20"/>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）稀释每股收益 稀释每股收益</w:t>
      </w:r>
      <w:r>
        <w:rPr>
          <w:rFonts w:ascii="Times New Roman" w:hAnsi="Times New Roman" w:cs="Times New Roman" w:eastAsia="Times New Roman" w:hint="default"/>
          <w:sz w:val="18"/>
          <w:szCs w:val="18"/>
        </w:rPr>
        <w:t>=P1÷</w:t>
      </w:r>
      <w:r>
        <w:rPr>
          <w:rFonts w:ascii="宋体" w:hAnsi="宋体" w:cs="宋体" w:eastAsia="宋体" w:hint="default"/>
          <w:sz w:val="20"/>
          <w:szCs w:val="20"/>
        </w:rPr>
        <w:t>计算稀释每股收益的普通股加权平均数</w:t>
      </w:r>
    </w:p>
    <w:p>
      <w:pPr>
        <w:spacing w:line="273" w:lineRule="auto" w:before="0"/>
        <w:ind w:left="513" w:right="154" w:firstLine="0"/>
        <w:jc w:val="left"/>
        <w:rPr>
          <w:rFonts w:ascii="宋体" w:hAnsi="宋体" w:cs="宋体" w:eastAsia="宋体" w:hint="default"/>
          <w:sz w:val="18"/>
          <w:szCs w:val="18"/>
        </w:rPr>
      </w:pPr>
      <w:r>
        <w:rPr>
          <w:rFonts w:ascii="宋体" w:hAnsi="宋体" w:cs="宋体" w:eastAsia="宋体" w:hint="default"/>
          <w:sz w:val="20"/>
          <w:szCs w:val="20"/>
        </w:rPr>
        <w:t>其中：</w:t>
      </w:r>
      <w:r>
        <w:rPr>
          <w:rFonts w:ascii="Times New Roman" w:hAnsi="Times New Roman" w:cs="Times New Roman" w:eastAsia="Times New Roman" w:hint="default"/>
          <w:sz w:val="18"/>
          <w:szCs w:val="18"/>
        </w:rPr>
        <w:t>P1</w:t>
      </w:r>
      <w:r>
        <w:rPr>
          <w:rFonts w:ascii="宋体" w:hAnsi="宋体" w:cs="宋体" w:eastAsia="宋体" w:hint="default"/>
          <w:sz w:val="18"/>
          <w:szCs w:val="18"/>
        </w:rPr>
        <w:t>为</w:t>
      </w:r>
      <w:r>
        <w:rPr>
          <w:rFonts w:ascii="宋体" w:hAnsi="宋体" w:cs="宋体" w:eastAsia="宋体" w:hint="default"/>
          <w:sz w:val="20"/>
          <w:szCs w:val="20"/>
        </w:rPr>
        <w:t>归属于母公司所有者的净利润</w:t>
      </w:r>
      <w:r>
        <w:rPr>
          <w:rFonts w:ascii="宋体" w:hAnsi="宋体" w:cs="宋体" w:eastAsia="宋体" w:hint="default"/>
          <w:sz w:val="18"/>
          <w:szCs w:val="18"/>
        </w:rPr>
        <w:t>或</w:t>
      </w:r>
      <w:r>
        <w:rPr>
          <w:rFonts w:ascii="宋体" w:hAnsi="宋体" w:cs="宋体" w:eastAsia="宋体" w:hint="default"/>
          <w:sz w:val="20"/>
          <w:szCs w:val="20"/>
        </w:rPr>
        <w:t>扣除非经常性损益后归属于公司普通股股东的净利润；</w:t>
      </w:r>
      <w:r>
        <w:rPr>
          <w:rFonts w:ascii="宋体" w:hAnsi="宋体" w:cs="宋体" w:eastAsia="宋体" w:hint="default"/>
          <w:w w:val="99"/>
          <w:sz w:val="20"/>
          <w:szCs w:val="20"/>
        </w:rPr>
        <w:t> </w:t>
      </w:r>
      <w:r>
        <w:rPr>
          <w:rFonts w:ascii="宋体" w:hAnsi="宋体" w:cs="宋体" w:eastAsia="宋体" w:hint="default"/>
          <w:sz w:val="20"/>
          <w:szCs w:val="20"/>
        </w:rPr>
        <w:t>计算稀释每股收益的普通股加权平均数</w:t>
      </w:r>
      <w:r>
        <w:rPr>
          <w:rFonts w:ascii="Times New Roman" w:hAnsi="Times New Roman" w:cs="Times New Roman" w:eastAsia="Times New Roman" w:hint="default"/>
          <w:sz w:val="20"/>
          <w:szCs w:val="20"/>
        </w:rPr>
        <w:t>=</w:t>
      </w:r>
      <w:r>
        <w:rPr>
          <w:rFonts w:ascii="Times New Roman" w:hAnsi="Times New Roman" w:cs="Times New Roman" w:eastAsia="Times New Roman" w:hint="default"/>
          <w:sz w:val="18"/>
          <w:szCs w:val="18"/>
        </w:rPr>
        <w:t>S0+S1+Si×Mi÷M0-Sj×Mj÷M0-Sk+</w:t>
      </w:r>
      <w:r>
        <w:rPr>
          <w:rFonts w:ascii="宋体" w:hAnsi="宋体" w:cs="宋体" w:eastAsia="宋体" w:hint="default"/>
          <w:sz w:val="18"/>
          <w:szCs w:val="18"/>
        </w:rPr>
        <w:t>假定稀释性潜在普通股转换为已发行普</w:t>
      </w:r>
    </w:p>
    <w:p>
      <w:pPr>
        <w:pStyle w:val="BodyText"/>
        <w:spacing w:line="240" w:lineRule="auto" w:before="20"/>
        <w:ind w:right="144"/>
        <w:jc w:val="left"/>
      </w:pPr>
      <w:r>
        <w:rPr/>
        <w:t>通股而增加的普通股股数的加权平均数</w:t>
      </w:r>
    </w:p>
    <w:p>
      <w:pPr>
        <w:pStyle w:val="BodyText"/>
        <w:spacing w:line="240" w:lineRule="auto" w:before="77"/>
        <w:ind w:left="513" w:right="144"/>
        <w:jc w:val="left"/>
      </w:pPr>
      <w:r>
        <w:rPr/>
        <w:t>稀释每股收益以调整后的归属于本公司普通股股东的合并净利润除以调整后的本公司发行在外普通股的加权平均数计</w:t>
      </w:r>
    </w:p>
    <w:p>
      <w:pPr>
        <w:pStyle w:val="BodyText"/>
        <w:spacing w:line="240" w:lineRule="auto" w:before="76"/>
        <w:ind w:right="144"/>
        <w:jc w:val="left"/>
      </w:pPr>
      <w:r>
        <w:rPr/>
        <w:t>算：</w:t>
      </w:r>
    </w:p>
    <w:p>
      <w:pPr>
        <w:spacing w:line="240" w:lineRule="auto" w:before="3"/>
        <w:rPr>
          <w:rFonts w:ascii="宋体" w:hAnsi="宋体" w:cs="宋体" w:eastAsia="宋体" w:hint="default"/>
          <w:sz w:val="5"/>
          <w:szCs w:val="5"/>
        </w:rPr>
      </w:pPr>
    </w:p>
    <w:tbl>
      <w:tblPr>
        <w:tblW w:w="0" w:type="auto"/>
        <w:jc w:val="left"/>
        <w:tblInd w:w="429" w:type="dxa"/>
        <w:tblLayout w:type="fixed"/>
        <w:tblCellMar>
          <w:top w:w="0" w:type="dxa"/>
          <w:left w:w="0" w:type="dxa"/>
          <w:bottom w:w="0" w:type="dxa"/>
          <w:right w:w="0" w:type="dxa"/>
        </w:tblCellMar>
        <w:tblLook w:val="01E0"/>
      </w:tblPr>
      <w:tblGrid>
        <w:gridCol w:w="4604"/>
        <w:gridCol w:w="1706"/>
        <w:gridCol w:w="1707"/>
      </w:tblGrid>
      <w:tr>
        <w:trPr>
          <w:trHeight w:val="353" w:hRule="exact"/>
        </w:trPr>
        <w:tc>
          <w:tcPr>
            <w:tcW w:w="46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8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07"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left="484"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3" w:hRule="exact"/>
        </w:trPr>
        <w:tc>
          <w:tcPr>
            <w:tcW w:w="4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归属于本公司普通股股东的合并净利润（稀释）</w:t>
            </w:r>
          </w:p>
        </w:tc>
        <w:tc>
          <w:tcPr>
            <w:tcW w:w="17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124,053,846.73</w:t>
            </w:r>
          </w:p>
        </w:tc>
        <w:tc>
          <w:tcPr>
            <w:tcW w:w="170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178,809,583.01</w:t>
            </w:r>
          </w:p>
        </w:tc>
      </w:tr>
      <w:tr>
        <w:trPr>
          <w:trHeight w:val="353" w:hRule="exact"/>
        </w:trPr>
        <w:tc>
          <w:tcPr>
            <w:tcW w:w="4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本公司发行在外普通股的加权平均数（稀释）</w:t>
            </w:r>
          </w:p>
        </w:tc>
        <w:tc>
          <w:tcPr>
            <w:tcW w:w="17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585,531,765.00</w:t>
            </w:r>
          </w:p>
        </w:tc>
        <w:tc>
          <w:tcPr>
            <w:tcW w:w="170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585,531,765.00</w:t>
            </w:r>
          </w:p>
        </w:tc>
      </w:tr>
      <w:tr>
        <w:trPr>
          <w:trHeight w:val="353" w:hRule="exact"/>
        </w:trPr>
        <w:tc>
          <w:tcPr>
            <w:tcW w:w="4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0.2119</w:t>
            </w:r>
          </w:p>
        </w:tc>
        <w:tc>
          <w:tcPr>
            <w:tcW w:w="170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0.3054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513" w:right="144"/>
        <w:jc w:val="left"/>
      </w:pPr>
      <w:r>
        <w:rPr/>
        <w:t>普通股的加权平均数（稀释）计算过程如下：</w:t>
      </w:r>
    </w:p>
    <w:p>
      <w:pPr>
        <w:spacing w:line="240" w:lineRule="auto" w:before="3"/>
        <w:rPr>
          <w:rFonts w:ascii="宋体" w:hAnsi="宋体" w:cs="宋体" w:eastAsia="宋体" w:hint="default"/>
          <w:sz w:val="5"/>
          <w:szCs w:val="5"/>
        </w:rPr>
      </w:pPr>
    </w:p>
    <w:tbl>
      <w:tblPr>
        <w:tblW w:w="0" w:type="auto"/>
        <w:jc w:val="left"/>
        <w:tblInd w:w="429" w:type="dxa"/>
        <w:tblLayout w:type="fixed"/>
        <w:tblCellMar>
          <w:top w:w="0" w:type="dxa"/>
          <w:left w:w="0" w:type="dxa"/>
          <w:bottom w:w="0" w:type="dxa"/>
          <w:right w:w="0" w:type="dxa"/>
        </w:tblCellMar>
        <w:tblLook w:val="01E0"/>
      </w:tblPr>
      <w:tblGrid>
        <w:gridCol w:w="4604"/>
        <w:gridCol w:w="1706"/>
        <w:gridCol w:w="1707"/>
      </w:tblGrid>
      <w:tr>
        <w:trPr>
          <w:trHeight w:val="356" w:hRule="exact"/>
        </w:trPr>
        <w:tc>
          <w:tcPr>
            <w:tcW w:w="46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48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07"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8"/>
              <w:ind w:left="484"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4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计算基本每股收益时年末发行在外的普通股加权平均数</w:t>
            </w:r>
          </w:p>
        </w:tc>
        <w:tc>
          <w:tcPr>
            <w:tcW w:w="17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585,531,765.00</w:t>
            </w:r>
          </w:p>
        </w:tc>
        <w:tc>
          <w:tcPr>
            <w:tcW w:w="170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585,531,765.00</w:t>
            </w:r>
          </w:p>
        </w:tc>
      </w:tr>
      <w:tr>
        <w:trPr>
          <w:trHeight w:val="353" w:hRule="exact"/>
        </w:trPr>
        <w:tc>
          <w:tcPr>
            <w:tcW w:w="4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可转换债券的影响</w:t>
            </w:r>
          </w:p>
        </w:tc>
        <w:tc>
          <w:tcPr>
            <w:tcW w:w="1706" w:type="dxa"/>
            <w:tcBorders>
              <w:top w:val="single" w:sz="12" w:space="0" w:color="000000"/>
              <w:left w:val="single" w:sz="6" w:space="0" w:color="000000"/>
              <w:bottom w:val="single" w:sz="12" w:space="0" w:color="000000"/>
              <w:right w:val="single" w:sz="6" w:space="0" w:color="000000"/>
            </w:tcBorders>
          </w:tcPr>
          <w:p>
            <w:pPr/>
          </w:p>
        </w:tc>
        <w:tc>
          <w:tcPr>
            <w:tcW w:w="1707"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4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股份期权的影响</w:t>
            </w:r>
          </w:p>
        </w:tc>
        <w:tc>
          <w:tcPr>
            <w:tcW w:w="1706" w:type="dxa"/>
            <w:tcBorders>
              <w:top w:val="single" w:sz="12" w:space="0" w:color="000000"/>
              <w:left w:val="single" w:sz="6" w:space="0" w:color="000000"/>
              <w:bottom w:val="single" w:sz="12" w:space="0" w:color="000000"/>
              <w:right w:val="single" w:sz="6" w:space="0" w:color="000000"/>
            </w:tcBorders>
          </w:tcPr>
          <w:p>
            <w:pPr/>
          </w:p>
        </w:tc>
        <w:tc>
          <w:tcPr>
            <w:tcW w:w="1707"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4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年末普通股的加权平均数（稀释）</w:t>
            </w:r>
          </w:p>
        </w:tc>
        <w:tc>
          <w:tcPr>
            <w:tcW w:w="17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585,531,765.00</w:t>
            </w:r>
          </w:p>
        </w:tc>
        <w:tc>
          <w:tcPr>
            <w:tcW w:w="170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585,531,765.00</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rFonts w:ascii="Times New Roman" w:hAnsi="Times New Roman" w:cs="Times New Roman" w:eastAsia="Times New Roman" w:hint="default"/>
        </w:rPr>
        <w:t>46</w:t>
      </w:r>
      <w:r>
        <w:rPr/>
        <w:t>、其他综合收益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29"/>
        <w:gridCol w:w="2537"/>
        <w:gridCol w:w="2393"/>
      </w:tblGrid>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可供出售金融资产产生的利得（损失）金额</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-48,208,111.00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-122,789,000.00</w:t>
            </w: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6" w:right="0"/>
              <w:jc w:val="left"/>
              <w:rPr>
                <w:rFonts w:ascii="宋体" w:hAnsi="宋体" w:cs="宋体" w:eastAsia="宋体" w:hint="default"/>
                <w:sz w:val="18"/>
                <w:szCs w:val="18"/>
              </w:rPr>
            </w:pPr>
            <w:r>
              <w:rPr>
                <w:rFonts w:ascii="宋体" w:hAnsi="宋体" w:cs="宋体" w:eastAsia="宋体" w:hint="default"/>
                <w:sz w:val="18"/>
                <w:szCs w:val="18"/>
              </w:rPr>
              <w:t>减：可供出售金融资产产生的所得税影响</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-7,231,216.65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-18,418,350.00</w:t>
            </w: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6,992,703.64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3,343,071.68</w:t>
            </w: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-47,969,597.99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-107,713,721.68</w:t>
            </w: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9,699.28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9,699.28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-47,959,898.71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-107,713,721.68</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rFonts w:ascii="Times New Roman" w:hAnsi="Times New Roman" w:cs="Times New Roman" w:eastAsia="Times New Roman" w:hint="default"/>
        </w:rPr>
        <w:t>47</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2"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6,514,416.59</w:t>
            </w:r>
          </w:p>
        </w:tc>
      </w:tr>
      <w:tr>
        <w:trPr>
          <w:trHeight w:val="402" w:hRule="exact"/>
        </w:trPr>
        <w:tc>
          <w:tcPr>
            <w:tcW w:w="558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391,145.11</w:t>
            </w:r>
          </w:p>
        </w:tc>
      </w:tr>
      <w:tr>
        <w:trPr>
          <w:trHeight w:val="402" w:hRule="exact"/>
        </w:trPr>
        <w:tc>
          <w:tcPr>
            <w:tcW w:w="558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往来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56,428,994.65</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63,334,556.35</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396"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8" w:hRule="exact"/>
        </w:trPr>
        <w:tc>
          <w:tcPr>
            <w:tcW w:w="558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126,116,398.28</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623,168.03</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27,814,056.80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154,553,623.11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r>
        <w:rPr/>
        <w:pict>
          <v:shape style="position:absolute;margin-left:302.197998pt;margin-top:292.129974pt;width:127.05pt;height:19.7pt;mso-position-horizontal-relative:page;mso-position-vertical-relative:page;z-index:-830608" type="#_x0000_t202" filled="false" stroked="false">
            <v:textbox inset="0,0,0,0">
              <w:txbxContent>
                <w:p>
                  <w:pPr>
                    <w:pStyle w:val="BodyText"/>
                    <w:spacing w:line="240" w:lineRule="auto" w:before="49"/>
                    <w:ind w:left="0" w:right="0"/>
                    <w:jc w:val="left"/>
                  </w:pPr>
                  <w:r>
                    <w:rPr/>
                    <w:t>填列）</w:t>
                  </w:r>
                </w:p>
              </w:txbxContent>
            </v:textbox>
            <w10:wrap type="none"/>
          </v:shape>
        </w:pict>
      </w:r>
      <w:r>
        <w:rPr/>
        <w:pict>
          <v:group style="position:absolute;margin-left:326.350006pt;margin-top:291.529968pt;width:102.9pt;height:20.9pt;mso-position-horizontal-relative:page;mso-position-vertical-relative:page;z-index:-830584" coordorigin="6527,5831" coordsize="2058,418">
            <v:group style="position:absolute;left:6539;top:5843;width:2;height:394" coordorigin="6539,5843" coordsize="2,394">
              <v:shape style="position:absolute;left:6539;top:5843;width:2;height:394" coordorigin="6539,5843" coordsize="0,394" path="m6539,5843l6539,6236e" filled="false" stroked="true" strokeweight="1.2pt" strokecolor="#ffffff">
                <v:path arrowok="t"/>
              </v:shape>
            </v:group>
            <v:group style="position:absolute;left:6551;top:5843;width:2034;height:394" coordorigin="6551,5843" coordsize="2034,394">
              <v:shape style="position:absolute;left:6551;top:5843;width:2034;height:394" coordorigin="6551,5843" coordsize="2034,394" path="m6551,6236l8584,6236,8584,5843,6551,5843,6551,6236xe" filled="true" fillcolor="#ffffff" stroked="false">
                <v:path arrowok="t"/>
                <v:fill type="solid"/>
              </v:shape>
            </v:group>
            <w10:wrap type="none"/>
          </v:group>
        </w:pict>
      </w:r>
    </w:p>
    <w:p>
      <w:pPr>
        <w:pStyle w:val="Heading3"/>
        <w:spacing w:line="240" w:lineRule="auto" w:before="36"/>
        <w:ind w:right="144"/>
        <w:jc w:val="left"/>
        <w:rPr>
          <w:b w:val="0"/>
          <w:bCs w:val="0"/>
        </w:rPr>
      </w:pPr>
      <w:r>
        <w:rPr>
          <w:rFonts w:ascii="Times New Roman" w:hAnsi="Times New Roman" w:cs="Times New Roman" w:eastAsia="Times New Roman" w:hint="default"/>
        </w:rPr>
        <w:t>48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65"/>
        <w:gridCol w:w="556"/>
        <w:gridCol w:w="1544"/>
        <w:gridCol w:w="2093"/>
      </w:tblGrid>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0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31" w:right="0"/>
              <w:jc w:val="left"/>
              <w:rPr>
                <w:rFonts w:ascii="Times New Roman" w:hAnsi="Times New Roman" w:cs="Times New Roman" w:eastAsia="Times New Roman" w:hint="default"/>
                <w:sz w:val="18"/>
                <w:szCs w:val="18"/>
              </w:rPr>
            </w:pPr>
            <w:r>
              <w:rPr>
                <w:rFonts w:ascii="Times New Roman"/>
                <w:sz w:val="18"/>
              </w:rPr>
              <w:t>124,053,846.73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178,809,583.01</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0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11" w:right="0"/>
              <w:jc w:val="left"/>
              <w:rPr>
                <w:rFonts w:ascii="Times New Roman" w:hAnsi="Times New Roman" w:cs="Times New Roman" w:eastAsia="Times New Roman" w:hint="default"/>
                <w:sz w:val="18"/>
                <w:szCs w:val="18"/>
              </w:rPr>
            </w:pPr>
            <w:r>
              <w:rPr>
                <w:rFonts w:ascii="Times New Roman"/>
                <w:sz w:val="18"/>
              </w:rPr>
              <w:t>4,026,381.25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5,569,220.25</w:t>
            </w:r>
          </w:p>
        </w:tc>
      </w:tr>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10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22" w:right="0"/>
              <w:jc w:val="left"/>
              <w:rPr>
                <w:rFonts w:ascii="Times New Roman" w:hAnsi="Times New Roman" w:cs="Times New Roman" w:eastAsia="Times New Roman" w:hint="default"/>
                <w:sz w:val="18"/>
                <w:szCs w:val="18"/>
              </w:rPr>
            </w:pPr>
            <w:r>
              <w:rPr>
                <w:rFonts w:ascii="Times New Roman"/>
                <w:sz w:val="18"/>
              </w:rPr>
              <w:t>69,951,848.45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63,284,450.91</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0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11" w:right="0"/>
              <w:jc w:val="left"/>
              <w:rPr>
                <w:rFonts w:ascii="Times New Roman" w:hAnsi="Times New Roman" w:cs="Times New Roman" w:eastAsia="Times New Roman" w:hint="default"/>
                <w:sz w:val="18"/>
                <w:szCs w:val="18"/>
              </w:rPr>
            </w:pPr>
            <w:r>
              <w:rPr>
                <w:rFonts w:ascii="Times New Roman"/>
                <w:sz w:val="18"/>
              </w:rPr>
              <w:t>1,760,631.15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666,936.32</w:t>
            </w:r>
          </w:p>
        </w:tc>
      </w:tr>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0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45" w:right="0"/>
              <w:jc w:val="left"/>
              <w:rPr>
                <w:rFonts w:ascii="Times New Roman" w:hAnsi="Times New Roman" w:cs="Times New Roman" w:eastAsia="Times New Roman" w:hint="default"/>
                <w:sz w:val="18"/>
                <w:szCs w:val="18"/>
              </w:rPr>
            </w:pPr>
            <w:r>
              <w:rPr>
                <w:rFonts w:ascii="Times New Roman"/>
                <w:sz w:val="18"/>
              </w:rPr>
              <w:t>814,765.40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977,116.44</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处置固定资产、无形资产和其他长期资产的损失（收益以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w:t>
            </w:r>
          </w:p>
        </w:tc>
        <w:tc>
          <w:tcPr>
            <w:tcW w:w="556" w:type="dxa"/>
            <w:tcBorders>
              <w:top w:val="single" w:sz="4" w:space="0" w:color="000000"/>
              <w:left w:val="single" w:sz="13" w:space="0" w:color="D2D2D2"/>
              <w:bottom w:val="single" w:sz="4" w:space="0" w:color="000000"/>
              <w:right w:val="nil" w:sz="6" w:space="0" w:color="auto"/>
            </w:tcBorders>
          </w:tcPr>
          <w:p>
            <w:pPr/>
          </w:p>
        </w:tc>
        <w:tc>
          <w:tcPr>
            <w:tcW w:w="15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482" w:right="0"/>
              <w:jc w:val="left"/>
              <w:rPr>
                <w:rFonts w:ascii="Times New Roman" w:hAnsi="Times New Roman" w:cs="Times New Roman" w:eastAsia="Times New Roman" w:hint="default"/>
                <w:sz w:val="18"/>
                <w:szCs w:val="18"/>
              </w:rPr>
            </w:pPr>
            <w:r>
              <w:rPr>
                <w:rFonts w:ascii="Times New Roman"/>
                <w:sz w:val="18"/>
              </w:rPr>
              <w:t>23,212,975.57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2,297,013.86</w:t>
            </w:r>
          </w:p>
        </w:tc>
      </w:tr>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0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68" w:right="0"/>
              <w:jc w:val="left"/>
              <w:rPr>
                <w:rFonts w:ascii="Times New Roman" w:hAnsi="Times New Roman" w:cs="Times New Roman" w:eastAsia="Times New Roman" w:hint="default"/>
                <w:sz w:val="18"/>
                <w:szCs w:val="18"/>
              </w:rPr>
            </w:pPr>
            <w:r>
              <w:rPr>
                <w:rFonts w:ascii="Times New Roman"/>
                <w:sz w:val="18"/>
              </w:rPr>
              <w:t>-1,147.60</w:t>
            </w: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0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11" w:right="0"/>
              <w:jc w:val="left"/>
              <w:rPr>
                <w:rFonts w:ascii="Times New Roman" w:hAnsi="Times New Roman" w:cs="Times New Roman" w:eastAsia="Times New Roman" w:hint="default"/>
                <w:sz w:val="18"/>
                <w:szCs w:val="18"/>
              </w:rPr>
            </w:pPr>
            <w:r>
              <w:rPr>
                <w:rFonts w:ascii="Times New Roman"/>
                <w:sz w:val="18"/>
              </w:rPr>
              <w:t>4,954,924.40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7,292,340.45</w:t>
            </w:r>
          </w:p>
        </w:tc>
      </w:tr>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0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51" w:right="0"/>
              <w:jc w:val="left"/>
              <w:rPr>
                <w:rFonts w:ascii="Times New Roman" w:hAnsi="Times New Roman" w:cs="Times New Roman" w:eastAsia="Times New Roman" w:hint="default"/>
                <w:sz w:val="18"/>
                <w:szCs w:val="18"/>
              </w:rPr>
            </w:pPr>
            <w:r>
              <w:rPr>
                <w:rFonts w:ascii="Times New Roman"/>
                <w:sz w:val="18"/>
              </w:rPr>
              <w:t>-9,146,699.18</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-4,007,724.57</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0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85" w:right="0"/>
              <w:jc w:val="left"/>
              <w:rPr>
                <w:rFonts w:ascii="Times New Roman" w:hAnsi="Times New Roman" w:cs="Times New Roman" w:eastAsia="Times New Roman" w:hint="default"/>
                <w:sz w:val="18"/>
                <w:szCs w:val="18"/>
              </w:rPr>
            </w:pPr>
            <w:r>
              <w:rPr>
                <w:rFonts w:ascii="Times New Roman"/>
                <w:sz w:val="18"/>
              </w:rPr>
              <w:t>-522,798.96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-3,558,452.58</w:t>
            </w:r>
          </w:p>
        </w:tc>
      </w:tr>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0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62" w:right="0"/>
              <w:jc w:val="left"/>
              <w:rPr>
                <w:rFonts w:ascii="Times New Roman" w:hAnsi="Times New Roman" w:cs="Times New Roman" w:eastAsia="Times New Roman" w:hint="default"/>
                <w:sz w:val="18"/>
                <w:szCs w:val="18"/>
              </w:rPr>
            </w:pPr>
            <w:r>
              <w:rPr>
                <w:rFonts w:ascii="Times New Roman"/>
                <w:sz w:val="18"/>
              </w:rPr>
              <w:t>-18,619,106.91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-9,289,854.52</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0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62" w:right="0"/>
              <w:jc w:val="left"/>
              <w:rPr>
                <w:rFonts w:ascii="Times New Roman" w:hAnsi="Times New Roman" w:cs="Times New Roman" w:eastAsia="Times New Roman" w:hint="default"/>
                <w:sz w:val="18"/>
                <w:szCs w:val="18"/>
              </w:rPr>
            </w:pPr>
            <w:r>
              <w:rPr>
                <w:rFonts w:ascii="Times New Roman"/>
                <w:sz w:val="18"/>
              </w:rPr>
              <w:t>-89,509,509.82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-110,618,953.89</w:t>
            </w:r>
          </w:p>
        </w:tc>
      </w:tr>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0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31" w:right="0"/>
              <w:jc w:val="left"/>
              <w:rPr>
                <w:rFonts w:ascii="Times New Roman" w:hAnsi="Times New Roman" w:cs="Times New Roman" w:eastAsia="Times New Roman" w:hint="default"/>
                <w:sz w:val="18"/>
                <w:szCs w:val="18"/>
              </w:rPr>
            </w:pPr>
            <w:r>
              <w:rPr>
                <w:rFonts w:ascii="Times New Roman"/>
                <w:sz w:val="18"/>
              </w:rPr>
              <w:t>150,789,202.31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-68,749,585.81</w:t>
            </w:r>
          </w:p>
        </w:tc>
      </w:tr>
      <w:tr>
        <w:trPr>
          <w:trHeight w:val="404"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0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62" w:right="0"/>
              <w:jc w:val="left"/>
              <w:rPr>
                <w:rFonts w:ascii="Times New Roman" w:hAnsi="Times New Roman" w:cs="Times New Roman" w:eastAsia="Times New Roman" w:hint="default"/>
                <w:sz w:val="18"/>
                <w:szCs w:val="18"/>
              </w:rPr>
            </w:pPr>
            <w:r>
              <w:rPr>
                <w:rFonts w:ascii="Times New Roman"/>
                <w:sz w:val="18"/>
              </w:rPr>
              <w:t>-32,747,265.23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-12,185,759.07</w:t>
            </w:r>
          </w:p>
        </w:tc>
      </w:tr>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0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31" w:right="0"/>
              <w:jc w:val="left"/>
              <w:rPr>
                <w:rFonts w:ascii="Times New Roman" w:hAnsi="Times New Roman" w:cs="Times New Roman" w:eastAsia="Times New Roman" w:hint="default"/>
                <w:sz w:val="18"/>
                <w:szCs w:val="18"/>
              </w:rPr>
            </w:pPr>
            <w:r>
              <w:rPr>
                <w:rFonts w:ascii="Times New Roman"/>
                <w:sz w:val="18"/>
              </w:rPr>
              <w:t>229,018,047.56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50,486,330.80</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10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31" w:right="0"/>
              <w:jc w:val="left"/>
              <w:rPr>
                <w:rFonts w:ascii="Times New Roman" w:hAnsi="Times New Roman" w:cs="Times New Roman" w:eastAsia="Times New Roman" w:hint="default"/>
                <w:sz w:val="18"/>
                <w:szCs w:val="18"/>
              </w:rPr>
            </w:pPr>
            <w:r>
              <w:rPr>
                <w:rFonts w:ascii="Times New Roman"/>
                <w:sz w:val="18"/>
              </w:rPr>
              <w:t>281,938,465.16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170,868,135.82</w:t>
            </w:r>
          </w:p>
        </w:tc>
      </w:tr>
      <w:tr>
        <w:trPr>
          <w:trHeight w:val="40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10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31" w:right="0"/>
              <w:jc w:val="left"/>
              <w:rPr>
                <w:rFonts w:ascii="Times New Roman" w:hAnsi="Times New Roman" w:cs="Times New Roman" w:eastAsia="Times New Roman" w:hint="default"/>
                <w:sz w:val="18"/>
                <w:szCs w:val="18"/>
              </w:rPr>
            </w:pPr>
            <w:r>
              <w:rPr>
                <w:rFonts w:ascii="Times New Roman"/>
                <w:sz w:val="18"/>
              </w:rPr>
              <w:t>170,868,135.82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224,913,575.61</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0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45" w:right="0"/>
              <w:jc w:val="left"/>
              <w:rPr>
                <w:rFonts w:ascii="Times New Roman" w:hAnsi="Times New Roman" w:cs="Times New Roman" w:eastAsia="Times New Roman" w:hint="default"/>
                <w:sz w:val="18"/>
                <w:szCs w:val="18"/>
              </w:rPr>
            </w:pPr>
            <w:r>
              <w:rPr>
                <w:rFonts w:ascii="Times New Roman"/>
                <w:sz w:val="18"/>
              </w:rPr>
              <w:t>111,070,329.34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-54,045,439.79</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8"/>
      </w:tblGrid>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281,938,465.16</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170,868,135.82</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144,471.36</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223,551.20</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270,556,002.11</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163,087,649.49</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11,237,991.69</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7,556,935.13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387"/>
        <w:gridCol w:w="2525"/>
        <w:gridCol w:w="2658"/>
      </w:tblGrid>
      <w:tr>
        <w:trPr>
          <w:trHeight w:val="403"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6" w:right="0"/>
              <w:jc w:val="left"/>
              <w:rPr>
                <w:rFonts w:ascii="Times New Roman" w:hAnsi="Times New Roman" w:cs="Times New Roman" w:eastAsia="Times New Roman" w:hint="default"/>
                <w:sz w:val="18"/>
                <w:szCs w:val="18"/>
              </w:rPr>
            </w:pPr>
            <w:r>
              <w:rPr>
                <w:rFonts w:ascii="Times New Roman"/>
                <w:sz w:val="18"/>
              </w:rPr>
              <w:t>281,938,465.16</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0" w:right="0"/>
              <w:jc w:val="left"/>
              <w:rPr>
                <w:rFonts w:ascii="Times New Roman" w:hAnsi="Times New Roman" w:cs="Times New Roman" w:eastAsia="Times New Roman" w:hint="default"/>
                <w:sz w:val="18"/>
                <w:szCs w:val="18"/>
              </w:rPr>
            </w:pPr>
            <w:r>
              <w:rPr>
                <w:rFonts w:ascii="Times New Roman"/>
                <w:sz w:val="18"/>
              </w:rPr>
              <w:t>170,868,135.82</w:t>
            </w:r>
          </w:p>
        </w:tc>
      </w:tr>
    </w:tbl>
    <w:p>
      <w:pPr>
        <w:spacing w:line="240" w:lineRule="auto" w:before="1"/>
        <w:rPr>
          <w:rFonts w:ascii="宋体" w:hAnsi="宋体" w:cs="宋体" w:eastAsia="宋体" w:hint="default"/>
          <w:sz w:val="18"/>
          <w:szCs w:val="18"/>
        </w:rPr>
      </w:pPr>
    </w:p>
    <w:p>
      <w:pPr>
        <w:pStyle w:val="Heading2"/>
        <w:spacing w:line="240" w:lineRule="auto" w:before="26"/>
        <w:ind w:right="144"/>
        <w:jc w:val="left"/>
        <w:rPr>
          <w:b w:val="0"/>
          <w:bCs w:val="0"/>
        </w:rPr>
      </w:pPr>
      <w:r>
        <w:rPr/>
        <w:t>八、关联方及关联交易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4"/>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07"/>
        <w:gridCol w:w="569"/>
        <w:gridCol w:w="566"/>
        <w:gridCol w:w="709"/>
        <w:gridCol w:w="710"/>
        <w:gridCol w:w="566"/>
        <w:gridCol w:w="566"/>
        <w:gridCol w:w="1419"/>
        <w:gridCol w:w="1559"/>
        <w:gridCol w:w="992"/>
        <w:gridCol w:w="1200"/>
      </w:tblGrid>
      <w:tr>
        <w:trPr>
          <w:trHeight w:val="709"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69" w:right="77" w:hanging="92"/>
              <w:jc w:val="left"/>
              <w:rPr>
                <w:rFonts w:ascii="宋体" w:hAnsi="宋体" w:cs="宋体" w:eastAsia="宋体" w:hint="default"/>
                <w:sz w:val="18"/>
                <w:szCs w:val="18"/>
              </w:rPr>
            </w:pPr>
            <w:r>
              <w:rPr>
                <w:rFonts w:ascii="宋体" w:hAnsi="宋体" w:cs="宋体" w:eastAsia="宋体" w:hint="default"/>
                <w:sz w:val="18"/>
                <w:szCs w:val="18"/>
              </w:rPr>
              <w:t>母公司 名称</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0" w:right="96"/>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8" w:right="96"/>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70" w:right="79" w:hanging="92"/>
              <w:jc w:val="left"/>
              <w:rPr>
                <w:rFonts w:ascii="宋体" w:hAnsi="宋体" w:cs="宋体" w:eastAsia="宋体" w:hint="default"/>
                <w:sz w:val="18"/>
                <w:szCs w:val="18"/>
              </w:rPr>
            </w:pPr>
            <w:r>
              <w:rPr>
                <w:rFonts w:ascii="宋体" w:hAnsi="宋体" w:cs="宋体" w:eastAsia="宋体" w:hint="default"/>
                <w:sz w:val="18"/>
                <w:szCs w:val="18"/>
              </w:rPr>
              <w:t>法定代 表人</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8" w:right="96"/>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8" w:right="96"/>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9" w:right="7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母公司对本企业 的持股比例</w:t>
            </w:r>
            <w:r>
              <w:rPr>
                <w:rFonts w:ascii="Times New Roman" w:hAnsi="Times New Roman" w:cs="Times New Roman" w:eastAsia="Times New Roman" w:hint="default"/>
                <w:sz w:val="18"/>
                <w:szCs w:val="18"/>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89" w:right="52"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母公司对本企业的 表决权比例</w:t>
            </w: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19" w:right="41" w:hanging="180"/>
              <w:jc w:val="left"/>
              <w:rPr>
                <w:rFonts w:ascii="宋体" w:hAnsi="宋体" w:cs="宋体" w:eastAsia="宋体" w:hint="default"/>
                <w:sz w:val="18"/>
                <w:szCs w:val="18"/>
              </w:rPr>
            </w:pPr>
            <w:r>
              <w:rPr>
                <w:rFonts w:ascii="宋体" w:hAnsi="宋体" w:cs="宋体" w:eastAsia="宋体" w:hint="default"/>
                <w:sz w:val="18"/>
                <w:szCs w:val="18"/>
              </w:rPr>
              <w:t>本企业最终 控制方</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8" w:hRule="exact"/>
        </w:trPr>
        <w:tc>
          <w:tcPr>
            <w:tcW w:w="70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709"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710"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566"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566"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13" w:space="0" w:color="CCE8CC"/>
            </w:tcBorders>
          </w:tcPr>
          <w:p>
            <w:pPr/>
          </w:p>
        </w:tc>
        <w:tc>
          <w:tcPr>
            <w:tcW w:w="992"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CCE8CC"/>
          </w:tcPr>
          <w:p>
            <w:pPr/>
          </w:p>
        </w:tc>
      </w:tr>
    </w:tbl>
    <w:p>
      <w:pPr>
        <w:pStyle w:val="BodyText"/>
        <w:spacing w:line="357" w:lineRule="auto" w:before="49"/>
        <w:ind w:left="513" w:right="5078" w:hanging="361"/>
        <w:jc w:val="left"/>
      </w:pPr>
      <w:r>
        <w:rPr/>
        <w:t>本企业的母公司情况的说明 公司实际控制人为杨文江先生，其持股比例为</w:t>
      </w:r>
      <w:r>
        <w:rPr>
          <w:rFonts w:ascii="Times New Roman" w:hAnsi="Times New Roman" w:cs="Times New Roman" w:eastAsia="Times New Roman" w:hint="default"/>
        </w:rPr>
        <w:t>43.15%</w:t>
      </w:r>
      <w:r>
        <w:rPr/>
        <w:t>。</w:t>
      </w:r>
    </w:p>
    <w:p>
      <w:pPr>
        <w:spacing w:line="240" w:lineRule="auto" w:before="10"/>
        <w:rPr>
          <w:rFonts w:ascii="宋体" w:hAnsi="宋体" w:cs="宋体" w:eastAsia="宋体" w:hint="default"/>
          <w:sz w:val="18"/>
          <w:szCs w:val="18"/>
        </w:rPr>
      </w:pPr>
    </w:p>
    <w:p>
      <w:pPr>
        <w:pStyle w:val="Heading3"/>
        <w:spacing w:line="240" w:lineRule="auto"/>
        <w:ind w:right="144"/>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992"/>
        <w:gridCol w:w="849"/>
        <w:gridCol w:w="854"/>
        <w:gridCol w:w="989"/>
        <w:gridCol w:w="1277"/>
        <w:gridCol w:w="991"/>
        <w:gridCol w:w="711"/>
        <w:gridCol w:w="816"/>
        <w:gridCol w:w="958"/>
      </w:tblGrid>
      <w:tr>
        <w:trPr>
          <w:trHeight w:val="710"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5" w:right="79"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9" w:right="41"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 例</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2"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30" w:hRule="exact"/>
        </w:trPr>
        <w:tc>
          <w:tcPr>
            <w:tcW w:w="11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22" w:right="201"/>
              <w:jc w:val="left"/>
              <w:rPr>
                <w:rFonts w:ascii="宋体" w:hAnsi="宋体" w:cs="宋体" w:eastAsia="宋体" w:hint="default"/>
                <w:sz w:val="18"/>
                <w:szCs w:val="18"/>
              </w:rPr>
            </w:pPr>
            <w:r>
              <w:rPr>
                <w:rFonts w:ascii="宋体" w:hAnsi="宋体" w:cs="宋体" w:eastAsia="宋体" w:hint="default"/>
                <w:sz w:val="18"/>
                <w:szCs w:val="18"/>
              </w:rPr>
              <w:t>广州御新软 件有限公司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3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22" w:right="94"/>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5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9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杨文江</w:t>
            </w:r>
          </w:p>
        </w:tc>
        <w:tc>
          <w:tcPr>
            <w:tcW w:w="12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3"/>
              <w:ind w:left="93" w:right="91"/>
              <w:jc w:val="both"/>
              <w:rPr>
                <w:rFonts w:ascii="宋体" w:hAnsi="宋体" w:cs="宋体" w:eastAsia="宋体" w:hint="default"/>
                <w:sz w:val="18"/>
                <w:szCs w:val="18"/>
              </w:rPr>
            </w:pPr>
            <w:r>
              <w:rPr>
                <w:rFonts w:ascii="宋体" w:hAnsi="宋体" w:cs="宋体" w:eastAsia="宋体" w:hint="default"/>
                <w:sz w:val="18"/>
                <w:szCs w:val="18"/>
              </w:rPr>
              <w:t>自动柜员机及 点钞机设备的 研发、销售</w:t>
            </w:r>
          </w:p>
        </w:tc>
        <w:tc>
          <w:tcPr>
            <w:tcW w:w="9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78377100-3</w:t>
            </w:r>
          </w:p>
        </w:tc>
      </w:tr>
      <w:tr>
        <w:trPr>
          <w:trHeight w:val="1340" w:hRule="exact"/>
        </w:trPr>
        <w:tc>
          <w:tcPr>
            <w:tcW w:w="11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 w:right="201"/>
              <w:jc w:val="both"/>
              <w:rPr>
                <w:rFonts w:ascii="宋体" w:hAnsi="宋体" w:cs="宋体" w:eastAsia="宋体" w:hint="default"/>
                <w:sz w:val="18"/>
                <w:szCs w:val="18"/>
              </w:rPr>
            </w:pPr>
            <w:r>
              <w:rPr>
                <w:rFonts w:ascii="宋体" w:hAnsi="宋体" w:cs="宋体" w:eastAsia="宋体" w:hint="default"/>
                <w:sz w:val="18"/>
                <w:szCs w:val="18"/>
              </w:rPr>
              <w:t>广州御银自 动柜员机技 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2" w:right="94"/>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5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9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庞泰松</w:t>
            </w:r>
          </w:p>
        </w:tc>
        <w:tc>
          <w:tcPr>
            <w:tcW w:w="12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9" w:lineRule="auto" w:before="49"/>
              <w:ind w:left="23" w:right="-17" w:hanging="41"/>
              <w:jc w:val="center"/>
              <w:rPr>
                <w:rFonts w:ascii="宋体" w:hAnsi="宋体" w:cs="宋体" w:eastAsia="宋体" w:hint="default"/>
                <w:sz w:val="18"/>
                <w:szCs w:val="18"/>
              </w:rPr>
            </w:pPr>
            <w:r>
              <w:rPr>
                <w:rFonts w:ascii="宋体" w:hAnsi="宋体" w:cs="宋体" w:eastAsia="宋体" w:hint="default"/>
                <w:spacing w:val="-6"/>
                <w:sz w:val="18"/>
                <w:szCs w:val="18"/>
              </w:rPr>
              <w:t>电子产品、金融</w:t>
            </w:r>
            <w:r>
              <w:rPr>
                <w:rFonts w:ascii="宋体" w:hAnsi="宋体" w:cs="宋体" w:eastAsia="宋体" w:hint="default"/>
                <w:sz w:val="18"/>
                <w:szCs w:val="18"/>
              </w:rPr>
              <w:t> </w:t>
            </w:r>
            <w:r>
              <w:rPr>
                <w:rFonts w:ascii="宋体" w:hAnsi="宋体" w:cs="宋体" w:eastAsia="宋体" w:hint="default"/>
                <w:spacing w:val="-6"/>
                <w:sz w:val="18"/>
                <w:szCs w:val="18"/>
              </w:rPr>
              <w:t>机具设备、自动</w:t>
            </w:r>
            <w:r>
              <w:rPr>
                <w:rFonts w:ascii="宋体" w:hAnsi="宋体" w:cs="宋体" w:eastAsia="宋体" w:hint="default"/>
                <w:sz w:val="18"/>
                <w:szCs w:val="18"/>
              </w:rPr>
              <w:t> 柜员机的研究、 开发、销售</w:t>
            </w:r>
          </w:p>
        </w:tc>
        <w:tc>
          <w:tcPr>
            <w:tcW w:w="9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79102112-2</w:t>
            </w:r>
          </w:p>
        </w:tc>
      </w:tr>
      <w:tr>
        <w:trPr>
          <w:trHeight w:val="1337" w:hRule="exact"/>
        </w:trPr>
        <w:tc>
          <w:tcPr>
            <w:tcW w:w="11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01"/>
              <w:jc w:val="both"/>
              <w:rPr>
                <w:rFonts w:ascii="宋体" w:hAnsi="宋体" w:cs="宋体" w:eastAsia="宋体" w:hint="default"/>
                <w:sz w:val="18"/>
                <w:szCs w:val="18"/>
              </w:rPr>
            </w:pPr>
            <w:r>
              <w:rPr>
                <w:rFonts w:ascii="宋体" w:hAnsi="宋体" w:cs="宋体" w:eastAsia="宋体" w:hint="default"/>
                <w:sz w:val="18"/>
                <w:szCs w:val="18"/>
              </w:rPr>
              <w:t>广州御银金 融服务有限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2" w:right="94"/>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5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9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杨文江</w:t>
            </w:r>
          </w:p>
        </w:tc>
        <w:tc>
          <w:tcPr>
            <w:tcW w:w="12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对柜员机进行 </w:t>
            </w:r>
            <w:r>
              <w:rPr>
                <w:rFonts w:ascii="宋体" w:hAnsi="宋体" w:cs="宋体" w:eastAsia="宋体" w:hint="default"/>
                <w:spacing w:val="-6"/>
                <w:sz w:val="18"/>
                <w:szCs w:val="18"/>
              </w:rPr>
              <w:t>维护及管理，对</w:t>
            </w:r>
            <w:r>
              <w:rPr>
                <w:rFonts w:ascii="宋体" w:hAnsi="宋体" w:cs="宋体" w:eastAsia="宋体" w:hint="default"/>
                <w:sz w:val="18"/>
                <w:szCs w:val="18"/>
              </w:rPr>
              <w:t> 现金及有价证 券清分处理</w:t>
            </w:r>
          </w:p>
        </w:tc>
        <w:tc>
          <w:tcPr>
            <w:tcW w:w="9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69517938-4</w:t>
            </w:r>
          </w:p>
        </w:tc>
      </w:tr>
      <w:tr>
        <w:trPr>
          <w:trHeight w:val="1027" w:hRule="exact"/>
        </w:trPr>
        <w:tc>
          <w:tcPr>
            <w:tcW w:w="11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z w:val="18"/>
                <w:szCs w:val="18"/>
              </w:rPr>
              <w:t>御银（中国） 科技国际有 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94"/>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5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3" w:right="59" w:hanging="269"/>
              <w:jc w:val="left"/>
              <w:rPr>
                <w:rFonts w:ascii="宋体" w:hAnsi="宋体" w:cs="宋体" w:eastAsia="宋体" w:hint="default"/>
                <w:sz w:val="18"/>
                <w:szCs w:val="18"/>
              </w:rPr>
            </w:pPr>
            <w:r>
              <w:rPr>
                <w:rFonts w:ascii="宋体" w:hAnsi="宋体" w:cs="宋体" w:eastAsia="宋体" w:hint="default"/>
                <w:sz w:val="18"/>
                <w:szCs w:val="18"/>
              </w:rPr>
              <w:t>维尔京群 岛</w:t>
            </w:r>
          </w:p>
        </w:tc>
        <w:tc>
          <w:tcPr>
            <w:tcW w:w="9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李世宁</w:t>
            </w:r>
          </w:p>
        </w:tc>
        <w:tc>
          <w:tcPr>
            <w:tcW w:w="12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贸易</w:t>
            </w:r>
          </w:p>
        </w:tc>
        <w:tc>
          <w:tcPr>
            <w:tcW w:w="9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美</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1539888</w:t>
            </w:r>
          </w:p>
        </w:tc>
      </w:tr>
      <w:tr>
        <w:trPr>
          <w:trHeight w:val="713" w:hRule="exact"/>
        </w:trPr>
        <w:tc>
          <w:tcPr>
            <w:tcW w:w="11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4"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御银科技（香 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4" w:lineRule="auto" w:before="49"/>
              <w:ind w:left="22" w:right="94"/>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5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9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李世宁</w:t>
            </w:r>
          </w:p>
        </w:tc>
        <w:tc>
          <w:tcPr>
            <w:tcW w:w="12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贸易</w:t>
            </w:r>
          </w:p>
        </w:tc>
        <w:tc>
          <w:tcPr>
            <w:tcW w:w="9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港元</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1484613</w:t>
            </w:r>
          </w:p>
        </w:tc>
      </w:tr>
      <w:tr>
        <w:trPr>
          <w:trHeight w:val="1340" w:hRule="exact"/>
        </w:trPr>
        <w:tc>
          <w:tcPr>
            <w:tcW w:w="11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01"/>
              <w:jc w:val="both"/>
              <w:rPr>
                <w:rFonts w:ascii="宋体" w:hAnsi="宋体" w:cs="宋体" w:eastAsia="宋体" w:hint="default"/>
                <w:sz w:val="18"/>
                <w:szCs w:val="18"/>
              </w:rPr>
            </w:pPr>
            <w:r>
              <w:rPr>
                <w:rFonts w:ascii="宋体" w:hAnsi="宋体" w:cs="宋体" w:eastAsia="宋体" w:hint="default"/>
                <w:sz w:val="18"/>
                <w:szCs w:val="18"/>
              </w:rPr>
              <w:t>广州御银先 端电子科技 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94"/>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5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9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杨文江</w:t>
            </w:r>
          </w:p>
        </w:tc>
        <w:tc>
          <w:tcPr>
            <w:tcW w:w="12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6"/>
                <w:sz w:val="18"/>
                <w:szCs w:val="18"/>
              </w:rPr>
              <w:t>电子产品、通信</w:t>
            </w:r>
            <w:r>
              <w:rPr>
                <w:rFonts w:ascii="宋体" w:hAnsi="宋体" w:cs="宋体" w:eastAsia="宋体" w:hint="default"/>
                <w:sz w:val="18"/>
                <w:szCs w:val="18"/>
              </w:rPr>
              <w:t> 产品、电脑软 </w:t>
            </w:r>
            <w:r>
              <w:rPr>
                <w:rFonts w:ascii="宋体" w:hAnsi="宋体" w:cs="宋体" w:eastAsia="宋体" w:hint="default"/>
                <w:spacing w:val="-6"/>
                <w:sz w:val="18"/>
                <w:szCs w:val="18"/>
              </w:rPr>
              <w:t>件、机电设备的</w:t>
            </w:r>
            <w:r>
              <w:rPr>
                <w:rFonts w:ascii="宋体" w:hAnsi="宋体" w:cs="宋体" w:eastAsia="宋体" w:hint="default"/>
                <w:sz w:val="18"/>
                <w:szCs w:val="18"/>
              </w:rPr>
              <w:t> 研发</w:t>
            </w:r>
          </w:p>
        </w:tc>
        <w:tc>
          <w:tcPr>
            <w:tcW w:w="9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58761863-4</w:t>
            </w:r>
          </w:p>
        </w:tc>
      </w:tr>
      <w:tr>
        <w:trPr>
          <w:trHeight w:val="1025" w:hRule="exact"/>
        </w:trPr>
        <w:tc>
          <w:tcPr>
            <w:tcW w:w="11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68"/>
              <w:ind w:left="22" w:right="201"/>
              <w:jc w:val="both"/>
              <w:rPr>
                <w:rFonts w:ascii="宋体" w:hAnsi="宋体" w:cs="宋体" w:eastAsia="宋体" w:hint="default"/>
                <w:sz w:val="18"/>
                <w:szCs w:val="18"/>
              </w:rPr>
            </w:pPr>
            <w:r>
              <w:rPr>
                <w:rFonts w:ascii="宋体" w:hAnsi="宋体" w:cs="宋体" w:eastAsia="宋体" w:hint="default"/>
                <w:sz w:val="18"/>
                <w:szCs w:val="18"/>
              </w:rPr>
              <w:t>北京青年御 银科技有限 责任有限公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4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2" w:right="94"/>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5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9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苏芮祥</w:t>
            </w:r>
          </w:p>
        </w:tc>
        <w:tc>
          <w:tcPr>
            <w:tcW w:w="12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93" w:right="22" w:hanging="70"/>
              <w:jc w:val="left"/>
              <w:rPr>
                <w:rFonts w:ascii="宋体" w:hAnsi="宋体" w:cs="宋体" w:eastAsia="宋体" w:hint="default"/>
                <w:sz w:val="18"/>
                <w:szCs w:val="18"/>
              </w:rPr>
            </w:pPr>
            <w:r>
              <w:rPr>
                <w:rFonts w:ascii="宋体" w:hAnsi="宋体" w:cs="宋体" w:eastAsia="宋体" w:hint="default"/>
                <w:spacing w:val="-6"/>
                <w:sz w:val="18"/>
                <w:szCs w:val="18"/>
              </w:rPr>
              <w:t>技术开发、技术</w:t>
            </w:r>
            <w:r>
              <w:rPr>
                <w:rFonts w:ascii="宋体" w:hAnsi="宋体" w:cs="宋体" w:eastAsia="宋体" w:hint="default"/>
                <w:sz w:val="18"/>
                <w:szCs w:val="18"/>
              </w:rPr>
              <w:t> 转让、技术咨 询、技术服务</w:t>
            </w:r>
          </w:p>
        </w:tc>
        <w:tc>
          <w:tcPr>
            <w:tcW w:w="9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56212802-2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34"/>
        <w:gridCol w:w="992"/>
        <w:gridCol w:w="849"/>
        <w:gridCol w:w="854"/>
        <w:gridCol w:w="989"/>
        <w:gridCol w:w="1277"/>
        <w:gridCol w:w="991"/>
        <w:gridCol w:w="711"/>
        <w:gridCol w:w="816"/>
        <w:gridCol w:w="958"/>
      </w:tblGrid>
      <w:tr>
        <w:trPr>
          <w:trHeight w:val="362" w:hRule="exact"/>
        </w:trPr>
        <w:tc>
          <w:tcPr>
            <w:tcW w:w="11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92"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854"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989"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991"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1025" w:hRule="exact"/>
        </w:trPr>
        <w:tc>
          <w:tcPr>
            <w:tcW w:w="11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2" w:right="201"/>
              <w:jc w:val="both"/>
              <w:rPr>
                <w:rFonts w:ascii="宋体" w:hAnsi="宋体" w:cs="宋体" w:eastAsia="宋体" w:hint="default"/>
                <w:sz w:val="18"/>
                <w:szCs w:val="18"/>
              </w:rPr>
            </w:pPr>
            <w:r>
              <w:rPr>
                <w:rFonts w:ascii="宋体" w:hAnsi="宋体" w:cs="宋体" w:eastAsia="宋体" w:hint="default"/>
                <w:sz w:val="18"/>
                <w:szCs w:val="18"/>
              </w:rPr>
              <w:t>安徽御银电 子科技有限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4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94"/>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5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4"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98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0"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12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自动柜员机及 点钞机设备的 研发、销售</w:t>
            </w:r>
          </w:p>
        </w:tc>
        <w:tc>
          <w:tcPr>
            <w:tcW w:w="9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67588513-4</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rFonts w:ascii="Times New Roman" w:hAnsi="Times New Roman" w:cs="Times New Roman" w:eastAsia="Times New Roman" w:hint="default"/>
        </w:rPr>
        <w:t>3</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广州基准机械电子科技有限公司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本公司控股股东亲属控制的企业</w:t>
            </w:r>
          </w:p>
        </w:tc>
        <w:tc>
          <w:tcPr>
            <w:tcW w:w="318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66996551-7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广州昭耀投资服务部（有限合伙）</w:t>
            </w:r>
          </w:p>
        </w:tc>
        <w:tc>
          <w:tcPr>
            <w:tcW w:w="319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本公司控股股东占其出资额的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50%</w:t>
            </w:r>
          </w:p>
        </w:tc>
        <w:tc>
          <w:tcPr>
            <w:tcW w:w="3180"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319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公司控股股东及关键管理人员</w:t>
            </w:r>
          </w:p>
        </w:tc>
        <w:tc>
          <w:tcPr>
            <w:tcW w:w="3180"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吴宁</w:t>
            </w:r>
          </w:p>
        </w:tc>
        <w:tc>
          <w:tcPr>
            <w:tcW w:w="319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公司股东及关键管理人员</w:t>
            </w:r>
          </w:p>
        </w:tc>
        <w:tc>
          <w:tcPr>
            <w:tcW w:w="3180"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王志杰</w:t>
            </w:r>
          </w:p>
        </w:tc>
        <w:tc>
          <w:tcPr>
            <w:tcW w:w="319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3180"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319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3180"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谭骅</w:t>
            </w:r>
          </w:p>
        </w:tc>
        <w:tc>
          <w:tcPr>
            <w:tcW w:w="319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3180"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梁晓芹</w:t>
            </w:r>
          </w:p>
        </w:tc>
        <w:tc>
          <w:tcPr>
            <w:tcW w:w="319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3180"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319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3180"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庞泰松</w:t>
            </w:r>
          </w:p>
        </w:tc>
        <w:tc>
          <w:tcPr>
            <w:tcW w:w="319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3180"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徐德银</w:t>
            </w:r>
          </w:p>
        </w:tc>
        <w:tc>
          <w:tcPr>
            <w:tcW w:w="319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3180"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李克福</w:t>
            </w:r>
          </w:p>
        </w:tc>
        <w:tc>
          <w:tcPr>
            <w:tcW w:w="319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3180" w:type="dxa"/>
            <w:tcBorders>
              <w:top w:val="single" w:sz="4" w:space="0" w:color="000000"/>
              <w:left w:val="single" w:sz="4" w:space="0" w:color="000000"/>
              <w:bottom w:val="single" w:sz="4" w:space="0" w:color="000000"/>
              <w:right w:val="single" w:sz="4" w:space="0" w:color="000000"/>
            </w:tcBorders>
            <w:shd w:val="clear" w:color="auto" w:fill="CCE8CC"/>
          </w:tcPr>
          <w:p>
            <w:pPr/>
          </w:p>
        </w:tc>
      </w:tr>
    </w:tbl>
    <w:p>
      <w:pPr>
        <w:pStyle w:val="BodyText"/>
        <w:spacing w:line="357" w:lineRule="auto" w:before="49"/>
        <w:ind w:left="513" w:right="1043" w:hanging="361"/>
        <w:jc w:val="left"/>
      </w:pPr>
      <w:r>
        <w:rPr/>
        <w:t>本企业的其他关联方情况的说明 王志杰于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日正式辞去公司董事、副总经理、财务总监职务，由陈国军接任公司财务总监职务。</w:t>
      </w:r>
    </w:p>
    <w:p>
      <w:pPr>
        <w:spacing w:line="240" w:lineRule="auto" w:before="9"/>
        <w:rPr>
          <w:rFonts w:ascii="宋体" w:hAnsi="宋体" w:cs="宋体" w:eastAsia="宋体" w:hint="default"/>
          <w:sz w:val="18"/>
          <w:szCs w:val="18"/>
        </w:rPr>
      </w:pPr>
    </w:p>
    <w:p>
      <w:pPr>
        <w:pStyle w:val="Heading3"/>
        <w:spacing w:line="240" w:lineRule="auto"/>
        <w:ind w:right="144"/>
        <w:jc w:val="left"/>
        <w:rPr>
          <w:b w:val="0"/>
          <w:bCs w:val="0"/>
        </w:rPr>
      </w:pPr>
      <w:r>
        <w:rPr>
          <w:rFonts w:ascii="Times New Roman" w:hAnsi="Times New Roman" w:cs="Times New Roman" w:eastAsia="Times New Roman" w:hint="default"/>
        </w:rPr>
        <w:t>4</w:t>
      </w:r>
      <w:r>
        <w:rPr/>
        <w:t>、关联方交易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left="0" w:right="168"/>
        <w:jc w:val="right"/>
      </w:pPr>
      <w:r>
        <w:rPr/>
        <w:pict>
          <v:shape style="position:absolute;margin-left:56.459999pt;margin-top:-36.368320pt;width:479.1pt;height:91.9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8"/>
                    <w:gridCol w:w="1417"/>
                    <w:gridCol w:w="1702"/>
                    <w:gridCol w:w="1277"/>
                    <w:gridCol w:w="1364"/>
                    <w:gridCol w:w="1188"/>
                    <w:gridCol w:w="1203"/>
                  </w:tblGrid>
                  <w:tr>
                    <w:trPr>
                      <w:trHeight w:val="401"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484" w:right="35" w:hanging="449"/>
                          <w:jc w:val="left"/>
                          <w:rPr>
                            <w:rFonts w:ascii="宋体" w:hAnsi="宋体" w:cs="宋体" w:eastAsia="宋体" w:hint="default"/>
                            <w:sz w:val="18"/>
                            <w:szCs w:val="18"/>
                          </w:rPr>
                        </w:pPr>
                        <w:r>
                          <w:rPr>
                            <w:rFonts w:ascii="宋体" w:hAnsi="宋体" w:cs="宋体" w:eastAsia="宋体" w:hint="default"/>
                            <w:sz w:val="18"/>
                            <w:szCs w:val="18"/>
                          </w:rPr>
                          <w:t>关联交易定价方式及 决策程序</w:t>
                        </w:r>
                      </w:p>
                    </w:tc>
                    <w:tc>
                      <w:tcPr>
                        <w:tcW w:w="26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0"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1" w:right="44" w:hanging="104"/>
                          <w:jc w:val="left"/>
                          <w:rPr>
                            <w:rFonts w:ascii="宋体" w:hAnsi="宋体" w:cs="宋体" w:eastAsia="宋体" w:hint="default"/>
                            <w:sz w:val="18"/>
                            <w:szCs w:val="18"/>
                          </w:rPr>
                        </w:pPr>
                        <w:r>
                          <w:rPr>
                            <w:rFonts w:ascii="宋体" w:hAnsi="宋体" w:cs="宋体" w:eastAsia="宋体" w:hint="default"/>
                            <w:sz w:val="18"/>
                            <w:szCs w:val="18"/>
                          </w:rPr>
                          <w:t>占同类交易金额 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3" w:firstLine="33"/>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占同类交易金 额的比例（</w:t>
                        </w:r>
                        <w:r>
                          <w:rPr>
                            <w:rFonts w:ascii="Times New Roman" w:hAnsi="Times New Roman" w:cs="Times New Roman" w:eastAsia="Times New Roman" w:hint="default"/>
                            <w:sz w:val="18"/>
                            <w:szCs w:val="18"/>
                          </w:rPr>
                          <w:t>%</w:t>
                        </w:r>
                      </w:p>
                    </w:tc>
                  </w:tr>
                  <w:tr>
                    <w:trPr>
                      <w:trHeight w:val="718" w:hRule="exact"/>
                    </w:trPr>
                    <w:tc>
                      <w:tcPr>
                        <w:tcW w:w="141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9" w:lineRule="auto" w:before="53"/>
                          <w:ind w:left="22" w:right="123"/>
                          <w:jc w:val="left"/>
                          <w:rPr>
                            <w:rFonts w:ascii="宋体" w:hAnsi="宋体" w:cs="宋体" w:eastAsia="宋体" w:hint="default"/>
                            <w:sz w:val="18"/>
                            <w:szCs w:val="18"/>
                          </w:rPr>
                        </w:pPr>
                        <w:r>
                          <w:rPr>
                            <w:rFonts w:ascii="宋体" w:hAnsi="宋体" w:cs="宋体" w:eastAsia="宋体" w:hint="default"/>
                            <w:sz w:val="18"/>
                            <w:szCs w:val="18"/>
                          </w:rPr>
                          <w:t>广州基准机械电 子科技有限公司</w:t>
                        </w:r>
                      </w:p>
                    </w:tc>
                    <w:tc>
                      <w:tcPr>
                        <w:tcW w:w="141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00" w:lineRule="auto" w:before="53"/>
                          <w:ind w:left="23" w:right="56"/>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电子柜加工 采购</w:t>
                        </w:r>
                      </w:p>
                    </w:tc>
                    <w:tc>
                      <w:tcPr>
                        <w:tcW w:w="170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依市场公允价格定价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21,057,423.20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77" w:right="0"/>
                          <w:jc w:val="left"/>
                          <w:rPr>
                            <w:rFonts w:ascii="Times New Roman" w:hAnsi="Times New Roman" w:cs="Times New Roman" w:eastAsia="Times New Roman" w:hint="default"/>
                            <w:sz w:val="18"/>
                            <w:szCs w:val="18"/>
                          </w:rPr>
                        </w:pPr>
                        <w:r>
                          <w:rPr>
                            <w:rFonts w:ascii="Times New Roman"/>
                            <w:sz w:val="18"/>
                          </w:rPr>
                          <w:t>31.15%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24,752,966.62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32.15%</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3"/>
        <w:spacing w:line="240" w:lineRule="auto" w:before="36"/>
        <w:ind w:right="144"/>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2517"/>
        <w:gridCol w:w="1276"/>
        <w:gridCol w:w="1558"/>
        <w:gridCol w:w="1561"/>
        <w:gridCol w:w="1061"/>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2"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2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6" w:right="0"/>
              <w:jc w:val="left"/>
              <w:rPr>
                <w:rFonts w:ascii="宋体" w:hAnsi="宋体" w:cs="宋体" w:eastAsia="宋体" w:hint="default"/>
                <w:sz w:val="18"/>
                <w:szCs w:val="18"/>
              </w:rPr>
            </w:pPr>
            <w:r>
              <w:rPr>
                <w:rFonts w:ascii="宋体" w:hAnsi="宋体" w:cs="宋体" w:eastAsia="宋体" w:hint="default"/>
                <w:sz w:val="18"/>
                <w:szCs w:val="18"/>
              </w:rPr>
              <w:t>担保是否已</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2516"/>
        <w:gridCol w:w="1277"/>
        <w:gridCol w:w="1558"/>
        <w:gridCol w:w="1561"/>
        <w:gridCol w:w="1061"/>
      </w:tblGrid>
      <w:tr>
        <w:trPr>
          <w:trHeight w:val="358"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经履行完毕</w:t>
            </w:r>
          </w:p>
        </w:tc>
      </w:tr>
      <w:tr>
        <w:trPr>
          <w:trHeight w:val="406"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251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4" w:right="0"/>
              <w:jc w:val="center"/>
              <w:rPr>
                <w:rFonts w:ascii="Times New Roman" w:hAnsi="Times New Roman" w:cs="Times New Roman" w:eastAsia="Times New Roman" w:hint="default"/>
                <w:sz w:val="18"/>
                <w:szCs w:val="18"/>
              </w:rPr>
            </w:pPr>
            <w:r>
              <w:rPr>
                <w:rFonts w:ascii="Times New Roman"/>
                <w:sz w:val="18"/>
              </w:rPr>
              <w:t>60,000,000.00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251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100,000,000.00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251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120,000,000.00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251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20,000,000.00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251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100,000,000.00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251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4" w:right="140"/>
              <w:jc w:val="left"/>
              <w:rPr>
                <w:rFonts w:ascii="宋体" w:hAnsi="宋体" w:cs="宋体" w:eastAsia="宋体" w:hint="default"/>
                <w:sz w:val="18"/>
                <w:szCs w:val="18"/>
              </w:rPr>
            </w:pPr>
            <w:r>
              <w:rPr>
                <w:rFonts w:ascii="宋体" w:hAnsi="宋体" w:cs="宋体" w:eastAsia="宋体" w:hint="default"/>
                <w:sz w:val="18"/>
                <w:szCs w:val="18"/>
              </w:rPr>
              <w:t>广州御银自动柜员机技术有限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85,000,000.00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广州御银自动柜员 机技术有限公司</w:t>
            </w:r>
          </w:p>
        </w:tc>
        <w:tc>
          <w:tcPr>
            <w:tcW w:w="251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60,000,000.00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9"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广州御银自动柜员 机技术有限公司</w:t>
            </w:r>
          </w:p>
        </w:tc>
        <w:tc>
          <w:tcPr>
            <w:tcW w:w="251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20,000,000.00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广州御银自动柜员 机技术有限公司</w:t>
            </w:r>
          </w:p>
        </w:tc>
        <w:tc>
          <w:tcPr>
            <w:tcW w:w="251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75,000,000.00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广州御银科技股份 有限公司</w:t>
            </w:r>
          </w:p>
        </w:tc>
        <w:tc>
          <w:tcPr>
            <w:tcW w:w="251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御银科技（香港）有限公司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19,862,180.00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广州御银科技股份 有限公司</w:t>
            </w:r>
          </w:p>
        </w:tc>
        <w:tc>
          <w:tcPr>
            <w:tcW w:w="251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4" w:right="140"/>
              <w:jc w:val="left"/>
              <w:rPr>
                <w:rFonts w:ascii="宋体" w:hAnsi="宋体" w:cs="宋体" w:eastAsia="宋体" w:hint="default"/>
                <w:sz w:val="18"/>
                <w:szCs w:val="18"/>
              </w:rPr>
            </w:pPr>
            <w:r>
              <w:rPr>
                <w:rFonts w:ascii="宋体" w:hAnsi="宋体" w:cs="宋体" w:eastAsia="宋体" w:hint="default"/>
                <w:sz w:val="18"/>
                <w:szCs w:val="18"/>
              </w:rPr>
              <w:t>广州御银自动柜员机技术有限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85,000,000.00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t>（</w:t>
      </w:r>
      <w:r>
        <w:rPr>
          <w:rFonts w:ascii="Times New Roman" w:hAnsi="Times New Roman" w:cs="Times New Roman" w:eastAsia="Times New Roman" w:hint="default"/>
        </w:rPr>
        <w:t>3</w:t>
      </w:r>
      <w:r>
        <w:rPr/>
        <w:t>）其他关联交易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44"/>
        <w:jc w:val="left"/>
      </w:pPr>
      <w:r>
        <w:rPr/>
        <w:t>关键管理人员薪酬（万元）</w:t>
      </w:r>
    </w:p>
    <w:p>
      <w:pPr>
        <w:spacing w:line="240" w:lineRule="auto" w:before="3"/>
        <w:rPr>
          <w:rFonts w:ascii="宋体" w:hAnsi="宋体" w:cs="宋体" w:eastAsia="宋体" w:hint="default"/>
          <w:sz w:val="5"/>
          <w:szCs w:val="5"/>
        </w:rPr>
      </w:pPr>
    </w:p>
    <w:tbl>
      <w:tblPr>
        <w:tblW w:w="0" w:type="auto"/>
        <w:jc w:val="left"/>
        <w:tblInd w:w="722" w:type="dxa"/>
        <w:tblLayout w:type="fixed"/>
        <w:tblCellMar>
          <w:top w:w="0" w:type="dxa"/>
          <w:left w:w="0" w:type="dxa"/>
          <w:bottom w:w="0" w:type="dxa"/>
          <w:right w:w="0" w:type="dxa"/>
        </w:tblCellMar>
        <w:tblLook w:val="01E0"/>
      </w:tblPr>
      <w:tblGrid>
        <w:gridCol w:w="4345"/>
        <w:gridCol w:w="1718"/>
        <w:gridCol w:w="1721"/>
      </w:tblGrid>
      <w:tr>
        <w:trPr>
          <w:trHeight w:val="348" w:hRule="exact"/>
        </w:trPr>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0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0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6" w:hRule="exact"/>
        </w:trPr>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45.85</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42.55</w:t>
            </w:r>
          </w:p>
        </w:tc>
      </w:tr>
      <w:tr>
        <w:trPr>
          <w:trHeight w:val="348" w:hRule="exact"/>
        </w:trPr>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吴宁</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48.07</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49.25</w:t>
            </w:r>
          </w:p>
        </w:tc>
      </w:tr>
      <w:tr>
        <w:trPr>
          <w:trHeight w:val="346" w:hRule="exact"/>
        </w:trPr>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王志杰</w:t>
            </w:r>
            <w:r>
              <w:rPr>
                <w:rFonts w:ascii="Times New Roman" w:hAnsi="Times New Roman" w:cs="Times New Roman" w:eastAsia="Times New Roman" w:hint="default"/>
                <w:sz w:val="18"/>
                <w:szCs w:val="18"/>
              </w:rPr>
              <w:t>*</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58.87</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39.47</w:t>
            </w:r>
          </w:p>
        </w:tc>
      </w:tr>
      <w:tr>
        <w:trPr>
          <w:trHeight w:val="348" w:hRule="exact"/>
        </w:trPr>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石本仁</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6.00</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6.00</w:t>
            </w:r>
          </w:p>
        </w:tc>
      </w:tr>
      <w:tr>
        <w:trPr>
          <w:trHeight w:val="348" w:hRule="exact"/>
        </w:trPr>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张华</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6.00</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6.00</w:t>
            </w:r>
          </w:p>
        </w:tc>
      </w:tr>
      <w:tr>
        <w:trPr>
          <w:trHeight w:val="346" w:hRule="exact"/>
        </w:trPr>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徐印州</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0.34</w:t>
            </w:r>
          </w:p>
        </w:tc>
        <w:tc>
          <w:tcPr>
            <w:tcW w:w="172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梁晓芹</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19.44</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17.3</w:t>
            </w:r>
          </w:p>
        </w:tc>
      </w:tr>
      <w:tr>
        <w:trPr>
          <w:trHeight w:val="346" w:hRule="exact"/>
        </w:trPr>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龚穗娟</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1.20</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1.20</w:t>
            </w:r>
          </w:p>
        </w:tc>
      </w:tr>
      <w:tr>
        <w:trPr>
          <w:trHeight w:val="348" w:hRule="exact"/>
        </w:trPr>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张成虎</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9.40</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7.24</w:t>
            </w:r>
          </w:p>
        </w:tc>
      </w:tr>
      <w:tr>
        <w:trPr>
          <w:trHeight w:val="346" w:hRule="exact"/>
        </w:trPr>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谭骅</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34.44</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13.08</w:t>
            </w:r>
          </w:p>
        </w:tc>
      </w:tr>
      <w:tr>
        <w:trPr>
          <w:trHeight w:val="348" w:hRule="exact"/>
        </w:trPr>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庞泰松</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30.4</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17.27</w:t>
            </w:r>
          </w:p>
        </w:tc>
      </w:tr>
      <w:tr>
        <w:trPr>
          <w:trHeight w:val="348" w:hRule="exact"/>
        </w:trPr>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35.53</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32.24</w:t>
            </w:r>
          </w:p>
        </w:tc>
      </w:tr>
      <w:tr>
        <w:trPr>
          <w:trHeight w:val="346" w:hRule="exact"/>
        </w:trPr>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徐德银</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42.92</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36.39</w:t>
            </w:r>
          </w:p>
        </w:tc>
      </w:tr>
      <w:tr>
        <w:trPr>
          <w:trHeight w:val="348" w:hRule="exact"/>
        </w:trPr>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郑蕾</w:t>
            </w:r>
            <w:r>
              <w:rPr>
                <w:rFonts w:ascii="Times New Roman" w:hAnsi="Times New Roman" w:cs="Times New Roman" w:eastAsia="Times New Roman" w:hint="default"/>
                <w:sz w:val="18"/>
                <w:szCs w:val="18"/>
              </w:rPr>
              <w:t>*</w:t>
            </w:r>
          </w:p>
        </w:tc>
        <w:tc>
          <w:tcPr>
            <w:tcW w:w="1718"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24.91</w:t>
            </w:r>
          </w:p>
        </w:tc>
      </w:tr>
      <w:tr>
        <w:trPr>
          <w:trHeight w:val="346" w:hRule="exact"/>
        </w:trPr>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25.07</w:t>
            </w:r>
          </w:p>
        </w:tc>
        <w:tc>
          <w:tcPr>
            <w:tcW w:w="172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李克福</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20.99</w:t>
            </w:r>
          </w:p>
        </w:tc>
        <w:tc>
          <w:tcPr>
            <w:tcW w:w="172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513" w:right="144"/>
        <w:jc w:val="left"/>
      </w:pPr>
      <w:r>
        <w:rPr>
          <w:rFonts w:ascii="Times New Roman" w:hAnsi="Times New Roman" w:cs="Times New Roman" w:eastAsia="Times New Roman" w:hint="default"/>
        </w:rPr>
        <w:t>*</w:t>
      </w:r>
      <w:r>
        <w:rPr/>
        <w:t>王志杰于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日正式辞去公司董事、副总经理、财务总监职务，由陈国军接任公司财务总监职务。</w:t>
      </w:r>
    </w:p>
    <w:p>
      <w:pPr>
        <w:pStyle w:val="BodyText"/>
        <w:spacing w:line="240" w:lineRule="auto" w:before="63"/>
        <w:ind w:left="513" w:right="144"/>
        <w:jc w:val="left"/>
      </w:pPr>
      <w:r>
        <w:rPr>
          <w:rFonts w:ascii="Times New Roman" w:hAnsi="Times New Roman" w:cs="Times New Roman" w:eastAsia="Times New Roman" w:hint="default"/>
        </w:rPr>
        <w:t>*</w:t>
      </w:r>
      <w:r>
        <w:rPr/>
        <w:t>郑蕾女士于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日正式辞去公司副总经理、董事会秘书职务。</w:t>
      </w:r>
    </w:p>
    <w:p>
      <w:pPr>
        <w:spacing w:line="240" w:lineRule="auto" w:before="2"/>
        <w:rPr>
          <w:rFonts w:ascii="宋体" w:hAnsi="宋体" w:cs="宋体" w:eastAsia="宋体" w:hint="default"/>
          <w:sz w:val="26"/>
          <w:szCs w:val="26"/>
        </w:rPr>
      </w:pPr>
    </w:p>
    <w:p>
      <w:pPr>
        <w:pStyle w:val="Heading3"/>
        <w:spacing w:line="240" w:lineRule="auto"/>
        <w:ind w:right="144"/>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44"/>
        <w:jc w:val="left"/>
      </w:pPr>
      <w:r>
        <w:rPr/>
        <w:t>上市公司应收关联方款项</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2579"/>
        <w:gridCol w:w="1473"/>
        <w:gridCol w:w="1462"/>
        <w:gridCol w:w="1460"/>
        <w:gridCol w:w="1460"/>
      </w:tblGrid>
      <w:tr>
        <w:trPr>
          <w:trHeight w:val="402"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5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2579" w:type="dxa"/>
            <w:vMerge/>
            <w:tcBorders>
              <w:left w:val="single" w:sz="4" w:space="0" w:color="000000"/>
              <w:bottom w:val="single" w:sz="4" w:space="0" w:color="000000"/>
              <w:right w:val="single" w:sz="4" w:space="0" w:color="000000"/>
            </w:tcBorders>
            <w:shd w:val="clear" w:color="auto" w:fill="D2D2D2"/>
          </w:tcPr>
          <w:p>
            <w:pP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5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广州基准机械电子科技有限公司</w:t>
            </w:r>
          </w:p>
        </w:tc>
        <w:tc>
          <w:tcPr>
            <w:tcW w:w="1473" w:type="dxa"/>
            <w:tcBorders>
              <w:top w:val="single" w:sz="4" w:space="0" w:color="000000"/>
              <w:left w:val="single" w:sz="9" w:space="0" w:color="CCE8CC"/>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9,273,662.14</w:t>
            </w: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梁晓芹</w:t>
            </w:r>
          </w:p>
        </w:tc>
        <w:tc>
          <w:tcPr>
            <w:tcW w:w="1473" w:type="dxa"/>
            <w:tcBorders>
              <w:top w:val="single" w:sz="4" w:space="0" w:color="000000"/>
              <w:left w:val="single" w:sz="9" w:space="0" w:color="CCE8CC"/>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6,000.00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张成虎</w:t>
            </w:r>
          </w:p>
        </w:tc>
        <w:tc>
          <w:tcPr>
            <w:tcW w:w="1473" w:type="dxa"/>
            <w:tcBorders>
              <w:top w:val="single" w:sz="4" w:space="0" w:color="000000"/>
              <w:left w:val="single" w:sz="9" w:space="0" w:color="CCE8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25,246.00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1,262.30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65,196.15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3,259.81</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1473" w:type="dxa"/>
            <w:tcBorders>
              <w:top w:val="single" w:sz="4" w:space="0" w:color="000000"/>
              <w:left w:val="single" w:sz="9" w:space="0" w:color="CCE8CC"/>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789,038.13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39,451.91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231,288.28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w w:val="95"/>
                <w:sz w:val="18"/>
              </w:rPr>
              <w:t>11,564.41</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庞泰松</w:t>
            </w:r>
          </w:p>
        </w:tc>
        <w:tc>
          <w:tcPr>
            <w:tcW w:w="1473" w:type="dxa"/>
            <w:tcBorders>
              <w:top w:val="single" w:sz="4" w:space="0" w:color="000000"/>
              <w:left w:val="single" w:sz="9" w:space="0" w:color="CCE8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41,482.30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2,074.12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224,490.24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11,224.51</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徐德银</w:t>
            </w:r>
          </w:p>
        </w:tc>
        <w:tc>
          <w:tcPr>
            <w:tcW w:w="1473" w:type="dxa"/>
            <w:tcBorders>
              <w:top w:val="single" w:sz="4" w:space="0" w:color="000000"/>
              <w:left w:val="single" w:sz="9" w:space="0" w:color="CCE8CC"/>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49,663.99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2,483.20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139,663.99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6,983.20</w:t>
            </w: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79"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1473" w:type="dxa"/>
            <w:tcBorders>
              <w:top w:val="single" w:sz="4" w:space="0" w:color="000000"/>
              <w:left w:val="single" w:sz="9" w:space="0" w:color="CCE8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2,040.00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44"/>
        <w:jc w:val="left"/>
      </w:pPr>
      <w:r>
        <w:rPr/>
        <w:t>上市公司应付关联方款项</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4"/>
        <w:gridCol w:w="3210"/>
        <w:gridCol w:w="2259"/>
        <w:gridCol w:w="2259"/>
      </w:tblGrid>
      <w:tr>
        <w:trPr>
          <w:trHeight w:val="396"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8" w:hRule="exact"/>
        </w:trPr>
        <w:tc>
          <w:tcPr>
            <w:tcW w:w="184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321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广州基准机械电子科技有限公司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81" w:right="0"/>
              <w:jc w:val="left"/>
              <w:rPr>
                <w:rFonts w:ascii="Times New Roman" w:hAnsi="Times New Roman" w:cs="Times New Roman" w:eastAsia="Times New Roman" w:hint="default"/>
                <w:sz w:val="18"/>
                <w:szCs w:val="18"/>
              </w:rPr>
            </w:pPr>
            <w:r>
              <w:rPr>
                <w:rFonts w:ascii="Times New Roman"/>
                <w:sz w:val="18"/>
              </w:rPr>
              <w:t>3,537,352.21</w:t>
            </w:r>
          </w:p>
        </w:tc>
        <w:tc>
          <w:tcPr>
            <w:tcW w:w="22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44"/>
        <w:jc w:val="left"/>
        <w:rPr>
          <w:b w:val="0"/>
          <w:bCs w:val="0"/>
        </w:rPr>
      </w:pPr>
      <w:r>
        <w:rPr/>
        <w:t>九、股份支付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4"/>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93"/>
        <w:gridCol w:w="5577"/>
      </w:tblGrid>
      <w:tr>
        <w:trPr>
          <w:trHeight w:val="40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5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110,500.00</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5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5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0"/>
              <w:jc w:val="left"/>
              <w:rPr>
                <w:rFonts w:ascii="宋体" w:hAnsi="宋体" w:cs="宋体" w:eastAsia="宋体" w:hint="default"/>
                <w:sz w:val="18"/>
                <w:szCs w:val="18"/>
              </w:rPr>
            </w:pPr>
            <w:r>
              <w:rPr>
                <w:rFonts w:ascii="宋体" w:hAnsi="宋体" w:cs="宋体" w:eastAsia="宋体" w:hint="default"/>
                <w:sz w:val="18"/>
                <w:szCs w:val="18"/>
              </w:rPr>
              <w:t>公司期末发行在外的股份期权行权价格的范围和 合同剩余期限</w:t>
            </w:r>
          </w:p>
        </w:tc>
        <w:tc>
          <w:tcPr>
            <w:tcW w:w="55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首期股票期权行权价格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6.94 </w:t>
            </w:r>
            <w:r>
              <w:rPr>
                <w:rFonts w:ascii="宋体" w:hAnsi="宋体" w:cs="宋体" w:eastAsia="宋体" w:hint="default"/>
                <w:sz w:val="18"/>
                <w:szCs w:val="18"/>
              </w:rPr>
              <w:t>元，剩余期限为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年；预留股票期权行权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元，剩余期限为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pacing w:val="-3"/>
                <w:sz w:val="18"/>
                <w:szCs w:val="18"/>
              </w:rPr>
              <w:t>年。</w:t>
            </w:r>
            <w:r>
              <w:rPr>
                <w:rFonts w:ascii="宋体" w:hAnsi="宋体" w:cs="宋体" w:eastAsia="宋体" w:hint="default"/>
                <w:sz w:val="18"/>
                <w:szCs w:val="18"/>
              </w:rPr>
            </w:r>
          </w:p>
        </w:tc>
      </w:tr>
      <w:tr>
        <w:trPr>
          <w:trHeight w:val="715"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80"/>
              <w:jc w:val="left"/>
              <w:rPr>
                <w:rFonts w:ascii="宋体" w:hAnsi="宋体" w:cs="宋体" w:eastAsia="宋体" w:hint="default"/>
                <w:sz w:val="18"/>
                <w:szCs w:val="18"/>
              </w:rPr>
            </w:pPr>
            <w:r>
              <w:rPr>
                <w:rFonts w:ascii="宋体" w:hAnsi="宋体" w:cs="宋体" w:eastAsia="宋体" w:hint="default"/>
                <w:sz w:val="18"/>
                <w:szCs w:val="18"/>
              </w:rPr>
              <w:t>公司期末其他权益工具行权价格的范围和合同剩 余期限</w:t>
            </w:r>
          </w:p>
        </w:tc>
        <w:tc>
          <w:tcPr>
            <w:tcW w:w="5577"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44"/>
        <w:jc w:val="left"/>
      </w:pPr>
      <w:r>
        <w:rPr/>
        <w:t>股份支付情况的说明</w:t>
      </w:r>
    </w:p>
    <w:p>
      <w:pPr>
        <w:pStyle w:val="BodyText"/>
        <w:spacing w:line="304" w:lineRule="auto" w:before="115"/>
        <w:ind w:right="146" w:firstLine="360"/>
        <w:jc w:val="left"/>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w:t>
      </w:r>
      <w:r>
        <w:rPr>
          <w:spacing w:val="-2"/>
        </w:rPr>
        <w:t>日，御银股份第三届董事会第十五次会议审议通过了《关于〈股票期权激励计划（草案）〉及其摘要</w:t>
      </w:r>
      <w:r>
        <w:rPr/>
        <w:t> </w:t>
      </w:r>
      <w:r>
        <w:rPr>
          <w:spacing w:val="-2"/>
        </w:rPr>
        <w:t>的议案》、《关于〈股票期权激励计划实施考核管理办法〉的议案》、《关于提请股东大会授权董事会办理股票期权激励相</w:t>
      </w:r>
      <w:r>
        <w:rPr>
          <w:spacing w:val="-68"/>
        </w:rPr>
        <w:t> </w:t>
      </w:r>
      <w:r>
        <w:rPr>
          <w:spacing w:val="-68"/>
        </w:rPr>
      </w:r>
      <w:r>
        <w:rPr>
          <w:spacing w:val="-2"/>
        </w:rPr>
        <w:t>关事宜》等议案。御银股份独立董事对本次激励计划（草案）发表了独立意见。</w:t>
      </w:r>
      <w:r>
        <w:rPr/>
        <w:t> </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w:t>
      </w:r>
      <w:r>
        <w:rPr>
          <w:spacing w:val="-1"/>
        </w:rPr>
        <w:t>日，御银股份第三届监事会第</w:t>
      </w:r>
      <w:r>
        <w:rPr>
          <w:spacing w:val="-87"/>
        </w:rPr>
        <w:t> </w:t>
      </w:r>
      <w:r>
        <w:rPr>
          <w:spacing w:val="-87"/>
        </w:rPr>
      </w:r>
      <w:r>
        <w:rPr/>
        <w:t>九次会议审议通过了《关于〈股票期权激励计划（草案）〉及其摘要的议案》、《关于</w:t>
      </w:r>
      <w:r>
        <w:rPr>
          <w:rFonts w:ascii="Times New Roman" w:hAnsi="Times New Roman" w:cs="Times New Roman" w:eastAsia="Times New Roman" w:hint="default"/>
        </w:rPr>
        <w:t>&lt;</w:t>
      </w:r>
      <w:r>
        <w:rPr/>
        <w:t>股票期权激励计划实施考核办法</w:t>
      </w:r>
      <w:r>
        <w:rPr>
          <w:rFonts w:ascii="Times New Roman" w:hAnsi="Times New Roman" w:cs="Times New Roman" w:eastAsia="Times New Roman" w:hint="default"/>
        </w:rPr>
        <w:t>&gt; </w:t>
      </w:r>
      <w:r>
        <w:rPr/>
        <w:t>的议案》和《关于核实公司股票期权激励计划的激励对象名单的议案》等议案。</w:t>
      </w:r>
    </w:p>
    <w:p>
      <w:pPr>
        <w:spacing w:after="0" w:line="304"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513" w:right="185"/>
        <w:jc w:val="left"/>
      </w:pPr>
      <w:r>
        <w:rPr/>
        <w:t>上述会议之后，御银股份将有关激励计划的申请材料上报中国证监会备案。</w:t>
      </w:r>
    </w:p>
    <w:p>
      <w:pPr>
        <w:pStyle w:val="BodyText"/>
        <w:spacing w:line="300" w:lineRule="auto" w:before="77"/>
        <w:ind w:right="199" w:firstLine="360"/>
        <w:jc w:val="both"/>
      </w:pPr>
      <w:r>
        <w:rPr/>
        <w:t>（</w:t>
      </w:r>
      <w:r>
        <w:rPr>
          <w:rFonts w:ascii="Times New Roman" w:hAnsi="Times New Roman" w:cs="Times New Roman" w:eastAsia="Times New Roman" w:hint="default"/>
        </w:rPr>
        <w:t>2</w:t>
      </w:r>
      <w:r>
        <w:rPr/>
        <w:t>）根据中国证券监督管理委员会沟通反馈意见，御银股份对《股票期权激励计划（草案）》进行了修订、补充和完 善，形成了《股票期权激励计划（草案）修订稿》，并获中国证监会审核无异议，予以备案。</w:t>
      </w:r>
    </w:p>
    <w:p>
      <w:pPr>
        <w:pStyle w:val="BodyText"/>
        <w:spacing w:line="240" w:lineRule="auto" w:before="31"/>
        <w:ind w:left="513" w:right="0"/>
        <w:jc w:val="left"/>
      </w:pPr>
      <w:r>
        <w:rPr>
          <w:rFonts w:ascii="Times New Roman" w:hAnsi="Times New Roman" w:cs="Times New Roman" w:eastAsia="Times New Roman" w:hint="default"/>
          <w:spacing w:val="-5"/>
        </w:rPr>
        <w:t>2011</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30</w:t>
      </w:r>
      <w:r>
        <w:rPr>
          <w:spacing w:val="-5"/>
        </w:rPr>
        <w:t>日，御银股份第三届董事会第二十次会议审议通过了《关于〈股票期权激励计划（草案）修订稿〉的议案》、</w:t>
      </w:r>
    </w:p>
    <w:p>
      <w:pPr>
        <w:pStyle w:val="BodyText"/>
        <w:spacing w:line="300" w:lineRule="auto" w:before="63"/>
        <w:ind w:right="251"/>
        <w:jc w:val="left"/>
      </w:pPr>
      <w:r>
        <w:rPr/>
        <w:t>《关于修订</w:t>
      </w:r>
      <w:r>
        <w:rPr>
          <w:rFonts w:ascii="Times New Roman" w:hAnsi="Times New Roman" w:cs="Times New Roman" w:eastAsia="Times New Roman" w:hint="default"/>
        </w:rPr>
        <w:t>&lt;</w:t>
      </w:r>
      <w:r>
        <w:rPr/>
        <w:t>股票期权激励计划实施考核办法</w:t>
      </w:r>
      <w:r>
        <w:rPr>
          <w:rFonts w:ascii="Times New Roman" w:hAnsi="Times New Roman" w:cs="Times New Roman" w:eastAsia="Times New Roman" w:hint="default"/>
        </w:rPr>
        <w:t>&gt;</w:t>
      </w:r>
      <w:r>
        <w:rPr/>
        <w:t>的议案》等议案。御银股份独立董事对本次股权激励计划（草案）修订稿发 表了独立意见。</w:t>
      </w:r>
    </w:p>
    <w:p>
      <w:pPr>
        <w:pStyle w:val="BodyText"/>
        <w:spacing w:line="240" w:lineRule="auto" w:before="31"/>
        <w:ind w:left="513" w:right="0"/>
        <w:jc w:val="left"/>
      </w:pPr>
      <w:r>
        <w:rPr>
          <w:rFonts w:ascii="Times New Roman" w:hAnsi="Times New Roman" w:cs="Times New Roman" w:eastAsia="Times New Roman" w:hint="default"/>
          <w:spacing w:val="-5"/>
        </w:rPr>
        <w:t>2011</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30</w:t>
      </w:r>
      <w:r>
        <w:rPr>
          <w:spacing w:val="-5"/>
        </w:rPr>
        <w:t>日，御银股份第三届监事会第十二次会议审议通过了《关于〈股票期权激励计划（草案）修订稿〉的议案》、</w:t>
      </w:r>
    </w:p>
    <w:p>
      <w:pPr>
        <w:pStyle w:val="BodyText"/>
        <w:spacing w:line="240" w:lineRule="auto" w:before="63"/>
        <w:ind w:right="185"/>
        <w:jc w:val="left"/>
      </w:pPr>
      <w:r>
        <w:rPr/>
        <w:t>《关于核实公司股票期权激励计划（修订稿）激励对象名单的议案》议案。</w:t>
      </w:r>
    </w:p>
    <w:p>
      <w:pPr>
        <w:pStyle w:val="BodyText"/>
        <w:spacing w:line="309" w:lineRule="auto" w:before="76"/>
        <w:ind w:right="188" w:firstLine="360"/>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日，御银股份以现场投票、网络投票与委托独立董事投票相结合的方式召开了</w:t>
      </w:r>
      <w:r>
        <w:rPr>
          <w:rFonts w:ascii="Times New Roman" w:hAnsi="Times New Roman" w:cs="Times New Roman" w:eastAsia="Times New Roman" w:hint="default"/>
          <w:spacing w:val="-2"/>
        </w:rPr>
        <w:t>2011</w:t>
      </w:r>
      <w:r>
        <w:rPr>
          <w:spacing w:val="-2"/>
        </w:rPr>
        <w:t>年第三次临时股东</w:t>
      </w:r>
      <w:r>
        <w:rPr/>
        <w:t> </w:t>
      </w:r>
      <w:r>
        <w:rPr>
          <w:spacing w:val="-2"/>
        </w:rPr>
        <w:t>大会，会议以特别决议审议通过了《关于〈御银股份股票期权激励计划（草案）修订稿〉的议案》，同时审议通过了《关于</w:t>
      </w:r>
      <w:r>
        <w:rPr>
          <w:spacing w:val="-68"/>
        </w:rPr>
        <w:t> </w:t>
      </w:r>
      <w:r>
        <w:rPr>
          <w:spacing w:val="-68"/>
        </w:rPr>
      </w:r>
      <w:r>
        <w:rPr/>
        <w:t>提请股东大会授权董事会办理股票期权激励相关事宜》。</w:t>
      </w:r>
    </w:p>
    <w:p>
      <w:pPr>
        <w:pStyle w:val="BodyText"/>
        <w:spacing w:line="300" w:lineRule="auto" w:before="24"/>
        <w:ind w:right="192" w:firstLine="360"/>
        <w:jc w:val="both"/>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日，御银股份第三届董事会第二十一次会议审议通过了《关于确定公司股票期权激励计划首次授权日</w:t>
      </w:r>
      <w:r>
        <w:rPr/>
        <w:t> 的议案》，确定本次激励计划的股票期权授权日为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日；独立董事对授予股票期权的授权日发表了独立意见，同 意本次股权激励的授权日为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日，并同意向符合授权条件的</w:t>
      </w:r>
      <w:r>
        <w:rPr>
          <w:rFonts w:ascii="Times New Roman" w:hAnsi="Times New Roman" w:cs="Times New Roman" w:eastAsia="Times New Roman" w:hint="default"/>
        </w:rPr>
        <w:t>29</w:t>
      </w:r>
      <w:r>
        <w:rPr/>
        <w:t>名激励对象授予</w:t>
      </w:r>
      <w:r>
        <w:rPr>
          <w:rFonts w:ascii="Times New Roman" w:hAnsi="Times New Roman" w:cs="Times New Roman" w:eastAsia="Times New Roman" w:hint="default"/>
        </w:rPr>
        <w:t>292.50</w:t>
      </w:r>
      <w:r>
        <w:rPr/>
        <w:t>万份股票期权。</w:t>
      </w:r>
    </w:p>
    <w:p>
      <w:pPr>
        <w:pStyle w:val="BodyText"/>
        <w:spacing w:line="240" w:lineRule="auto" w:before="13"/>
        <w:ind w:left="513" w:right="185"/>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日，御银股份第三届监事会第十三次会议审议通过了《关于核实公司股权激励激励对象名单的议案》。</w:t>
      </w:r>
    </w:p>
    <w:p>
      <w:pPr>
        <w:pStyle w:val="BodyText"/>
        <w:spacing w:line="300" w:lineRule="auto" w:before="63"/>
        <w:ind w:right="94" w:firstLine="360"/>
        <w:jc w:val="left"/>
      </w:pPr>
      <w:r>
        <w:rPr>
          <w:spacing w:val="-2"/>
        </w:rPr>
        <w:t>（</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14</w:t>
      </w:r>
      <w:r>
        <w:rPr>
          <w:spacing w:val="-2"/>
        </w:rPr>
        <w:t>日，御银股份第三届董事会第三十三次会议审议通过了《关于调整首期股票期权激励计划未行权股票</w:t>
      </w:r>
      <w:r>
        <w:rPr/>
        <w:t> 期权数量和行权价格的议案》，经本次调整后，首次授予股票期权数量为</w:t>
      </w:r>
      <w:r>
        <w:rPr>
          <w:rFonts w:ascii="Times New Roman" w:hAnsi="Times New Roman" w:cs="Times New Roman" w:eastAsia="Times New Roman" w:hint="default"/>
        </w:rPr>
        <w:t>430.95</w:t>
      </w:r>
      <w:r>
        <w:rPr/>
        <w:t>万份，预留部分股票期权数量为</w:t>
      </w:r>
      <w:r>
        <w:rPr>
          <w:rFonts w:ascii="Times New Roman" w:hAnsi="Times New Roman" w:cs="Times New Roman" w:eastAsia="Times New Roman" w:hint="default"/>
        </w:rPr>
        <w:t>44.20</w:t>
      </w:r>
      <w:r>
        <w:rPr/>
        <w:t>万份。 首次授予的股票期权的行权价为</w:t>
      </w:r>
      <w:r>
        <w:rPr>
          <w:rFonts w:ascii="Times New Roman" w:hAnsi="Times New Roman" w:cs="Times New Roman" w:eastAsia="Times New Roman" w:hint="default"/>
        </w:rPr>
        <w:t>6.94</w:t>
      </w:r>
      <w:r>
        <w:rPr/>
        <w:t>元；独立董事对授予股票期权的授权日发表了独立意见，董事会对股票期权激励计划所 涉股票期权数量和行权价格进行调整。</w:t>
      </w:r>
    </w:p>
    <w:p>
      <w:pPr>
        <w:pStyle w:val="BodyText"/>
        <w:spacing w:line="309" w:lineRule="auto" w:before="31"/>
        <w:ind w:right="193"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日，御银股份第三届监事会第十九次会议审议通过了《关于调整首期股票期权激励计划未行权股票期权数 </w:t>
      </w:r>
      <w:r>
        <w:rPr>
          <w:spacing w:val="-2"/>
        </w:rPr>
        <w:t>量和行权价格的议案》及《关于核实公司股票期权激励计划激励对象名单的议案》，同意按相关规定调整期权数量及行权价</w:t>
      </w:r>
      <w:r>
        <w:rPr>
          <w:spacing w:val="-66"/>
        </w:rPr>
        <w:t> </w:t>
      </w:r>
      <w:r>
        <w:rPr>
          <w:spacing w:val="-66"/>
        </w:rPr>
      </w:r>
      <w:r>
        <w:rPr/>
        <w:t>格，并核实股票期权激励计划激励对象名单。</w:t>
      </w:r>
    </w:p>
    <w:p>
      <w:pPr>
        <w:pStyle w:val="BodyText"/>
        <w:spacing w:line="300" w:lineRule="auto" w:before="24"/>
        <w:ind w:right="192" w:firstLine="360"/>
        <w:jc w:val="both"/>
      </w:pPr>
      <w:r>
        <w:rPr>
          <w:spacing w:val="-2"/>
        </w:rPr>
        <w:t>（</w:t>
      </w: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日，御银股份第四届董事会第一次会议审议通过了《关于公司首期股票期权激励计划预留期权授予相</w:t>
      </w:r>
      <w:r>
        <w:rPr/>
        <w:t> 关事项的议案》，同意将股权激励计划预留的</w:t>
      </w:r>
      <w:r>
        <w:rPr>
          <w:rFonts w:ascii="Times New Roman" w:hAnsi="Times New Roman" w:cs="Times New Roman" w:eastAsia="Times New Roman" w:hint="default"/>
        </w:rPr>
        <w:t>11.05</w:t>
      </w:r>
      <w:r>
        <w:rPr/>
        <w:t>万份股票期权授予公司</w:t>
      </w:r>
      <w:r>
        <w:rPr>
          <w:rFonts w:ascii="Times New Roman" w:hAnsi="Times New Roman" w:cs="Times New Roman" w:eastAsia="Times New Roman" w:hint="default"/>
        </w:rPr>
        <w:t>1</w:t>
      </w:r>
      <w:r>
        <w:rPr/>
        <w:t>名激励对象，授权日为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日，剩余的 </w:t>
      </w:r>
      <w:r>
        <w:rPr>
          <w:rFonts w:ascii="Times New Roman" w:hAnsi="Times New Roman" w:cs="Times New Roman" w:eastAsia="Times New Roman" w:hint="default"/>
        </w:rPr>
        <w:t>33.15</w:t>
      </w:r>
      <w:r>
        <w:rPr/>
        <w:t>万份预留期权将予以取消；独立董事就上述股票期权激励计划相关事项发表了独立意见，同意公司股票期权激励计划 预留期权的授权日为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日，并同意</w:t>
      </w:r>
      <w:r>
        <w:rPr>
          <w:rFonts w:ascii="Times New Roman" w:hAnsi="Times New Roman" w:cs="Times New Roman" w:eastAsia="Times New Roman" w:hint="default"/>
        </w:rPr>
        <w:t>1</w:t>
      </w:r>
      <w:r>
        <w:rPr/>
        <w:t>名激励对象获授</w:t>
      </w:r>
      <w:r>
        <w:rPr>
          <w:rFonts w:ascii="Times New Roman" w:hAnsi="Times New Roman" w:cs="Times New Roman" w:eastAsia="Times New Roman" w:hint="default"/>
        </w:rPr>
        <w:t>11.05</w:t>
      </w:r>
      <w:r>
        <w:rPr/>
        <w:t>万份预留期权。</w:t>
      </w:r>
    </w:p>
    <w:p>
      <w:pPr>
        <w:pStyle w:val="BodyText"/>
        <w:spacing w:line="300" w:lineRule="auto" w:before="53"/>
        <w:ind w:right="199"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日，公司第四届监事会第一次会议审议通过了《关于公司首期股票期权激励计划预留期权的激励对象名单 的议案》。</w:t>
      </w:r>
    </w:p>
    <w:p>
      <w:pPr>
        <w:spacing w:line="240" w:lineRule="auto" w:before="7"/>
        <w:rPr>
          <w:rFonts w:ascii="宋体" w:hAnsi="宋体" w:cs="宋体" w:eastAsia="宋体" w:hint="default"/>
          <w:sz w:val="23"/>
          <w:szCs w:val="23"/>
        </w:rPr>
      </w:pPr>
    </w:p>
    <w:p>
      <w:pPr>
        <w:pStyle w:val="Heading3"/>
        <w:spacing w:line="240" w:lineRule="auto"/>
        <w:ind w:right="185"/>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5"/>
        <w:gridCol w:w="4775"/>
      </w:tblGrid>
      <w:tr>
        <w:trPr>
          <w:trHeight w:val="1026" w:hRule="exact"/>
        </w:trPr>
        <w:tc>
          <w:tcPr>
            <w:tcW w:w="4795" w:type="dxa"/>
            <w:tcBorders>
              <w:top w:val="single" w:sz="4" w:space="0" w:color="000000"/>
              <w:left w:val="single" w:sz="4" w:space="0" w:color="000000"/>
              <w:bottom w:val="single" w:sz="4" w:space="0" w:color="000000"/>
              <w:right w:val="single" w:sz="13" w:space="0" w:color="CCE8CC"/>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77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00" w:lineRule="auto" w:before="49"/>
              <w:ind w:left="11" w:right="22"/>
              <w:jc w:val="left"/>
              <w:rPr>
                <w:rFonts w:ascii="宋体" w:hAnsi="宋体" w:cs="宋体" w:eastAsia="宋体" w:hint="default"/>
                <w:sz w:val="18"/>
                <w:szCs w:val="18"/>
              </w:rPr>
            </w:pPr>
            <w:r>
              <w:rPr>
                <w:rFonts w:ascii="宋体" w:hAnsi="宋体" w:cs="宋体" w:eastAsia="宋体" w:hint="default"/>
                <w:sz w:val="18"/>
                <w:szCs w:val="18"/>
              </w:rPr>
              <w:t>根据《企业会计准则第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金融工具确认和计量》中关于 公允价值确定的相关规定，公司选择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模型对授 予的股票期权的公允价值进行测算。</w:t>
            </w:r>
          </w:p>
        </w:tc>
      </w:tr>
      <w:tr>
        <w:trPr>
          <w:trHeight w:val="1339" w:hRule="exact"/>
        </w:trPr>
        <w:tc>
          <w:tcPr>
            <w:tcW w:w="4795" w:type="dxa"/>
            <w:tcBorders>
              <w:top w:val="single" w:sz="4" w:space="0" w:color="000000"/>
              <w:left w:val="single" w:sz="4" w:space="0" w:color="000000"/>
              <w:bottom w:val="single" w:sz="4" w:space="0" w:color="000000"/>
              <w:right w:val="single" w:sz="13" w:space="0" w:color="CCE8CC"/>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对可行权权益工具数量的最佳估计的确定方法</w:t>
            </w:r>
          </w:p>
        </w:tc>
        <w:tc>
          <w:tcPr>
            <w:tcW w:w="477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0"/>
              <w:ind w:left="11" w:right="72"/>
              <w:jc w:val="both"/>
              <w:rPr>
                <w:rFonts w:ascii="宋体" w:hAnsi="宋体" w:cs="宋体" w:eastAsia="宋体" w:hint="default"/>
                <w:sz w:val="18"/>
                <w:szCs w:val="18"/>
              </w:rPr>
            </w:pPr>
            <w:r>
              <w:rPr>
                <w:rFonts w:ascii="宋体" w:hAnsi="宋体" w:cs="宋体" w:eastAsia="宋体" w:hint="default"/>
                <w:sz w:val="18"/>
                <w:szCs w:val="18"/>
              </w:rPr>
              <w:t>在等待期内的每个资产负债表日，根据最新取得的可行权人 数变动、业绩指标完成情况等信息，修正预计可行权的股票 期权数量。在可行权日，最终预计可行权权益工具的数量与 实际可行权工具的数量一致。</w:t>
            </w:r>
          </w:p>
        </w:tc>
      </w:tr>
      <w:tr>
        <w:trPr>
          <w:trHeight w:val="401" w:hRule="exact"/>
        </w:trPr>
        <w:tc>
          <w:tcPr>
            <w:tcW w:w="4795" w:type="dxa"/>
            <w:tcBorders>
              <w:top w:val="single" w:sz="4" w:space="0" w:color="000000"/>
              <w:left w:val="single" w:sz="4" w:space="0" w:color="000000"/>
              <w:bottom w:val="single" w:sz="4" w:space="0" w:color="000000"/>
              <w:right w:val="single" w:sz="13" w:space="0" w:color="CCE8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77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资本公积中以权益结算的股份支付的累计金额</w:t>
            </w:r>
          </w:p>
        </w:tc>
        <w:tc>
          <w:tcPr>
            <w:tcW w:w="4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4,796,770.38</w:t>
            </w:r>
          </w:p>
        </w:tc>
      </w:tr>
      <w:tr>
        <w:trPr>
          <w:trHeight w:val="401" w:hRule="exact"/>
        </w:trPr>
        <w:tc>
          <w:tcPr>
            <w:tcW w:w="4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以权益结算的股份支付确认的费用总额</w:t>
            </w:r>
          </w:p>
        </w:tc>
        <w:tc>
          <w:tcPr>
            <w:tcW w:w="4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5,345,879.11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44"/>
        <w:jc w:val="left"/>
        <w:rPr>
          <w:b w:val="0"/>
          <w:bCs w:val="0"/>
        </w:rPr>
      </w:pPr>
      <w:r>
        <w:rPr>
          <w:rFonts w:ascii="Times New Roman" w:hAnsi="Times New Roman" w:cs="Times New Roman" w:eastAsia="Times New Roman" w:hint="default"/>
        </w:rPr>
        <w:t>3</w:t>
      </w:r>
      <w:r>
        <w:rPr/>
        <w:t>、以股份支付服务情况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以股份支付换取的职工服务总额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2,813,349.00</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51"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日，公司</w:t>
      </w:r>
      <w:r>
        <w:rPr>
          <w:rFonts w:ascii="Times New Roman" w:hAnsi="Times New Roman" w:cs="Times New Roman" w:eastAsia="Times New Roman" w:hint="default"/>
        </w:rPr>
        <w:t>2011</w:t>
      </w:r>
      <w:r>
        <w:rPr/>
        <w:t>年年度股东大会审议通过了</w:t>
      </w:r>
      <w:r>
        <w:rPr>
          <w:rFonts w:ascii="Times New Roman" w:hAnsi="Times New Roman" w:cs="Times New Roman" w:eastAsia="Times New Roman" w:hint="default"/>
        </w:rPr>
        <w:t>2011</w:t>
      </w:r>
      <w:r>
        <w:rPr/>
        <w:t>年度权益分派方案，以总股本</w:t>
      </w:r>
      <w:r>
        <w:rPr>
          <w:rFonts w:ascii="Times New Roman" w:hAnsi="Times New Roman" w:cs="Times New Roman" w:eastAsia="Times New Roman" w:hint="default"/>
        </w:rPr>
        <w:t>34,443.045</w:t>
      </w:r>
      <w:r>
        <w:rPr/>
        <w:t>万股为基础，用资本 </w:t>
      </w:r>
      <w:r>
        <w:rPr>
          <w:spacing w:val="-5"/>
        </w:rPr>
        <w:t>公积金向全体股东每</w:t>
      </w:r>
      <w:r>
        <w:rPr>
          <w:rFonts w:ascii="Times New Roman" w:hAnsi="Times New Roman" w:cs="Times New Roman" w:eastAsia="Times New Roman" w:hint="default"/>
          <w:spacing w:val="-5"/>
        </w:rPr>
        <w:t>10</w:t>
      </w:r>
      <w:r>
        <w:rPr>
          <w:spacing w:val="-5"/>
        </w:rPr>
        <w:t>股转增</w:t>
      </w:r>
      <w:r>
        <w:rPr>
          <w:rFonts w:ascii="Times New Roman" w:hAnsi="Times New Roman" w:cs="Times New Roman" w:eastAsia="Times New Roman" w:hint="default"/>
          <w:spacing w:val="-5"/>
        </w:rPr>
        <w:t>7</w:t>
      </w:r>
      <w:r>
        <w:rPr>
          <w:spacing w:val="-5"/>
        </w:rPr>
        <w:t>股，同时，每</w:t>
      </w:r>
      <w:r>
        <w:rPr>
          <w:rFonts w:ascii="Times New Roman" w:hAnsi="Times New Roman" w:cs="Times New Roman" w:eastAsia="Times New Roman" w:hint="default"/>
          <w:spacing w:val="-5"/>
        </w:rPr>
        <w:t>10</w:t>
      </w:r>
      <w:r>
        <w:rPr>
          <w:spacing w:val="-5"/>
        </w:rPr>
        <w:t>股派发现金股利人民币</w:t>
      </w:r>
      <w:r>
        <w:rPr>
          <w:rFonts w:ascii="Times New Roman" w:hAnsi="Times New Roman" w:cs="Times New Roman" w:eastAsia="Times New Roman" w:hint="default"/>
          <w:spacing w:val="-5"/>
        </w:rPr>
        <w:t>0.50</w:t>
      </w:r>
      <w:r>
        <w:rPr>
          <w:spacing w:val="-5"/>
        </w:rPr>
        <w:t>元（含税），送转完成后，公司总股本增至</w:t>
      </w:r>
      <w:r>
        <w:rPr>
          <w:rFonts w:ascii="Times New Roman" w:hAnsi="Times New Roman" w:cs="Times New Roman" w:eastAsia="Times New Roman" w:hint="default"/>
          <w:spacing w:val="-5"/>
        </w:rPr>
        <w:t>58,553.18</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万股。该权益分派方案已于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日实施完毕。</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日，经第三届董事会第三十三次会议审议通过《关于调整 </w:t>
      </w:r>
      <w:r>
        <w:rPr>
          <w:spacing w:val="-1"/>
        </w:rPr>
        <w:t>首期股票期权激励计划未行权股票期权数量和行权价格的议案》，经本次调整后，首次授予股票期权数量为</w:t>
      </w:r>
      <w:r>
        <w:rPr>
          <w:rFonts w:ascii="Times New Roman" w:hAnsi="Times New Roman" w:cs="Times New Roman" w:eastAsia="Times New Roman" w:hint="default"/>
          <w:spacing w:val="-1"/>
        </w:rPr>
        <w:t>430.95</w:t>
      </w:r>
      <w:r>
        <w:rPr>
          <w:spacing w:val="-1"/>
        </w:rPr>
        <w:t>万份，预</w:t>
      </w:r>
      <w:r>
        <w:rPr>
          <w:spacing w:val="-73"/>
        </w:rPr>
        <w:t> </w:t>
      </w:r>
      <w:r>
        <w:rPr>
          <w:spacing w:val="-73"/>
        </w:rPr>
      </w:r>
      <w:r>
        <w:rPr/>
        <w:t>留部分股票期权数量为</w:t>
      </w:r>
      <w:r>
        <w:rPr>
          <w:rFonts w:ascii="Times New Roman" w:hAnsi="Times New Roman" w:cs="Times New Roman" w:eastAsia="Times New Roman" w:hint="default"/>
        </w:rPr>
        <w:t>44.20</w:t>
      </w:r>
      <w:r>
        <w:rPr/>
        <w:t>万份。首次授予的股票期权的行权价为</w:t>
      </w:r>
      <w:r>
        <w:rPr>
          <w:rFonts w:ascii="Times New Roman" w:hAnsi="Times New Roman" w:cs="Times New Roman" w:eastAsia="Times New Roman" w:hint="default"/>
        </w:rPr>
        <w:t>6.94</w:t>
      </w:r>
      <w:r>
        <w:rPr/>
        <w:t>元。</w:t>
      </w:r>
    </w:p>
    <w:p>
      <w:pPr>
        <w:pStyle w:val="BodyText"/>
        <w:spacing w:line="300" w:lineRule="auto" w:before="53"/>
        <w:ind w:right="149" w:firstLine="360"/>
        <w:jc w:val="both"/>
      </w:pPr>
      <w:r>
        <w:rPr/>
        <w:t>根据《管理办法》、《股权激励有关事项备忘录</w:t>
      </w:r>
      <w:r>
        <w:rPr>
          <w:rFonts w:ascii="Times New Roman" w:hAnsi="Times New Roman" w:cs="Times New Roman" w:eastAsia="Times New Roman" w:hint="default"/>
        </w:rPr>
        <w:t>1-3</w:t>
      </w:r>
      <w:r>
        <w:rPr>
          <w:rFonts w:ascii="Times New Roman" w:hAnsi="Times New Roman" w:cs="Times New Roman" w:eastAsia="Times New Roman" w:hint="default"/>
          <w:spacing w:val="-5"/>
        </w:rPr>
        <w:t> </w:t>
      </w:r>
      <w:r>
        <w:rPr/>
        <w:t>号》以及公司《股票期权激励计划（修订稿）》等的有关规定，董 事会认为公司首期股票期权激励计划预留期权的授予条件已经成就，公司于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日召开了第四届董事会第一次会议 审议通过了《关于公司首期股票期权激励计划预留期权授予相关事项的议案》，同意将股权激励计划预留的</w:t>
      </w:r>
      <w:r>
        <w:rPr>
          <w:rFonts w:ascii="Times New Roman" w:hAnsi="Times New Roman" w:cs="Times New Roman" w:eastAsia="Times New Roman" w:hint="default"/>
        </w:rPr>
        <w:t>11.05</w:t>
      </w:r>
      <w:r>
        <w:rPr/>
        <w:t>万份股票 期权授予公司</w:t>
      </w:r>
      <w:r>
        <w:rPr>
          <w:rFonts w:ascii="Times New Roman" w:hAnsi="Times New Roman" w:cs="Times New Roman" w:eastAsia="Times New Roman" w:hint="default"/>
        </w:rPr>
        <w:t>1</w:t>
      </w:r>
      <w:r>
        <w:rPr/>
        <w:t>名激励对象，剩余</w:t>
      </w:r>
      <w:r>
        <w:rPr>
          <w:rFonts w:ascii="Times New Roman" w:hAnsi="Times New Roman" w:cs="Times New Roman" w:eastAsia="Times New Roman" w:hint="default"/>
        </w:rPr>
        <w:t>33.15</w:t>
      </w:r>
      <w:r>
        <w:rPr/>
        <w:t>万份预留期权予以取消，授权日为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日，行权价为</w:t>
      </w:r>
      <w:r>
        <w:rPr>
          <w:rFonts w:ascii="Times New Roman" w:hAnsi="Times New Roman" w:cs="Times New Roman" w:eastAsia="Times New Roman" w:hint="default"/>
        </w:rPr>
        <w:t>7.45</w:t>
      </w:r>
      <w:r>
        <w:rPr/>
        <w:t>元。</w:t>
      </w:r>
    </w:p>
    <w:p>
      <w:pPr>
        <w:spacing w:line="240" w:lineRule="auto" w:before="5"/>
        <w:rPr>
          <w:rFonts w:ascii="宋体" w:hAnsi="宋体" w:cs="宋体" w:eastAsia="宋体" w:hint="default"/>
          <w:sz w:val="20"/>
          <w:szCs w:val="20"/>
        </w:rPr>
      </w:pPr>
    </w:p>
    <w:p>
      <w:pPr>
        <w:pStyle w:val="Heading2"/>
        <w:spacing w:line="240" w:lineRule="auto"/>
        <w:ind w:right="144"/>
        <w:jc w:val="left"/>
        <w:rPr>
          <w:b w:val="0"/>
          <w:bCs w:val="0"/>
        </w:rPr>
      </w:pPr>
      <w:r>
        <w:rPr/>
        <w:t>十、或有事项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4"/>
        <w:jc w:val="left"/>
        <w:rPr>
          <w:b w:val="0"/>
          <w:bCs w:val="0"/>
        </w:rPr>
      </w:pPr>
      <w:r>
        <w:rPr>
          <w:rFonts w:ascii="Times New Roman" w:hAnsi="Times New Roman" w:cs="Times New Roman" w:eastAsia="Times New Roman" w:hint="default"/>
        </w:rPr>
        <w:t>1</w:t>
      </w:r>
      <w:r>
        <w:rPr/>
        <w:t>、未决诉讼或仲裁形成的或有负债及其财务影响</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44"/>
        <w:jc w:val="left"/>
      </w:pP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日，本公司无需要披露的未决诉讼或仲裁形成的或有负债及其财务影响。</w:t>
      </w:r>
    </w:p>
    <w:p>
      <w:pPr>
        <w:spacing w:line="240" w:lineRule="auto" w:before="2"/>
        <w:rPr>
          <w:rFonts w:ascii="宋体" w:hAnsi="宋体" w:cs="宋体" w:eastAsia="宋体" w:hint="default"/>
          <w:sz w:val="26"/>
          <w:szCs w:val="26"/>
        </w:rPr>
      </w:pPr>
    </w:p>
    <w:p>
      <w:pPr>
        <w:pStyle w:val="Heading3"/>
        <w:spacing w:line="240" w:lineRule="auto"/>
        <w:ind w:right="144"/>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left="513" w:right="1493"/>
        <w:jc w:val="left"/>
      </w:pP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日，本公司无需要披露的为其他单位提供债务担保形成的或有负债及其财务影响。 其他或有负债及其财务影响</w:t>
      </w:r>
    </w:p>
    <w:p>
      <w:pPr>
        <w:pStyle w:val="BodyText"/>
        <w:spacing w:line="316" w:lineRule="auto" w:before="39"/>
        <w:ind w:left="513" w:right="4373"/>
        <w:jc w:val="left"/>
      </w:pPr>
      <w:r>
        <w:rPr/>
        <w:t>预计负债的情况详见附注五、（二十九）预计负债。 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日，本公司无其他需要披露的重大或有事项。</w:t>
      </w:r>
    </w:p>
    <w:p>
      <w:pPr>
        <w:spacing w:line="240" w:lineRule="auto" w:before="4"/>
        <w:rPr>
          <w:rFonts w:ascii="宋体" w:hAnsi="宋体" w:cs="宋体" w:eastAsia="宋体" w:hint="default"/>
          <w:sz w:val="19"/>
          <w:szCs w:val="19"/>
        </w:rPr>
      </w:pPr>
    </w:p>
    <w:p>
      <w:pPr>
        <w:pStyle w:val="Heading2"/>
        <w:spacing w:line="240" w:lineRule="auto"/>
        <w:ind w:right="144"/>
        <w:jc w:val="left"/>
        <w:rPr>
          <w:b w:val="0"/>
          <w:bCs w:val="0"/>
        </w:rPr>
      </w:pPr>
      <w:r>
        <w:rPr/>
        <w:t>十一、承诺事项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4"/>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3563"/>
        <w:jc w:val="left"/>
      </w:pPr>
      <w:r>
        <w:rPr/>
        <w:t>与关联方相关的重大承诺事项明细详见本附注七（五）</w:t>
      </w:r>
      <w:r>
        <w:rPr>
          <w:rFonts w:ascii="Times New Roman" w:hAnsi="Times New Roman" w:cs="Times New Roman" w:eastAsia="Times New Roman" w:hint="default"/>
        </w:rPr>
        <w:t>6</w:t>
      </w:r>
      <w:r>
        <w:rPr/>
        <w:t>、关联担保情况。 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日，本公司无其他需要披露的重大承诺事项。</w:t>
      </w:r>
    </w:p>
    <w:p>
      <w:pPr>
        <w:spacing w:line="240" w:lineRule="auto" w:before="5"/>
        <w:rPr>
          <w:rFonts w:ascii="宋体" w:hAnsi="宋体" w:cs="宋体" w:eastAsia="宋体" w:hint="default"/>
          <w:sz w:val="22"/>
          <w:szCs w:val="22"/>
        </w:rPr>
      </w:pPr>
    </w:p>
    <w:p>
      <w:pPr>
        <w:pStyle w:val="Heading3"/>
        <w:spacing w:line="240" w:lineRule="auto"/>
        <w:ind w:right="144"/>
        <w:jc w:val="left"/>
        <w:rPr>
          <w:b w:val="0"/>
          <w:bCs w:val="0"/>
        </w:rPr>
      </w:pPr>
      <w:r>
        <w:rPr>
          <w:rFonts w:ascii="Times New Roman" w:hAnsi="Times New Roman" w:cs="Times New Roman" w:eastAsia="Times New Roman" w:hint="default"/>
        </w:rPr>
        <w:t>2</w:t>
      </w:r>
      <w:r>
        <w:rPr/>
        <w:t>、前期承诺履行情况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55"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日，由于票据市场利率波动幅度较大，已超出公司申请中期票据时的预期，经公司审慎考虑，决定放弃发 行</w:t>
      </w:r>
      <w:r>
        <w:rPr>
          <w:rFonts w:ascii="Times New Roman" w:hAnsi="Times New Roman" w:cs="Times New Roman" w:eastAsia="Times New Roman" w:hint="default"/>
        </w:rPr>
        <w:t>2011</w:t>
      </w:r>
      <w:r>
        <w:rPr/>
        <w:t>年招商银行第一期中小企业集合中期票据。</w:t>
      </w:r>
    </w:p>
    <w:p>
      <w:pPr>
        <w:spacing w:after="0" w:line="300" w:lineRule="auto"/>
        <w:jc w:val="both"/>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44"/>
        <w:jc w:val="left"/>
        <w:rPr>
          <w:b w:val="0"/>
          <w:bCs w:val="0"/>
        </w:rPr>
      </w:pPr>
      <w:r>
        <w:rPr/>
        <w:t>十二、资产负债表日后事项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44"/>
        <w:jc w:val="left"/>
      </w:pPr>
      <w:r>
        <w:rPr/>
        <w:t>本公司无其他需要披露的资产负债表日后事项。</w:t>
      </w:r>
    </w:p>
    <w:p>
      <w:pPr>
        <w:spacing w:line="240" w:lineRule="auto" w:before="3"/>
        <w:rPr>
          <w:rFonts w:ascii="宋体" w:hAnsi="宋体" w:cs="宋体" w:eastAsia="宋体" w:hint="default"/>
          <w:sz w:val="25"/>
          <w:szCs w:val="25"/>
        </w:rPr>
      </w:pPr>
    </w:p>
    <w:p>
      <w:pPr>
        <w:pStyle w:val="Heading2"/>
        <w:spacing w:line="240" w:lineRule="auto"/>
        <w:ind w:right="144"/>
        <w:jc w:val="left"/>
        <w:rPr>
          <w:b w:val="0"/>
          <w:bCs w:val="0"/>
        </w:rPr>
      </w:pPr>
      <w:r>
        <w:rPr/>
        <w:t>十三、其他重要事项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4"/>
        <w:jc w:val="left"/>
        <w:rPr>
          <w:b w:val="0"/>
          <w:bCs w:val="0"/>
        </w:rPr>
      </w:pPr>
      <w:r>
        <w:rPr>
          <w:rFonts w:ascii="Times New Roman" w:hAnsi="Times New Roman" w:cs="Times New Roman" w:eastAsia="Times New Roman" w:hint="default"/>
        </w:rPr>
        <w:t>1</w:t>
      </w:r>
      <w:r>
        <w:rPr/>
        <w:t>、非货币性资产交换</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41" w:right="144"/>
        <w:jc w:val="left"/>
      </w:pPr>
      <w:r>
        <w:rPr/>
        <w:t>本报告期未发生该事项</w:t>
      </w:r>
    </w:p>
    <w:p>
      <w:pPr>
        <w:spacing w:line="240" w:lineRule="auto" w:before="0"/>
        <w:rPr>
          <w:rFonts w:ascii="宋体" w:hAnsi="宋体" w:cs="宋体" w:eastAsia="宋体" w:hint="default"/>
          <w:sz w:val="18"/>
          <w:szCs w:val="18"/>
        </w:rPr>
      </w:pPr>
    </w:p>
    <w:p>
      <w:pPr>
        <w:pStyle w:val="Heading3"/>
        <w:spacing w:line="240" w:lineRule="auto" w:before="120"/>
        <w:ind w:right="144"/>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23" w:right="7428"/>
        <w:jc w:val="center"/>
      </w:pPr>
      <w:r>
        <w:rPr/>
        <w:t>本报告期未发生该事项</w:t>
      </w:r>
    </w:p>
    <w:p>
      <w:pPr>
        <w:spacing w:line="240" w:lineRule="auto" w:before="0"/>
        <w:rPr>
          <w:rFonts w:ascii="宋体" w:hAnsi="宋体" w:cs="宋体" w:eastAsia="宋体" w:hint="default"/>
          <w:sz w:val="18"/>
          <w:szCs w:val="18"/>
        </w:rPr>
      </w:pPr>
    </w:p>
    <w:p>
      <w:pPr>
        <w:pStyle w:val="Heading3"/>
        <w:spacing w:line="240" w:lineRule="auto" w:before="121"/>
        <w:ind w:right="144"/>
        <w:jc w:val="left"/>
        <w:rPr>
          <w:b w:val="0"/>
          <w:bCs w:val="0"/>
        </w:rPr>
      </w:pPr>
      <w:r>
        <w:rPr>
          <w:rFonts w:ascii="Times New Roman" w:hAnsi="Times New Roman" w:cs="Times New Roman" w:eastAsia="Times New Roman" w:hint="default"/>
        </w:rPr>
        <w:t>3</w:t>
      </w:r>
      <w:r>
        <w:rPr/>
        <w:t>、企业合并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41" w:right="144"/>
        <w:jc w:val="left"/>
      </w:pPr>
      <w:r>
        <w:rPr/>
        <w:t>本报告期未发生该事项</w:t>
      </w:r>
    </w:p>
    <w:p>
      <w:pPr>
        <w:spacing w:line="240" w:lineRule="auto" w:before="0"/>
        <w:rPr>
          <w:rFonts w:ascii="宋体" w:hAnsi="宋体" w:cs="宋体" w:eastAsia="宋体" w:hint="default"/>
          <w:sz w:val="18"/>
          <w:szCs w:val="18"/>
        </w:rPr>
      </w:pPr>
    </w:p>
    <w:p>
      <w:pPr>
        <w:pStyle w:val="Heading3"/>
        <w:spacing w:line="240" w:lineRule="auto" w:before="120"/>
        <w:ind w:right="144"/>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41" w:right="144"/>
        <w:jc w:val="left"/>
      </w:pPr>
      <w:r>
        <w:rPr/>
        <w:t>本报告期未发生该事项</w:t>
      </w:r>
    </w:p>
    <w:p>
      <w:pPr>
        <w:spacing w:line="240" w:lineRule="auto" w:before="0"/>
        <w:rPr>
          <w:rFonts w:ascii="宋体" w:hAnsi="宋体" w:cs="宋体" w:eastAsia="宋体" w:hint="default"/>
          <w:sz w:val="18"/>
          <w:szCs w:val="18"/>
        </w:rPr>
      </w:pPr>
    </w:p>
    <w:p>
      <w:pPr>
        <w:pStyle w:val="Heading3"/>
        <w:spacing w:line="240" w:lineRule="auto" w:before="120"/>
        <w:ind w:right="144"/>
        <w:jc w:val="left"/>
        <w:rPr>
          <w:b w:val="0"/>
          <w:bCs w:val="0"/>
        </w:rPr>
      </w:pPr>
      <w:r>
        <w:rPr>
          <w:rFonts w:ascii="Times New Roman" w:hAnsi="Times New Roman" w:cs="Times New Roman" w:eastAsia="Times New Roman" w:hint="default"/>
        </w:rPr>
        <w:t>5</w:t>
      </w:r>
      <w:r>
        <w:rPr/>
        <w:t>、期末发行在外的、可转换为股份的金融工具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41" w:right="144"/>
        <w:jc w:val="left"/>
      </w:pPr>
      <w:r>
        <w:rPr/>
        <w:t>本报告期未发生该事项</w:t>
      </w:r>
    </w:p>
    <w:p>
      <w:pPr>
        <w:spacing w:line="240" w:lineRule="auto" w:before="0"/>
        <w:rPr>
          <w:rFonts w:ascii="宋体" w:hAnsi="宋体" w:cs="宋体" w:eastAsia="宋体" w:hint="default"/>
          <w:sz w:val="18"/>
          <w:szCs w:val="18"/>
        </w:rPr>
      </w:pPr>
    </w:p>
    <w:p>
      <w:pPr>
        <w:pStyle w:val="Heading3"/>
        <w:spacing w:line="240" w:lineRule="auto" w:before="120"/>
        <w:ind w:right="144"/>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pict>
          <v:shape style="position:absolute;margin-left:118.677002pt;margin-top:83.511703pt;width:149.35pt;height:22.05pt;mso-position-horizontal-relative:page;mso-position-vertical-relative:paragraph;z-index:-830512" type="#_x0000_t202" filled="false" stroked="false">
            <v:textbox inset="0,0,0,0">
              <w:txbxContent>
                <w:p>
                  <w:pPr>
                    <w:spacing w:line="240" w:lineRule="auto" w:before="9"/>
                    <w:rPr>
                      <w:rFonts w:ascii="宋体" w:hAnsi="宋体" w:cs="宋体" w:eastAsia="宋体" w:hint="default"/>
                      <w:sz w:val="15"/>
                      <w:szCs w:val="15"/>
                    </w:rPr>
                  </w:pPr>
                </w:p>
                <w:p>
                  <w:pPr>
                    <w:pStyle w:val="BodyText"/>
                    <w:spacing w:line="240" w:lineRule="auto"/>
                    <w:ind w:left="0" w:right="0"/>
                    <w:jc w:val="left"/>
                  </w:pPr>
                  <w:r>
                    <w:rPr/>
                    <w:t>（不含衍生金融资产）</w:t>
                  </w:r>
                </w:p>
              </w:txbxContent>
            </v:textbox>
            <w10:wrap type="none"/>
          </v:shape>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60"/>
        <w:gridCol w:w="1288"/>
        <w:gridCol w:w="1272"/>
        <w:gridCol w:w="1410"/>
        <w:gridCol w:w="1424"/>
        <w:gridCol w:w="1205"/>
      </w:tblGrid>
      <w:tr>
        <w:trPr>
          <w:trHeight w:val="161" w:hRule="exact"/>
        </w:trPr>
        <w:tc>
          <w:tcPr>
            <w:tcW w:w="29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67" w:right="92"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4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62" w:right="64" w:hanging="89"/>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4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9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2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8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272" w:type="dxa"/>
            <w:vMerge/>
            <w:tcBorders>
              <w:left w:val="single" w:sz="4" w:space="0" w:color="000000"/>
              <w:right w:val="single" w:sz="4" w:space="0" w:color="000000"/>
            </w:tcBorders>
            <w:shd w:val="clear" w:color="auto" w:fill="D2D2D2"/>
          </w:tcPr>
          <w:p>
            <w:pPr/>
          </w:p>
        </w:tc>
        <w:tc>
          <w:tcPr>
            <w:tcW w:w="1410" w:type="dxa"/>
            <w:vMerge/>
            <w:tcBorders>
              <w:left w:val="single" w:sz="4" w:space="0" w:color="000000"/>
              <w:right w:val="single" w:sz="4" w:space="0" w:color="000000"/>
            </w:tcBorders>
            <w:shd w:val="clear" w:color="auto" w:fill="D2D2D2"/>
          </w:tcPr>
          <w:p>
            <w:pPr/>
          </w:p>
        </w:tc>
        <w:tc>
          <w:tcPr>
            <w:tcW w:w="14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4"/>
              <w:jc w:val="right"/>
              <w:rPr>
                <w:rFonts w:ascii="宋体" w:hAnsi="宋体" w:cs="宋体" w:eastAsia="宋体" w:hint="default"/>
                <w:sz w:val="18"/>
                <w:szCs w:val="18"/>
              </w:rPr>
            </w:pPr>
            <w:r>
              <w:rPr>
                <w:rFonts w:ascii="宋体" w:hAnsi="宋体" w:cs="宋体" w:eastAsia="宋体" w:hint="default"/>
                <w:sz w:val="18"/>
                <w:szCs w:val="18"/>
              </w:rPr>
              <w:t>本期计提的减值</w:t>
            </w:r>
          </w:p>
        </w:tc>
        <w:tc>
          <w:tcPr>
            <w:tcW w:w="12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8" w:hRule="exact"/>
        </w:trPr>
        <w:tc>
          <w:tcPr>
            <w:tcW w:w="29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2" w:type="dxa"/>
            <w:vMerge/>
            <w:tcBorders>
              <w:left w:val="single" w:sz="4" w:space="0" w:color="000000"/>
              <w:bottom w:val="single" w:sz="4" w:space="0" w:color="000000"/>
              <w:right w:val="single" w:sz="4" w:space="0" w:color="000000"/>
            </w:tcBorders>
            <w:shd w:val="clear" w:color="auto" w:fill="D2D2D2"/>
          </w:tcPr>
          <w:p>
            <w:pPr/>
          </w:p>
        </w:tc>
        <w:tc>
          <w:tcPr>
            <w:tcW w:w="1410" w:type="dxa"/>
            <w:vMerge/>
            <w:tcBorders>
              <w:left w:val="single" w:sz="4" w:space="0" w:color="000000"/>
              <w:bottom w:val="single" w:sz="4" w:space="0" w:color="000000"/>
              <w:right w:val="single" w:sz="4" w:space="0" w:color="000000"/>
            </w:tcBorders>
            <w:shd w:val="clear" w:color="auto" w:fill="D2D2D2"/>
          </w:tcPr>
          <w:p>
            <w:pPr/>
          </w:p>
        </w:tc>
        <w:tc>
          <w:tcPr>
            <w:tcW w:w="14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713" w:hRule="exact"/>
        </w:trPr>
        <w:tc>
          <w:tcPr>
            <w:tcW w:w="2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以公允价值计量且其变动计入当期 损益的金融资产</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559" w:lineRule="exact"/>
              <w:ind w:right="-34"/>
              <w:jc w:val="left"/>
              <w:rPr>
                <w:rFonts w:ascii="宋体" w:hAnsi="宋体" w:cs="宋体" w:eastAsia="宋体" w:hint="default"/>
                <w:sz w:val="20"/>
                <w:szCs w:val="20"/>
              </w:rPr>
            </w:pPr>
            <w:r>
              <w:rPr>
                <w:rFonts w:ascii="宋体" w:hAnsi="宋体" w:cs="宋体" w:eastAsia="宋体" w:hint="default"/>
                <w:position w:val="-10"/>
                <w:sz w:val="20"/>
                <w:szCs w:val="20"/>
              </w:rPr>
              <w:pict>
                <v:group style="width:63.4pt;height:28pt;mso-position-horizontal-relative:char;mso-position-vertical-relative:line" coordorigin="0,0" coordsize="1268,560">
                  <v:group style="position:absolute;left:12;top:12;width:2;height:392" coordorigin="12,12" coordsize="2,392">
                    <v:shape style="position:absolute;left:12;top:12;width:2;height:392" coordorigin="12,12" coordsize="0,392" path="m12,12l12,403e" filled="false" stroked="true" strokeweight="1.2pt" strokecolor="#ffffff">
                      <v:path arrowok="t"/>
                    </v:shape>
                  </v:group>
                  <v:group style="position:absolute;left:0;top:403;width:1268;height:156" coordorigin="0,403" coordsize="1268,156">
                    <v:shape style="position:absolute;left:0;top:403;width:1268;height:156" coordorigin="0,403" coordsize="1268,156" path="m0,559l1267,559,1267,403,0,403,0,559xe" filled="true" fillcolor="#ffffff" stroked="false">
                      <v:path arrowok="t"/>
                      <v:fill type="solid"/>
                    </v:shape>
                  </v:group>
                  <v:group style="position:absolute;left:24;top:12;width:1220;height:392" coordorigin="24,12" coordsize="1220,392">
                    <v:shape style="position:absolute;left:24;top:12;width:1220;height:392" coordorigin="24,12" coordsize="1220,392" path="m24,403l1243,403,1243,12,24,12,24,403xe" filled="true" fillcolor="#ffffff" stroked="false">
                      <v:path arrowok="t"/>
                      <v:fill type="solid"/>
                    </v:shape>
                  </v:group>
                </v:group>
              </w:pict>
            </w:r>
            <w:r>
              <w:rPr>
                <w:rFonts w:ascii="宋体" w:hAnsi="宋体" w:cs="宋体" w:eastAsia="宋体" w:hint="default"/>
                <w:position w:val="-10"/>
                <w:sz w:val="20"/>
                <w:szCs w:val="20"/>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1,147.60</w:t>
            </w:r>
          </w:p>
        </w:tc>
        <w:tc>
          <w:tcPr>
            <w:tcW w:w="141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10,001,147.60</w:t>
            </w:r>
          </w:p>
        </w:tc>
      </w:tr>
      <w:tr>
        <w:trPr>
          <w:trHeight w:val="403" w:hRule="exact"/>
        </w:trPr>
        <w:tc>
          <w:tcPr>
            <w:tcW w:w="2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134,577,416.07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-42,313,813.16</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12,561,430.33</w:t>
            </w:r>
          </w:p>
        </w:tc>
        <w:tc>
          <w:tcPr>
            <w:tcW w:w="142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69,856,890.72</w:t>
            </w:r>
          </w:p>
        </w:tc>
      </w:tr>
      <w:tr>
        <w:trPr>
          <w:trHeight w:val="401" w:hRule="exact"/>
        </w:trPr>
        <w:tc>
          <w:tcPr>
            <w:tcW w:w="2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134,577,416.07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-42,312,665.56</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12,561,430.33</w:t>
            </w:r>
          </w:p>
        </w:tc>
        <w:tc>
          <w:tcPr>
            <w:tcW w:w="142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79,858,038.32</w:t>
            </w:r>
          </w:p>
        </w:tc>
      </w:tr>
      <w:tr>
        <w:trPr>
          <w:trHeight w:val="404" w:hRule="exact"/>
        </w:trPr>
        <w:tc>
          <w:tcPr>
            <w:tcW w:w="2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5"/>
              <w:jc w:val="right"/>
              <w:rPr>
                <w:rFonts w:ascii="Times New Roman" w:hAnsi="Times New Roman" w:cs="Times New Roman" w:eastAsia="Times New Roman" w:hint="default"/>
                <w:sz w:val="18"/>
                <w:szCs w:val="18"/>
              </w:rPr>
            </w:pPr>
            <w:r>
              <w:rPr>
                <w:rFonts w:ascii="Times New Roman"/>
                <w:spacing w:val="-1"/>
                <w:sz w:val="18"/>
              </w:rPr>
              <w:t>134,577,416.07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-42,312,665.56</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4"/>
              <w:jc w:val="right"/>
              <w:rPr>
                <w:rFonts w:ascii="Times New Roman" w:hAnsi="Times New Roman" w:cs="Times New Roman" w:eastAsia="Times New Roman" w:hint="default"/>
                <w:sz w:val="18"/>
                <w:szCs w:val="18"/>
              </w:rPr>
            </w:pPr>
            <w:r>
              <w:rPr>
                <w:rFonts w:ascii="Times New Roman"/>
                <w:spacing w:val="-1"/>
                <w:sz w:val="18"/>
              </w:rPr>
              <w:t>12,561,430.33</w:t>
            </w:r>
          </w:p>
        </w:tc>
        <w:tc>
          <w:tcPr>
            <w:tcW w:w="142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79,858,038.32</w:t>
            </w:r>
          </w:p>
        </w:tc>
      </w:tr>
      <w:tr>
        <w:trPr>
          <w:trHeight w:val="403" w:hRule="exact"/>
        </w:trPr>
        <w:tc>
          <w:tcPr>
            <w:tcW w:w="2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rFonts w:ascii="Times New Roman" w:hAnsi="Times New Roman" w:cs="Times New Roman" w:eastAsia="Times New Roman" w:hint="default"/>
        </w:rPr>
        <w:t>7</w:t>
      </w:r>
      <w:r>
        <w:rPr/>
        <w:t>、年金计划主要内容及重大变化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41" w:right="144"/>
        <w:jc w:val="left"/>
      </w:pPr>
      <w:r>
        <w:rPr/>
        <w:t>本报告期未发生该事项</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4"/>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144"/>
        <w:jc w:val="left"/>
      </w:pP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日，本公司无其他需要披露的其他重要事项。</w:t>
      </w:r>
    </w:p>
    <w:p>
      <w:pPr>
        <w:spacing w:line="240" w:lineRule="auto" w:before="3"/>
        <w:rPr>
          <w:rFonts w:ascii="宋体" w:hAnsi="宋体" w:cs="宋体" w:eastAsia="宋体" w:hint="default"/>
          <w:sz w:val="24"/>
          <w:szCs w:val="24"/>
        </w:rPr>
      </w:pPr>
    </w:p>
    <w:p>
      <w:pPr>
        <w:pStyle w:val="Heading2"/>
        <w:spacing w:line="240" w:lineRule="auto"/>
        <w:ind w:right="144"/>
        <w:jc w:val="left"/>
        <w:rPr>
          <w:b w:val="0"/>
          <w:bCs w:val="0"/>
        </w:rPr>
      </w:pPr>
      <w:r>
        <w:rPr/>
        <w:t>十四、母公司财务报表主要项目注释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4"/>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710"/>
        <w:gridCol w:w="1133"/>
        <w:gridCol w:w="710"/>
        <w:gridCol w:w="1274"/>
        <w:gridCol w:w="773"/>
        <w:gridCol w:w="1212"/>
        <w:gridCol w:w="780"/>
      </w:tblGrid>
      <w:tr>
        <w:trPr>
          <w:trHeight w:val="401"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4" w:hRule="exact"/>
        </w:trPr>
        <w:tc>
          <w:tcPr>
            <w:tcW w:w="1702" w:type="dxa"/>
            <w:vMerge/>
            <w:tcBorders>
              <w:left w:val="single" w:sz="4" w:space="0" w:color="000000"/>
              <w:right w:val="single" w:sz="4" w:space="0" w:color="000000"/>
            </w:tcBorders>
            <w:shd w:val="clear" w:color="auto" w:fill="D2D2D2"/>
          </w:tcPr>
          <w:p>
            <w:pP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：账龄分析法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128,882,803.90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13,867,580.55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154,745,434.48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25,591,426.61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16.54%</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128,882,803.90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13,867,580.55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154,745,434.48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25,591,426.61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16.54%</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128,882,803.90</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13,867,580.55</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154,745,434.48</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25,591,426.61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38"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113" w:space="4716"/>
            <w:col w:w="112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59"/>
        <w:gridCol w:w="1425"/>
        <w:gridCol w:w="1127"/>
        <w:gridCol w:w="1286"/>
        <w:gridCol w:w="1838"/>
        <w:gridCol w:w="1030"/>
        <w:gridCol w:w="1593"/>
      </w:tblGrid>
      <w:tr>
        <w:trPr>
          <w:trHeight w:val="403" w:hRule="exact"/>
        </w:trPr>
        <w:tc>
          <w:tcPr>
            <w:tcW w:w="125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46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12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25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86" w:type="dxa"/>
            <w:tcBorders>
              <w:top w:val="single" w:sz="4" w:space="0" w:color="000000"/>
              <w:left w:val="single" w:sz="4" w:space="0" w:color="000000"/>
              <w:bottom w:val="nil" w:sz="6" w:space="0" w:color="auto"/>
              <w:right w:val="single" w:sz="4" w:space="0" w:color="000000"/>
            </w:tcBorders>
            <w:shd w:val="clear" w:color="auto" w:fill="D2D2D2"/>
          </w:tcPr>
          <w:p>
            <w:pPr/>
          </w:p>
        </w:tc>
        <w:tc>
          <w:tcPr>
            <w:tcW w:w="28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5" w:hRule="exact"/>
        </w:trPr>
        <w:tc>
          <w:tcPr>
            <w:tcW w:w="1259" w:type="dxa"/>
            <w:vMerge/>
            <w:tcBorders>
              <w:left w:val="single" w:sz="4" w:space="0" w:color="000000"/>
              <w:bottom w:val="nil" w:sz="6" w:space="0" w:color="auto"/>
              <w:right w:val="single" w:sz="4" w:space="0" w:color="000000"/>
            </w:tcBorders>
            <w:shd w:val="clear" w:color="auto" w:fill="D2D2D2"/>
          </w:tcPr>
          <w:p>
            <w:pPr/>
          </w:p>
        </w:tc>
        <w:tc>
          <w:tcPr>
            <w:tcW w:w="2552" w:type="dxa"/>
            <w:gridSpan w:val="2"/>
            <w:vMerge/>
            <w:tcBorders>
              <w:left w:val="single" w:sz="4" w:space="0" w:color="000000"/>
              <w:bottom w:val="single" w:sz="4" w:space="0" w:color="000000"/>
              <w:right w:val="single" w:sz="4" w:space="0" w:color="000000"/>
            </w:tcBorders>
            <w:shd w:val="clear" w:color="auto" w:fill="D2D2D2"/>
          </w:tcPr>
          <w:p>
            <w:pPr/>
          </w:p>
        </w:tc>
        <w:tc>
          <w:tcPr>
            <w:tcW w:w="12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868" w:type="dxa"/>
            <w:gridSpan w:val="2"/>
            <w:vMerge/>
            <w:tcBorders>
              <w:left w:val="single" w:sz="4" w:space="0" w:color="000000"/>
              <w:bottom w:val="single" w:sz="4" w:space="0" w:color="000000"/>
              <w:right w:val="single" w:sz="4" w:space="0" w:color="000000"/>
            </w:tcBorders>
            <w:shd w:val="clear" w:color="auto" w:fill="D2D2D2"/>
          </w:tcPr>
          <w:p>
            <w:pPr/>
          </w:p>
        </w:tc>
        <w:tc>
          <w:tcPr>
            <w:tcW w:w="15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6" w:hRule="exact"/>
        </w:trPr>
        <w:tc>
          <w:tcPr>
            <w:tcW w:w="1259" w:type="dxa"/>
            <w:vMerge w:val="restart"/>
            <w:tcBorders>
              <w:top w:val="nil" w:sz="6" w:space="0" w:color="auto"/>
              <w:left w:val="single" w:sz="4" w:space="0" w:color="000000"/>
              <w:right w:val="single" w:sz="4" w:space="0" w:color="000000"/>
            </w:tcBorders>
            <w:shd w:val="clear" w:color="auto" w:fill="D2D2D2"/>
          </w:tcPr>
          <w:p>
            <w:pPr/>
          </w:p>
        </w:tc>
        <w:tc>
          <w:tcPr>
            <w:tcW w:w="1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86"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0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593" w:type="dxa"/>
            <w:vMerge/>
            <w:tcBorders>
              <w:left w:val="single" w:sz="4" w:space="0" w:color="000000"/>
              <w:bottom w:val="nil" w:sz="6" w:space="0" w:color="auto"/>
              <w:right w:val="single" w:sz="4" w:space="0" w:color="000000"/>
            </w:tcBorders>
            <w:shd w:val="clear" w:color="auto" w:fill="D2D2D2"/>
          </w:tcPr>
          <w:p>
            <w:pPr/>
          </w:p>
        </w:tc>
      </w:tr>
      <w:tr>
        <w:trPr>
          <w:trHeight w:val="211" w:hRule="exact"/>
        </w:trPr>
        <w:tc>
          <w:tcPr>
            <w:tcW w:w="1259" w:type="dxa"/>
            <w:vMerge/>
            <w:tcBorders>
              <w:left w:val="single" w:sz="4" w:space="0" w:color="000000"/>
              <w:bottom w:val="single" w:sz="4" w:space="0" w:color="000000"/>
              <w:right w:val="single" w:sz="4" w:space="0" w:color="000000"/>
            </w:tcBorders>
            <w:shd w:val="clear" w:color="auto" w:fill="D2D2D2"/>
          </w:tcPr>
          <w:p>
            <w:pPr/>
          </w:p>
        </w:tc>
        <w:tc>
          <w:tcPr>
            <w:tcW w:w="1425" w:type="dxa"/>
            <w:vMerge/>
            <w:tcBorders>
              <w:left w:val="single" w:sz="4" w:space="0" w:color="000000"/>
              <w:bottom w:val="single" w:sz="4" w:space="0" w:color="000000"/>
              <w:right w:val="single" w:sz="4" w:space="0" w:color="000000"/>
            </w:tcBorders>
            <w:shd w:val="clear" w:color="auto" w:fill="D2D2D2"/>
          </w:tcPr>
          <w:p>
            <w:pPr/>
          </w:p>
        </w:tc>
        <w:tc>
          <w:tcPr>
            <w:tcW w:w="1127" w:type="dxa"/>
            <w:vMerge/>
            <w:tcBorders>
              <w:left w:val="single" w:sz="4" w:space="0" w:color="000000"/>
              <w:bottom w:val="single" w:sz="4" w:space="0" w:color="000000"/>
              <w:right w:val="single" w:sz="4" w:space="0" w:color="000000"/>
            </w:tcBorders>
            <w:shd w:val="clear" w:color="auto" w:fill="D2D2D2"/>
          </w:tcPr>
          <w:p>
            <w:pPr/>
          </w:p>
        </w:tc>
        <w:tc>
          <w:tcPr>
            <w:tcW w:w="128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030" w:type="dxa"/>
            <w:vMerge/>
            <w:tcBorders>
              <w:left w:val="single" w:sz="4" w:space="0" w:color="000000"/>
              <w:bottom w:val="single" w:sz="4" w:space="0" w:color="000000"/>
              <w:right w:val="single" w:sz="4" w:space="0" w:color="000000"/>
            </w:tcBorders>
            <w:shd w:val="clear" w:color="auto" w:fill="D2D2D2"/>
          </w:tcPr>
          <w:p>
            <w:pPr/>
          </w:p>
        </w:tc>
        <w:tc>
          <w:tcPr>
            <w:tcW w:w="159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2" w:hRule="exact"/>
        </w:trPr>
        <w:tc>
          <w:tcPr>
            <w:tcW w:w="1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9" w:right="0"/>
              <w:jc w:val="left"/>
              <w:rPr>
                <w:rFonts w:ascii="Times New Roman" w:hAnsi="Times New Roman" w:cs="Times New Roman" w:eastAsia="Times New Roman" w:hint="default"/>
                <w:sz w:val="18"/>
                <w:szCs w:val="18"/>
              </w:rPr>
            </w:pPr>
            <w:r>
              <w:rPr>
                <w:rFonts w:ascii="Times New Roman"/>
                <w:sz w:val="18"/>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9" w:right="0"/>
              <w:jc w:val="left"/>
              <w:rPr>
                <w:rFonts w:ascii="Times New Roman" w:hAnsi="Times New Roman" w:cs="Times New Roman" w:eastAsia="Times New Roman" w:hint="default"/>
                <w:sz w:val="18"/>
                <w:szCs w:val="18"/>
              </w:rPr>
            </w:pPr>
            <w:r>
              <w:rPr>
                <w:rFonts w:ascii="Times New Roman"/>
                <w:sz w:val="18"/>
              </w:rPr>
              <w:t>--</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8" w:right="0"/>
              <w:jc w:val="left"/>
              <w:rPr>
                <w:rFonts w:ascii="Times New Roman" w:hAnsi="Times New Roman" w:cs="Times New Roman" w:eastAsia="Times New Roman" w:hint="default"/>
                <w:sz w:val="18"/>
                <w:szCs w:val="18"/>
              </w:rPr>
            </w:pPr>
            <w:r>
              <w:rPr>
                <w:rFonts w:ascii="Times New Roman"/>
                <w:sz w:val="18"/>
              </w:rPr>
              <w:t>--</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4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107,953,645.69</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83.76%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5,397,682.28</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107,809,557.42</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69.67%</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5,390,477.87</w:t>
            </w:r>
          </w:p>
        </w:tc>
      </w:tr>
      <w:tr>
        <w:trPr>
          <w:trHeight w:val="403" w:hRule="exact"/>
        </w:trPr>
        <w:tc>
          <w:tcPr>
            <w:tcW w:w="1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9,679,958.86</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7.51%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967,995.89</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9,903,737.69</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6.4%</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990,373.77</w:t>
            </w:r>
          </w:p>
        </w:tc>
      </w:tr>
      <w:tr>
        <w:trPr>
          <w:trHeight w:val="401" w:hRule="exact"/>
        </w:trPr>
        <w:tc>
          <w:tcPr>
            <w:tcW w:w="1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6,555,942.59</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5.09%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3,277,971.30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35,295,876.17</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22.81%</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17,647,938.09</w:t>
            </w:r>
          </w:p>
        </w:tc>
      </w:tr>
      <w:tr>
        <w:trPr>
          <w:trHeight w:val="404" w:hRule="exact"/>
        </w:trPr>
        <w:tc>
          <w:tcPr>
            <w:tcW w:w="1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4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4,693,256.76</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3.64%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4,223,931.08</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1,736,263.20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1.12%</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1,562,636.88</w:t>
            </w:r>
          </w:p>
        </w:tc>
      </w:tr>
      <w:tr>
        <w:trPr>
          <w:trHeight w:val="403" w:hRule="exact"/>
        </w:trPr>
        <w:tc>
          <w:tcPr>
            <w:tcW w:w="1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128,882,803.90</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12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13,867,580.55</w:t>
            </w:r>
          </w:p>
        </w:tc>
        <w:tc>
          <w:tcPr>
            <w:tcW w:w="183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154,745,434.48</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5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25,591,426.61</w:t>
            </w:r>
          </w:p>
        </w:tc>
      </w:tr>
    </w:tbl>
    <w:p>
      <w:pPr>
        <w:pStyle w:val="BodyText"/>
        <w:spacing w:line="240" w:lineRule="auto" w:before="49"/>
        <w:ind w:right="144"/>
        <w:jc w:val="left"/>
      </w:pPr>
      <w:r>
        <w:rPr/>
        <w:t>组合中，采用余额百分比法计提坏账准备的应收账款</w:t>
      </w:r>
    </w:p>
    <w:p>
      <w:pPr>
        <w:pStyle w:val="BodyText"/>
        <w:spacing w:line="340" w:lineRule="auto" w:before="115"/>
        <w:ind w:right="5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40" w:lineRule="auto" w:before="39"/>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spacing w:after="0" w:line="340" w:lineRule="auto"/>
        <w:jc w:val="left"/>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）本报告期不存在转回或收回的应收账款情况。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）本报告期不存在实际核销的应收账款情况。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）本报告期应收账款中无持有公司</w:t>
      </w:r>
      <w:r>
        <w:rPr>
          <w:spacing w:val="-55"/>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03"/>
        <w:gridCol w:w="1274"/>
        <w:gridCol w:w="1431"/>
        <w:gridCol w:w="1394"/>
        <w:gridCol w:w="2279"/>
      </w:tblGrid>
      <w:tr>
        <w:trPr>
          <w:trHeight w:val="396"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9" w:hRule="exact"/>
        </w:trPr>
        <w:tc>
          <w:tcPr>
            <w:tcW w:w="340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新民信国际租赁有限公司</w:t>
            </w:r>
          </w:p>
        </w:tc>
        <w:tc>
          <w:tcPr>
            <w:tcW w:w="127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31" w:type="dxa"/>
            <w:tcBorders>
              <w:top w:val="single" w:sz="4" w:space="0" w:color="000000"/>
              <w:left w:val="single" w:sz="4" w:space="0" w:color="000000"/>
              <w:bottom w:val="single" w:sz="4" w:space="0" w:color="000000"/>
              <w:right w:val="single" w:sz="13" w:space="0" w:color="CCE8CC"/>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18,500,400.00</w:t>
            </w:r>
          </w:p>
        </w:tc>
        <w:tc>
          <w:tcPr>
            <w:tcW w:w="13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3"/>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79" w:type="dxa"/>
            <w:tcBorders>
              <w:top w:val="single" w:sz="4" w:space="0" w:color="000000"/>
              <w:left w:val="single" w:sz="10" w:space="0" w:color="CCE8CC"/>
              <w:bottom w:val="single" w:sz="4" w:space="0" w:color="000000"/>
              <w:right w:val="single" w:sz="4" w:space="0" w:color="000000"/>
            </w:tcBorders>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sz w:val="18"/>
              </w:rPr>
              <w:t>14.35%</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127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31" w:type="dxa"/>
            <w:tcBorders>
              <w:top w:val="single" w:sz="4" w:space="0" w:color="000000"/>
              <w:left w:val="single" w:sz="4" w:space="0" w:color="000000"/>
              <w:bottom w:val="single" w:sz="4" w:space="0" w:color="000000"/>
              <w:right w:val="single" w:sz="13" w:space="0" w:color="CCE8CC"/>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12,292,131.47</w:t>
            </w:r>
          </w:p>
        </w:tc>
        <w:tc>
          <w:tcPr>
            <w:tcW w:w="13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79" w:type="dxa"/>
            <w:tcBorders>
              <w:top w:val="single" w:sz="4" w:space="0" w:color="000000"/>
              <w:left w:val="single" w:sz="10" w:space="0" w:color="CCE8CC"/>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9.54%</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广东省东莞市邮政局</w:t>
            </w:r>
          </w:p>
        </w:tc>
        <w:tc>
          <w:tcPr>
            <w:tcW w:w="127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31" w:type="dxa"/>
            <w:tcBorders>
              <w:top w:val="single" w:sz="4" w:space="0" w:color="000000"/>
              <w:left w:val="single" w:sz="4" w:space="0" w:color="000000"/>
              <w:bottom w:val="single" w:sz="4" w:space="0" w:color="000000"/>
              <w:right w:val="single" w:sz="13" w:space="0" w:color="CCE8CC"/>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9,623,319.98</w:t>
            </w:r>
          </w:p>
        </w:tc>
        <w:tc>
          <w:tcPr>
            <w:tcW w:w="13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79" w:type="dxa"/>
            <w:tcBorders>
              <w:top w:val="single" w:sz="4" w:space="0" w:color="000000"/>
              <w:left w:val="single" w:sz="10" w:space="0" w:color="CCE8CC"/>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7.47%</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中国邮政储蓄银行有限责任公司深圳分行</w:t>
            </w:r>
          </w:p>
        </w:tc>
        <w:tc>
          <w:tcPr>
            <w:tcW w:w="127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31" w:type="dxa"/>
            <w:tcBorders>
              <w:top w:val="single" w:sz="4" w:space="0" w:color="000000"/>
              <w:left w:val="single" w:sz="4" w:space="0" w:color="000000"/>
              <w:bottom w:val="single" w:sz="4" w:space="0" w:color="000000"/>
              <w:right w:val="single" w:sz="13" w:space="0" w:color="CCE8CC"/>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7,325,291.38</w:t>
            </w:r>
          </w:p>
        </w:tc>
        <w:tc>
          <w:tcPr>
            <w:tcW w:w="13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79" w:type="dxa"/>
            <w:tcBorders>
              <w:top w:val="single" w:sz="4" w:space="0" w:color="000000"/>
              <w:left w:val="single" w:sz="10" w:space="0" w:color="CCE8CC"/>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5.68%</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陕西西安冠林智能科技有限公司</w:t>
            </w:r>
          </w:p>
        </w:tc>
        <w:tc>
          <w:tcPr>
            <w:tcW w:w="127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31" w:type="dxa"/>
            <w:tcBorders>
              <w:top w:val="single" w:sz="4" w:space="0" w:color="000000"/>
              <w:left w:val="single" w:sz="4" w:space="0" w:color="000000"/>
              <w:bottom w:val="single" w:sz="4" w:space="0" w:color="000000"/>
              <w:right w:val="single" w:sz="13" w:space="0" w:color="CCE8CC"/>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5,630,000.01</w:t>
            </w:r>
          </w:p>
        </w:tc>
        <w:tc>
          <w:tcPr>
            <w:tcW w:w="139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2279" w:type="dxa"/>
            <w:tcBorders>
              <w:top w:val="single" w:sz="4" w:space="0" w:color="000000"/>
              <w:left w:val="single" w:sz="10" w:space="0" w:color="CCE8CC"/>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4.37%</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3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53,371,142.84</w:t>
            </w:r>
          </w:p>
        </w:tc>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41.41%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）本报告期末不存在应收关联方账款。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）不符合终止确认条件的应收账款的转移金额为</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）本报告期不存在以应收款项为标的资产进行资产证券化的情况。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4"/>
        <w:gridCol w:w="1277"/>
        <w:gridCol w:w="850"/>
        <w:gridCol w:w="1133"/>
        <w:gridCol w:w="710"/>
        <w:gridCol w:w="1133"/>
        <w:gridCol w:w="711"/>
        <w:gridCol w:w="1133"/>
        <w:gridCol w:w="778"/>
      </w:tblGrid>
      <w:tr>
        <w:trPr>
          <w:trHeight w:val="402"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9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4" w:type="dxa"/>
            <w:vMerge/>
            <w:tcBorders>
              <w:left w:val="single" w:sz="4" w:space="0" w:color="000000"/>
              <w:right w:val="single" w:sz="4" w:space="0" w:color="000000"/>
            </w:tcBorders>
            <w:shd w:val="clear" w:color="auto" w:fill="D2D2D2"/>
          </w:tcPr>
          <w:p>
            <w:pP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3"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：账龄分析法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24,961,514.10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2,095,475.33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33,057,270.00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2,286,046.99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6.92%</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：余额百分比法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2,545,585.46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9.25%</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2,478,342.24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6.97%</w:t>
            </w:r>
          </w:p>
        </w:tc>
        <w:tc>
          <w:tcPr>
            <w:tcW w:w="113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27,507,099.56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2,095,475.33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35,535,612.24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2,286,046.99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27,507,099.56</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2,095,475.33</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35,535,612.24</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2,286,046.99</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期末单项金额重大并单项计提坏账准备的其他应收款</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88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0" w:top="1060" w:bottom="1160" w:left="980" w:right="980"/>
        </w:sectPr>
      </w:pPr>
    </w:p>
    <w:p>
      <w:pPr>
        <w:pStyle w:val="BodyText"/>
        <w:spacing w:line="240" w:lineRule="auto" w:before="44"/>
        <w:ind w:right="-20"/>
        <w:jc w:val="left"/>
      </w:pPr>
      <w:r>
        <w:rPr/>
        <w:t>组合中，采用账龄分析法计提坏账准备的其他应收款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2"/>
        <w:gridCol w:w="1435"/>
        <w:gridCol w:w="850"/>
        <w:gridCol w:w="1559"/>
        <w:gridCol w:w="1843"/>
        <w:gridCol w:w="898"/>
        <w:gridCol w:w="1725"/>
      </w:tblGrid>
      <w:tr>
        <w:trPr>
          <w:trHeight w:val="402" w:hRule="exact"/>
        </w:trPr>
        <w:tc>
          <w:tcPr>
            <w:tcW w:w="12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4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5" w:hRule="exact"/>
        </w:trPr>
        <w:tc>
          <w:tcPr>
            <w:tcW w:w="12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2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5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262" w:type="dxa"/>
            <w:vMerge/>
            <w:tcBorders>
              <w:left w:val="single" w:sz="4" w:space="0" w:color="000000"/>
              <w:bottom w:val="nil" w:sz="6" w:space="0" w:color="auto"/>
              <w:right w:val="single" w:sz="4" w:space="0" w:color="000000"/>
            </w:tcBorders>
            <w:shd w:val="clear" w:color="auto" w:fill="D2D2D2"/>
          </w:tcPr>
          <w:p>
            <w:pPr/>
          </w:p>
        </w:tc>
        <w:tc>
          <w:tcPr>
            <w:tcW w:w="2284" w:type="dxa"/>
            <w:gridSpan w:val="2"/>
            <w:vMerge/>
            <w:tcBorders>
              <w:left w:val="single" w:sz="4" w:space="0" w:color="000000"/>
              <w:bottom w:val="single" w:sz="4" w:space="0" w:color="000000"/>
              <w:right w:val="single" w:sz="4" w:space="0" w:color="000000"/>
            </w:tcBorders>
            <w:shd w:val="clear" w:color="auto" w:fill="D2D2D2"/>
          </w:tcPr>
          <w:p>
            <w:pPr/>
          </w:p>
        </w:tc>
        <w:tc>
          <w:tcPr>
            <w:tcW w:w="15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41" w:type="dxa"/>
            <w:gridSpan w:val="2"/>
            <w:vMerge/>
            <w:tcBorders>
              <w:left w:val="single" w:sz="4" w:space="0" w:color="000000"/>
              <w:bottom w:val="single" w:sz="4" w:space="0" w:color="000000"/>
              <w:right w:val="single" w:sz="4" w:space="0" w:color="000000"/>
            </w:tcBorders>
            <w:shd w:val="clear" w:color="auto" w:fill="D2D2D2"/>
          </w:tcPr>
          <w:p>
            <w:pPr/>
          </w:p>
        </w:tc>
        <w:tc>
          <w:tcPr>
            <w:tcW w:w="17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7" w:hRule="exact"/>
        </w:trPr>
        <w:tc>
          <w:tcPr>
            <w:tcW w:w="1262" w:type="dxa"/>
            <w:vMerge w:val="restart"/>
            <w:tcBorders>
              <w:top w:val="nil" w:sz="6" w:space="0" w:color="auto"/>
              <w:left w:val="single" w:sz="4" w:space="0" w:color="000000"/>
              <w:right w:val="single" w:sz="4" w:space="0" w:color="000000"/>
            </w:tcBorders>
            <w:shd w:val="clear" w:color="auto" w:fill="D2D2D2"/>
          </w:tcPr>
          <w:p>
            <w:pPr/>
          </w:p>
        </w:tc>
        <w:tc>
          <w:tcPr>
            <w:tcW w:w="14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559" w:type="dxa"/>
            <w:vMerge/>
            <w:tcBorders>
              <w:left w:val="single" w:sz="4" w:space="0" w:color="000000"/>
              <w:bottom w:val="nil" w:sz="6" w:space="0" w:color="auto"/>
              <w:right w:val="single" w:sz="4" w:space="0" w:color="000000"/>
            </w:tcBorders>
            <w:shd w:val="clear" w:color="auto" w:fill="D2D2D2"/>
          </w:tcPr>
          <w:p>
            <w:pPr/>
          </w:p>
        </w:tc>
        <w:tc>
          <w:tcPr>
            <w:tcW w:w="18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262" w:type="dxa"/>
            <w:vMerge/>
            <w:tcBorders>
              <w:left w:val="single" w:sz="4" w:space="0" w:color="000000"/>
              <w:bottom w:val="single" w:sz="4" w:space="0" w:color="000000"/>
              <w:right w:val="single" w:sz="4" w:space="0" w:color="000000"/>
            </w:tcBorders>
            <w:shd w:val="clear" w:color="auto" w:fill="D2D2D2"/>
          </w:tcPr>
          <w:p>
            <w:pPr/>
          </w:p>
        </w:tc>
        <w:tc>
          <w:tcPr>
            <w:tcW w:w="1435"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3"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72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22,068,031.67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88.41%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1,103,401.58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31,273,952.21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94.61%</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1,563,697.61</w:t>
            </w:r>
          </w:p>
        </w:tc>
      </w:tr>
      <w:tr>
        <w:trPr>
          <w:trHeight w:val="401"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1,747,907.91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174,790.79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993,781.41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99,378.14</w:t>
            </w:r>
          </w:p>
        </w:tc>
      </w:tr>
      <w:tr>
        <w:trPr>
          <w:trHeight w:val="404"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534,335.28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267,167.64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219,028.77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0.66%</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109,514.39</w:t>
            </w:r>
          </w:p>
        </w:tc>
      </w:tr>
      <w:tr>
        <w:trPr>
          <w:trHeight w:val="401"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611,239.24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550,115.32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570,507.61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1.73%</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513,456.85</w:t>
            </w:r>
          </w:p>
        </w:tc>
      </w:tr>
      <w:tr>
        <w:trPr>
          <w:trHeight w:val="403"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24,961,514.10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2,095,475.33</w:t>
            </w:r>
          </w:p>
        </w:tc>
        <w:tc>
          <w:tcPr>
            <w:tcW w:w="184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33,057,270.00</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7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2,286,046.99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240" w:lineRule="auto" w:before="49"/>
        <w:ind w:right="-20"/>
        <w:jc w:val="left"/>
      </w:pPr>
      <w:r>
        <w:rPr/>
        <w:t>组合中，采用余额百分比法计提坏账准备的其他应收款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8"/>
        <w:gridCol w:w="2165"/>
        <w:gridCol w:w="2168"/>
        <w:gridCol w:w="2168"/>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应收补贴款</w:t>
            </w:r>
            <w:r>
              <w:rPr>
                <w:rFonts w:ascii="Times New Roman" w:hAnsi="Times New Roman" w:cs="Times New Roman" w:eastAsia="Times New Roman" w:hint="default"/>
                <w:sz w:val="18"/>
                <w:szCs w:val="18"/>
              </w:rPr>
              <w:t>—</w:t>
            </w:r>
            <w:r>
              <w:rPr>
                <w:rFonts w:ascii="宋体" w:hAnsi="宋体" w:cs="宋体" w:eastAsia="宋体" w:hint="default"/>
                <w:sz w:val="18"/>
                <w:szCs w:val="18"/>
              </w:rPr>
              <w:t>增值税退税</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1,219,639.28</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应收补贴款</w:t>
            </w:r>
            <w:r>
              <w:rPr>
                <w:rFonts w:ascii="Times New Roman" w:hAnsi="Times New Roman" w:cs="Times New Roman" w:eastAsia="Times New Roman" w:hint="default"/>
                <w:sz w:val="18"/>
                <w:szCs w:val="18"/>
              </w:rPr>
              <w:t>—</w:t>
            </w:r>
            <w:r>
              <w:rPr>
                <w:rFonts w:ascii="宋体" w:hAnsi="宋体" w:cs="宋体" w:eastAsia="宋体" w:hint="default"/>
                <w:sz w:val="18"/>
                <w:szCs w:val="18"/>
              </w:rPr>
              <w:t>出口退税</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1,325,946.18</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2,545,585.46</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21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44"/>
        <w:jc w:val="left"/>
      </w:pPr>
      <w:r>
        <w:rPr/>
        <w:t>组合中，采用其他方法计提坏账准备的其他应收款</w:t>
      </w:r>
    </w:p>
    <w:p>
      <w:pPr>
        <w:pStyle w:val="BodyText"/>
        <w:spacing w:line="340" w:lineRule="auto" w:before="115"/>
        <w:ind w:right="5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41"/>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44"/>
        <w:jc w:val="left"/>
        <w:rPr>
          <w:b w:val="0"/>
          <w:bCs w:val="0"/>
        </w:rPr>
      </w:pPr>
      <w:r>
        <w:rPr/>
        <w:t>（</w:t>
      </w:r>
      <w:r>
        <w:rPr>
          <w:rFonts w:ascii="Times New Roman" w:hAnsi="Times New Roman" w:cs="Times New Roman" w:eastAsia="Times New Roman" w:hint="default"/>
        </w:rPr>
        <w:t>2</w:t>
      </w:r>
      <w:r>
        <w:rPr/>
        <w:t>）本报告期不存在转回或收回的其他应收款情况。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3</w:t>
      </w:r>
      <w:r>
        <w:rPr/>
        <w:t>）本报告期不存在实际核销的其他应收款情况。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4</w:t>
      </w:r>
      <w:r>
        <w:rPr/>
        <w:t>）本报告期其他应收款中无持有公司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5</w:t>
      </w:r>
      <w:r>
        <w:rPr/>
        <w:t>）其他应收款金额前五名单位情况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4"/>
        <w:gridCol w:w="1560"/>
        <w:gridCol w:w="1560"/>
        <w:gridCol w:w="991"/>
        <w:gridCol w:w="2627"/>
      </w:tblGrid>
      <w:tr>
        <w:trPr>
          <w:trHeight w:val="397"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7" w:hRule="exact"/>
        </w:trPr>
        <w:tc>
          <w:tcPr>
            <w:tcW w:w="28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深圳市信威电子有限公司</w:t>
            </w:r>
          </w:p>
        </w:tc>
        <w:tc>
          <w:tcPr>
            <w:tcW w:w="156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81" w:right="0"/>
              <w:jc w:val="left"/>
              <w:rPr>
                <w:rFonts w:ascii="Times New Roman" w:hAnsi="Times New Roman" w:cs="Times New Roman" w:eastAsia="Times New Roman" w:hint="default"/>
                <w:sz w:val="18"/>
                <w:szCs w:val="18"/>
              </w:rPr>
            </w:pPr>
            <w:r>
              <w:rPr>
                <w:rFonts w:ascii="Times New Roman"/>
                <w:sz w:val="18"/>
              </w:rPr>
              <w:t>7,000,000.00</w:t>
            </w:r>
          </w:p>
        </w:tc>
        <w:tc>
          <w:tcPr>
            <w:tcW w:w="9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25.45%</w:t>
            </w: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广州御银自动柜员机技术有限公司</w:t>
            </w:r>
          </w:p>
        </w:tc>
        <w:tc>
          <w:tcPr>
            <w:tcW w:w="156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1" w:right="0"/>
              <w:jc w:val="left"/>
              <w:rPr>
                <w:rFonts w:ascii="Times New Roman" w:hAnsi="Times New Roman" w:cs="Times New Roman" w:eastAsia="Times New Roman" w:hint="default"/>
                <w:sz w:val="18"/>
                <w:szCs w:val="18"/>
              </w:rPr>
            </w:pPr>
            <w:r>
              <w:rPr>
                <w:rFonts w:ascii="Times New Roman"/>
                <w:sz w:val="18"/>
              </w:rPr>
              <w:t>4,335,132.35</w:t>
            </w:r>
          </w:p>
        </w:tc>
        <w:tc>
          <w:tcPr>
            <w:tcW w:w="9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15.76%</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广州市国家税务局</w:t>
            </w:r>
          </w:p>
        </w:tc>
        <w:tc>
          <w:tcPr>
            <w:tcW w:w="156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税收主管部门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1" w:right="0"/>
              <w:jc w:val="left"/>
              <w:rPr>
                <w:rFonts w:ascii="Times New Roman" w:hAnsi="Times New Roman" w:cs="Times New Roman" w:eastAsia="Times New Roman" w:hint="default"/>
                <w:sz w:val="18"/>
                <w:szCs w:val="18"/>
              </w:rPr>
            </w:pPr>
            <w:r>
              <w:rPr>
                <w:rFonts w:ascii="Times New Roman"/>
                <w:sz w:val="18"/>
              </w:rPr>
              <w:t>2,545,585.46</w:t>
            </w:r>
          </w:p>
        </w:tc>
        <w:tc>
          <w:tcPr>
            <w:tcW w:w="9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9.25%</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4"/>
        <w:gridCol w:w="1560"/>
        <w:gridCol w:w="1560"/>
        <w:gridCol w:w="991"/>
        <w:gridCol w:w="2627"/>
      </w:tblGrid>
      <w:tr>
        <w:trPr>
          <w:trHeight w:val="402" w:hRule="exact"/>
        </w:trPr>
        <w:tc>
          <w:tcPr>
            <w:tcW w:w="28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156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关键管理人员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789,038.13</w:t>
            </w:r>
          </w:p>
        </w:tc>
        <w:tc>
          <w:tcPr>
            <w:tcW w:w="9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74"/>
              <w:jc w:val="right"/>
              <w:rPr>
                <w:rFonts w:ascii="Times New Roman" w:hAnsi="Times New Roman" w:cs="Times New Roman" w:eastAsia="Times New Roman" w:hint="default"/>
                <w:sz w:val="18"/>
                <w:szCs w:val="18"/>
              </w:rPr>
            </w:pPr>
            <w:r>
              <w:rPr>
                <w:rFonts w:ascii="Times New Roman"/>
                <w:sz w:val="18"/>
              </w:rPr>
              <w:t>2.87%</w:t>
            </w: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56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560,000.00</w:t>
            </w:r>
          </w:p>
        </w:tc>
        <w:tc>
          <w:tcPr>
            <w:tcW w:w="9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74"/>
              <w:jc w:val="right"/>
              <w:rPr>
                <w:rFonts w:ascii="Times New Roman" w:hAnsi="Times New Roman" w:cs="Times New Roman" w:eastAsia="Times New Roman" w:hint="default"/>
                <w:sz w:val="18"/>
                <w:szCs w:val="18"/>
              </w:rPr>
            </w:pPr>
            <w:r>
              <w:rPr>
                <w:rFonts w:ascii="Times New Roman"/>
                <w:sz w:val="18"/>
              </w:rPr>
              <w:t>2.04%</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15,229,755.94</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7"/>
              <w:jc w:val="right"/>
              <w:rPr>
                <w:rFonts w:ascii="Times New Roman" w:hAnsi="Times New Roman" w:cs="Times New Roman" w:eastAsia="Times New Roman" w:hint="default"/>
                <w:sz w:val="18"/>
                <w:szCs w:val="18"/>
              </w:rPr>
            </w:pPr>
            <w:r>
              <w:rPr>
                <w:rFonts w:ascii="Times New Roman"/>
                <w:sz w:val="18"/>
              </w:rPr>
              <w:t>55.37%</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t>（</w:t>
      </w:r>
      <w:r>
        <w:rPr>
          <w:rFonts w:ascii="Times New Roman" w:hAnsi="Times New Roman" w:cs="Times New Roman" w:eastAsia="Times New Roman" w:hint="default"/>
        </w:rPr>
        <w:t>6</w:t>
      </w:r>
      <w:r>
        <w:rPr/>
        <w:t>）其他应收关联方账款情况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4"/>
        <w:gridCol w:w="1691"/>
        <w:gridCol w:w="2613"/>
        <w:gridCol w:w="2429"/>
      </w:tblGrid>
      <w:tr>
        <w:trPr>
          <w:trHeight w:val="402"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广州御银自动柜员机技术有限公司</w:t>
            </w:r>
          </w:p>
        </w:tc>
        <w:tc>
          <w:tcPr>
            <w:tcW w:w="16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613"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4,335,132.35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15.76%</w:t>
            </w: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御银科技（香港）有限公司</w:t>
            </w:r>
          </w:p>
        </w:tc>
        <w:tc>
          <w:tcPr>
            <w:tcW w:w="16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613"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524,915.89</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1.91%</w:t>
            </w: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御银</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科技国际有限公司</w:t>
            </w:r>
          </w:p>
        </w:tc>
        <w:tc>
          <w:tcPr>
            <w:tcW w:w="16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613"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31,502.40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0.11%</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张成虎</w:t>
            </w:r>
          </w:p>
        </w:tc>
        <w:tc>
          <w:tcPr>
            <w:tcW w:w="16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关键关联人员</w:t>
            </w:r>
          </w:p>
        </w:tc>
        <w:tc>
          <w:tcPr>
            <w:tcW w:w="2613"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25,246.00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0.09%</w:t>
            </w: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16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8" w:right="0"/>
              <w:jc w:val="center"/>
              <w:rPr>
                <w:rFonts w:ascii="宋体" w:hAnsi="宋体" w:cs="宋体" w:eastAsia="宋体" w:hint="default"/>
                <w:sz w:val="18"/>
                <w:szCs w:val="18"/>
              </w:rPr>
            </w:pPr>
            <w:r>
              <w:rPr>
                <w:rFonts w:ascii="宋体" w:hAnsi="宋体" w:cs="宋体" w:eastAsia="宋体" w:hint="default"/>
                <w:sz w:val="18"/>
                <w:szCs w:val="18"/>
              </w:rPr>
              <w:t>关键关联人员</w:t>
            </w:r>
          </w:p>
        </w:tc>
        <w:tc>
          <w:tcPr>
            <w:tcW w:w="2613"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789,038.13</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2.87%</w:t>
            </w: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庞泰松</w:t>
            </w:r>
          </w:p>
        </w:tc>
        <w:tc>
          <w:tcPr>
            <w:tcW w:w="16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关键关联人员</w:t>
            </w:r>
          </w:p>
        </w:tc>
        <w:tc>
          <w:tcPr>
            <w:tcW w:w="2613"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41,482.30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徐德银</w:t>
            </w:r>
          </w:p>
        </w:tc>
        <w:tc>
          <w:tcPr>
            <w:tcW w:w="16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0"/>
              <w:ind w:left="8" w:right="0"/>
              <w:jc w:val="center"/>
              <w:rPr>
                <w:rFonts w:ascii="宋体" w:hAnsi="宋体" w:cs="宋体" w:eastAsia="宋体" w:hint="default"/>
                <w:sz w:val="18"/>
                <w:szCs w:val="18"/>
              </w:rPr>
            </w:pPr>
            <w:r>
              <w:rPr>
                <w:rFonts w:ascii="宋体" w:hAnsi="宋体" w:cs="宋体" w:eastAsia="宋体" w:hint="default"/>
                <w:sz w:val="18"/>
                <w:szCs w:val="18"/>
              </w:rPr>
              <w:t>关键关联人员</w:t>
            </w:r>
          </w:p>
        </w:tc>
        <w:tc>
          <w:tcPr>
            <w:tcW w:w="2613"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49,663.99</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0.18%</w:t>
            </w: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169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关键关联人员</w:t>
            </w:r>
          </w:p>
        </w:tc>
        <w:tc>
          <w:tcPr>
            <w:tcW w:w="2613"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6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5,837,781.06</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21.22%</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t>（</w:t>
      </w:r>
      <w:r>
        <w:rPr>
          <w:rFonts w:ascii="Times New Roman" w:hAnsi="Times New Roman" w:cs="Times New Roman" w:eastAsia="Times New Roman" w:hint="default"/>
        </w:rPr>
        <w:t>7</w:t>
      </w:r>
      <w:r>
        <w:rPr/>
        <w:t>）不符合终止确认条件的其他应收款项的转移金额为</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8</w:t>
      </w:r>
      <w:r>
        <w:rPr/>
        <w:t>）本报告期无以其他应收款项为标的资产进行资产证券化的情况。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330" w:right="144"/>
        <w:jc w:val="left"/>
      </w:pPr>
      <w:r>
        <w:rPr>
          <w:rFonts w:ascii="Times New Roman" w:hAnsi="Times New Roman" w:cs="Times New Roman" w:eastAsia="Times New Roman" w:hint="default"/>
        </w:rPr>
        <w:t>3</w:t>
      </w:r>
      <w:r>
        <w:rPr/>
        <w:t>、长期股权投资</w:t>
      </w:r>
    </w:p>
    <w:p>
      <w:pPr>
        <w:pStyle w:val="BodyText"/>
        <w:spacing w:line="240" w:lineRule="auto" w:before="103"/>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3"/>
        <w:gridCol w:w="598"/>
        <w:gridCol w:w="799"/>
        <w:gridCol w:w="797"/>
        <w:gridCol w:w="799"/>
        <w:gridCol w:w="797"/>
        <w:gridCol w:w="746"/>
        <w:gridCol w:w="851"/>
        <w:gridCol w:w="1276"/>
        <w:gridCol w:w="425"/>
        <w:gridCol w:w="850"/>
        <w:gridCol w:w="641"/>
      </w:tblGrid>
      <w:tr>
        <w:trPr>
          <w:trHeight w:val="1338"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03" w:right="23" w:hanging="180"/>
              <w:jc w:val="left"/>
              <w:rPr>
                <w:rFonts w:ascii="宋体" w:hAnsi="宋体" w:cs="宋体" w:eastAsia="宋体" w:hint="default"/>
                <w:sz w:val="18"/>
                <w:szCs w:val="18"/>
              </w:rPr>
            </w:pPr>
            <w:r>
              <w:rPr>
                <w:rFonts w:ascii="宋体" w:hAnsi="宋体" w:cs="宋体" w:eastAsia="宋体" w:hint="default"/>
                <w:sz w:val="18"/>
                <w:szCs w:val="18"/>
              </w:rPr>
              <w:t>核算方 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8"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 资单位 持股比 例</w:t>
            </w:r>
            <w:r>
              <w:rPr>
                <w:rFonts w:ascii="Times New Roman" w:hAnsi="Times New Roman" w:cs="Times New Roman" w:eastAsia="Times New Roman"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9" w:right="59"/>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2" w:right="92"/>
              <w:jc w:val="center"/>
              <w:rPr>
                <w:rFonts w:ascii="宋体" w:hAnsi="宋体" w:cs="宋体" w:eastAsia="宋体" w:hint="default"/>
                <w:sz w:val="18"/>
                <w:szCs w:val="18"/>
              </w:rPr>
            </w:pPr>
            <w:r>
              <w:rPr>
                <w:rFonts w:ascii="宋体" w:hAnsi="宋体" w:cs="宋体" w:eastAsia="宋体" w:hint="default"/>
                <w:sz w:val="18"/>
                <w:szCs w:val="18"/>
              </w:rPr>
              <w:t>在被投资单位 持股比例与表 决权比例不一 致的说明</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8" w:right="24"/>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60" w:right="59"/>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45" w:right="45"/>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1025" w:hRule="exact"/>
        </w:trPr>
        <w:tc>
          <w:tcPr>
            <w:tcW w:w="99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2" w:right="58"/>
              <w:jc w:val="both"/>
              <w:rPr>
                <w:rFonts w:ascii="宋体" w:hAnsi="宋体" w:cs="宋体" w:eastAsia="宋体" w:hint="default"/>
                <w:sz w:val="18"/>
                <w:szCs w:val="18"/>
              </w:rPr>
            </w:pPr>
            <w:r>
              <w:rPr>
                <w:rFonts w:ascii="宋体" w:hAnsi="宋体" w:cs="宋体" w:eastAsia="宋体" w:hint="default"/>
                <w:sz w:val="18"/>
                <w:szCs w:val="18"/>
              </w:rPr>
              <w:t>北京青年御 银科技有限 责任公司</w:t>
            </w:r>
          </w:p>
        </w:tc>
        <w:tc>
          <w:tcPr>
            <w:tcW w:w="59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1,943,039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-1,943,03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4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99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1"/>
              <w:ind w:left="22" w:right="58"/>
              <w:jc w:val="both"/>
              <w:rPr>
                <w:rFonts w:ascii="宋体" w:hAnsi="宋体" w:cs="宋体" w:eastAsia="宋体" w:hint="default"/>
                <w:sz w:val="18"/>
                <w:szCs w:val="18"/>
              </w:rPr>
            </w:pPr>
            <w:r>
              <w:rPr>
                <w:rFonts w:ascii="宋体" w:hAnsi="宋体" w:cs="宋体" w:eastAsia="宋体" w:hint="default"/>
                <w:sz w:val="18"/>
                <w:szCs w:val="18"/>
              </w:rPr>
              <w:t>北京青年御 银科技有限 责任公司</w:t>
            </w:r>
          </w:p>
        </w:tc>
        <w:tc>
          <w:tcPr>
            <w:tcW w:w="59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w:t>
            </w:r>
          </w:p>
        </w:tc>
        <w:tc>
          <w:tcPr>
            <w:tcW w:w="1276"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9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2" w:right="58"/>
              <w:jc w:val="left"/>
              <w:rPr>
                <w:rFonts w:ascii="宋体" w:hAnsi="宋体" w:cs="宋体" w:eastAsia="宋体" w:hint="default"/>
                <w:sz w:val="18"/>
                <w:szCs w:val="18"/>
              </w:rPr>
            </w:pPr>
            <w:r>
              <w:rPr>
                <w:rFonts w:ascii="宋体" w:hAnsi="宋体" w:cs="宋体" w:eastAsia="宋体" w:hint="default"/>
                <w:sz w:val="18"/>
                <w:szCs w:val="18"/>
              </w:rPr>
              <w:t>广州御新软 件有限公司</w:t>
            </w:r>
          </w:p>
        </w:tc>
        <w:tc>
          <w:tcPr>
            <w:tcW w:w="59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w:t>
            </w:r>
          </w:p>
        </w:tc>
        <w:tc>
          <w:tcPr>
            <w:tcW w:w="1276"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99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1"/>
              <w:ind w:left="22" w:right="58"/>
              <w:jc w:val="both"/>
              <w:rPr>
                <w:rFonts w:ascii="宋体" w:hAnsi="宋体" w:cs="宋体" w:eastAsia="宋体" w:hint="default"/>
                <w:sz w:val="18"/>
                <w:szCs w:val="18"/>
              </w:rPr>
            </w:pPr>
            <w:r>
              <w:rPr>
                <w:rFonts w:ascii="宋体" w:hAnsi="宋体" w:cs="宋体" w:eastAsia="宋体" w:hint="default"/>
                <w:sz w:val="18"/>
                <w:szCs w:val="18"/>
              </w:rPr>
              <w:t>安徽御银电 子科技有限 公司</w:t>
            </w:r>
          </w:p>
        </w:tc>
        <w:tc>
          <w:tcPr>
            <w:tcW w:w="59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4,992,258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4,992,258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4,992,258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.86</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w:t>
            </w:r>
          </w:p>
        </w:tc>
        <w:tc>
          <w:tcPr>
            <w:tcW w:w="1276"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shape style="position:absolute;margin-left:73.443001pt;margin-top:123.859985pt;width:62.7pt;height:15.6pt;mso-position-horizontal-relative:page;mso-position-vertical-relative:page;z-index:-830488" type="#_x0000_t202" filled="false" stroked="false">
            <v:textbox inset="0,0,0,0">
              <w:txbxContent>
                <w:p>
                  <w:pPr>
                    <w:pStyle w:val="BodyText"/>
                    <w:spacing w:line="240" w:lineRule="auto" w:before="49"/>
                    <w:ind w:left="0" w:right="0"/>
                    <w:jc w:val="left"/>
                  </w:pPr>
                  <w:r>
                    <w:rPr/>
                    <w:t>（中国）</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993"/>
        <w:gridCol w:w="598"/>
        <w:gridCol w:w="799"/>
        <w:gridCol w:w="797"/>
        <w:gridCol w:w="799"/>
        <w:gridCol w:w="797"/>
        <w:gridCol w:w="746"/>
        <w:gridCol w:w="851"/>
        <w:gridCol w:w="1276"/>
        <w:gridCol w:w="425"/>
        <w:gridCol w:w="850"/>
        <w:gridCol w:w="641"/>
      </w:tblGrid>
      <w:tr>
        <w:trPr>
          <w:trHeight w:val="1025" w:hRule="exact"/>
        </w:trPr>
        <w:tc>
          <w:tcPr>
            <w:tcW w:w="99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9" w:lineRule="auto" w:before="49"/>
              <w:ind w:left="22" w:right="58"/>
              <w:jc w:val="both"/>
              <w:rPr>
                <w:rFonts w:ascii="宋体" w:hAnsi="宋体" w:cs="宋体" w:eastAsia="宋体" w:hint="default"/>
                <w:sz w:val="18"/>
                <w:szCs w:val="18"/>
              </w:rPr>
            </w:pPr>
            <w:r>
              <w:rPr>
                <w:rFonts w:ascii="宋体" w:hAnsi="宋体" w:cs="宋体" w:eastAsia="宋体" w:hint="default"/>
                <w:sz w:val="18"/>
                <w:szCs w:val="18"/>
              </w:rPr>
              <w:t>广州御银金 融服务有限 公司</w:t>
            </w:r>
          </w:p>
        </w:tc>
        <w:tc>
          <w:tcPr>
            <w:tcW w:w="59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w:t>
            </w:r>
          </w:p>
        </w:tc>
        <w:tc>
          <w:tcPr>
            <w:tcW w:w="1276"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 w:right="142"/>
              <w:jc w:val="left"/>
              <w:rPr>
                <w:rFonts w:ascii="Times New Roman" w:hAnsi="Times New Roman" w:cs="Times New Roman" w:eastAsia="Times New Roman" w:hint="default"/>
                <w:sz w:val="18"/>
                <w:szCs w:val="18"/>
              </w:rPr>
            </w:pPr>
            <w:r>
              <w:rPr>
                <w:rFonts w:ascii="宋体" w:hAnsi="宋体" w:cs="宋体" w:eastAsia="宋体" w:hint="default"/>
                <w:sz w:val="18"/>
                <w:szCs w:val="18"/>
              </w:rPr>
              <w:t>通过御新软件 间接持有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99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御银 科技国际有 限公司</w:t>
            </w:r>
          </w:p>
        </w:tc>
        <w:tc>
          <w:tcPr>
            <w:tcW w:w="59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670,460.0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670,460.0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670,460.0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w:t>
            </w:r>
          </w:p>
        </w:tc>
        <w:tc>
          <w:tcPr>
            <w:tcW w:w="1276"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9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2" w:right="58"/>
              <w:jc w:val="both"/>
              <w:rPr>
                <w:rFonts w:ascii="宋体" w:hAnsi="宋体" w:cs="宋体" w:eastAsia="宋体" w:hint="default"/>
                <w:sz w:val="18"/>
                <w:szCs w:val="18"/>
              </w:rPr>
            </w:pPr>
            <w:r>
              <w:rPr>
                <w:rFonts w:ascii="宋体" w:hAnsi="宋体" w:cs="宋体" w:eastAsia="宋体" w:hint="default"/>
                <w:sz w:val="18"/>
                <w:szCs w:val="18"/>
              </w:rPr>
              <w:t>广州御银先 端电子科技 有限公司</w:t>
            </w:r>
          </w:p>
        </w:tc>
        <w:tc>
          <w:tcPr>
            <w:tcW w:w="59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w:t>
            </w:r>
          </w:p>
        </w:tc>
        <w:tc>
          <w:tcPr>
            <w:tcW w:w="1276"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99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1"/>
              <w:ind w:left="22" w:right="58"/>
              <w:jc w:val="both"/>
              <w:rPr>
                <w:rFonts w:ascii="宋体" w:hAnsi="宋体" w:cs="宋体" w:eastAsia="宋体" w:hint="default"/>
                <w:sz w:val="18"/>
                <w:szCs w:val="18"/>
              </w:rPr>
            </w:pPr>
            <w:r>
              <w:rPr>
                <w:rFonts w:ascii="宋体" w:hAnsi="宋体" w:cs="宋体" w:eastAsia="宋体" w:hint="default"/>
                <w:sz w:val="18"/>
                <w:szCs w:val="18"/>
              </w:rPr>
              <w:t>广州市农村 信用合作联 社</w:t>
            </w:r>
          </w:p>
        </w:tc>
        <w:tc>
          <w:tcPr>
            <w:tcW w:w="59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60,000.00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12,180.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1025" w:hRule="exact"/>
        </w:trPr>
        <w:tc>
          <w:tcPr>
            <w:tcW w:w="99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49"/>
              <w:ind w:left="22" w:right="58"/>
              <w:jc w:val="both"/>
              <w:rPr>
                <w:rFonts w:ascii="宋体" w:hAnsi="宋体" w:cs="宋体" w:eastAsia="宋体" w:hint="default"/>
                <w:sz w:val="18"/>
                <w:szCs w:val="18"/>
              </w:rPr>
            </w:pPr>
            <w:r>
              <w:rPr>
                <w:rFonts w:ascii="宋体" w:hAnsi="宋体" w:cs="宋体" w:eastAsia="宋体" w:hint="default"/>
                <w:sz w:val="18"/>
                <w:szCs w:val="18"/>
              </w:rPr>
              <w:t>深圳市信威 电子有限公 司</w:t>
            </w:r>
          </w:p>
        </w:tc>
        <w:tc>
          <w:tcPr>
            <w:tcW w:w="59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4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993"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316" w:lineRule="auto" w:before="51"/>
              <w:ind w:left="22" w:right="58"/>
              <w:jc w:val="both"/>
              <w:rPr>
                <w:rFonts w:ascii="宋体" w:hAnsi="宋体" w:cs="宋体" w:eastAsia="宋体" w:hint="default"/>
                <w:sz w:val="18"/>
                <w:szCs w:val="18"/>
              </w:rPr>
            </w:pPr>
            <w:r>
              <w:rPr>
                <w:rFonts w:ascii="宋体" w:hAnsi="宋体" w:cs="宋体" w:eastAsia="宋体" w:hint="default"/>
                <w:sz w:val="18"/>
                <w:szCs w:val="18"/>
              </w:rPr>
              <w:t>广州花都稠 州村镇银行 股份有限公 司</w:t>
            </w:r>
          </w:p>
        </w:tc>
        <w:tc>
          <w:tcPr>
            <w:tcW w:w="598"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w:t>
            </w:r>
          </w:p>
        </w:tc>
        <w:tc>
          <w:tcPr>
            <w:tcW w:w="1276" w:type="dxa"/>
            <w:tcBorders>
              <w:top w:val="single" w:sz="4" w:space="0" w:color="000000"/>
              <w:left w:val="single" w:sz="4" w:space="0" w:color="000000"/>
              <w:bottom w:val="single" w:sz="4" w:space="0" w:color="000000"/>
              <w:right w:val="single" w:sz="4" w:space="0" w:color="000000"/>
            </w:tcBorders>
            <w:shd w:val="clear" w:color="auto" w:fill="CCE8CC"/>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80,722,71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88,665,75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-9,943,03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78,722,71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8.86</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12,180.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357" w:lineRule="auto" w:before="49"/>
        <w:ind w:left="477" w:right="99" w:hanging="325"/>
        <w:jc w:val="left"/>
      </w:pPr>
      <w:r>
        <w:rPr/>
        <w:t>长期股权投资的说明 公司对北京青年御银科技有限责任公司从</w:t>
      </w:r>
      <w:r>
        <w:rPr>
          <w:rFonts w:ascii="Times New Roman" w:hAnsi="Times New Roman" w:cs="Times New Roman" w:eastAsia="Times New Roman" w:hint="default"/>
        </w:rPr>
        <w:t>20%</w:t>
      </w:r>
      <w:r>
        <w:rPr/>
        <w:t>的股权变更为</w:t>
      </w:r>
      <w:r>
        <w:rPr>
          <w:rFonts w:ascii="Times New Roman" w:hAnsi="Times New Roman" w:cs="Times New Roman" w:eastAsia="Times New Roman" w:hint="default"/>
        </w:rPr>
        <w:t>100%</w:t>
      </w:r>
      <w:r>
        <w:rPr/>
        <w:t>，由权益法改为成本法，从变更之日起纳入合并范围。</w:t>
      </w:r>
    </w:p>
    <w:p>
      <w:pPr>
        <w:spacing w:line="240" w:lineRule="auto" w:before="9"/>
        <w:rPr>
          <w:rFonts w:ascii="宋体" w:hAnsi="宋体" w:cs="宋体" w:eastAsia="宋体" w:hint="default"/>
          <w:sz w:val="18"/>
          <w:szCs w:val="18"/>
        </w:rPr>
      </w:pPr>
    </w:p>
    <w:p>
      <w:pPr>
        <w:pStyle w:val="Heading3"/>
        <w:spacing w:line="240" w:lineRule="auto"/>
        <w:ind w:right="185"/>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85"/>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3"/>
        <w:gridCol w:w="3467"/>
        <w:gridCol w:w="3589"/>
      </w:tblGrid>
      <w:tr>
        <w:trPr>
          <w:trHeight w:val="401" w:hRule="exact"/>
        </w:trPr>
        <w:tc>
          <w:tcPr>
            <w:tcW w:w="2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657,006,031.17</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626,010,652.91</w:t>
            </w:r>
          </w:p>
        </w:tc>
      </w:tr>
      <w:tr>
        <w:trPr>
          <w:trHeight w:val="401" w:hRule="exact"/>
        </w:trPr>
        <w:tc>
          <w:tcPr>
            <w:tcW w:w="2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10,689,440.28</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4,942,569.79</w:t>
            </w:r>
          </w:p>
        </w:tc>
      </w:tr>
      <w:tr>
        <w:trPr>
          <w:trHeight w:val="403" w:hRule="exact"/>
        </w:trPr>
        <w:tc>
          <w:tcPr>
            <w:tcW w:w="2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667,695,471.45</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630,953,222.70</w:t>
            </w:r>
          </w:p>
        </w:tc>
      </w:tr>
      <w:tr>
        <w:trPr>
          <w:trHeight w:val="401" w:hRule="exact"/>
        </w:trPr>
        <w:tc>
          <w:tcPr>
            <w:tcW w:w="2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468,847,829.52</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364,099,076.08</w:t>
            </w:r>
          </w:p>
        </w:tc>
      </w:tr>
    </w:tbl>
    <w:p>
      <w:pPr>
        <w:spacing w:line="240" w:lineRule="auto" w:before="3"/>
        <w:rPr>
          <w:rFonts w:ascii="宋体" w:hAnsi="宋体" w:cs="宋体" w:eastAsia="宋体" w:hint="default"/>
          <w:sz w:val="19"/>
          <w:szCs w:val="19"/>
        </w:rPr>
      </w:pPr>
    </w:p>
    <w:p>
      <w:pPr>
        <w:pStyle w:val="Heading3"/>
        <w:spacing w:line="240" w:lineRule="auto" w:before="36"/>
        <w:ind w:right="185"/>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401" w:hRule="exact"/>
        </w:trPr>
        <w:tc>
          <w:tcPr>
            <w:tcW w:w="2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0"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657,006,031.17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461,875,800.11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626,010,652.91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360,782,010.11</w:t>
            </w:r>
          </w:p>
        </w:tc>
      </w:tr>
      <w:tr>
        <w:trPr>
          <w:trHeight w:val="404"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657,006,031.17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461,875,800.11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626,010,652.91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360,782,010.11</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402" w:hRule="exact"/>
        </w:trPr>
        <w:tc>
          <w:tcPr>
            <w:tcW w:w="2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0"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377,382,361.54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319,224,426.75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234,490,466.64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170,961,999.72</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合作运营</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162,445,968.21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94,179,191.94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167,370,888.61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84,538,930.06</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融资租赁</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91,167,475.10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40,299,511.58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196,816,306.06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95,295,800.11</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技术服务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18,669,457.08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3,736,034.80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16,300,683.91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3,256,922.32</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加工收入</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7,340,769.24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4,436,635.04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11,032,307.69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6,728,357.90</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657,006,031.17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461,875,800.11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626,010,652.91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360,782,010.11</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91,203,105.63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54,290,187.37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146,756,406.25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81,713,120.36</w:t>
            </w:r>
          </w:p>
        </w:tc>
      </w:tr>
      <w:tr>
        <w:trPr>
          <w:trHeight w:val="404" w:hRule="exact"/>
        </w:trPr>
        <w:tc>
          <w:tcPr>
            <w:tcW w:w="226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w:t>
            </w:r>
            <w:r>
              <w:rPr>
                <w:rFonts w:ascii="Times New Roman" w:hAnsi="Times New Roman" w:cs="Times New Roman" w:eastAsia="Times New Roman" w:hint="default"/>
                <w:sz w:val="18"/>
                <w:szCs w:val="18"/>
              </w:rPr>
              <w:t>(</w:t>
            </w:r>
            <w:r>
              <w:rPr>
                <w:rFonts w:ascii="宋体" w:hAnsi="宋体" w:cs="宋体" w:eastAsia="宋体" w:hint="default"/>
                <w:sz w:val="18"/>
                <w:szCs w:val="18"/>
              </w:rPr>
              <w:t>除广州</w:t>
            </w:r>
            <w:r>
              <w:rPr>
                <w:rFonts w:ascii="Times New Roman" w:hAnsi="Times New Roman" w:cs="Times New Roman" w:eastAsia="Times New Roman" w:hint="default"/>
                <w:sz w:val="18"/>
                <w:szCs w:val="18"/>
              </w:rPr>
              <w:t>)</w:t>
            </w:r>
            <w:r>
              <w:rPr>
                <w:rFonts w:ascii="宋体" w:hAnsi="宋体" w:cs="宋体" w:eastAsia="宋体" w:hint="default"/>
                <w:sz w:val="18"/>
                <w:szCs w:val="18"/>
              </w:rPr>
              <w:t>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178,906,837.98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88,886,713.59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220,969,041.30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94,943,443.83</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广东省外地区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386,896,087.56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318,698,899.15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258,285,205.36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184,125,445.92</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657,006,031.17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461,875,800.11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626,010,652.91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360,782,010.11</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00"/>
        <w:gridCol w:w="2704"/>
        <w:gridCol w:w="2766"/>
      </w:tblGrid>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2"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2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2704"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94,069,090.36</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14.09%</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天津滨河创新科技有限公司</w:t>
            </w:r>
          </w:p>
        </w:tc>
        <w:tc>
          <w:tcPr>
            <w:tcW w:w="2704"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85,478,632.22</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中国邮政储蓄银行有限责任公司深圳分行</w:t>
            </w:r>
          </w:p>
        </w:tc>
        <w:tc>
          <w:tcPr>
            <w:tcW w:w="2704"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73,037,737.68</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10.94%</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广东省东莞市邮政局</w:t>
            </w:r>
          </w:p>
        </w:tc>
        <w:tc>
          <w:tcPr>
            <w:tcW w:w="2704"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45,097,091.55</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6.75%</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中国邮政集团公司</w:t>
            </w:r>
          </w:p>
        </w:tc>
        <w:tc>
          <w:tcPr>
            <w:tcW w:w="2704" w:type="dxa"/>
            <w:tcBorders>
              <w:top w:val="single" w:sz="4" w:space="0" w:color="000000"/>
              <w:left w:val="single" w:sz="12" w:space="0" w:color="CCE8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39,017,692.47</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5.84%</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336,700,244.28</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r>
        <w:rPr/>
        <w:pict>
          <v:shape style="position:absolute;margin-left:300.070007pt;margin-top:631.269958pt;width:132.75pt;height:19.7pt;mso-position-horizontal-relative:page;mso-position-vertical-relative:page;z-index:-830464"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334.630005pt;margin-top:631.269958pt;width:98.2pt;height:19.7pt;mso-position-horizontal-relative:page;mso-position-vertical-relative:page;z-index:-830440" coordorigin="6693,12625" coordsize="1964,394">
            <v:shape style="position:absolute;left:6693;top:12625;width:1964;height:394" coordorigin="6693,12625" coordsize="1964,394" path="m6693,13019l8656,13019,8656,12625,6693,12625,6693,13019xe" filled="true" fillcolor="#ffffff" stroked="false">
              <v:path arrowok="t"/>
              <v:fill type="solid"/>
            </v:shape>
            <w10:wrap type="none"/>
          </v:group>
        </w:pict>
      </w:r>
    </w:p>
    <w:p>
      <w:pPr>
        <w:pStyle w:val="Heading3"/>
        <w:spacing w:line="240" w:lineRule="auto" w:before="36"/>
        <w:ind w:right="144"/>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4"/>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00"/>
        <w:gridCol w:w="2534"/>
        <w:gridCol w:w="2526"/>
      </w:tblGrid>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12,180.00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7,308.00</w:t>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-56,960.14</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34" w:type="dxa"/>
            <w:tcBorders>
              <w:top w:val="single" w:sz="4" w:space="0" w:color="000000"/>
              <w:left w:val="single" w:sz="10" w:space="0" w:color="D2D2D2"/>
              <w:bottom w:val="single" w:sz="4" w:space="0" w:color="000000"/>
              <w:right w:val="single" w:sz="4" w:space="0" w:color="000000"/>
            </w:tcBorders>
          </w:tcPr>
          <w:p>
            <w:pP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-3,069,553.90</w:t>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56,960.14</w:t>
            </w: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69,140.14</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-3,119,206.04</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606"/>
        <w:gridCol w:w="2910"/>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CCE8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广州市农村信用合作联社</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12,180.00</w:t>
            </w:r>
          </w:p>
        </w:tc>
        <w:tc>
          <w:tcPr>
            <w:tcW w:w="1606" w:type="dxa"/>
            <w:tcBorders>
              <w:top w:val="single" w:sz="4" w:space="0" w:color="000000"/>
              <w:left w:val="single" w:sz="4" w:space="0" w:color="000000"/>
              <w:bottom w:val="single" w:sz="4" w:space="0" w:color="000000"/>
              <w:right w:val="single" w:sz="13" w:space="0" w:color="CCE8CC"/>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7,308.00</w:t>
            </w:r>
          </w:p>
        </w:tc>
        <w:tc>
          <w:tcPr>
            <w:tcW w:w="2910" w:type="dxa"/>
            <w:tcBorders>
              <w:top w:val="single" w:sz="4" w:space="0" w:color="000000"/>
              <w:left w:val="single" w:sz="4" w:space="0" w:color="000000"/>
              <w:bottom w:val="single" w:sz="4" w:space="0" w:color="000000"/>
              <w:right w:val="single" w:sz="4" w:space="0" w:color="000000"/>
            </w:tcBorders>
            <w:shd w:val="clear" w:color="auto" w:fill="CCE8CC"/>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12,180.00</w:t>
            </w:r>
          </w:p>
        </w:tc>
        <w:tc>
          <w:tcPr>
            <w:tcW w:w="160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7,308.00</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44"/>
        <w:jc w:val="left"/>
        <w:rPr>
          <w:b w:val="0"/>
          <w:bCs w:val="0"/>
        </w:rPr>
      </w:pPr>
      <w:r>
        <w:rPr/>
        <w:t>（</w:t>
      </w:r>
      <w:r>
        <w:rPr>
          <w:rFonts w:ascii="Times New Roman" w:hAnsi="Times New Roman" w:cs="Times New Roman" w:eastAsia="Times New Roman" w:hint="default"/>
        </w:rPr>
        <w:t>3</w:t>
      </w:r>
      <w:r>
        <w:rPr/>
        <w:t>）本报告期无按权益法核算的长期股权投资收益。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4"/>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508"/>
        <w:gridCol w:w="518"/>
        <w:gridCol w:w="1511"/>
        <w:gridCol w:w="2021"/>
      </w:tblGrid>
      <w:tr>
        <w:trPr>
          <w:trHeight w:val="401"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0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0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3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952" w:right="0"/>
              <w:jc w:val="left"/>
              <w:rPr>
                <w:rFonts w:ascii="Times New Roman" w:hAnsi="Times New Roman" w:cs="Times New Roman" w:eastAsia="Times New Roman" w:hint="default"/>
                <w:sz w:val="18"/>
                <w:szCs w:val="18"/>
              </w:rPr>
            </w:pPr>
            <w:r>
              <w:rPr>
                <w:rFonts w:ascii="Times New Roman"/>
                <w:sz w:val="18"/>
              </w:rPr>
              <w:t>19,428,719.13</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66,042,550.75</w:t>
            </w: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03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899" w:right="0"/>
              <w:jc w:val="left"/>
              <w:rPr>
                <w:rFonts w:ascii="Times New Roman" w:hAnsi="Times New Roman" w:cs="Times New Roman" w:eastAsia="Times New Roman" w:hint="default"/>
                <w:sz w:val="18"/>
                <w:szCs w:val="18"/>
              </w:rPr>
            </w:pPr>
            <w:r>
              <w:rPr>
                <w:rFonts w:ascii="Times New Roman"/>
                <w:sz w:val="18"/>
              </w:rPr>
              <w:t>-11,342,560.81</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18,919,671.94</w:t>
            </w:r>
          </w:p>
        </w:tc>
      </w:tr>
      <w:tr>
        <w:trPr>
          <w:trHeight w:val="401"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03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952" w:right="0"/>
              <w:jc w:val="left"/>
              <w:rPr>
                <w:rFonts w:ascii="Times New Roman" w:hAnsi="Times New Roman" w:cs="Times New Roman" w:eastAsia="Times New Roman" w:hint="default"/>
                <w:sz w:val="18"/>
                <w:szCs w:val="18"/>
              </w:rPr>
            </w:pPr>
            <w:r>
              <w:rPr>
                <w:rFonts w:ascii="Times New Roman"/>
                <w:sz w:val="18"/>
              </w:rPr>
              <w:t>69,426,014.88</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62,842,676.67</w:t>
            </w: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03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041" w:right="0"/>
              <w:jc w:val="left"/>
              <w:rPr>
                <w:rFonts w:ascii="Times New Roman" w:hAnsi="Times New Roman" w:cs="Times New Roman" w:eastAsia="Times New Roman" w:hint="default"/>
                <w:sz w:val="18"/>
                <w:szCs w:val="18"/>
              </w:rPr>
            </w:pPr>
            <w:r>
              <w:rPr>
                <w:rFonts w:ascii="Times New Roman"/>
                <w:sz w:val="18"/>
              </w:rPr>
              <w:t>1,572,273.03</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449,476.28</w:t>
            </w:r>
          </w:p>
        </w:tc>
      </w:tr>
      <w:tr>
        <w:trPr>
          <w:trHeight w:val="401"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03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175" w:right="0"/>
              <w:jc w:val="left"/>
              <w:rPr>
                <w:rFonts w:ascii="Times New Roman" w:hAnsi="Times New Roman" w:cs="Times New Roman" w:eastAsia="Times New Roman" w:hint="default"/>
                <w:sz w:val="18"/>
                <w:szCs w:val="18"/>
              </w:rPr>
            </w:pPr>
            <w:r>
              <w:rPr>
                <w:rFonts w:ascii="Times New Roman"/>
                <w:sz w:val="18"/>
              </w:rPr>
              <w:t>814,765.40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977,116.44</w:t>
            </w:r>
          </w:p>
        </w:tc>
      </w:tr>
      <w:tr>
        <w:trPr>
          <w:trHeight w:val="403" w:hRule="exact"/>
        </w:trPr>
        <w:tc>
          <w:tcPr>
            <w:tcW w:w="5508"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518" w:type="dxa"/>
            <w:tcBorders>
              <w:top w:val="single" w:sz="4" w:space="0" w:color="000000"/>
              <w:left w:val="single" w:sz="22" w:space="0" w:color="FFFFFF"/>
              <w:bottom w:val="single" w:sz="4" w:space="0" w:color="000000"/>
              <w:right w:val="nil" w:sz="6" w:space="0" w:color="auto"/>
            </w:tcBorders>
          </w:tcPr>
          <w:p>
            <w:pPr/>
          </w:p>
        </w:tc>
        <w:tc>
          <w:tcPr>
            <w:tcW w:w="15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449" w:right="0"/>
              <w:jc w:val="left"/>
              <w:rPr>
                <w:rFonts w:ascii="Times New Roman" w:hAnsi="Times New Roman" w:cs="Times New Roman" w:eastAsia="Times New Roman" w:hint="default"/>
                <w:sz w:val="18"/>
                <w:szCs w:val="18"/>
              </w:rPr>
            </w:pPr>
            <w:r>
              <w:rPr>
                <w:rFonts w:ascii="Times New Roman"/>
                <w:sz w:val="18"/>
              </w:rPr>
              <w:t>22,189,584.30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2,297,013.86</w:t>
            </w:r>
          </w:p>
        </w:tc>
      </w:tr>
      <w:tr>
        <w:trPr>
          <w:trHeight w:val="401"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3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298" w:right="0"/>
              <w:jc w:val="left"/>
              <w:rPr>
                <w:rFonts w:ascii="Times New Roman" w:hAnsi="Times New Roman" w:cs="Times New Roman" w:eastAsia="Times New Roman" w:hint="default"/>
                <w:sz w:val="18"/>
                <w:szCs w:val="18"/>
              </w:rPr>
            </w:pPr>
            <w:r>
              <w:rPr>
                <w:rFonts w:ascii="Times New Roman"/>
                <w:sz w:val="18"/>
              </w:rPr>
              <w:t>-1,147.60</w:t>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3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041" w:right="0"/>
              <w:jc w:val="left"/>
              <w:rPr>
                <w:rFonts w:ascii="Times New Roman" w:hAnsi="Times New Roman" w:cs="Times New Roman" w:eastAsia="Times New Roman" w:hint="default"/>
                <w:sz w:val="18"/>
                <w:szCs w:val="18"/>
              </w:rPr>
            </w:pPr>
            <w:r>
              <w:rPr>
                <w:rFonts w:ascii="Times New Roman"/>
                <w:sz w:val="18"/>
              </w:rPr>
              <w:t>3,464,917.82</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6,836,261.09</w:t>
            </w:r>
          </w:p>
        </w:tc>
      </w:tr>
      <w:tr>
        <w:trPr>
          <w:trHeight w:val="401"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3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207" w:right="0"/>
              <w:jc w:val="left"/>
              <w:rPr>
                <w:rFonts w:ascii="Times New Roman" w:hAnsi="Times New Roman" w:cs="Times New Roman" w:eastAsia="Times New Roman" w:hint="default"/>
                <w:sz w:val="18"/>
                <w:szCs w:val="18"/>
              </w:rPr>
            </w:pPr>
            <w:r>
              <w:rPr>
                <w:rFonts w:ascii="Times New Roman"/>
                <w:sz w:val="18"/>
              </w:rPr>
              <w:t>-69,140.14</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3,119,206.04</w:t>
            </w: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3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041" w:right="0"/>
              <w:jc w:val="left"/>
              <w:rPr>
                <w:rFonts w:ascii="Times New Roman" w:hAnsi="Times New Roman" w:cs="Times New Roman" w:eastAsia="Times New Roman" w:hint="default"/>
                <w:sz w:val="18"/>
                <w:szCs w:val="18"/>
              </w:rPr>
            </w:pPr>
            <w:r>
              <w:rPr>
                <w:rFonts w:ascii="Times New Roman"/>
                <w:sz w:val="18"/>
              </w:rPr>
              <w:t>1,552,617.37</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-5,550,107.37</w:t>
            </w:r>
          </w:p>
        </w:tc>
      </w:tr>
      <w:tr>
        <w:trPr>
          <w:trHeight w:val="401"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30"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981" w:right="0"/>
              <w:jc w:val="left"/>
              <w:rPr>
                <w:rFonts w:ascii="Times New Roman" w:hAnsi="Times New Roman" w:cs="Times New Roman" w:eastAsia="Times New Roman" w:hint="default"/>
                <w:sz w:val="18"/>
                <w:szCs w:val="18"/>
              </w:rPr>
            </w:pPr>
            <w:r>
              <w:rPr>
                <w:rFonts w:ascii="Times New Roman"/>
                <w:sz w:val="18"/>
              </w:rPr>
              <w:t>-7,876,618.58</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8,201,585.80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508"/>
        <w:gridCol w:w="2030"/>
        <w:gridCol w:w="2021"/>
      </w:tblGrid>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-61,904,468.13</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-114,251,677.73</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126,125,573.56</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-117,327,476.04</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-13,061,985.19</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154,344,175.31</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150,318,545.04</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86,900,473.04</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0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214,133,499.29</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133,075,480.88</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0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133,075,480.88</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200,083,534.25</w:t>
            </w: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03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81,058,018.41</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-67,008,053.37</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十五、补充资料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45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85"/>
        <w:gridCol w:w="1322"/>
        <w:gridCol w:w="1916"/>
        <w:gridCol w:w="1937"/>
      </w:tblGrid>
      <w:tr>
        <w:trPr>
          <w:trHeight w:val="205" w:hRule="exact"/>
        </w:trPr>
        <w:tc>
          <w:tcPr>
            <w:tcW w:w="43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30" w:right="24" w:hanging="106"/>
              <w:jc w:val="left"/>
              <w:rPr>
                <w:rFonts w:ascii="宋体" w:hAnsi="宋体" w:cs="宋体" w:eastAsia="宋体" w:hint="default"/>
                <w:sz w:val="18"/>
                <w:szCs w:val="18"/>
              </w:rPr>
            </w:pPr>
            <w:r>
              <w:rPr>
                <w:rFonts w:ascii="宋体" w:hAnsi="宋体" w:cs="宋体" w:eastAsia="宋体" w:hint="default"/>
                <w:sz w:val="18"/>
                <w:szCs w:val="18"/>
              </w:rPr>
              <w:t>加权平均净资产 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43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322"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4385" w:type="dxa"/>
            <w:vMerge/>
            <w:tcBorders>
              <w:left w:val="single" w:sz="4" w:space="0" w:color="000000"/>
              <w:bottom w:val="nil" w:sz="6" w:space="0" w:color="auto"/>
              <w:right w:val="single" w:sz="4" w:space="0" w:color="000000"/>
            </w:tcBorders>
            <w:shd w:val="clear" w:color="auto" w:fill="D2D2D2"/>
          </w:tcPr>
          <w:p>
            <w:pPr/>
          </w:p>
        </w:tc>
        <w:tc>
          <w:tcPr>
            <w:tcW w:w="1322" w:type="dxa"/>
            <w:vMerge/>
            <w:tcBorders>
              <w:left w:val="single" w:sz="4" w:space="0" w:color="000000"/>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05" w:hRule="exact"/>
        </w:trPr>
        <w:tc>
          <w:tcPr>
            <w:tcW w:w="43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2"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4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322" w:type="dxa"/>
            <w:tcBorders>
              <w:top w:val="single" w:sz="21" w:space="0" w:color="D2D2D2"/>
              <w:left w:val="single" w:sz="10" w:space="0" w:color="D2D2D2"/>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z w:val="18"/>
              </w:rPr>
              <w:t>9.25%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0.2119</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0.2119</w:t>
            </w:r>
          </w:p>
        </w:tc>
      </w:tr>
      <w:tr>
        <w:trPr>
          <w:trHeight w:val="403" w:hRule="exact"/>
        </w:trPr>
        <w:tc>
          <w:tcPr>
            <w:tcW w:w="4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3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0.2124</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0.2124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7"/>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2283"/>
        <w:gridCol w:w="1697"/>
        <w:gridCol w:w="1721"/>
        <w:gridCol w:w="977"/>
        <w:gridCol w:w="3303"/>
      </w:tblGrid>
      <w:tr>
        <w:trPr>
          <w:trHeight w:val="634"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919"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（或本期金额）</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年初余额</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（或上期金额）</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变动比率</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22"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287,664,602.68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183,505,395.65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56.76%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收回到期应收账款</w:t>
            </w:r>
          </w:p>
        </w:tc>
      </w:tr>
      <w:tr>
        <w:trPr>
          <w:trHeight w:val="324"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10,001,147.60</w:t>
            </w:r>
          </w:p>
        </w:tc>
        <w:tc>
          <w:tcPr>
            <w:tcW w:w="1721"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新增银行理财产品建信货币基金</w:t>
            </w:r>
          </w:p>
        </w:tc>
      </w:tr>
      <w:tr>
        <w:trPr>
          <w:trHeight w:val="322"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97"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40,404,000.00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承兑到期银行承兑汇票</w:t>
            </w:r>
          </w:p>
        </w:tc>
      </w:tr>
      <w:tr>
        <w:trPr>
          <w:trHeight w:val="322"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7,118,058.27</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59,348,739.58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-88.01%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采购原材料验收入库结转预付款项</w:t>
            </w:r>
          </w:p>
        </w:tc>
      </w:tr>
      <w:tr>
        <w:trPr>
          <w:trHeight w:val="322"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329,830,770.82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240,321,261.00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37.25%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加大原材料的生产储备</w:t>
            </w:r>
          </w:p>
        </w:tc>
      </w:tr>
      <w:tr>
        <w:trPr>
          <w:trHeight w:val="322"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41,520,542.38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76,064,857.02</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-45.41%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收回和处理一年内长期应收款</w:t>
            </w:r>
          </w:p>
        </w:tc>
      </w:tr>
      <w:tr>
        <w:trPr>
          <w:trHeight w:val="322"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6,647,613.61</w:t>
            </w:r>
          </w:p>
        </w:tc>
        <w:tc>
          <w:tcPr>
            <w:tcW w:w="1721"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预缴税金</w:t>
            </w:r>
          </w:p>
        </w:tc>
      </w:tr>
      <w:tr>
        <w:trPr>
          <w:trHeight w:val="636"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69,856,890.72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134,577,416.07</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-48.09%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00"/>
              <w:jc w:val="left"/>
              <w:rPr>
                <w:rFonts w:ascii="宋体" w:hAnsi="宋体" w:cs="宋体" w:eastAsia="宋体" w:hint="default"/>
                <w:sz w:val="18"/>
                <w:szCs w:val="18"/>
              </w:rPr>
            </w:pPr>
            <w:r>
              <w:rPr>
                <w:rFonts w:ascii="宋体" w:hAnsi="宋体" w:cs="宋体" w:eastAsia="宋体" w:hint="default"/>
                <w:sz w:val="18"/>
                <w:szCs w:val="18"/>
              </w:rPr>
              <w:t>星河生物股价下降，并且本年出售了部</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分可供出售金额资产</w:t>
            </w:r>
          </w:p>
        </w:tc>
      </w:tr>
      <w:tr>
        <w:trPr>
          <w:trHeight w:val="322"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65,771,397.41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47,711,408.56</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Times New Roman" w:hAnsi="Times New Roman" w:cs="Times New Roman" w:eastAsia="Times New Roman" w:hint="default"/>
                <w:sz w:val="18"/>
                <w:szCs w:val="18"/>
              </w:rPr>
            </w:pPr>
            <w:r>
              <w:rPr>
                <w:rFonts w:ascii="Times New Roman"/>
                <w:sz w:val="18"/>
              </w:rPr>
              <w:t>37.85%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研发项目验收转入</w:t>
            </w:r>
          </w:p>
        </w:tc>
      </w:tr>
      <w:tr>
        <w:trPr>
          <w:trHeight w:val="322"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10,131,695.33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7,728,500.00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31.10%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加大研发项目投入</w:t>
            </w:r>
          </w:p>
        </w:tc>
      </w:tr>
      <w:tr>
        <w:trPr>
          <w:trHeight w:val="322"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1,255,925.99</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922,027.39</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36.21%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装修工程增加</w:t>
            </w:r>
          </w:p>
        </w:tc>
      </w:tr>
      <w:tr>
        <w:trPr>
          <w:trHeight w:val="322"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1,853,035.66</w:t>
            </w:r>
          </w:p>
        </w:tc>
        <w:tc>
          <w:tcPr>
            <w:tcW w:w="1721"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预付安装工程款</w:t>
            </w:r>
          </w:p>
        </w:tc>
      </w:tr>
      <w:tr>
        <w:trPr>
          <w:trHeight w:val="322"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37,798,320.94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90,699,141.17</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-58.33%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支付原材料采购款</w:t>
            </w:r>
          </w:p>
        </w:tc>
      </w:tr>
      <w:tr>
        <w:trPr>
          <w:trHeight w:val="324"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5,823,982.00</w:t>
            </w:r>
          </w:p>
        </w:tc>
        <w:tc>
          <w:tcPr>
            <w:tcW w:w="1721"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银行承兑汇票增加</w:t>
            </w:r>
          </w:p>
        </w:tc>
      </w:tr>
      <w:tr>
        <w:trPr>
          <w:trHeight w:val="322"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15,598,160.26</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36,112,112.62</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-56.81%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增值税留抵增加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2283"/>
        <w:gridCol w:w="1697"/>
        <w:gridCol w:w="1721"/>
        <w:gridCol w:w="977"/>
        <w:gridCol w:w="3303"/>
      </w:tblGrid>
      <w:tr>
        <w:trPr>
          <w:trHeight w:val="317" w:hRule="exact"/>
        </w:trPr>
        <w:tc>
          <w:tcPr>
            <w:tcW w:w="22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120,270.75</w:t>
            </w:r>
          </w:p>
        </w:tc>
        <w:tc>
          <w:tcPr>
            <w:tcW w:w="17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456,079.36</w:t>
            </w:r>
          </w:p>
        </w:tc>
        <w:tc>
          <w:tcPr>
            <w:tcW w:w="9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-73.63%</w:t>
            </w:r>
          </w:p>
        </w:tc>
        <w:tc>
          <w:tcPr>
            <w:tcW w:w="33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子公司香港御银的借款减少</w:t>
            </w:r>
          </w:p>
        </w:tc>
      </w:tr>
      <w:tr>
        <w:trPr>
          <w:trHeight w:val="322"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39,453,910.02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14,621,793.13</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169.83%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应付往来款增加</w:t>
            </w:r>
          </w:p>
        </w:tc>
      </w:tr>
      <w:tr>
        <w:trPr>
          <w:trHeight w:val="322"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40,452,254.45</w:t>
            </w:r>
          </w:p>
        </w:tc>
        <w:tc>
          <w:tcPr>
            <w:tcW w:w="1721"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主要是子公司厂房项目贷款</w:t>
            </w:r>
          </w:p>
        </w:tc>
      </w:tr>
      <w:tr>
        <w:trPr>
          <w:trHeight w:val="322"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9,712,214.00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28,331,320.91</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-65.72%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可供出售金额资产公允价值变动</w:t>
            </w:r>
          </w:p>
        </w:tc>
      </w:tr>
      <w:tr>
        <w:trPr>
          <w:trHeight w:val="324"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585,531,765.00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344,430,450.00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70.00%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资本公积金转增股本</w:t>
            </w:r>
          </w:p>
        </w:tc>
      </w:tr>
      <w:tr>
        <w:trPr>
          <w:trHeight w:val="322"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215,176,702.61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501,434,266.60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-57.09%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资本公积金转增股本</w:t>
            </w:r>
          </w:p>
        </w:tc>
      </w:tr>
      <w:tr>
        <w:trPr>
          <w:trHeight w:val="634"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9,699.28</w:t>
            </w:r>
          </w:p>
        </w:tc>
        <w:tc>
          <w:tcPr>
            <w:tcW w:w="1721"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00"/>
              <w:jc w:val="left"/>
              <w:rPr>
                <w:rFonts w:ascii="宋体" w:hAnsi="宋体" w:cs="宋体" w:eastAsia="宋体" w:hint="default"/>
                <w:sz w:val="18"/>
                <w:szCs w:val="18"/>
              </w:rPr>
            </w:pPr>
            <w:r>
              <w:rPr>
                <w:rFonts w:ascii="宋体" w:hAnsi="宋体" w:cs="宋体" w:eastAsia="宋体" w:hint="default"/>
                <w:sz w:val="18"/>
                <w:szCs w:val="18"/>
              </w:rPr>
              <w:t>子公司香港御银记账本位币港币折算为</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人民币</w:t>
            </w:r>
          </w:p>
        </w:tc>
      </w:tr>
      <w:tr>
        <w:trPr>
          <w:trHeight w:val="634"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4,673,412.14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7,164,382.12</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-34.77%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00"/>
              <w:jc w:val="left"/>
              <w:rPr>
                <w:rFonts w:ascii="宋体" w:hAnsi="宋体" w:cs="宋体" w:eastAsia="宋体" w:hint="default"/>
                <w:sz w:val="18"/>
                <w:szCs w:val="18"/>
              </w:rPr>
            </w:pPr>
            <w:r>
              <w:rPr>
                <w:rFonts w:ascii="宋体" w:hAnsi="宋体" w:cs="宋体" w:eastAsia="宋体" w:hint="default"/>
                <w:sz w:val="18"/>
                <w:szCs w:val="18"/>
              </w:rPr>
              <w:t>银行贷款主要是下半年增加的，利息支</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出减少</w:t>
            </w:r>
          </w:p>
        </w:tc>
      </w:tr>
      <w:tr>
        <w:trPr>
          <w:trHeight w:val="322"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1,147.60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建信货币基金公允价值的变动</w:t>
            </w:r>
          </w:p>
        </w:tc>
      </w:tr>
      <w:tr>
        <w:trPr>
          <w:trHeight w:val="322"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9,146,699.18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4,007,724.57</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128.23%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分红及出售可供出售金融资产</w:t>
            </w:r>
          </w:p>
        </w:tc>
      </w:tr>
      <w:tr>
        <w:trPr>
          <w:trHeight w:val="637"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26,790,576.87</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4,986,821.00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437.23%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100"/>
              <w:jc w:val="left"/>
              <w:rPr>
                <w:rFonts w:ascii="宋体" w:hAnsi="宋体" w:cs="宋体" w:eastAsia="宋体" w:hint="default"/>
                <w:sz w:val="18"/>
                <w:szCs w:val="18"/>
              </w:rPr>
            </w:pPr>
            <w:r>
              <w:rPr>
                <w:rFonts w:ascii="宋体" w:hAnsi="宋体" w:cs="宋体" w:eastAsia="宋体" w:hint="default"/>
                <w:sz w:val="18"/>
                <w:szCs w:val="18"/>
              </w:rPr>
              <w:t>固定资产清理损失、材料报废增加以及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出售长期应收款的损失</w:t>
            </w:r>
          </w:p>
        </w:tc>
      </w:tr>
      <w:tr>
        <w:trPr>
          <w:trHeight w:val="322"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9,956,149.09</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20,800,927.30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-52.14%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利润总额减少</w:t>
            </w:r>
          </w:p>
        </w:tc>
      </w:tr>
      <w:tr>
        <w:trPr>
          <w:trHeight w:val="322"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124,053,846.73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178,809,583.01</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-30.62%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毛利下降、费用增加所致</w:t>
            </w:r>
          </w:p>
        </w:tc>
      </w:tr>
      <w:tr>
        <w:trPr>
          <w:trHeight w:val="322"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-47,959,898.71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-107,713,721.68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-55.47%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可供出售金融资产的公允价值变动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left="3285" w:right="144"/>
        <w:jc w:val="left"/>
        <w:rPr>
          <w:b w:val="0"/>
          <w:bCs w:val="0"/>
        </w:rPr>
      </w:pPr>
      <w:bookmarkStart w:name="_TOC_250000" w:id="11"/>
      <w:r>
        <w:rPr/>
        <w:t>第十一节</w:t>
      </w:r>
      <w:r>
        <w:rPr>
          <w:spacing w:val="-6"/>
        </w:rPr>
        <w:t> </w:t>
      </w:r>
      <w:r>
        <w:rPr/>
        <w:t>备查文件目录</w:t>
      </w:r>
      <w:bookmarkEnd w:id="11"/>
      <w:r>
        <w:rPr>
          <w:b w:val="0"/>
          <w:bCs w:val="0"/>
        </w:rPr>
      </w:r>
    </w:p>
    <w:p>
      <w:pPr>
        <w:spacing w:line="240" w:lineRule="auto" w:before="6"/>
        <w:rPr>
          <w:rFonts w:ascii="宋体" w:hAnsi="宋体" w:cs="宋体" w:eastAsia="宋体" w:hint="default"/>
          <w:b/>
          <w:bCs/>
          <w:sz w:val="42"/>
          <w:szCs w:val="42"/>
        </w:rPr>
      </w:pPr>
    </w:p>
    <w:p>
      <w:pPr>
        <w:pStyle w:val="BodyText"/>
        <w:spacing w:line="240" w:lineRule="auto"/>
        <w:ind w:left="513" w:right="144"/>
        <w:jc w:val="left"/>
      </w:pPr>
      <w:r>
        <w:rPr/>
        <w:t>（一）载有法定代表人、主管会计负责人、会计机构负责人签名并盖章的会计报表。</w:t>
      </w:r>
    </w:p>
    <w:p>
      <w:pPr>
        <w:pStyle w:val="BodyText"/>
        <w:spacing w:line="240" w:lineRule="auto" w:before="76"/>
        <w:ind w:left="513" w:right="144"/>
        <w:jc w:val="left"/>
      </w:pPr>
      <w:r>
        <w:rPr/>
        <w:t>（二）载有会计师事务所盖章、注册会计师签名并盖章的审计报告原件。</w:t>
      </w:r>
    </w:p>
    <w:p>
      <w:pPr>
        <w:pStyle w:val="BodyText"/>
        <w:spacing w:line="240" w:lineRule="auto" w:before="76"/>
        <w:ind w:left="513" w:right="144"/>
        <w:jc w:val="left"/>
      </w:pPr>
      <w:r>
        <w:rPr/>
        <w:t>（三）报告期内在中国证监会指定报纸上公开披露过的所有公司文件的正本及公告的原稿。</w:t>
      </w:r>
    </w:p>
    <w:sectPr>
      <w:pgSz w:w="11910" w:h="16840"/>
      <w:pgMar w:header="745" w:footer="980"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995pt;margin-top:795.613892pt;width:6.5pt;height:11pt;mso-position-horizontal-relative:page;mso-position-vertical-relative:page;z-index:-8312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8312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8312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77</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8312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78</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8311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8311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8311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8311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070007pt;margin-top:36.265610pt;width:186.75pt;height:11.5pt;mso-position-horizontal-relative:page;mso-position-vertical-relative:page;z-index:-831304" type="#_x0000_t202" filled="false" stroked="false">
          <v:textbox inset="0,0,0,0">
            <w:txbxContent>
              <w:p>
                <w:pPr>
                  <w:pStyle w:val="BodyText"/>
                  <w:spacing w:line="214" w:lineRule="exact"/>
                  <w:ind w:left="20" w:right="0"/>
                  <w:jc w:val="left"/>
                </w:pPr>
                <w:r>
                  <w:rPr/>
                  <w:t>广州御银科技股份有限公司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32"/>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152"/>
      <w:outlineLvl w:val="4"/>
    </w:pPr>
    <w:rPr>
      <w:rFonts w:ascii="宋体" w:hAnsi="宋体" w:eastAsia="宋体"/>
      <w:sz w:val="21"/>
      <w:szCs w:val="21"/>
    </w:rPr>
  </w:style>
  <w:style w:styleId="Heading5" w:type="paragraph">
    <w:name w:val="Heading 5"/>
    <w:basedOn w:val="Normal"/>
    <w:uiPriority w:val="1"/>
    <w:qFormat/>
    <w:pPr>
      <w:ind w:left="513"/>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kingteller.com.cn/" TargetMode="External"/><Relationship Id="rId10" Type="http://schemas.openxmlformats.org/officeDocument/2006/relationships/hyperlink" Target="mailto:zqb@kingteller.com.cn" TargetMode="External"/><Relationship Id="rId11" Type="http://schemas.openxmlformats.org/officeDocument/2006/relationships/hyperlink" Target="mailto:tanhua@kingteller.com.cn" TargetMode="External"/><Relationship Id="rId12" Type="http://schemas.openxmlformats.org/officeDocument/2006/relationships/hyperlink" Target="http://www.cninfo.com.cn/" TargetMode="External"/><Relationship Id="rId13" Type="http://schemas.openxmlformats.org/officeDocument/2006/relationships/hyperlink" Target="http://www.cninfo.com.cn&#30340;/" TargetMode="External"/><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disclosure.szse.cn/m/finalpage/2012-05-16/61001368.PDF" TargetMode="External"/><Relationship Id="rId18" Type="http://schemas.openxmlformats.org/officeDocument/2006/relationships/hyperlink" Target="http://disclosure.szse.cn/m/finalpage/2012-05-16/61001357.PDF" TargetMode="External"/><Relationship Id="rId19" Type="http://schemas.openxmlformats.org/officeDocument/2006/relationships/hyperlink" Target="http://disclosure.szse.cn/m/finalpage/2012-08-27/61477785.PDF" TargetMode="External"/><Relationship Id="rId20" Type="http://schemas.openxmlformats.org/officeDocument/2006/relationships/hyperlink" Target="http://www.cninfo.com.cn/)%E4%B8%8A" TargetMode="External"/><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广州御银科技股份有限公司</dc:creator>
  <dc:title>广州御银科技股份有限公司2012年度报告全文</dc:title>
  <dcterms:created xsi:type="dcterms:W3CDTF">2020-05-04T00:21:56Z</dcterms:created>
  <dcterms:modified xsi:type="dcterms:W3CDTF">2020-05-04T00:21:56Z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2013-04-22T00:00:00Z</vt:filetime>
  </property>
  <property fmtid="{D5CDD505-2E9C-101B-9397-08002B2CF9AE}" pid="3" name="Creator">
    <vt:lpwstr>Microsoft® Office Word 2007</vt:lpwstr>
  </property>
  <property fmtid="{D5CDD505-2E9C-101B-9397-08002B2CF9AE}" pid="4" name="LastSaved">
    <vt:filetime>2020-05-03T00:00:00Z</vt:filetime>
  </property>
</Properties>
</file>