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9"/>
          <w:szCs w:val="19"/>
        </w:rPr>
      </w:pPr>
    </w:p>
    <w:p>
      <w:pPr>
        <w:tabs>
          <w:tab w:pos="6043" w:val="left" w:leader="none"/>
        </w:tabs>
        <w:spacing w:before="14"/>
        <w:ind w:left="23" w:right="0" w:firstLine="0"/>
        <w:jc w:val="center"/>
        <w:rPr>
          <w:rFonts w:ascii="宋体" w:hAnsi="宋体" w:cs="宋体" w:eastAsia="宋体" w:hint="default"/>
          <w:sz w:val="28"/>
          <w:szCs w:val="28"/>
        </w:rPr>
      </w:pPr>
      <w:r>
        <w:rPr/>
        <w:pict>
          <v:group style="position:absolute;margin-left:55.200001pt;margin-top:-49.928452pt;width:484.9pt;height:.1pt;mso-position-horizontal-relative:page;mso-position-vertical-relative:paragraph;z-index:0" coordorigin="1104,-999" coordsize="9698,2">
            <v:shape style="position:absolute;left:1104;top:-999;width:9698;height:2" coordorigin="1104,-999" coordsize="9698,0" path="m1104,-999l10802,-999e" filled="false" stroked="true" strokeweight=".72pt" strokecolor="#000000">
              <v:path arrowok="t"/>
            </v:shape>
            <w10:wrap type="none"/>
          </v:group>
        </w:pict>
      </w:r>
      <w:r>
        <w:rPr>
          <w:rFonts w:ascii="宋体" w:hAnsi="宋体" w:cs="宋体" w:eastAsia="宋体" w:hint="default"/>
          <w:spacing w:val="-1"/>
          <w:sz w:val="28"/>
          <w:szCs w:val="28"/>
        </w:rPr>
        <w:t>证券代码：</w:t>
      </w:r>
      <w:r>
        <w:rPr>
          <w:rFonts w:ascii="Times New Roman" w:hAnsi="Times New Roman" w:cs="Times New Roman" w:eastAsia="Times New Roman" w:hint="default"/>
          <w:spacing w:val="-1"/>
          <w:sz w:val="28"/>
          <w:szCs w:val="28"/>
        </w:rPr>
        <w:t>002177</w:t>
        <w:tab/>
      </w:r>
      <w:r>
        <w:rPr>
          <w:rFonts w:ascii="宋体" w:hAnsi="宋体" w:cs="宋体" w:eastAsia="宋体" w:hint="default"/>
          <w:spacing w:val="-1"/>
          <w:sz w:val="28"/>
          <w:szCs w:val="28"/>
        </w:rPr>
        <w:t>证券简称：御银股份</w:t>
      </w:r>
    </w:p>
    <w:p>
      <w:pPr>
        <w:spacing w:line="240" w:lineRule="auto" w:before="0"/>
        <w:rPr>
          <w:rFonts w:ascii="宋体" w:hAnsi="宋体" w:cs="宋体" w:eastAsia="宋体" w:hint="default"/>
          <w:sz w:val="30"/>
          <w:szCs w:val="30"/>
        </w:rPr>
      </w:pPr>
    </w:p>
    <w:p>
      <w:pPr>
        <w:spacing w:line="240" w:lineRule="auto" w:before="0"/>
        <w:rPr>
          <w:rFonts w:ascii="宋体" w:hAnsi="宋体" w:cs="宋体" w:eastAsia="宋体" w:hint="default"/>
          <w:sz w:val="30"/>
          <w:szCs w:val="30"/>
        </w:rPr>
      </w:pPr>
    </w:p>
    <w:p>
      <w:pPr>
        <w:spacing w:line="240" w:lineRule="auto" w:before="0"/>
        <w:rPr>
          <w:rFonts w:ascii="宋体" w:hAnsi="宋体" w:cs="宋体" w:eastAsia="宋体" w:hint="default"/>
          <w:sz w:val="30"/>
          <w:szCs w:val="30"/>
        </w:rPr>
      </w:pPr>
    </w:p>
    <w:p>
      <w:pPr>
        <w:spacing w:line="240" w:lineRule="auto" w:before="0"/>
        <w:rPr>
          <w:rFonts w:ascii="宋体" w:hAnsi="宋体" w:cs="宋体" w:eastAsia="宋体" w:hint="default"/>
          <w:sz w:val="33"/>
          <w:szCs w:val="33"/>
        </w:rPr>
      </w:pPr>
    </w:p>
    <w:p>
      <w:pPr>
        <w:spacing w:before="0"/>
        <w:ind w:left="23" w:right="24" w:firstLine="0"/>
        <w:jc w:val="center"/>
        <w:rPr>
          <w:rFonts w:ascii="宋体" w:hAnsi="宋体" w:cs="宋体" w:eastAsia="宋体" w:hint="default"/>
          <w:sz w:val="52"/>
          <w:szCs w:val="52"/>
        </w:rPr>
      </w:pPr>
      <w:r>
        <w:rPr>
          <w:rFonts w:ascii="宋体" w:hAnsi="宋体" w:cs="宋体" w:eastAsia="宋体" w:hint="default"/>
          <w:b/>
          <w:bCs/>
          <w:sz w:val="52"/>
          <w:szCs w:val="52"/>
        </w:rPr>
        <w:t>广州御银科技股份有限公司</w:t>
      </w:r>
      <w:r>
        <w:rPr>
          <w:rFonts w:ascii="宋体" w:hAnsi="宋体" w:cs="宋体" w:eastAsia="宋体" w:hint="default"/>
          <w:sz w:val="52"/>
          <w:szCs w:val="52"/>
        </w:rPr>
      </w:r>
    </w:p>
    <w:p>
      <w:pPr>
        <w:spacing w:before="395"/>
        <w:ind w:left="23" w:right="24" w:firstLine="0"/>
        <w:jc w:val="center"/>
        <w:rPr>
          <w:rFonts w:ascii="宋体" w:hAnsi="宋体" w:cs="宋体" w:eastAsia="宋体" w:hint="default"/>
          <w:sz w:val="52"/>
          <w:szCs w:val="52"/>
        </w:rPr>
      </w:pPr>
      <w:r>
        <w:rPr>
          <w:rFonts w:ascii="Times New Roman" w:hAnsi="Times New Roman" w:cs="Times New Roman" w:eastAsia="Times New Roman" w:hint="default"/>
          <w:b/>
          <w:bCs/>
          <w:sz w:val="52"/>
          <w:szCs w:val="52"/>
        </w:rPr>
        <w:t>2014</w:t>
      </w:r>
      <w:r>
        <w:rPr>
          <w:rFonts w:ascii="Times New Roman" w:hAnsi="Times New Roman" w:cs="Times New Roman" w:eastAsia="Times New Roman" w:hint="default"/>
          <w:b/>
          <w:bCs/>
          <w:spacing w:val="-1"/>
          <w:sz w:val="52"/>
          <w:szCs w:val="52"/>
        </w:rPr>
        <w:t> </w:t>
      </w:r>
      <w:r>
        <w:rPr>
          <w:rFonts w:ascii="宋体" w:hAnsi="宋体" w:cs="宋体" w:eastAsia="宋体" w:hint="default"/>
          <w:b/>
          <w:bCs/>
          <w:sz w:val="52"/>
          <w:szCs w:val="52"/>
        </w:rPr>
        <w:t>年度报告</w:t>
      </w:r>
      <w:r>
        <w:rPr>
          <w:rFonts w:ascii="宋体" w:hAnsi="宋体" w:cs="宋体" w:eastAsia="宋体" w:hint="default"/>
          <w:sz w:val="52"/>
          <w:szCs w:val="52"/>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3"/>
          <w:szCs w:val="13"/>
        </w:rPr>
      </w:pPr>
    </w:p>
    <w:p>
      <w:pPr>
        <w:spacing w:line="1644" w:lineRule="exact"/>
        <w:ind w:left="3645" w:right="0" w:firstLine="0"/>
        <w:rPr>
          <w:rFonts w:ascii="宋体" w:hAnsi="宋体" w:cs="宋体" w:eastAsia="宋体" w:hint="default"/>
          <w:sz w:val="20"/>
          <w:szCs w:val="20"/>
        </w:rPr>
      </w:pPr>
      <w:r>
        <w:rPr>
          <w:rFonts w:ascii="宋体" w:hAnsi="宋体" w:cs="宋体" w:eastAsia="宋体" w:hint="default"/>
          <w:position w:val="-32"/>
          <w:sz w:val="20"/>
          <w:szCs w:val="20"/>
        </w:rPr>
        <w:drawing>
          <wp:inline distT="0" distB="0" distL="0" distR="0">
            <wp:extent cx="1685597" cy="104413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685597" cy="1044130"/>
                    </a:xfrm>
                    <a:prstGeom prst="rect">
                      <a:avLst/>
                    </a:prstGeom>
                  </pic:spPr>
                </pic:pic>
              </a:graphicData>
            </a:graphic>
          </wp:inline>
        </w:drawing>
      </w:r>
      <w:r>
        <w:rPr>
          <w:rFonts w:ascii="宋体" w:hAnsi="宋体" w:cs="宋体" w:eastAsia="宋体" w:hint="default"/>
          <w:position w:val="-32"/>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spacing w:before="0"/>
        <w:ind w:left="0" w:right="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146"/>
        <w:jc w:val="left"/>
        <w:rPr>
          <w:b w:val="0"/>
          <w:bCs w:val="0"/>
        </w:rPr>
      </w:pPr>
      <w:bookmarkStart w:name="_TOC_250011" w:id="1"/>
      <w:r>
        <w:rPr/>
        <w:t>第一节</w:t>
      </w:r>
      <w:r>
        <w:rPr>
          <w:spacing w:val="-5"/>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56"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2"/>
          <w:sz w:val="28"/>
          <w:szCs w:val="28"/>
        </w:rPr>
        <w:t>真实、准确、完整，不存在虚假记载、误导性陈述或重大遗漏，并承担个别和</w:t>
      </w:r>
      <w:r>
        <w:rPr>
          <w:rFonts w:ascii="宋体" w:hAnsi="宋体" w:cs="宋体" w:eastAsia="宋体" w:hint="default"/>
          <w:b/>
          <w:bCs/>
          <w:w w:val="99"/>
          <w:sz w:val="28"/>
          <w:szCs w:val="28"/>
        </w:rPr>
        <w:t> </w:t>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475" w:lineRule="auto" w:before="162"/>
        <w:ind w:left="714" w:right="146"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8"/>
          <w:sz w:val="28"/>
          <w:szCs w:val="28"/>
        </w:rPr>
        <w:t> </w:t>
      </w:r>
      <w:r>
        <w:rPr>
          <w:rFonts w:ascii="Times New Roman" w:hAnsi="Times New Roman" w:cs="Times New Roman" w:eastAsia="Times New Roman" w:hint="default"/>
          <w:b/>
          <w:bCs/>
          <w:sz w:val="28"/>
          <w:szCs w:val="28"/>
        </w:rPr>
        <w:t>761,191,294</w:t>
      </w:r>
      <w:r>
        <w:rPr>
          <w:rFonts w:ascii="Times New Roman" w:hAnsi="Times New Roman" w:cs="Times New Roman" w:eastAsia="Times New Roman" w:hint="default"/>
          <w:b/>
          <w:bCs/>
          <w:spacing w:val="-17"/>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line="320" w:lineRule="exact" w:before="0"/>
        <w:ind w:left="152" w:right="0" w:firstLine="0"/>
        <w:jc w:val="left"/>
        <w:rPr>
          <w:rFonts w:ascii="宋体" w:hAnsi="宋体" w:cs="宋体" w:eastAsia="宋体" w:hint="default"/>
          <w:sz w:val="28"/>
          <w:szCs w:val="28"/>
        </w:rPr>
      </w:pPr>
      <w:r>
        <w:rPr>
          <w:rFonts w:ascii="宋体" w:hAnsi="宋体" w:cs="宋体" w:eastAsia="宋体" w:hint="default"/>
          <w:b/>
          <w:bCs/>
          <w:w w:val="99"/>
          <w:sz w:val="28"/>
          <w:szCs w:val="28"/>
        </w:rPr>
        <w:t>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71"/>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w w:val="100"/>
          <w:sz w:val="28"/>
          <w:szCs w:val="28"/>
        </w:rPr>
        <w:t>3</w:t>
      </w:r>
      <w:r>
        <w:rPr>
          <w:rFonts w:ascii="Times New Roman" w:hAnsi="Times New Roman" w:cs="Times New Roman" w:eastAsia="Times New Roman" w:hint="default"/>
          <w:b/>
          <w:bCs/>
          <w:w w:val="100"/>
          <w:sz w:val="28"/>
          <w:szCs w:val="28"/>
        </w:rPr>
        <w:t>3</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2"/>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不以公积</w:t>
      </w:r>
      <w:r>
        <w:rPr>
          <w:rFonts w:ascii="宋体" w:hAnsi="宋体" w:cs="宋体" w:eastAsia="宋体" w:hint="default"/>
          <w:sz w:val="28"/>
          <w:szCs w:val="28"/>
        </w:rPr>
      </w:r>
    </w:p>
    <w:p>
      <w:pPr>
        <w:spacing w:before="236"/>
        <w:ind w:left="152" w:right="146" w:firstLine="0"/>
        <w:jc w:val="left"/>
        <w:rPr>
          <w:rFonts w:ascii="宋体" w:hAnsi="宋体" w:cs="宋体" w:eastAsia="宋体" w:hint="default"/>
          <w:sz w:val="28"/>
          <w:szCs w:val="28"/>
        </w:rPr>
      </w:pPr>
      <w:r>
        <w:rPr>
          <w:rFonts w:ascii="宋体" w:hAnsi="宋体" w:cs="宋体" w:eastAsia="宋体" w:hint="default"/>
          <w:b/>
          <w:bCs/>
          <w:sz w:val="28"/>
          <w:szCs w:val="28"/>
        </w:rPr>
        <w:t>金转增股本。</w:t>
      </w:r>
      <w:r>
        <w:rPr>
          <w:rFonts w:ascii="宋体" w:hAnsi="宋体" w:cs="宋体" w:eastAsia="宋体" w:hint="default"/>
          <w:sz w:val="28"/>
          <w:szCs w:val="28"/>
        </w:rPr>
      </w:r>
    </w:p>
    <w:p>
      <w:pPr>
        <w:spacing w:line="240" w:lineRule="auto" w:before="3"/>
        <w:rPr>
          <w:rFonts w:ascii="宋体" w:hAnsi="宋体" w:cs="宋体" w:eastAsia="宋体" w:hint="default"/>
          <w:b/>
          <w:bCs/>
          <w:sz w:val="27"/>
          <w:szCs w:val="27"/>
        </w:rPr>
      </w:pPr>
    </w:p>
    <w:p>
      <w:pPr>
        <w:spacing w:line="386" w:lineRule="auto" w:before="0"/>
        <w:ind w:left="152" w:right="15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公司负责人杨文江、主管会计工作负责人陈国军及会计机构负责人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陈国军声明：保证年度报告中财务报告的真实、准确、完整。</w:t>
      </w:r>
      <w:r>
        <w:rPr>
          <w:rFonts w:ascii="宋体" w:hAnsi="宋体" w:cs="宋体" w:eastAsia="宋体" w:hint="default"/>
          <w:sz w:val="28"/>
          <w:szCs w:val="28"/>
        </w:rPr>
      </w:r>
    </w:p>
    <w:p>
      <w:pPr>
        <w:spacing w:line="408" w:lineRule="auto" w:before="148"/>
        <w:ind w:left="152" w:right="156" w:firstLine="562"/>
        <w:jc w:val="both"/>
        <w:rPr>
          <w:rFonts w:ascii="宋体" w:hAnsi="宋体" w:cs="宋体" w:eastAsia="宋体" w:hint="default"/>
          <w:sz w:val="28"/>
          <w:szCs w:val="28"/>
        </w:rPr>
      </w:pPr>
      <w:r>
        <w:rPr>
          <w:rFonts w:ascii="宋体" w:hAnsi="宋体" w:cs="宋体" w:eastAsia="宋体" w:hint="default"/>
          <w:b/>
          <w:bCs/>
          <w:spacing w:val="2"/>
          <w:sz w:val="28"/>
          <w:szCs w:val="28"/>
        </w:rPr>
        <w:t>可能存在国家政策、行业竞争、市场等风险，有关风险因素内容与对策措</w:t>
      </w:r>
      <w:r>
        <w:rPr>
          <w:rFonts w:ascii="宋体" w:hAnsi="宋体" w:cs="宋体" w:eastAsia="宋体" w:hint="default"/>
          <w:b/>
          <w:bCs/>
          <w:w w:val="99"/>
          <w:sz w:val="28"/>
          <w:szCs w:val="28"/>
        </w:rPr>
        <w:t> </w:t>
      </w:r>
      <w:r>
        <w:rPr>
          <w:rFonts w:ascii="宋体" w:hAnsi="宋体" w:cs="宋体" w:eastAsia="宋体" w:hint="default"/>
          <w:b/>
          <w:bCs/>
          <w:spacing w:val="2"/>
          <w:sz w:val="28"/>
          <w:szCs w:val="28"/>
        </w:rPr>
        <w:t>施已在本报告中第四节“董事会报告”部分予以描述。敬请广大投资者注意投</w:t>
      </w:r>
      <w:r>
        <w:rPr>
          <w:rFonts w:ascii="宋体" w:hAnsi="宋体" w:cs="宋体" w:eastAsia="宋体" w:hint="default"/>
          <w:b/>
          <w:bCs/>
          <w:w w:val="99"/>
          <w:sz w:val="28"/>
          <w:szCs w:val="28"/>
        </w:rPr>
        <w:t> </w:t>
      </w:r>
      <w:r>
        <w:rPr>
          <w:rFonts w:ascii="宋体" w:hAnsi="宋体" w:cs="宋体" w:eastAsia="宋体" w:hint="default"/>
          <w:b/>
          <w:bCs/>
          <w:sz w:val="28"/>
          <w:szCs w:val="28"/>
        </w:rPr>
        <w:t>资风险。</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footerReference w:type="default" r:id="rId8"/>
          <w:pgSz w:w="11910" w:h="16840"/>
          <w:pgMar w:footer="980" w:header="745" w:top="1060" w:bottom="1160" w:left="980" w:right="9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0" w:right="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宋体" w:hAnsi="宋体" w:cs="宋体" w:eastAsia="宋体" w:hint="default"/>
              <w:b w:val="0"/>
              <w:bCs w:val="0"/>
            </w:rPr>
          </w:pPr>
          <w:r>
            <w:fldChar w:fldCharType="begin"/>
          </w:r>
          <w:r>
            <w:instrText>TOC \o "1-1" \h \z \u </w:instrText>
          </w:r>
          <w:r>
            <w:fldChar w:fldCharType="separate"/>
          </w:r>
          <w:hyperlink w:history="true" w:anchor="_TOC_250011">
            <w:r>
              <w:rPr/>
              <w:t>第一节</w:t>
            </w:r>
            <w:r>
              <w:rPr>
                <w:spacing w:val="1"/>
              </w:rPr>
              <w:t> </w:t>
            </w:r>
            <w:r>
              <w:rPr/>
              <w:t>重要提示、目录和释义</w:t>
            </w:r>
            <w:r>
              <w:rPr>
                <w:rFonts w:ascii="宋体" w:hAnsi="宋体" w:cs="宋体" w:eastAsia="宋体" w:hint="default"/>
              </w:rPr>
              <w:tab/>
              <w:t>2</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TOC_250010">
            <w:r>
              <w:rPr/>
              <w:t>第二节</w:t>
            </w:r>
            <w:r>
              <w:rPr>
                <w:spacing w:val="1"/>
              </w:rPr>
              <w:t> </w:t>
            </w:r>
            <w:r>
              <w:rPr/>
              <w:t>公司简介</w:t>
            </w:r>
            <w:r>
              <w:rPr>
                <w:rFonts w:ascii="宋体" w:hAnsi="宋体" w:cs="宋体" w:eastAsia="宋体" w:hint="default"/>
              </w:rPr>
              <w:tab/>
              <w:t>6</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TOC_250009">
            <w:r>
              <w:rPr/>
              <w:t>第三节</w:t>
            </w:r>
            <w:r>
              <w:rPr>
                <w:spacing w:val="1"/>
              </w:rPr>
              <w:t> </w:t>
            </w:r>
            <w:r>
              <w:rPr/>
              <w:t>会计数据和财务指标摘要</w:t>
            </w:r>
            <w:r>
              <w:rPr>
                <w:rFonts w:ascii="宋体" w:hAnsi="宋体" w:cs="宋体" w:eastAsia="宋体" w:hint="default"/>
              </w:rPr>
              <w:tab/>
              <w:t>8</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TOC_250008">
            <w:r>
              <w:rPr/>
              <w:t>第四节</w:t>
            </w:r>
            <w:r>
              <w:rPr>
                <w:spacing w:val="1"/>
              </w:rPr>
              <w:t> </w:t>
            </w:r>
            <w:r>
              <w:rPr/>
              <w:t>董事会报告</w:t>
            </w:r>
            <w:r>
              <w:rPr>
                <w:rFonts w:ascii="宋体" w:hAnsi="宋体" w:cs="宋体" w:eastAsia="宋体" w:hint="default"/>
              </w:rPr>
              <w:tab/>
              <w:t>10</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TOC_250007">
            <w:r>
              <w:rPr/>
              <w:t>第五节</w:t>
            </w:r>
            <w:r>
              <w:rPr>
                <w:spacing w:val="2"/>
              </w:rPr>
              <w:t> </w:t>
            </w:r>
            <w:r>
              <w:rPr/>
              <w:t>重要事项</w:t>
            </w:r>
            <w:r>
              <w:rPr>
                <w:rFonts w:ascii="宋体" w:hAnsi="宋体" w:cs="宋体" w:eastAsia="宋体" w:hint="default"/>
              </w:rPr>
              <w:tab/>
              <w:t>31</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TOC_250006">
            <w:r>
              <w:rPr/>
              <w:t>第六节</w:t>
            </w:r>
            <w:r>
              <w:rPr>
                <w:spacing w:val="1"/>
              </w:rPr>
              <w:t> </w:t>
            </w:r>
            <w:r>
              <w:rPr/>
              <w:t>股份变动及股东情况</w:t>
            </w:r>
            <w:r>
              <w:rPr>
                <w:rFonts w:ascii="宋体" w:hAnsi="宋体" w:cs="宋体" w:eastAsia="宋体" w:hint="default"/>
              </w:rPr>
              <w:tab/>
              <w:t>38</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TOC_250005">
            <w:r>
              <w:rPr/>
              <w:t>第七节</w:t>
            </w:r>
            <w:r>
              <w:rPr>
                <w:spacing w:val="1"/>
              </w:rPr>
              <w:t> </w:t>
            </w:r>
            <w:r>
              <w:rPr/>
              <w:t>优先股相关情况</w:t>
            </w:r>
            <w:r>
              <w:rPr>
                <w:rFonts w:ascii="宋体" w:hAnsi="宋体" w:cs="宋体" w:eastAsia="宋体" w:hint="default"/>
              </w:rPr>
              <w:tab/>
              <w:t>42</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TOC_250004">
            <w:r>
              <w:rPr/>
              <w:t>第八节</w:t>
            </w:r>
            <w:r>
              <w:rPr>
                <w:spacing w:val="1"/>
              </w:rPr>
              <w:t> </w:t>
            </w:r>
            <w:r>
              <w:rPr/>
              <w:t>董事、监事、高级管理人员和员工情况</w:t>
            </w:r>
            <w:r>
              <w:rPr>
                <w:rFonts w:ascii="宋体" w:hAnsi="宋体" w:cs="宋体" w:eastAsia="宋体" w:hint="default"/>
              </w:rPr>
              <w:tab/>
              <w:t>43</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TOC_250003">
            <w:r>
              <w:rPr/>
              <w:t>第九节</w:t>
            </w:r>
            <w:r>
              <w:rPr>
                <w:spacing w:val="2"/>
              </w:rPr>
              <w:t> </w:t>
            </w:r>
            <w:r>
              <w:rPr/>
              <w:t>公司治理</w:t>
            </w:r>
            <w:r>
              <w:rPr>
                <w:rFonts w:ascii="宋体" w:hAnsi="宋体" w:cs="宋体" w:eastAsia="宋体" w:hint="default"/>
              </w:rPr>
              <w:tab/>
              <w:t>49</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TOC_250002">
            <w:r>
              <w:rPr/>
              <w:t>第十节</w:t>
            </w:r>
            <w:r>
              <w:rPr>
                <w:spacing w:val="2"/>
              </w:rPr>
              <w:t> </w:t>
            </w:r>
            <w:r>
              <w:rPr/>
              <w:t>内部控制</w:t>
            </w:r>
            <w:r>
              <w:rPr>
                <w:rFonts w:ascii="宋体" w:hAnsi="宋体" w:cs="宋体" w:eastAsia="宋体" w:hint="default"/>
              </w:rPr>
              <w:tab/>
              <w:t>54</w:t>
            </w:r>
            <w:r>
              <w:rPr>
                <w:rFonts w:ascii="宋体" w:hAnsi="宋体" w:cs="宋体" w:eastAsia="宋体" w:hint="default"/>
                <w:b w:val="0"/>
                <w:bCs w:val="0"/>
              </w:rPr>
            </w:r>
          </w:hyperlink>
        </w:p>
        <w:p>
          <w:pPr>
            <w:pStyle w:val="TOC1"/>
            <w:tabs>
              <w:tab w:pos="9785" w:val="right" w:leader="dot"/>
            </w:tabs>
            <w:spacing w:line="240" w:lineRule="auto"/>
            <w:ind w:right="0"/>
            <w:jc w:val="left"/>
            <w:rPr>
              <w:rFonts w:ascii="宋体" w:hAnsi="宋体" w:cs="宋体" w:eastAsia="宋体" w:hint="default"/>
              <w:b w:val="0"/>
              <w:bCs w:val="0"/>
            </w:rPr>
          </w:pPr>
          <w:hyperlink w:history="true" w:anchor="_TOC_250001">
            <w:r>
              <w:rPr/>
              <w:t>第十一节</w:t>
            </w:r>
            <w:r>
              <w:rPr>
                <w:spacing w:val="-1"/>
              </w:rPr>
              <w:t> </w:t>
            </w:r>
            <w:r>
              <w:rPr/>
              <w:t>财务报告</w:t>
            </w:r>
            <w:r>
              <w:rPr>
                <w:rFonts w:ascii="宋体" w:hAnsi="宋体" w:cs="宋体" w:eastAsia="宋体" w:hint="default"/>
              </w:rPr>
              <w:tab/>
              <w:t>56</w:t>
            </w:r>
            <w:r>
              <w:rPr>
                <w:rFonts w:ascii="宋体" w:hAnsi="宋体" w:cs="宋体" w:eastAsia="宋体" w:hint="default"/>
                <w:b w:val="0"/>
                <w:bCs w:val="0"/>
              </w:rPr>
            </w:r>
          </w:hyperlink>
        </w:p>
        <w:p>
          <w:pPr>
            <w:pStyle w:val="TOC1"/>
            <w:tabs>
              <w:tab w:pos="9783" w:val="right" w:leader="dot"/>
            </w:tabs>
            <w:spacing w:line="240" w:lineRule="auto"/>
            <w:ind w:right="0"/>
            <w:jc w:val="left"/>
            <w:rPr>
              <w:rFonts w:ascii="宋体" w:hAnsi="宋体" w:cs="宋体" w:eastAsia="宋体" w:hint="default"/>
              <w:b w:val="0"/>
              <w:bCs w:val="0"/>
            </w:rPr>
          </w:pPr>
          <w:hyperlink w:history="true" w:anchor="_TOC_250000">
            <w:r>
              <w:rPr/>
              <w:t>第十二节</w:t>
            </w:r>
            <w:r>
              <w:rPr>
                <w:spacing w:val="-2"/>
              </w:rPr>
              <w:t> </w:t>
            </w:r>
            <w:r>
              <w:rPr/>
              <w:t>备查文件目录</w:t>
            </w:r>
            <w:r>
              <w:rPr>
                <w:rFonts w:ascii="宋体" w:hAnsi="宋体" w:cs="宋体" w:eastAsia="宋体" w:hint="default"/>
              </w:rPr>
              <w:tab/>
              <w:t>135</w:t>
            </w:r>
            <w:r>
              <w:rPr>
                <w:rFonts w:ascii="宋体" w:hAnsi="宋体" w:cs="宋体" w:eastAsia="宋体" w:hint="default"/>
                <w:b w:val="0"/>
                <w:bCs w:val="0"/>
              </w:rPr>
            </w:r>
          </w:hyperlink>
        </w:p>
        <w:p>
          <w:pPr/>
          <w:r>
            <w:fldChar w:fldCharType="end"/>
          </w:r>
        </w:p>
      </w:sdtContent>
    </w:sdt>
    <w:p>
      <w:pPr>
        <w:spacing w:after="0"/>
        <w:sectPr>
          <w:pgSz w:w="11910" w:h="16840"/>
          <w:pgMar w:header="745" w:footer="980" w:top="1060" w:bottom="1160" w:left="980" w:right="980"/>
        </w:sectPr>
      </w:pPr>
    </w:p>
    <w:p>
      <w:pPr>
        <w:spacing w:before="969"/>
        <w:ind w:left="4632" w:right="479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pStyle w:val="BodyText"/>
        <w:spacing w:line="240" w:lineRule="auto" w:before="132"/>
        <w:ind w:left="0" w:right="104"/>
        <w:jc w:val="right"/>
      </w:pPr>
      <w:r>
        <w:rPr/>
        <w:pict>
          <v:shape style="position:absolute;margin-left:56.459999pt;margin-top:-192.918274pt;width:489.25pt;height:368.9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30"/>
                    <w:gridCol w:w="545"/>
                    <w:gridCol w:w="7795"/>
                  </w:tblGrid>
                  <w:tr>
                    <w:trPr>
                      <w:trHeight w:val="403"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释义项</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1430" w:type="dxa"/>
                        <w:tcBorders>
                          <w:top w:val="single" w:sz="4" w:space="0" w:color="000000"/>
                          <w:left w:val="single" w:sz="4" w:space="0" w:color="000000"/>
                          <w:bottom w:val="single" w:sz="4" w:space="0" w:color="000000"/>
                          <w:right w:val="single" w:sz="10" w:space="0" w:color="D2D2D2"/>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公司、本公司</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795" w:type="dxa"/>
                        <w:tcBorders>
                          <w:top w:val="single" w:sz="4" w:space="0" w:color="000000"/>
                          <w:left w:val="single" w:sz="9" w:space="0" w:color="D2D2D2"/>
                          <w:bottom w:val="single" w:sz="4" w:space="0" w:color="000000"/>
                          <w:right w:val="single" w:sz="4" w:space="0" w:color="000000"/>
                        </w:tcBorders>
                        <w:shd w:val="clear" w:color="auto" w:fill="C7EBCC"/>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广州御银科技股份有限公司</w:t>
                        </w:r>
                      </w:p>
                    </w:tc>
                  </w:tr>
                  <w:tr>
                    <w:trPr>
                      <w:trHeight w:val="403" w:hRule="exact"/>
                    </w:trPr>
                    <w:tc>
                      <w:tcPr>
                        <w:tcW w:w="1430" w:type="dxa"/>
                        <w:tcBorders>
                          <w:top w:val="single" w:sz="4" w:space="0" w:color="000000"/>
                          <w:left w:val="single" w:sz="4" w:space="0" w:color="000000"/>
                          <w:bottom w:val="single" w:sz="4" w:space="0" w:color="000000"/>
                          <w:right w:val="single" w:sz="10" w:space="0" w:color="D2D2D2"/>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御银有限</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795" w:type="dxa"/>
                        <w:tcBorders>
                          <w:top w:val="single" w:sz="4" w:space="0" w:color="000000"/>
                          <w:left w:val="single" w:sz="9" w:space="0" w:color="D2D2D2"/>
                          <w:bottom w:val="single" w:sz="4" w:space="0" w:color="000000"/>
                          <w:right w:val="single" w:sz="4" w:space="0" w:color="000000"/>
                        </w:tcBorders>
                        <w:shd w:val="clear" w:color="auto" w:fill="C7EBCC"/>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广州御银科技有限公司，公司改组为股份有限公司前的主体</w:t>
                        </w:r>
                      </w:p>
                    </w:tc>
                  </w:tr>
                  <w:tr>
                    <w:trPr>
                      <w:trHeight w:val="401" w:hRule="exact"/>
                    </w:trPr>
                    <w:tc>
                      <w:tcPr>
                        <w:tcW w:w="1430" w:type="dxa"/>
                        <w:tcBorders>
                          <w:top w:val="single" w:sz="4" w:space="0" w:color="000000"/>
                          <w:left w:val="single" w:sz="4" w:space="0" w:color="000000"/>
                          <w:bottom w:val="single" w:sz="4" w:space="0" w:color="000000"/>
                          <w:right w:val="single" w:sz="10" w:space="0" w:color="D2D2D2"/>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795" w:type="dxa"/>
                        <w:tcBorders>
                          <w:top w:val="single" w:sz="4" w:space="0" w:color="000000"/>
                          <w:left w:val="single" w:sz="9" w:space="0" w:color="D2D2D2"/>
                          <w:bottom w:val="single" w:sz="4" w:space="0" w:color="000000"/>
                          <w:right w:val="single" w:sz="4" w:space="0" w:color="000000"/>
                        </w:tcBorders>
                        <w:shd w:val="clear" w:color="auto" w:fill="C7EBCC"/>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中华人民共和国法定货币人民币元</w:t>
                        </w:r>
                      </w:p>
                    </w:tc>
                  </w:tr>
                  <w:tr>
                    <w:trPr>
                      <w:trHeight w:val="403" w:hRule="exact"/>
                    </w:trPr>
                    <w:tc>
                      <w:tcPr>
                        <w:tcW w:w="1430" w:type="dxa"/>
                        <w:tcBorders>
                          <w:top w:val="single" w:sz="4" w:space="0" w:color="000000"/>
                          <w:left w:val="single" w:sz="4" w:space="0" w:color="000000"/>
                          <w:bottom w:val="single" w:sz="4" w:space="0" w:color="000000"/>
                          <w:right w:val="single" w:sz="10" w:space="0" w:color="D2D2D2"/>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广州御新</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795" w:type="dxa"/>
                        <w:tcBorders>
                          <w:top w:val="single" w:sz="4" w:space="0" w:color="000000"/>
                          <w:left w:val="single" w:sz="9" w:space="0" w:color="D2D2D2"/>
                          <w:bottom w:val="single" w:sz="4" w:space="0" w:color="000000"/>
                          <w:right w:val="single" w:sz="4" w:space="0" w:color="000000"/>
                        </w:tcBorders>
                        <w:shd w:val="clear" w:color="auto" w:fill="C7EBCC"/>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广州御新软件有限公司，公司下属全资子公司，持有其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401" w:hRule="exact"/>
                    </w:trPr>
                    <w:tc>
                      <w:tcPr>
                        <w:tcW w:w="1430" w:type="dxa"/>
                        <w:tcBorders>
                          <w:top w:val="single" w:sz="4" w:space="0" w:color="000000"/>
                          <w:left w:val="single" w:sz="4" w:space="0" w:color="000000"/>
                          <w:bottom w:val="single" w:sz="4" w:space="0" w:color="000000"/>
                          <w:right w:val="single" w:sz="10" w:space="0" w:color="D2D2D2"/>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自动柜员机技术</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795" w:type="dxa"/>
                        <w:tcBorders>
                          <w:top w:val="single" w:sz="4" w:space="0" w:color="000000"/>
                          <w:left w:val="single" w:sz="9" w:space="0" w:color="D2D2D2"/>
                          <w:bottom w:val="single" w:sz="4" w:space="0" w:color="000000"/>
                          <w:right w:val="single" w:sz="4" w:space="0" w:color="000000"/>
                        </w:tcBorders>
                        <w:shd w:val="clear" w:color="auto" w:fill="C7EBCC"/>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广州御银自动柜员机技术有限公司，公司下属全资子公司，通过广州御新持有其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403" w:hRule="exact"/>
                    </w:trPr>
                    <w:tc>
                      <w:tcPr>
                        <w:tcW w:w="1430" w:type="dxa"/>
                        <w:tcBorders>
                          <w:top w:val="single" w:sz="4" w:space="0" w:color="000000"/>
                          <w:left w:val="single" w:sz="4" w:space="0" w:color="000000"/>
                          <w:bottom w:val="single" w:sz="4" w:space="0" w:color="000000"/>
                          <w:right w:val="single" w:sz="10" w:space="0" w:color="D2D2D2"/>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安徽御银</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795" w:type="dxa"/>
                        <w:tcBorders>
                          <w:top w:val="single" w:sz="4" w:space="0" w:color="000000"/>
                          <w:left w:val="single" w:sz="9" w:space="0" w:color="D2D2D2"/>
                          <w:bottom w:val="single" w:sz="4" w:space="0" w:color="000000"/>
                          <w:right w:val="single" w:sz="4" w:space="0" w:color="000000"/>
                        </w:tcBorders>
                        <w:shd w:val="clear" w:color="auto" w:fill="C7EBCC"/>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安徽御银电子科技有限公司，公司下属全资子公司，持有其</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161" w:hRule="exact"/>
                    </w:trPr>
                    <w:tc>
                      <w:tcPr>
                        <w:tcW w:w="1430" w:type="dxa"/>
                        <w:vMerge w:val="restart"/>
                        <w:tcBorders>
                          <w:top w:val="single" w:sz="4" w:space="0" w:color="000000"/>
                          <w:left w:val="single" w:sz="4" w:space="0" w:color="000000"/>
                          <w:right w:val="single" w:sz="10" w:space="0" w:color="D2D2D2"/>
                        </w:tcBorders>
                        <w:shd w:val="clear" w:color="auto" w:fill="C7EB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御银金融</w:t>
                        </w:r>
                      </w:p>
                    </w:tc>
                    <w:tc>
                      <w:tcPr>
                        <w:tcW w:w="545"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5" w:type="dxa"/>
                        <w:vMerge w:val="restart"/>
                        <w:tcBorders>
                          <w:top w:val="single" w:sz="4" w:space="0" w:color="000000"/>
                          <w:left w:val="single" w:sz="9" w:space="0" w:color="D2D2D2"/>
                          <w:right w:val="single" w:sz="4" w:space="0" w:color="000000"/>
                        </w:tcBorders>
                        <w:shd w:val="clear" w:color="auto" w:fill="C7EBCC"/>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广州御银金融服务有限公司，公司下属全资子公司，直接持有其</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80%</w:t>
                        </w:r>
                        <w:r>
                          <w:rPr>
                            <w:rFonts w:ascii="宋体" w:hAnsi="宋体" w:cs="宋体" w:eastAsia="宋体" w:hint="default"/>
                            <w:spacing w:val="-5"/>
                            <w:sz w:val="18"/>
                            <w:szCs w:val="18"/>
                          </w:rPr>
                          <w:t>股权，通过广州御新持有其</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7" w:right="0"/>
                          <w:jc w:val="left"/>
                          <w:rPr>
                            <w:rFonts w:ascii="宋体" w:hAnsi="宋体" w:cs="宋体" w:eastAsia="宋体" w:hint="default"/>
                            <w:sz w:val="18"/>
                            <w:szCs w:val="18"/>
                          </w:rPr>
                        </w:pPr>
                        <w:r>
                          <w:rPr>
                            <w:rFonts w:ascii="宋体" w:hAnsi="宋体" w:cs="宋体" w:eastAsia="宋体" w:hint="default"/>
                            <w:sz w:val="18"/>
                            <w:szCs w:val="18"/>
                          </w:rPr>
                          <w:t>股权，公司合共持有其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391" w:hRule="exact"/>
                    </w:trPr>
                    <w:tc>
                      <w:tcPr>
                        <w:tcW w:w="1430" w:type="dxa"/>
                        <w:vMerge/>
                        <w:tcBorders>
                          <w:left w:val="single" w:sz="4" w:space="0" w:color="000000"/>
                          <w:right w:val="single" w:sz="10" w:space="0" w:color="D2D2D2"/>
                        </w:tcBorders>
                        <w:shd w:val="clear" w:color="auto" w:fill="C7EBCC"/>
                      </w:tcPr>
                      <w:p>
                        <w:pPr/>
                      </w:p>
                    </w:tc>
                    <w:tc>
                      <w:tcPr>
                        <w:tcW w:w="5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795" w:type="dxa"/>
                        <w:vMerge/>
                        <w:tcBorders>
                          <w:left w:val="single" w:sz="9" w:space="0" w:color="D2D2D2"/>
                          <w:right w:val="single" w:sz="4" w:space="0" w:color="000000"/>
                        </w:tcBorders>
                        <w:shd w:val="clear" w:color="auto" w:fill="C7EBCC"/>
                      </w:tcPr>
                      <w:p>
                        <w:pPr/>
                      </w:p>
                    </w:tc>
                  </w:tr>
                  <w:tr>
                    <w:trPr>
                      <w:trHeight w:val="161" w:hRule="exact"/>
                    </w:trPr>
                    <w:tc>
                      <w:tcPr>
                        <w:tcW w:w="1430" w:type="dxa"/>
                        <w:vMerge/>
                        <w:tcBorders>
                          <w:left w:val="single" w:sz="4" w:space="0" w:color="000000"/>
                          <w:bottom w:val="single" w:sz="4" w:space="0" w:color="000000"/>
                          <w:right w:val="single" w:sz="10" w:space="0" w:color="D2D2D2"/>
                        </w:tcBorders>
                        <w:shd w:val="clear" w:color="auto" w:fill="C7EBCC"/>
                      </w:tcPr>
                      <w:p>
                        <w:pPr/>
                      </w:p>
                    </w:tc>
                    <w:tc>
                      <w:tcPr>
                        <w:tcW w:w="545"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5" w:type="dxa"/>
                        <w:vMerge/>
                        <w:tcBorders>
                          <w:left w:val="single" w:sz="9" w:space="0" w:color="D2D2D2"/>
                          <w:bottom w:val="single" w:sz="4" w:space="0" w:color="000000"/>
                          <w:right w:val="single" w:sz="4" w:space="0" w:color="000000"/>
                        </w:tcBorders>
                        <w:shd w:val="clear" w:color="auto" w:fill="C7EBCC"/>
                      </w:tcPr>
                      <w:p>
                        <w:pPr/>
                      </w:p>
                    </w:tc>
                  </w:tr>
                  <w:tr>
                    <w:trPr>
                      <w:trHeight w:val="403" w:hRule="exact"/>
                    </w:trPr>
                    <w:tc>
                      <w:tcPr>
                        <w:tcW w:w="1430" w:type="dxa"/>
                        <w:tcBorders>
                          <w:top w:val="single" w:sz="4" w:space="0" w:color="000000"/>
                          <w:left w:val="single" w:sz="4" w:space="0" w:color="000000"/>
                          <w:bottom w:val="single" w:sz="4" w:space="0" w:color="000000"/>
                          <w:right w:val="single" w:sz="10" w:space="0" w:color="D2D2D2"/>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御银国际</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795" w:type="dxa"/>
                        <w:tcBorders>
                          <w:top w:val="single" w:sz="4" w:space="0" w:color="000000"/>
                          <w:left w:val="single" w:sz="9" w:space="0" w:color="D2D2D2"/>
                          <w:bottom w:val="single" w:sz="4" w:space="0" w:color="000000"/>
                          <w:right w:val="single" w:sz="4" w:space="0" w:color="000000"/>
                        </w:tcBorders>
                        <w:shd w:val="clear" w:color="auto" w:fill="C7EBCC"/>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御银（中国）科技国际有限公司，公司下属全资子公司，持有其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161" w:hRule="exact"/>
                    </w:trPr>
                    <w:tc>
                      <w:tcPr>
                        <w:tcW w:w="1430" w:type="dxa"/>
                        <w:vMerge w:val="restart"/>
                        <w:tcBorders>
                          <w:top w:val="single" w:sz="4" w:space="0" w:color="000000"/>
                          <w:left w:val="single" w:sz="4" w:space="0" w:color="000000"/>
                          <w:right w:val="single" w:sz="10" w:space="0" w:color="D2D2D2"/>
                        </w:tcBorders>
                        <w:shd w:val="clear" w:color="auto" w:fill="C7EB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自动柜员机科技</w:t>
                        </w:r>
                      </w:p>
                    </w:tc>
                    <w:tc>
                      <w:tcPr>
                        <w:tcW w:w="545"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5" w:type="dxa"/>
                        <w:vMerge w:val="restart"/>
                        <w:tcBorders>
                          <w:top w:val="single" w:sz="4" w:space="0" w:color="000000"/>
                          <w:left w:val="single" w:sz="9" w:space="0" w:color="D2D2D2"/>
                          <w:right w:val="single" w:sz="4" w:space="0" w:color="000000"/>
                        </w:tcBorders>
                        <w:shd w:val="clear" w:color="auto" w:fill="C7EBCC"/>
                      </w:tcPr>
                      <w:p>
                        <w:pPr>
                          <w:pStyle w:val="TableParagraph"/>
                          <w:spacing w:line="300" w:lineRule="auto" w:before="49"/>
                          <w:ind w:left="27" w:right="9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28</w:t>
                        </w:r>
                        <w:r>
                          <w:rPr>
                            <w:rFonts w:ascii="Times New Roman" w:hAnsi="Times New Roman" w:cs="Times New Roman" w:eastAsia="Times New Roman" w:hint="default"/>
                            <w:spacing w:val="6"/>
                            <w:sz w:val="18"/>
                            <w:szCs w:val="18"/>
                          </w:rPr>
                          <w:t> </w:t>
                        </w:r>
                        <w:r>
                          <w:rPr>
                            <w:rFonts w:ascii="宋体" w:hAnsi="宋体" w:cs="宋体" w:eastAsia="宋体" w:hint="default"/>
                            <w:spacing w:val="-7"/>
                            <w:sz w:val="18"/>
                            <w:szCs w:val="18"/>
                          </w:rPr>
                          <w:t>日“广州御银先端电子科技有限公司”变更为“广州御银自动柜员机科技有限公司”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公司下属全资子公司，持有其</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391" w:hRule="exact"/>
                    </w:trPr>
                    <w:tc>
                      <w:tcPr>
                        <w:tcW w:w="1430" w:type="dxa"/>
                        <w:vMerge/>
                        <w:tcBorders>
                          <w:left w:val="single" w:sz="4" w:space="0" w:color="000000"/>
                          <w:right w:val="single" w:sz="10" w:space="0" w:color="D2D2D2"/>
                        </w:tcBorders>
                        <w:shd w:val="clear" w:color="auto" w:fill="C7EBCC"/>
                      </w:tcPr>
                      <w:p>
                        <w:pPr/>
                      </w:p>
                    </w:tc>
                    <w:tc>
                      <w:tcPr>
                        <w:tcW w:w="5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795" w:type="dxa"/>
                        <w:vMerge/>
                        <w:tcBorders>
                          <w:left w:val="single" w:sz="9" w:space="0" w:color="D2D2D2"/>
                          <w:right w:val="single" w:sz="4" w:space="0" w:color="000000"/>
                        </w:tcBorders>
                        <w:shd w:val="clear" w:color="auto" w:fill="C7EBCC"/>
                      </w:tcPr>
                      <w:p>
                        <w:pPr/>
                      </w:p>
                    </w:tc>
                  </w:tr>
                  <w:tr>
                    <w:trPr>
                      <w:trHeight w:val="161" w:hRule="exact"/>
                    </w:trPr>
                    <w:tc>
                      <w:tcPr>
                        <w:tcW w:w="1430" w:type="dxa"/>
                        <w:vMerge/>
                        <w:tcBorders>
                          <w:left w:val="single" w:sz="4" w:space="0" w:color="000000"/>
                          <w:bottom w:val="single" w:sz="4" w:space="0" w:color="000000"/>
                          <w:right w:val="single" w:sz="10" w:space="0" w:color="D2D2D2"/>
                        </w:tcBorders>
                        <w:shd w:val="clear" w:color="auto" w:fill="C7EBCC"/>
                      </w:tcPr>
                      <w:p>
                        <w:pPr/>
                      </w:p>
                    </w:tc>
                    <w:tc>
                      <w:tcPr>
                        <w:tcW w:w="545"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5" w:type="dxa"/>
                        <w:vMerge/>
                        <w:tcBorders>
                          <w:left w:val="single" w:sz="9" w:space="0" w:color="D2D2D2"/>
                          <w:bottom w:val="single" w:sz="4" w:space="0" w:color="000000"/>
                          <w:right w:val="single" w:sz="4" w:space="0" w:color="000000"/>
                        </w:tcBorders>
                        <w:shd w:val="clear" w:color="auto" w:fill="C7EBCC"/>
                      </w:tcPr>
                      <w:p>
                        <w:pPr/>
                      </w:p>
                    </w:tc>
                  </w:tr>
                  <w:tr>
                    <w:trPr>
                      <w:trHeight w:val="403" w:hRule="exact"/>
                    </w:trPr>
                    <w:tc>
                      <w:tcPr>
                        <w:tcW w:w="1430" w:type="dxa"/>
                        <w:tcBorders>
                          <w:top w:val="single" w:sz="4" w:space="0" w:color="000000"/>
                          <w:left w:val="single" w:sz="4" w:space="0" w:color="000000"/>
                          <w:bottom w:val="single" w:sz="4" w:space="0" w:color="000000"/>
                          <w:right w:val="single" w:sz="10" w:space="0" w:color="D2D2D2"/>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御银香港</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795" w:type="dxa"/>
                        <w:tcBorders>
                          <w:top w:val="single" w:sz="4" w:space="0" w:color="000000"/>
                          <w:left w:val="single" w:sz="9" w:space="0" w:color="D2D2D2"/>
                          <w:bottom w:val="single" w:sz="4" w:space="0" w:color="000000"/>
                          <w:right w:val="single" w:sz="4" w:space="0" w:color="000000"/>
                        </w:tcBorders>
                        <w:shd w:val="clear" w:color="auto" w:fill="C7EBCC"/>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御银科技（香港）有限公司，公司下属全资子公司，通过御银国际持有其</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401" w:hRule="exact"/>
                    </w:trPr>
                    <w:tc>
                      <w:tcPr>
                        <w:tcW w:w="1430" w:type="dxa"/>
                        <w:tcBorders>
                          <w:top w:val="single" w:sz="4" w:space="0" w:color="000000"/>
                          <w:left w:val="single" w:sz="4" w:space="0" w:color="000000"/>
                          <w:bottom w:val="single" w:sz="4" w:space="0" w:color="000000"/>
                          <w:right w:val="single" w:sz="10" w:space="0" w:color="D2D2D2"/>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青年御银</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795" w:type="dxa"/>
                        <w:tcBorders>
                          <w:top w:val="single" w:sz="4" w:space="0" w:color="000000"/>
                          <w:left w:val="single" w:sz="9" w:space="0" w:color="D2D2D2"/>
                          <w:bottom w:val="single" w:sz="4" w:space="0" w:color="000000"/>
                          <w:right w:val="single" w:sz="4" w:space="0" w:color="000000"/>
                        </w:tcBorders>
                        <w:shd w:val="clear" w:color="auto" w:fill="C7EBCC"/>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北京青年御银科技有限责任公司，公司下属全资子公司，持有其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161" w:hRule="exact"/>
                    </w:trPr>
                    <w:tc>
                      <w:tcPr>
                        <w:tcW w:w="1430" w:type="dxa"/>
                        <w:vMerge w:val="restart"/>
                        <w:tcBorders>
                          <w:top w:val="single" w:sz="4" w:space="0" w:color="000000"/>
                          <w:left w:val="single" w:sz="4" w:space="0" w:color="000000"/>
                          <w:right w:val="single" w:sz="10" w:space="0" w:color="D2D2D2"/>
                        </w:tcBorders>
                        <w:shd w:val="clear" w:color="auto" w:fill="C7EB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星河生物</w:t>
                        </w:r>
                      </w:p>
                    </w:tc>
                    <w:tc>
                      <w:tcPr>
                        <w:tcW w:w="545"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5" w:type="dxa"/>
                        <w:vMerge w:val="restart"/>
                        <w:tcBorders>
                          <w:top w:val="single" w:sz="4" w:space="0" w:color="000000"/>
                          <w:left w:val="single" w:sz="9" w:space="0" w:color="D2D2D2"/>
                          <w:right w:val="single" w:sz="4" w:space="0" w:color="000000"/>
                        </w:tcBorders>
                        <w:shd w:val="clear" w:color="auto" w:fill="C7EBCC"/>
                      </w:tcPr>
                      <w:p>
                        <w:pPr>
                          <w:pStyle w:val="TableParagraph"/>
                          <w:spacing w:line="316" w:lineRule="auto" w:before="49"/>
                          <w:ind w:left="27" w:right="10"/>
                          <w:jc w:val="left"/>
                          <w:rPr>
                            <w:rFonts w:ascii="宋体" w:hAnsi="宋体" w:cs="宋体" w:eastAsia="宋体" w:hint="default"/>
                            <w:sz w:val="18"/>
                            <w:szCs w:val="18"/>
                          </w:rPr>
                        </w:pPr>
                        <w:r>
                          <w:rPr>
                            <w:rFonts w:ascii="宋体" w:hAnsi="宋体" w:cs="宋体" w:eastAsia="宋体" w:hint="default"/>
                            <w:sz w:val="18"/>
                            <w:szCs w:val="18"/>
                          </w:rPr>
                          <w:t>广东星河生物科技股份有限公司，参股公司，报告期内，子公司御新软件出售了其所持星河生物股 票剩余股票</w:t>
                        </w:r>
                      </w:p>
                    </w:tc>
                  </w:tr>
                  <w:tr>
                    <w:trPr>
                      <w:trHeight w:val="394" w:hRule="exact"/>
                    </w:trPr>
                    <w:tc>
                      <w:tcPr>
                        <w:tcW w:w="1430" w:type="dxa"/>
                        <w:vMerge/>
                        <w:tcBorders>
                          <w:left w:val="single" w:sz="4" w:space="0" w:color="000000"/>
                          <w:right w:val="single" w:sz="10" w:space="0" w:color="D2D2D2"/>
                        </w:tcBorders>
                        <w:shd w:val="clear" w:color="auto" w:fill="C7EBCC"/>
                      </w:tcPr>
                      <w:p>
                        <w:pPr/>
                      </w:p>
                    </w:tc>
                    <w:tc>
                      <w:tcPr>
                        <w:tcW w:w="5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795" w:type="dxa"/>
                        <w:vMerge/>
                        <w:tcBorders>
                          <w:left w:val="single" w:sz="9" w:space="0" w:color="D2D2D2"/>
                          <w:right w:val="single" w:sz="4" w:space="0" w:color="000000"/>
                        </w:tcBorders>
                        <w:shd w:val="clear" w:color="auto" w:fill="C7EBCC"/>
                      </w:tcPr>
                      <w:p>
                        <w:pPr/>
                      </w:p>
                    </w:tc>
                  </w:tr>
                  <w:tr>
                    <w:trPr>
                      <w:trHeight w:val="161" w:hRule="exact"/>
                    </w:trPr>
                    <w:tc>
                      <w:tcPr>
                        <w:tcW w:w="1430" w:type="dxa"/>
                        <w:vMerge/>
                        <w:tcBorders>
                          <w:left w:val="single" w:sz="4" w:space="0" w:color="000000"/>
                          <w:bottom w:val="single" w:sz="4" w:space="0" w:color="000000"/>
                          <w:right w:val="single" w:sz="10" w:space="0" w:color="D2D2D2"/>
                        </w:tcBorders>
                        <w:shd w:val="clear" w:color="auto" w:fill="C7EBCC"/>
                      </w:tcPr>
                      <w:p>
                        <w:pPr/>
                      </w:p>
                    </w:tc>
                    <w:tc>
                      <w:tcPr>
                        <w:tcW w:w="545"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5" w:type="dxa"/>
                        <w:vMerge/>
                        <w:tcBorders>
                          <w:left w:val="single" w:sz="9" w:space="0" w:color="D2D2D2"/>
                          <w:bottom w:val="single" w:sz="4" w:space="0" w:color="000000"/>
                          <w:right w:val="single" w:sz="4" w:space="0" w:color="000000"/>
                        </w:tcBorders>
                        <w:shd w:val="clear" w:color="auto" w:fill="C7EBCC"/>
                      </w:tcPr>
                      <w:p>
                        <w:pPr/>
                      </w:p>
                    </w:tc>
                  </w:tr>
                  <w:tr>
                    <w:trPr>
                      <w:trHeight w:val="401" w:hRule="exact"/>
                    </w:trPr>
                    <w:tc>
                      <w:tcPr>
                        <w:tcW w:w="1430" w:type="dxa"/>
                        <w:tcBorders>
                          <w:top w:val="single" w:sz="4" w:space="0" w:color="000000"/>
                          <w:left w:val="single" w:sz="4" w:space="0" w:color="000000"/>
                          <w:bottom w:val="single" w:sz="4" w:space="0" w:color="000000"/>
                          <w:right w:val="single" w:sz="10" w:space="0" w:color="D2D2D2"/>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上海博科</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795" w:type="dxa"/>
                        <w:tcBorders>
                          <w:top w:val="single" w:sz="4" w:space="0" w:color="000000"/>
                          <w:left w:val="single" w:sz="9" w:space="0" w:color="D2D2D2"/>
                          <w:bottom w:val="single" w:sz="4" w:space="0" w:color="000000"/>
                          <w:right w:val="single" w:sz="4" w:space="0" w:color="000000"/>
                        </w:tcBorders>
                        <w:shd w:val="clear" w:color="auto" w:fill="C7EBCC"/>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上海博科资讯股份有限公司，参股公司，通过广州御新持有其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1.55%</w:t>
                        </w:r>
                        <w:r>
                          <w:rPr>
                            <w:rFonts w:ascii="宋体" w:hAnsi="宋体" w:cs="宋体" w:eastAsia="宋体" w:hint="default"/>
                            <w:sz w:val="18"/>
                            <w:szCs w:val="18"/>
                          </w:rPr>
                          <w:t>股权</w:t>
                        </w:r>
                      </w:p>
                    </w:tc>
                  </w:tr>
                  <w:tr>
                    <w:trPr>
                      <w:trHeight w:val="403" w:hRule="exact"/>
                    </w:trPr>
                    <w:tc>
                      <w:tcPr>
                        <w:tcW w:w="1430" w:type="dxa"/>
                        <w:tcBorders>
                          <w:top w:val="single" w:sz="4" w:space="0" w:color="000000"/>
                          <w:left w:val="single" w:sz="4" w:space="0" w:color="000000"/>
                          <w:bottom w:val="single" w:sz="4" w:space="0" w:color="000000"/>
                          <w:right w:val="single" w:sz="10" w:space="0" w:color="D2D2D2"/>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花都村镇银行</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795" w:type="dxa"/>
                        <w:tcBorders>
                          <w:top w:val="single" w:sz="4" w:space="0" w:color="000000"/>
                          <w:left w:val="single" w:sz="9" w:space="0" w:color="D2D2D2"/>
                          <w:bottom w:val="single" w:sz="4" w:space="0" w:color="000000"/>
                          <w:right w:val="single" w:sz="4" w:space="0" w:color="000000"/>
                        </w:tcBorders>
                        <w:shd w:val="clear" w:color="auto" w:fill="C7EBCC"/>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广州花都稠州村镇银行股份有限公司，参股公司，持有其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股权</w:t>
                        </w:r>
                      </w:p>
                    </w:tc>
                  </w:tr>
                  <w:tr>
                    <w:trPr>
                      <w:trHeight w:val="401" w:hRule="exact"/>
                    </w:trPr>
                    <w:tc>
                      <w:tcPr>
                        <w:tcW w:w="1430" w:type="dxa"/>
                        <w:tcBorders>
                          <w:top w:val="single" w:sz="4" w:space="0" w:color="000000"/>
                          <w:left w:val="single" w:sz="4" w:space="0" w:color="000000"/>
                          <w:bottom w:val="single" w:sz="4" w:space="0" w:color="000000"/>
                          <w:right w:val="single" w:sz="10" w:space="0" w:color="D2D2D2"/>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御银信息</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795" w:type="dxa"/>
                        <w:tcBorders>
                          <w:top w:val="single" w:sz="4" w:space="0" w:color="000000"/>
                          <w:left w:val="single" w:sz="9" w:space="0" w:color="D2D2D2"/>
                          <w:bottom w:val="single" w:sz="4" w:space="0" w:color="000000"/>
                          <w:right w:val="single" w:sz="4" w:space="0" w:color="000000"/>
                        </w:tcBorders>
                        <w:shd w:val="clear" w:color="auto" w:fill="C7EBCC"/>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广州御银信息科技有限公司，</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日成功设立，公司下属全资子公司，持有其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bl>
                <w:p>
                  <w:pPr/>
                </w:p>
              </w:txbxContent>
            </v:textbox>
            <w10:wrap type="none"/>
          </v:shape>
        </w:pict>
      </w:r>
      <w:r>
        <w:rPr/>
        <w:t>，</w:t>
      </w:r>
    </w:p>
    <w:p>
      <w:pPr>
        <w:spacing w:after="0" w:line="240" w:lineRule="auto"/>
        <w:jc w:val="right"/>
        <w:sectPr>
          <w:pgSz w:w="11910" w:h="16840"/>
          <w:pgMar w:header="745" w:footer="980" w:top="1060" w:bottom="1160" w:left="980" w:right="8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0"/>
        <w:ind w:left="0" w:right="0" w:firstLine="0"/>
        <w:jc w:val="center"/>
        <w:rPr>
          <w:rFonts w:ascii="宋体" w:hAnsi="宋体" w:cs="宋体" w:eastAsia="宋体" w:hint="default"/>
          <w:sz w:val="32"/>
          <w:szCs w:val="32"/>
        </w:rPr>
      </w:pPr>
      <w:r>
        <w:rPr>
          <w:rFonts w:ascii="宋体" w:hAnsi="宋体" w:cs="宋体" w:eastAsia="宋体" w:hint="default"/>
          <w:b/>
          <w:bCs/>
          <w:spacing w:val="2"/>
          <w:sz w:val="32"/>
          <w:szCs w:val="32"/>
        </w:rPr>
        <w:t>重大风险提示</w:t>
      </w:r>
      <w:r>
        <w:rPr>
          <w:rFonts w:ascii="宋体" w:hAnsi="宋体" w:cs="宋体" w:eastAsia="宋体" w:hint="default"/>
          <w:sz w:val="32"/>
          <w:szCs w:val="32"/>
        </w:rPr>
      </w:r>
    </w:p>
    <w:p>
      <w:pPr>
        <w:spacing w:line="240" w:lineRule="auto" w:before="1"/>
        <w:rPr>
          <w:rFonts w:ascii="宋体" w:hAnsi="宋体" w:cs="宋体" w:eastAsia="宋体" w:hint="default"/>
          <w:b/>
          <w:bCs/>
          <w:sz w:val="26"/>
          <w:szCs w:val="26"/>
        </w:rPr>
      </w:pPr>
    </w:p>
    <w:p>
      <w:pPr>
        <w:spacing w:line="408" w:lineRule="auto" w:before="0"/>
        <w:ind w:left="152" w:right="156" w:firstLine="562"/>
        <w:jc w:val="both"/>
        <w:rPr>
          <w:rFonts w:ascii="宋体" w:hAnsi="宋体" w:cs="宋体" w:eastAsia="宋体" w:hint="default"/>
          <w:sz w:val="28"/>
          <w:szCs w:val="28"/>
        </w:rPr>
      </w:pPr>
      <w:r>
        <w:rPr>
          <w:rFonts w:ascii="宋体" w:hAnsi="宋体" w:cs="宋体" w:eastAsia="宋体" w:hint="default"/>
          <w:b/>
          <w:bCs/>
          <w:spacing w:val="2"/>
          <w:sz w:val="28"/>
          <w:szCs w:val="28"/>
        </w:rPr>
        <w:t>可能存在国家政策、行业竞争、市场等风险，有关风险因素内容与对策措</w:t>
      </w:r>
      <w:r>
        <w:rPr>
          <w:rFonts w:ascii="宋体" w:hAnsi="宋体" w:cs="宋体" w:eastAsia="宋体" w:hint="default"/>
          <w:b/>
          <w:bCs/>
          <w:w w:val="99"/>
          <w:sz w:val="28"/>
          <w:szCs w:val="28"/>
        </w:rPr>
        <w:t> </w:t>
      </w:r>
      <w:r>
        <w:rPr>
          <w:rFonts w:ascii="宋体" w:hAnsi="宋体" w:cs="宋体" w:eastAsia="宋体" w:hint="default"/>
          <w:b/>
          <w:bCs/>
          <w:spacing w:val="2"/>
          <w:sz w:val="28"/>
          <w:szCs w:val="28"/>
        </w:rPr>
        <w:t>施已在本报告中第四节“董事会报告”部分予以描述。敬请广大投资者注意投</w:t>
      </w:r>
      <w:r>
        <w:rPr>
          <w:rFonts w:ascii="宋体" w:hAnsi="宋体" w:cs="宋体" w:eastAsia="宋体" w:hint="default"/>
          <w:b/>
          <w:bCs/>
          <w:w w:val="99"/>
          <w:sz w:val="28"/>
          <w:szCs w:val="28"/>
        </w:rPr>
        <w:t> </w:t>
      </w:r>
      <w:r>
        <w:rPr>
          <w:rFonts w:ascii="宋体" w:hAnsi="宋体" w:cs="宋体" w:eastAsia="宋体" w:hint="default"/>
          <w:b/>
          <w:bCs/>
          <w:sz w:val="28"/>
          <w:szCs w:val="28"/>
        </w:rPr>
        <w:t>资风险。</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pgSz w:w="11910" w:h="16840"/>
          <w:pgMar w:header="745" w:footer="980"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Heading1"/>
        <w:spacing w:line="240" w:lineRule="auto"/>
        <w:ind w:left="1" w:right="0"/>
        <w:jc w:val="center"/>
        <w:rPr>
          <w:b w:val="0"/>
          <w:bCs w:val="0"/>
        </w:rPr>
      </w:pPr>
      <w:bookmarkStart w:name="_TOC_250010" w:id="2"/>
      <w:r>
        <w:rPr/>
        <w:t>第二节</w:t>
      </w:r>
      <w:r>
        <w:rPr>
          <w:spacing w:val="-2"/>
        </w:rPr>
        <w:t> </w:t>
      </w:r>
      <w:r>
        <w:rPr/>
        <w:t>公司简介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46"/>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65"/>
        <w:gridCol w:w="2134"/>
        <w:gridCol w:w="2187"/>
      </w:tblGrid>
      <w:tr>
        <w:trPr>
          <w:trHeight w:val="403" w:hRule="exact"/>
        </w:trPr>
        <w:tc>
          <w:tcPr>
            <w:tcW w:w="2284" w:type="dxa"/>
            <w:tcBorders>
              <w:top w:val="single" w:sz="4" w:space="0" w:color="000000"/>
              <w:left w:val="single" w:sz="4" w:space="0" w:color="000000"/>
              <w:bottom w:val="single" w:sz="4" w:space="0" w:color="000000"/>
              <w:right w:val="single" w:sz="13" w:space="0" w:color="C7EBCC"/>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10" w:space="0" w:color="D2D2D2"/>
              <w:bottom w:val="single" w:sz="4" w:space="0" w:color="000000"/>
              <w:right w:val="single" w:sz="13" w:space="0" w:color="D2D2D2"/>
            </w:tcBorders>
            <w:shd w:val="clear" w:color="auto" w:fill="C7EBCC"/>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御银股份</w:t>
            </w:r>
          </w:p>
        </w:tc>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7" w:type="dxa"/>
            <w:tcBorders>
              <w:top w:val="single" w:sz="4" w:space="0" w:color="000000"/>
              <w:left w:val="single" w:sz="10" w:space="0" w:color="D2D2D2"/>
              <w:bottom w:val="single" w:sz="4" w:space="0" w:color="000000"/>
              <w:right w:val="single" w:sz="4" w:space="0" w:color="000000"/>
            </w:tcBorders>
            <w:shd w:val="clear" w:color="auto" w:fill="C7EBCC"/>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002177</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广州御银科技股份有限公司</w:t>
            </w:r>
          </w:p>
        </w:tc>
      </w:tr>
      <w:tr>
        <w:trPr>
          <w:trHeight w:val="401" w:hRule="exact"/>
        </w:trPr>
        <w:tc>
          <w:tcPr>
            <w:tcW w:w="2284" w:type="dxa"/>
            <w:tcBorders>
              <w:top w:val="single" w:sz="4" w:space="0" w:color="000000"/>
              <w:left w:val="single" w:sz="4" w:space="0" w:color="000000"/>
              <w:bottom w:val="single" w:sz="4" w:space="0" w:color="000000"/>
              <w:right w:val="single" w:sz="13" w:space="0" w:color="C7EBCC"/>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10" w:space="0" w:color="D2D2D2"/>
              <w:bottom w:val="single" w:sz="4" w:space="0" w:color="000000"/>
              <w:right w:val="single" w:sz="4" w:space="0" w:color="000000"/>
            </w:tcBorders>
            <w:shd w:val="clear" w:color="auto" w:fill="C7EBCC"/>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御银股份</w:t>
            </w:r>
          </w:p>
        </w:tc>
      </w:tr>
      <w:tr>
        <w:trPr>
          <w:trHeight w:val="403" w:hRule="exact"/>
        </w:trPr>
        <w:tc>
          <w:tcPr>
            <w:tcW w:w="2284" w:type="dxa"/>
            <w:tcBorders>
              <w:top w:val="single" w:sz="4" w:space="0" w:color="000000"/>
              <w:left w:val="single" w:sz="4" w:space="0" w:color="000000"/>
              <w:bottom w:val="single" w:sz="4" w:space="0" w:color="000000"/>
              <w:right w:val="single" w:sz="13" w:space="0" w:color="C7EBCC"/>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10" w:space="0" w:color="D2D2D2"/>
              <w:bottom w:val="single" w:sz="4" w:space="0" w:color="000000"/>
              <w:right w:val="single" w:sz="4" w:space="0" w:color="000000"/>
            </w:tcBorders>
            <w:shd w:val="clear" w:color="auto" w:fill="C7EBCC"/>
          </w:tcPr>
          <w:p>
            <w:pPr>
              <w:pStyle w:val="TableParagraph"/>
              <w:spacing w:line="240" w:lineRule="auto" w:before="91"/>
              <w:ind w:left="16" w:right="0"/>
              <w:jc w:val="left"/>
              <w:rPr>
                <w:rFonts w:ascii="Times New Roman" w:hAnsi="Times New Roman" w:cs="Times New Roman" w:eastAsia="Times New Roman" w:hint="default"/>
                <w:sz w:val="18"/>
                <w:szCs w:val="18"/>
              </w:rPr>
            </w:pPr>
            <w:r>
              <w:rPr>
                <w:rFonts w:ascii="Times New Roman"/>
                <w:sz w:val="18"/>
              </w:rPr>
              <w:t>Guangzhou Kingteller Technology</w:t>
            </w:r>
            <w:r>
              <w:rPr>
                <w:rFonts w:ascii="Times New Roman"/>
                <w:spacing w:val="-27"/>
                <w:sz w:val="18"/>
              </w:rPr>
              <w:t> </w:t>
            </w:r>
            <w:r>
              <w:rPr>
                <w:rFonts w:ascii="Times New Roman"/>
                <w:sz w:val="18"/>
              </w:rPr>
              <w:t>Co.,Ltd.</w:t>
            </w:r>
          </w:p>
        </w:tc>
      </w:tr>
      <w:tr>
        <w:trPr>
          <w:trHeight w:val="401" w:hRule="exact"/>
        </w:trPr>
        <w:tc>
          <w:tcPr>
            <w:tcW w:w="2284" w:type="dxa"/>
            <w:tcBorders>
              <w:top w:val="single" w:sz="4" w:space="0" w:color="000000"/>
              <w:left w:val="single" w:sz="4" w:space="0" w:color="000000"/>
              <w:bottom w:val="single" w:sz="4" w:space="0" w:color="000000"/>
              <w:right w:val="single" w:sz="13" w:space="0" w:color="C7EBCC"/>
            </w:tcBorders>
            <w:shd w:val="clear" w:color="auto" w:fill="D2D2D2"/>
          </w:tcPr>
          <w:p>
            <w:pPr>
              <w:pStyle w:val="TableParagraph"/>
              <w:spacing w:line="240" w:lineRule="auto" w:before="49"/>
              <w:ind w:left="22" w:right="-46"/>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86" w:type="dxa"/>
            <w:gridSpan w:val="3"/>
            <w:tcBorders>
              <w:top w:val="single" w:sz="4" w:space="0" w:color="000000"/>
              <w:left w:val="single" w:sz="10" w:space="0" w:color="D2D2D2"/>
              <w:bottom w:val="single" w:sz="4" w:space="0" w:color="000000"/>
              <w:right w:val="single" w:sz="4" w:space="0" w:color="000000"/>
            </w:tcBorders>
            <w:shd w:val="clear" w:color="auto" w:fill="C7EBCC"/>
          </w:tcPr>
          <w:p>
            <w:pPr>
              <w:pStyle w:val="TableParagraph"/>
              <w:spacing w:line="240" w:lineRule="auto" w:before="91"/>
              <w:ind w:left="16" w:right="0"/>
              <w:jc w:val="left"/>
              <w:rPr>
                <w:rFonts w:ascii="Times New Roman" w:hAnsi="Times New Roman" w:cs="Times New Roman" w:eastAsia="Times New Roman" w:hint="default"/>
                <w:sz w:val="18"/>
                <w:szCs w:val="18"/>
              </w:rPr>
            </w:pPr>
            <w:r>
              <w:rPr>
                <w:rFonts w:ascii="Times New Roman"/>
                <w:sz w:val="18"/>
              </w:rPr>
              <w:t>KINGTELLER</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杨文江</w:t>
            </w:r>
          </w:p>
        </w:tc>
      </w:tr>
      <w:tr>
        <w:trPr>
          <w:trHeight w:val="401" w:hRule="exact"/>
        </w:trPr>
        <w:tc>
          <w:tcPr>
            <w:tcW w:w="2284" w:type="dxa"/>
            <w:tcBorders>
              <w:top w:val="single" w:sz="4" w:space="0" w:color="000000"/>
              <w:left w:val="single" w:sz="4" w:space="0" w:color="000000"/>
              <w:bottom w:val="single" w:sz="4" w:space="0" w:color="000000"/>
              <w:right w:val="single" w:sz="13" w:space="0" w:color="C7EBCC"/>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10" w:space="0" w:color="D2D2D2"/>
              <w:bottom w:val="single" w:sz="4" w:space="0" w:color="000000"/>
              <w:right w:val="single" w:sz="4" w:space="0" w:color="000000"/>
            </w:tcBorders>
            <w:shd w:val="clear" w:color="auto" w:fill="C7EBCC"/>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广东省广州市天河区五山路金山大厦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2604</w:t>
            </w:r>
            <w:r>
              <w:rPr>
                <w:rFonts w:ascii="宋体" w:hAnsi="宋体" w:cs="宋体" w:eastAsia="宋体" w:hint="default"/>
                <w:sz w:val="18"/>
                <w:szCs w:val="18"/>
              </w:rPr>
              <w:t>、</w:t>
            </w:r>
            <w:r>
              <w:rPr>
                <w:rFonts w:ascii="Times New Roman" w:hAnsi="Times New Roman" w:cs="Times New Roman" w:eastAsia="Times New Roman" w:hint="default"/>
                <w:sz w:val="18"/>
                <w:szCs w:val="18"/>
              </w:rPr>
              <w:t>05 </w:t>
            </w:r>
            <w:r>
              <w:rPr>
                <w:rFonts w:ascii="宋体" w:hAnsi="宋体" w:cs="宋体" w:eastAsia="宋体" w:hint="default"/>
                <w:sz w:val="18"/>
                <w:szCs w:val="18"/>
              </w:rPr>
              <w:t>房</w:t>
            </w:r>
          </w:p>
        </w:tc>
      </w:tr>
      <w:tr>
        <w:trPr>
          <w:trHeight w:val="403" w:hRule="exact"/>
        </w:trPr>
        <w:tc>
          <w:tcPr>
            <w:tcW w:w="2284" w:type="dxa"/>
            <w:tcBorders>
              <w:top w:val="single" w:sz="4" w:space="0" w:color="000000"/>
              <w:left w:val="single" w:sz="4" w:space="0" w:color="000000"/>
              <w:bottom w:val="single" w:sz="4" w:space="0" w:color="000000"/>
              <w:right w:val="single" w:sz="13" w:space="0" w:color="C7EBCC"/>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10" w:space="0" w:color="D2D2D2"/>
              <w:bottom w:val="single" w:sz="4" w:space="0" w:color="000000"/>
              <w:right w:val="single" w:sz="4" w:space="0" w:color="000000"/>
            </w:tcBorders>
            <w:shd w:val="clear" w:color="auto" w:fill="C7EBCC"/>
          </w:tcPr>
          <w:p>
            <w:pPr>
              <w:pStyle w:val="TableParagraph"/>
              <w:spacing w:line="240" w:lineRule="auto" w:before="91"/>
              <w:ind w:left="16" w:right="0"/>
              <w:jc w:val="left"/>
              <w:rPr>
                <w:rFonts w:ascii="Times New Roman" w:hAnsi="Times New Roman" w:cs="Times New Roman" w:eastAsia="Times New Roman" w:hint="default"/>
                <w:sz w:val="18"/>
                <w:szCs w:val="18"/>
              </w:rPr>
            </w:pPr>
            <w:r>
              <w:rPr>
                <w:rFonts w:ascii="Times New Roman"/>
                <w:sz w:val="18"/>
              </w:rPr>
              <w:t>510640</w:t>
            </w:r>
          </w:p>
        </w:tc>
      </w:tr>
      <w:tr>
        <w:trPr>
          <w:trHeight w:val="401" w:hRule="exact"/>
        </w:trPr>
        <w:tc>
          <w:tcPr>
            <w:tcW w:w="2284" w:type="dxa"/>
            <w:tcBorders>
              <w:top w:val="single" w:sz="4" w:space="0" w:color="000000"/>
              <w:left w:val="single" w:sz="4" w:space="0" w:color="000000"/>
              <w:bottom w:val="single" w:sz="4" w:space="0" w:color="000000"/>
              <w:right w:val="single" w:sz="13" w:space="0" w:color="C7EBCC"/>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10" w:space="0" w:color="D2D2D2"/>
              <w:bottom w:val="single" w:sz="4" w:space="0" w:color="000000"/>
              <w:right w:val="single" w:sz="4" w:space="0" w:color="000000"/>
            </w:tcBorders>
            <w:shd w:val="clear" w:color="auto" w:fill="C7EBCC"/>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广东省广州市萝岗区瑞发路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2284" w:type="dxa"/>
            <w:tcBorders>
              <w:top w:val="single" w:sz="4" w:space="0" w:color="000000"/>
              <w:left w:val="single" w:sz="4" w:space="0" w:color="000000"/>
              <w:bottom w:val="single" w:sz="4" w:space="0" w:color="000000"/>
              <w:right w:val="single" w:sz="13" w:space="0" w:color="C7EBCC"/>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10" w:space="0" w:color="D2D2D2"/>
              <w:bottom w:val="single" w:sz="4" w:space="0" w:color="000000"/>
              <w:right w:val="single" w:sz="4" w:space="0" w:color="000000"/>
            </w:tcBorders>
            <w:shd w:val="clear" w:color="auto" w:fill="C7EBCC"/>
          </w:tcPr>
          <w:p>
            <w:pPr>
              <w:pStyle w:val="TableParagraph"/>
              <w:spacing w:line="240" w:lineRule="auto" w:before="91"/>
              <w:ind w:left="16" w:right="0"/>
              <w:jc w:val="left"/>
              <w:rPr>
                <w:rFonts w:ascii="Times New Roman" w:hAnsi="Times New Roman" w:cs="Times New Roman" w:eastAsia="Times New Roman" w:hint="default"/>
                <w:sz w:val="18"/>
                <w:szCs w:val="18"/>
              </w:rPr>
            </w:pPr>
            <w:r>
              <w:rPr>
                <w:rFonts w:ascii="Times New Roman"/>
                <w:sz w:val="18"/>
              </w:rPr>
              <w:t>510530</w:t>
            </w:r>
          </w:p>
        </w:tc>
      </w:tr>
      <w:tr>
        <w:trPr>
          <w:trHeight w:val="401" w:hRule="exact"/>
        </w:trPr>
        <w:tc>
          <w:tcPr>
            <w:tcW w:w="2284" w:type="dxa"/>
            <w:tcBorders>
              <w:top w:val="single" w:sz="4" w:space="0" w:color="000000"/>
              <w:left w:val="single" w:sz="4" w:space="0" w:color="000000"/>
              <w:bottom w:val="single" w:sz="4" w:space="0" w:color="000000"/>
              <w:right w:val="single" w:sz="13" w:space="0" w:color="C7EBCC"/>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6" w:type="dxa"/>
            <w:gridSpan w:val="3"/>
            <w:tcBorders>
              <w:top w:val="single" w:sz="4" w:space="0" w:color="000000"/>
              <w:left w:val="single" w:sz="10" w:space="0" w:color="D2D2D2"/>
              <w:bottom w:val="single" w:sz="4" w:space="0" w:color="000000"/>
              <w:right w:val="single" w:sz="4" w:space="0" w:color="000000"/>
            </w:tcBorders>
            <w:shd w:val="clear" w:color="auto" w:fill="C7EBCC"/>
          </w:tcPr>
          <w:p>
            <w:pPr>
              <w:pStyle w:val="TableParagraph"/>
              <w:spacing w:line="240" w:lineRule="auto" w:before="91"/>
              <w:ind w:left="16" w:right="0"/>
              <w:jc w:val="left"/>
              <w:rPr>
                <w:rFonts w:ascii="Times New Roman" w:hAnsi="Times New Roman" w:cs="Times New Roman" w:eastAsia="Times New Roman" w:hint="default"/>
                <w:sz w:val="18"/>
                <w:szCs w:val="18"/>
              </w:rPr>
            </w:pPr>
            <w:hyperlink r:id="rId9">
              <w:r>
                <w:rPr>
                  <w:rFonts w:ascii="Times New Roman"/>
                  <w:sz w:val="18"/>
                </w:rPr>
                <w:t>http://www.kingteller.com.cn</w:t>
              </w:r>
            </w:hyperlink>
          </w:p>
        </w:tc>
      </w:tr>
      <w:tr>
        <w:trPr>
          <w:trHeight w:val="403" w:hRule="exact"/>
        </w:trPr>
        <w:tc>
          <w:tcPr>
            <w:tcW w:w="2284" w:type="dxa"/>
            <w:tcBorders>
              <w:top w:val="single" w:sz="4" w:space="0" w:color="000000"/>
              <w:left w:val="single" w:sz="4" w:space="0" w:color="000000"/>
              <w:bottom w:val="single" w:sz="4" w:space="0" w:color="000000"/>
              <w:right w:val="single" w:sz="13" w:space="0" w:color="C7EBCC"/>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10" w:space="0" w:color="D2D2D2"/>
              <w:bottom w:val="single" w:sz="4" w:space="0" w:color="000000"/>
              <w:right w:val="single" w:sz="4" w:space="0" w:color="000000"/>
            </w:tcBorders>
            <w:shd w:val="clear" w:color="auto" w:fill="C7EBCC"/>
          </w:tcPr>
          <w:p>
            <w:pPr>
              <w:pStyle w:val="TableParagraph"/>
              <w:spacing w:line="240" w:lineRule="auto" w:before="91"/>
              <w:ind w:left="16" w:right="0"/>
              <w:jc w:val="left"/>
              <w:rPr>
                <w:rFonts w:ascii="Times New Roman" w:hAnsi="Times New Roman" w:cs="Times New Roman" w:eastAsia="Times New Roman" w:hint="default"/>
                <w:sz w:val="18"/>
                <w:szCs w:val="18"/>
              </w:rPr>
            </w:pPr>
            <w:hyperlink r:id="rId10">
              <w:r>
                <w:rPr>
                  <w:rFonts w:ascii="Times New Roman"/>
                  <w:sz w:val="18"/>
                </w:rPr>
                <w:t>zqb@kingteller.com.cn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46"/>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47"/>
        <w:gridCol w:w="3661"/>
        <w:gridCol w:w="3640"/>
      </w:tblGrid>
      <w:tr>
        <w:trPr>
          <w:trHeight w:val="403"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661" w:type="dxa"/>
            <w:tcBorders>
              <w:top w:val="single" w:sz="4" w:space="0" w:color="000000"/>
              <w:left w:val="single" w:sz="9" w:space="0" w:color="D2D2D2"/>
              <w:bottom w:val="single" w:sz="4" w:space="0" w:color="000000"/>
              <w:right w:val="single" w:sz="4" w:space="0" w:color="000000"/>
            </w:tcBorders>
            <w:shd w:val="clear" w:color="auto" w:fill="C7EBCC"/>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谭 </w:t>
            </w:r>
            <w:r>
              <w:rPr>
                <w:rFonts w:ascii="宋体" w:hAnsi="宋体" w:cs="宋体" w:eastAsia="宋体" w:hint="default"/>
                <w:spacing w:val="2"/>
                <w:sz w:val="18"/>
                <w:szCs w:val="18"/>
              </w:rPr>
              <w:t> </w:t>
            </w:r>
            <w:r>
              <w:rPr>
                <w:rFonts w:ascii="宋体" w:hAnsi="宋体" w:cs="宋体" w:eastAsia="宋体" w:hint="default"/>
                <w:sz w:val="18"/>
                <w:szCs w:val="18"/>
              </w:rPr>
              <w:t>骅</w:t>
            </w:r>
          </w:p>
        </w:tc>
        <w:tc>
          <w:tcPr>
            <w:tcW w:w="364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余咏芳</w:t>
            </w:r>
          </w:p>
        </w:tc>
      </w:tr>
      <w:tr>
        <w:trPr>
          <w:trHeight w:val="403"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661" w:type="dxa"/>
            <w:tcBorders>
              <w:top w:val="single" w:sz="4" w:space="0" w:color="000000"/>
              <w:left w:val="single" w:sz="9" w:space="0" w:color="D2D2D2"/>
              <w:bottom w:val="single" w:sz="4" w:space="0" w:color="000000"/>
              <w:right w:val="single" w:sz="4" w:space="0" w:color="000000"/>
            </w:tcBorders>
            <w:shd w:val="clear" w:color="auto" w:fill="C7EBCC"/>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广东省广州市萝岗区瑞发路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64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广东省广州市萝岗区瑞发路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1"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661" w:type="dxa"/>
            <w:tcBorders>
              <w:top w:val="single" w:sz="4" w:space="0" w:color="000000"/>
              <w:left w:val="single" w:sz="9" w:space="0" w:color="D2D2D2"/>
              <w:bottom w:val="single" w:sz="4" w:space="0" w:color="000000"/>
              <w:right w:val="single" w:sz="4" w:space="0" w:color="000000"/>
            </w:tcBorders>
            <w:shd w:val="clear" w:color="auto" w:fill="C7EBCC"/>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020-29087848</w:t>
            </w:r>
          </w:p>
        </w:tc>
        <w:tc>
          <w:tcPr>
            <w:tcW w:w="364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020-29087848</w:t>
            </w:r>
          </w:p>
        </w:tc>
      </w:tr>
      <w:tr>
        <w:trPr>
          <w:trHeight w:val="403"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661" w:type="dxa"/>
            <w:tcBorders>
              <w:top w:val="single" w:sz="4" w:space="0" w:color="000000"/>
              <w:left w:val="single" w:sz="9" w:space="0" w:color="D2D2D2"/>
              <w:bottom w:val="single" w:sz="4" w:space="0" w:color="000000"/>
              <w:right w:val="single" w:sz="4" w:space="0" w:color="000000"/>
            </w:tcBorders>
            <w:shd w:val="clear" w:color="auto" w:fill="C7EBCC"/>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020-29087850</w:t>
            </w:r>
          </w:p>
        </w:tc>
        <w:tc>
          <w:tcPr>
            <w:tcW w:w="364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020-29087850</w:t>
            </w:r>
          </w:p>
        </w:tc>
      </w:tr>
      <w:tr>
        <w:trPr>
          <w:trHeight w:val="401"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661" w:type="dxa"/>
            <w:tcBorders>
              <w:top w:val="single" w:sz="4" w:space="0" w:color="000000"/>
              <w:left w:val="single" w:sz="9" w:space="0" w:color="D2D2D2"/>
              <w:bottom w:val="single" w:sz="4" w:space="0" w:color="000000"/>
              <w:right w:val="single" w:sz="4" w:space="0" w:color="000000"/>
            </w:tcBorders>
            <w:shd w:val="clear" w:color="auto" w:fill="C7EBCC"/>
          </w:tcPr>
          <w:p>
            <w:pPr>
              <w:pStyle w:val="TableParagraph"/>
              <w:spacing w:line="240" w:lineRule="auto" w:before="91"/>
              <w:ind w:left="27" w:right="0"/>
              <w:jc w:val="left"/>
              <w:rPr>
                <w:rFonts w:ascii="Times New Roman" w:hAnsi="Times New Roman" w:cs="Times New Roman" w:eastAsia="Times New Roman" w:hint="default"/>
                <w:sz w:val="18"/>
                <w:szCs w:val="18"/>
              </w:rPr>
            </w:pPr>
            <w:hyperlink r:id="rId10">
              <w:r>
                <w:rPr>
                  <w:rFonts w:ascii="Times New Roman"/>
                  <w:sz w:val="18"/>
                </w:rPr>
                <w:t>zqb@kingteller.com.cn</w:t>
              </w:r>
            </w:hyperlink>
          </w:p>
        </w:tc>
        <w:tc>
          <w:tcPr>
            <w:tcW w:w="364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zqb@kingteller.com.cn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46"/>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003"/>
        <w:gridCol w:w="5567"/>
      </w:tblGrid>
      <w:tr>
        <w:trPr>
          <w:trHeight w:val="404" w:hRule="exact"/>
        </w:trPr>
        <w:tc>
          <w:tcPr>
            <w:tcW w:w="4003" w:type="dxa"/>
            <w:tcBorders>
              <w:top w:val="single" w:sz="4" w:space="0" w:color="000000"/>
              <w:left w:val="single" w:sz="4" w:space="0" w:color="000000"/>
              <w:bottom w:val="single" w:sz="4" w:space="0" w:color="000000"/>
              <w:right w:val="single" w:sz="13" w:space="0" w:color="C7EBCC"/>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56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r>
      <w:tr>
        <w:trPr>
          <w:trHeight w:val="401" w:hRule="exact"/>
        </w:trPr>
        <w:tc>
          <w:tcPr>
            <w:tcW w:w="4003" w:type="dxa"/>
            <w:tcBorders>
              <w:top w:val="single" w:sz="4" w:space="0" w:color="000000"/>
              <w:left w:val="single" w:sz="4" w:space="0" w:color="000000"/>
              <w:bottom w:val="single" w:sz="4" w:space="0" w:color="000000"/>
              <w:right w:val="single" w:sz="13" w:space="0" w:color="C7EBCC"/>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6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http://</w:t>
            </w:r>
            <w:r>
              <w:rPr>
                <w:rFonts w:ascii="Times New Roman"/>
                <w:spacing w:val="-24"/>
                <w:sz w:val="18"/>
              </w:rPr>
              <w:t> </w:t>
            </w:r>
            <w:hyperlink r:id="rId11">
              <w:r>
                <w:rPr>
                  <w:rFonts w:ascii="Times New Roman"/>
                  <w:sz w:val="18"/>
                </w:rPr>
                <w:t>www.cninfo.com.cn</w:t>
              </w:r>
            </w:hyperlink>
          </w:p>
        </w:tc>
      </w:tr>
      <w:tr>
        <w:trPr>
          <w:trHeight w:val="403" w:hRule="exact"/>
        </w:trPr>
        <w:tc>
          <w:tcPr>
            <w:tcW w:w="4003" w:type="dxa"/>
            <w:tcBorders>
              <w:top w:val="single" w:sz="4" w:space="0" w:color="000000"/>
              <w:left w:val="single" w:sz="4" w:space="0" w:color="000000"/>
              <w:bottom w:val="single" w:sz="4" w:space="0" w:color="000000"/>
              <w:right w:val="single" w:sz="13" w:space="0" w:color="C7EBCC"/>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6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8"/>
        <w:rPr>
          <w:rFonts w:ascii="宋体" w:hAnsi="宋体" w:cs="宋体" w:eastAsia="宋体" w:hint="default"/>
          <w:b/>
          <w:bCs/>
          <w:sz w:val="23"/>
          <w:szCs w:val="23"/>
        </w:rPr>
      </w:pPr>
    </w:p>
    <w:p>
      <w:pPr>
        <w:pStyle w:val="Heading2"/>
        <w:spacing w:line="240" w:lineRule="auto" w:before="26"/>
        <w:ind w:right="146"/>
        <w:jc w:val="left"/>
        <w:rPr>
          <w:b w:val="0"/>
          <w:bCs w:val="0"/>
        </w:rPr>
      </w:pPr>
      <w:r>
        <w:rPr/>
        <w:t>四、注册变更情况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265"/>
        <w:gridCol w:w="1558"/>
        <w:gridCol w:w="1021"/>
        <w:gridCol w:w="929"/>
        <w:gridCol w:w="1583"/>
        <w:gridCol w:w="1606"/>
        <w:gridCol w:w="1583"/>
      </w:tblGrid>
      <w:tr>
        <w:trPr>
          <w:trHeight w:val="161" w:hRule="exact"/>
        </w:trPr>
        <w:tc>
          <w:tcPr>
            <w:tcW w:w="12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8" w:type="dxa"/>
            <w:tcBorders>
              <w:top w:val="single" w:sz="4" w:space="0" w:color="000000"/>
              <w:left w:val="single" w:sz="4" w:space="0" w:color="000000"/>
              <w:bottom w:val="nil" w:sz="6" w:space="0" w:color="auto"/>
              <w:right w:val="single" w:sz="4" w:space="0" w:color="000000"/>
            </w:tcBorders>
            <w:shd w:val="clear" w:color="auto" w:fill="D2D2D2"/>
          </w:tcPr>
          <w:p>
            <w:pPr/>
          </w:p>
        </w:tc>
        <w:tc>
          <w:tcPr>
            <w:tcW w:w="195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22" w:right="60"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6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265" w:type="dxa"/>
            <w:tcBorders>
              <w:top w:val="nil" w:sz="6" w:space="0" w:color="auto"/>
              <w:left w:val="single" w:sz="4" w:space="0" w:color="000000"/>
              <w:bottom w:val="nil" w:sz="6" w:space="0" w:color="auto"/>
              <w:right w:val="single" w:sz="4" w:space="0" w:color="000000"/>
            </w:tcBorders>
            <w:shd w:val="clear" w:color="auto" w:fill="D2D2D2"/>
          </w:tcPr>
          <w:p>
            <w:pPr/>
          </w:p>
        </w:tc>
        <w:tc>
          <w:tcPr>
            <w:tcW w:w="15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95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29"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83" w:type="dxa"/>
            <w:vMerge/>
            <w:tcBorders>
              <w:left w:val="single" w:sz="4" w:space="0" w:color="000000"/>
              <w:right w:val="single" w:sz="4" w:space="0" w:color="000000"/>
            </w:tcBorders>
            <w:shd w:val="clear" w:color="auto" w:fill="D2D2D2"/>
          </w:tcPr>
          <w:p>
            <w:pPr/>
          </w:p>
        </w:tc>
        <w:tc>
          <w:tcPr>
            <w:tcW w:w="16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63"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2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95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58" w:type="dxa"/>
            <w:tcBorders>
              <w:top w:val="single" w:sz="4" w:space="0" w:color="000000"/>
              <w:left w:val="single" w:sz="13" w:space="0" w:color="D2D2D2"/>
              <w:bottom w:val="single" w:sz="4" w:space="0" w:color="000000"/>
              <w:right w:val="single" w:sz="13" w:space="0" w:color="C7EBCC"/>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50" w:type="dxa"/>
            <w:gridSpan w:val="2"/>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广州市工商行政管理局</w:t>
            </w:r>
          </w:p>
        </w:tc>
        <w:tc>
          <w:tcPr>
            <w:tcW w:w="158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4401011108228</w:t>
            </w:r>
          </w:p>
        </w:tc>
        <w:tc>
          <w:tcPr>
            <w:tcW w:w="1606"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44010672680151X</w:t>
            </w:r>
          </w:p>
        </w:tc>
        <w:tc>
          <w:tcPr>
            <w:tcW w:w="158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72680151-X</w:t>
            </w:r>
          </w:p>
        </w:tc>
      </w:tr>
      <w:tr>
        <w:trPr>
          <w:trHeight w:val="401"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58" w:type="dxa"/>
            <w:tcBorders>
              <w:top w:val="single" w:sz="4" w:space="0" w:color="000000"/>
              <w:left w:val="single" w:sz="13" w:space="0" w:color="D2D2D2"/>
              <w:bottom w:val="single" w:sz="4" w:space="0" w:color="000000"/>
              <w:right w:val="single" w:sz="13" w:space="0" w:color="C7EBCC"/>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50" w:type="dxa"/>
            <w:gridSpan w:val="2"/>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广州市工商行政管理局</w:t>
            </w:r>
          </w:p>
        </w:tc>
        <w:tc>
          <w:tcPr>
            <w:tcW w:w="158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440101000034373</w:t>
            </w:r>
          </w:p>
        </w:tc>
        <w:tc>
          <w:tcPr>
            <w:tcW w:w="1606"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44010672680151X</w:t>
            </w:r>
          </w:p>
        </w:tc>
        <w:tc>
          <w:tcPr>
            <w:tcW w:w="158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72680151-X</w:t>
            </w:r>
          </w:p>
        </w:tc>
      </w:tr>
      <w:tr>
        <w:trPr>
          <w:trHeight w:val="403" w:hRule="exact"/>
        </w:trPr>
        <w:tc>
          <w:tcPr>
            <w:tcW w:w="3845" w:type="dxa"/>
            <w:gridSpan w:val="3"/>
            <w:tcBorders>
              <w:top w:val="single" w:sz="4" w:space="0" w:color="000000"/>
              <w:left w:val="single" w:sz="4" w:space="0" w:color="000000"/>
              <w:bottom w:val="single" w:sz="4" w:space="0" w:color="000000"/>
              <w:right w:val="single" w:sz="13" w:space="0" w:color="C7EB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公司上市以来主营业务的变化情况（如有）</w:t>
            </w:r>
          </w:p>
        </w:tc>
        <w:tc>
          <w:tcPr>
            <w:tcW w:w="5701" w:type="dxa"/>
            <w:gridSpan w:val="4"/>
            <w:tcBorders>
              <w:top w:val="single" w:sz="4" w:space="0" w:color="000000"/>
              <w:left w:val="single" w:sz="10" w:space="0" w:color="D2D2D2"/>
              <w:bottom w:val="single" w:sz="4" w:space="0" w:color="000000"/>
              <w:right w:val="single" w:sz="4" w:space="0" w:color="000000"/>
            </w:tcBorders>
            <w:shd w:val="clear" w:color="auto" w:fill="C7EBCC"/>
          </w:tcPr>
          <w:p>
            <w:pPr>
              <w:pStyle w:val="TableParagraph"/>
              <w:spacing w:line="240" w:lineRule="auto" w:before="49"/>
              <w:ind w:left="15"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1" w:hRule="exact"/>
        </w:trPr>
        <w:tc>
          <w:tcPr>
            <w:tcW w:w="3845" w:type="dxa"/>
            <w:gridSpan w:val="3"/>
            <w:tcBorders>
              <w:top w:val="single" w:sz="4" w:space="0" w:color="000000"/>
              <w:left w:val="single" w:sz="4" w:space="0" w:color="000000"/>
              <w:bottom w:val="single" w:sz="4" w:space="0" w:color="000000"/>
              <w:right w:val="single" w:sz="13" w:space="0" w:color="C7EB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5701" w:type="dxa"/>
            <w:gridSpan w:val="4"/>
            <w:tcBorders>
              <w:top w:val="single" w:sz="4" w:space="0" w:color="000000"/>
              <w:left w:val="single" w:sz="10" w:space="0" w:color="D2D2D2"/>
              <w:bottom w:val="single" w:sz="4" w:space="0" w:color="000000"/>
              <w:right w:val="single" w:sz="4" w:space="0" w:color="000000"/>
            </w:tcBorders>
            <w:shd w:val="clear" w:color="auto" w:fill="C7EBCC"/>
          </w:tcPr>
          <w:p>
            <w:pPr>
              <w:pStyle w:val="TableParagraph"/>
              <w:spacing w:line="240" w:lineRule="auto" w:before="49"/>
              <w:ind w:left="15"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pStyle w:val="Heading2"/>
        <w:spacing w:line="240" w:lineRule="auto" w:before="26"/>
        <w:ind w:right="146"/>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46"/>
        <w:jc w:val="left"/>
      </w:pPr>
      <w:r>
        <w:rPr/>
        <w:t>公司聘请的会计师事务所</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73"/>
        <w:gridCol w:w="6896"/>
      </w:tblGrid>
      <w:tr>
        <w:trPr>
          <w:trHeight w:val="402" w:hRule="exact"/>
        </w:trPr>
        <w:tc>
          <w:tcPr>
            <w:tcW w:w="2673" w:type="dxa"/>
            <w:tcBorders>
              <w:top w:val="single" w:sz="4" w:space="0" w:color="000000"/>
              <w:left w:val="single" w:sz="4" w:space="0" w:color="000000"/>
              <w:bottom w:val="single" w:sz="4" w:space="0" w:color="000000"/>
              <w:right w:val="single" w:sz="14" w:space="0" w:color="C7EBCC"/>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896"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73" w:type="dxa"/>
            <w:tcBorders>
              <w:top w:val="single" w:sz="4" w:space="0" w:color="000000"/>
              <w:left w:val="single" w:sz="4" w:space="0" w:color="000000"/>
              <w:bottom w:val="single" w:sz="4" w:space="0" w:color="000000"/>
              <w:right w:val="single" w:sz="14" w:space="0" w:color="C7EBCC"/>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896"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73" w:type="dxa"/>
            <w:tcBorders>
              <w:top w:val="single" w:sz="4" w:space="0" w:color="000000"/>
              <w:left w:val="single" w:sz="4" w:space="0" w:color="000000"/>
              <w:bottom w:val="single" w:sz="4" w:space="0" w:color="000000"/>
              <w:right w:val="single" w:sz="14" w:space="0" w:color="C7EBCC"/>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896"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张锦坤 </w:t>
            </w:r>
            <w:r>
              <w:rPr>
                <w:rFonts w:ascii="宋体" w:hAnsi="宋体" w:cs="宋体" w:eastAsia="宋体" w:hint="default"/>
                <w:spacing w:val="2"/>
                <w:sz w:val="18"/>
                <w:szCs w:val="18"/>
              </w:rPr>
              <w:t> </w:t>
            </w:r>
            <w:r>
              <w:rPr>
                <w:rFonts w:ascii="宋体" w:hAnsi="宋体" w:cs="宋体" w:eastAsia="宋体" w:hint="default"/>
                <w:sz w:val="18"/>
                <w:szCs w:val="18"/>
              </w:rPr>
              <w:t>关敏洁</w:t>
            </w:r>
          </w:p>
        </w:tc>
      </w:tr>
    </w:tbl>
    <w:p>
      <w:pPr>
        <w:pStyle w:val="BodyText"/>
        <w:spacing w:line="240" w:lineRule="auto" w:before="49"/>
        <w:ind w:right="146"/>
        <w:jc w:val="left"/>
      </w:pPr>
      <w:r>
        <w:rPr/>
        <w:t>公司聘请的报告期内履行持续督导职责的保荐机构</w:t>
      </w:r>
    </w:p>
    <w:p>
      <w:pPr>
        <w:pStyle w:val="BodyText"/>
        <w:spacing w:line="34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公司聘请的报告期内履行持续督导职责的财务顾问</w:t>
      </w:r>
    </w:p>
    <w:p>
      <w:pPr>
        <w:pStyle w:val="BodyText"/>
        <w:spacing w:line="240" w:lineRule="auto" w:before="41"/>
        <w:ind w:right="14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642" w:right="146"/>
        <w:jc w:val="left"/>
        <w:rPr>
          <w:b w:val="0"/>
          <w:bCs w:val="0"/>
        </w:rPr>
      </w:pPr>
      <w:bookmarkStart w:name="_TOC_250009" w:id="3"/>
      <w:r>
        <w:rPr/>
        <w:t>第三节</w:t>
      </w:r>
      <w:r>
        <w:rPr>
          <w:spacing w:val="-5"/>
        </w:rPr>
        <w:t> </w:t>
      </w:r>
      <w:r>
        <w:rPr/>
        <w:t>会计数据和财务指标摘要</w:t>
      </w:r>
      <w:bookmarkEnd w:id="3"/>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46"/>
        <w:jc w:val="left"/>
        <w:rPr>
          <w:b w:val="0"/>
          <w:bCs w:val="0"/>
        </w:rPr>
      </w:pPr>
      <w:r>
        <w:rPr/>
        <w:t>一、主要会计数据和财务指标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6"/>
        <w:jc w:val="left"/>
      </w:pPr>
      <w:r>
        <w:rPr/>
        <w:t>公司是否因会计政策变更及会计差错更正等追溯调整或重述以前年度会计数据</w:t>
      </w:r>
    </w:p>
    <w:p>
      <w:pPr>
        <w:pStyle w:val="BodyText"/>
        <w:spacing w:line="240" w:lineRule="auto" w:before="117"/>
        <w:ind w:right="14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54"/>
        <w:gridCol w:w="1660"/>
        <w:gridCol w:w="1649"/>
        <w:gridCol w:w="1949"/>
        <w:gridCol w:w="1346"/>
      </w:tblGrid>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6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971,711,483.42</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848,671,277.67</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14.50%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749,911,314.16</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6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132,007,798.40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124,382,450.37</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6.13%</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124,053,846.73</w:t>
            </w:r>
          </w:p>
        </w:tc>
      </w:tr>
      <w:tr>
        <w:trPr>
          <w:trHeight w:val="71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5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 损益的净利润（元）</w:t>
            </w:r>
          </w:p>
        </w:tc>
        <w:tc>
          <w:tcPr>
            <w:tcW w:w="16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113,538,055.88</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131,213,366.07</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-13.47%</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124,386,236.29</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6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176,427,114.06</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99,602,177.50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77.13%</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229,018,047.56</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0.17</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0.16</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6.25%</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0.16</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0.17</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0.16</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6.25%</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0.16</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6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8.53%</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8.63%</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9.25%</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0" w:right="0"/>
              <w:jc w:val="lef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6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1,852,777,056.35</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1,735,574,680.57</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6.75%</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1,750,107,449.69</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6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1,609,149,489.34</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1,501,285,026.66</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7.18%</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1,376,090,038.87</w:t>
            </w:r>
          </w:p>
        </w:tc>
      </w:tr>
    </w:tbl>
    <w:p>
      <w:pPr>
        <w:spacing w:line="240" w:lineRule="auto" w:before="1"/>
        <w:rPr>
          <w:rFonts w:ascii="宋体" w:hAnsi="宋体" w:cs="宋体" w:eastAsia="宋体" w:hint="default"/>
          <w:sz w:val="18"/>
          <w:szCs w:val="18"/>
        </w:rPr>
      </w:pPr>
    </w:p>
    <w:p>
      <w:pPr>
        <w:pStyle w:val="Heading2"/>
        <w:spacing w:line="240" w:lineRule="auto" w:before="26"/>
        <w:ind w:right="146"/>
        <w:jc w:val="left"/>
        <w:rPr>
          <w:b w:val="0"/>
          <w:bCs w:val="0"/>
        </w:rPr>
      </w:pPr>
      <w:r>
        <w:rPr/>
        <w:t>二、境内外会计准则下会计数据差异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6"/>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9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5"/>
        <w:rPr>
          <w:rFonts w:ascii="宋体" w:hAnsi="宋体" w:cs="宋体" w:eastAsia="宋体" w:hint="default"/>
          <w:sz w:val="21"/>
          <w:szCs w:val="21"/>
        </w:rPr>
      </w:pPr>
    </w:p>
    <w:p>
      <w:pPr>
        <w:pStyle w:val="Heading3"/>
        <w:spacing w:line="240" w:lineRule="auto"/>
        <w:ind w:right="146"/>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1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146"/>
        <w:jc w:val="left"/>
        <w:rPr>
          <w:b w:val="0"/>
          <w:bCs w:val="0"/>
        </w:rPr>
      </w:pPr>
      <w:r>
        <w:rPr/>
        <w:t>三、非经常性损益项目及金额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14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40"/>
        <w:gridCol w:w="1287"/>
        <w:gridCol w:w="1274"/>
        <w:gridCol w:w="1277"/>
        <w:gridCol w:w="780"/>
      </w:tblGrid>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4"/>
              <w:jc w:val="center"/>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非流动资产处置损益（包括已计提资产减值准备的冲销部分）</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37" w:right="0"/>
              <w:jc w:val="left"/>
              <w:rPr>
                <w:rFonts w:ascii="Times New Roman" w:hAnsi="Times New Roman" w:cs="Times New Roman" w:eastAsia="Times New Roman" w:hint="default"/>
                <w:sz w:val="18"/>
                <w:szCs w:val="18"/>
              </w:rPr>
            </w:pPr>
            <w:r>
              <w:rPr>
                <w:rFonts w:ascii="Times New Roman"/>
                <w:sz w:val="18"/>
              </w:rPr>
              <w:t>-7,174,193.44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8" w:right="0"/>
              <w:jc w:val="left"/>
              <w:rPr>
                <w:rFonts w:ascii="Times New Roman" w:hAnsi="Times New Roman" w:cs="Times New Roman" w:eastAsia="Times New Roman" w:hint="default"/>
                <w:sz w:val="18"/>
                <w:szCs w:val="18"/>
              </w:rPr>
            </w:pPr>
            <w:r>
              <w:rPr>
                <w:rFonts w:ascii="Times New Roman"/>
                <w:sz w:val="18"/>
              </w:rPr>
              <w:t>-14,806,303.76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1" w:right="0"/>
              <w:jc w:val="left"/>
              <w:rPr>
                <w:rFonts w:ascii="Times New Roman" w:hAnsi="Times New Roman" w:cs="Times New Roman" w:eastAsia="Times New Roman" w:hint="default"/>
                <w:sz w:val="18"/>
                <w:szCs w:val="18"/>
              </w:rPr>
            </w:pPr>
            <w:r>
              <w:rPr>
                <w:rFonts w:ascii="Times New Roman"/>
                <w:sz w:val="18"/>
              </w:rPr>
              <w:t>-10,486,344.64</w:t>
            </w: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63"/>
        <w:gridCol w:w="1275"/>
        <w:gridCol w:w="1274"/>
        <w:gridCol w:w="1277"/>
        <w:gridCol w:w="780"/>
      </w:tblGrid>
      <w:tr>
        <w:trPr>
          <w:trHeight w:val="714"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68"/>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 一标准定额或定量享受的政府补助除外）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1,446,000.00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1,954,600.00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6,480,000.00</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195,961.14</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6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 性金融资产、交易性金融负债产生的公允价值变动损益，以及 处置交易性金融资产、交易性金融负债和可供出售金融资产取 得的投资收益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30,174,200.82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16,870,528.70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6,993,851.24</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-2,674,991.88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-11,981,314.41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-3,360,118.12</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3,301,272.98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-1,131,573.77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155,739.18</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18,469,742.52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-6,830,915.70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-332,389.56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4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3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631"/>
        <w:jc w:val="center"/>
        <w:rPr>
          <w:b w:val="0"/>
          <w:bCs w:val="0"/>
        </w:rPr>
      </w:pPr>
      <w:bookmarkStart w:name="_TOC_250008"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4"/>
        <w:jc w:val="left"/>
        <w:rPr>
          <w:b w:val="0"/>
          <w:bCs w:val="0"/>
        </w:rPr>
      </w:pPr>
      <w:r>
        <w:rPr/>
        <w:t>一、概述</w:t>
      </w:r>
      <w:r>
        <w:rPr>
          <w:b w:val="0"/>
          <w:bCs w:val="0"/>
        </w:rPr>
      </w:r>
    </w:p>
    <w:p>
      <w:pPr>
        <w:spacing w:line="240" w:lineRule="auto" w:before="4"/>
        <w:rPr>
          <w:rFonts w:ascii="宋体" w:hAnsi="宋体" w:cs="宋体" w:eastAsia="宋体" w:hint="default"/>
          <w:b/>
          <w:bCs/>
          <w:sz w:val="26"/>
          <w:szCs w:val="26"/>
        </w:rPr>
      </w:pPr>
    </w:p>
    <w:p>
      <w:pPr>
        <w:pStyle w:val="BodyText"/>
        <w:spacing w:line="304" w:lineRule="auto"/>
        <w:ind w:right="94" w:firstLine="360"/>
        <w:jc w:val="left"/>
      </w:pPr>
      <w:r>
        <w:rPr>
          <w:rFonts w:ascii="Times New Roman" w:hAnsi="Times New Roman" w:cs="Times New Roman" w:eastAsia="Times New Roman" w:hint="default"/>
          <w:spacing w:val="-2"/>
        </w:rPr>
        <w:t>2014</w:t>
      </w:r>
      <w:r>
        <w:rPr>
          <w:spacing w:val="-2"/>
        </w:rPr>
        <w:t>年中国宏观经济运行总体基本平稳，经济增长保持在合理区间，在这样的宏观坏境下，御银秉承“诚实务实、专业</w:t>
      </w:r>
      <w:r>
        <w:rPr/>
        <w:t> 专注、自主创新、稳健规范”的企业精神，始终牢牢锁定</w:t>
      </w:r>
      <w:r>
        <w:rPr>
          <w:rFonts w:ascii="Times New Roman" w:hAnsi="Times New Roman" w:cs="Times New Roman" w:eastAsia="Times New Roman" w:hint="default"/>
        </w:rPr>
        <w:t>ATM</w:t>
      </w:r>
      <w:r>
        <w:rPr/>
        <w:t>（取款机）与</w:t>
      </w:r>
      <w:r>
        <w:rPr>
          <w:rFonts w:ascii="Times New Roman" w:hAnsi="Times New Roman" w:cs="Times New Roman" w:eastAsia="Times New Roman" w:hint="default"/>
        </w:rPr>
        <w:t>CRS</w:t>
      </w:r>
      <w:r>
        <w:rPr/>
        <w:t>（存取款一体机）的金融高端制造业的经 </w:t>
      </w:r>
      <w:r>
        <w:rPr>
          <w:spacing w:val="-2"/>
        </w:rPr>
        <w:t>营理念，紧密围绕市场需求进行深度挖掘和创新，在继续做好现有产品的同时，通过自主研发与增强研发团队建设、整合产</w:t>
      </w:r>
      <w:r>
        <w:rPr>
          <w:spacing w:val="-65"/>
        </w:rPr>
        <w:t> </w:t>
      </w:r>
      <w:r>
        <w:rPr>
          <w:spacing w:val="-65"/>
        </w:rPr>
      </w:r>
      <w:r>
        <w:rPr>
          <w:spacing w:val="-2"/>
        </w:rPr>
        <w:t>品业务结构，加大市场客户开发力度，进一步扩大市场占有率。报告期内，公司实现营业总收入</w:t>
      </w:r>
      <w:r>
        <w:rPr>
          <w:rFonts w:ascii="Times New Roman" w:hAnsi="Times New Roman" w:cs="Times New Roman" w:eastAsia="Times New Roman" w:hint="default"/>
          <w:spacing w:val="-2"/>
        </w:rPr>
        <w:t>97,171.15</w:t>
      </w:r>
      <w:r>
        <w:rPr>
          <w:spacing w:val="-2"/>
        </w:rPr>
        <w:t>万元，比上年同期</w:t>
      </w:r>
      <w:r>
        <w:rPr>
          <w:spacing w:val="-59"/>
        </w:rPr>
        <w:t> </w:t>
      </w:r>
      <w:r>
        <w:rPr>
          <w:spacing w:val="-59"/>
        </w:rPr>
      </w:r>
      <w:r>
        <w:rPr>
          <w:spacing w:val="-1"/>
        </w:rPr>
        <w:t>增长</w:t>
      </w:r>
      <w:r>
        <w:rPr>
          <w:rFonts w:ascii="Times New Roman" w:hAnsi="Times New Roman" w:cs="Times New Roman" w:eastAsia="Times New Roman" w:hint="default"/>
          <w:spacing w:val="-1"/>
        </w:rPr>
        <w:t>14.50%</w:t>
      </w:r>
      <w:r>
        <w:rPr>
          <w:spacing w:val="-1"/>
        </w:rPr>
        <w:t>；实现利润总额</w:t>
      </w:r>
      <w:r>
        <w:rPr>
          <w:rFonts w:ascii="Times New Roman" w:hAnsi="Times New Roman" w:cs="Times New Roman" w:eastAsia="Times New Roman" w:hint="default"/>
          <w:spacing w:val="-1"/>
        </w:rPr>
        <w:t>14,895.10</w:t>
      </w:r>
      <w:r>
        <w:rPr>
          <w:spacing w:val="-1"/>
        </w:rPr>
        <w:t>万元，比上年同期减少</w:t>
      </w:r>
      <w:r>
        <w:rPr>
          <w:rFonts w:ascii="Times New Roman" w:hAnsi="Times New Roman" w:cs="Times New Roman" w:eastAsia="Times New Roman" w:hint="default"/>
          <w:spacing w:val="-1"/>
        </w:rPr>
        <w:t>2.99%</w:t>
      </w:r>
      <w:r>
        <w:rPr>
          <w:spacing w:val="-1"/>
        </w:rPr>
        <w:t>；归属上市公司股东的净利润为</w:t>
      </w:r>
      <w:r>
        <w:rPr>
          <w:rFonts w:ascii="Times New Roman" w:hAnsi="Times New Roman" w:cs="Times New Roman" w:eastAsia="Times New Roman" w:hint="default"/>
          <w:spacing w:val="-1"/>
        </w:rPr>
        <w:t>13,200.78</w:t>
      </w:r>
      <w:r>
        <w:rPr>
          <w:spacing w:val="-1"/>
        </w:rPr>
        <w:t>万元，比上年同</w:t>
      </w:r>
      <w:r>
        <w:rPr>
          <w:spacing w:val="-52"/>
        </w:rPr>
        <w:t> </w:t>
      </w:r>
      <w:r>
        <w:rPr>
          <w:spacing w:val="-52"/>
        </w:rPr>
      </w:r>
      <w:r>
        <w:rPr/>
        <w:t>期增长</w:t>
      </w:r>
      <w:r>
        <w:rPr>
          <w:rFonts w:ascii="Times New Roman" w:hAnsi="Times New Roman" w:cs="Times New Roman" w:eastAsia="Times New Roman" w:hint="default"/>
        </w:rPr>
        <w:t>6.13%</w:t>
      </w:r>
      <w:r>
        <w:rPr/>
        <w:t>。</w:t>
      </w:r>
    </w:p>
    <w:p>
      <w:pPr>
        <w:pStyle w:val="BodyText"/>
        <w:spacing w:line="300" w:lineRule="auto" w:before="50"/>
        <w:ind w:right="94" w:firstLine="360"/>
        <w:jc w:val="left"/>
      </w:pPr>
      <w:r>
        <w:rPr>
          <w:spacing w:val="-2"/>
        </w:rPr>
        <w:t>此外，公司取得了</w:t>
      </w:r>
      <w:r>
        <w:rPr>
          <w:rFonts w:ascii="Times New Roman" w:hAnsi="Times New Roman" w:cs="Times New Roman" w:eastAsia="Times New Roman" w:hint="default"/>
          <w:spacing w:val="-2"/>
        </w:rPr>
        <w:t>3</w:t>
      </w:r>
      <w:r>
        <w:rPr>
          <w:spacing w:val="-2"/>
        </w:rPr>
        <w:t>项外观设计专利、</w:t>
      </w:r>
      <w:r>
        <w:rPr>
          <w:rFonts w:ascii="Times New Roman" w:hAnsi="Times New Roman" w:cs="Times New Roman" w:eastAsia="Times New Roman" w:hint="default"/>
          <w:spacing w:val="-2"/>
        </w:rPr>
        <w:t>25</w:t>
      </w:r>
      <w:r>
        <w:rPr>
          <w:spacing w:val="-2"/>
        </w:rPr>
        <w:t>项实用新型专利、</w:t>
      </w:r>
      <w:r>
        <w:rPr>
          <w:rFonts w:ascii="Times New Roman" w:hAnsi="Times New Roman" w:cs="Times New Roman" w:eastAsia="Times New Roman" w:hint="default"/>
          <w:spacing w:val="-2"/>
        </w:rPr>
        <w:t>20</w:t>
      </w:r>
      <w:r>
        <w:rPr>
          <w:spacing w:val="-2"/>
        </w:rPr>
        <w:t>项软件产品登记证书、</w:t>
      </w:r>
      <w:r>
        <w:rPr>
          <w:rFonts w:ascii="Times New Roman" w:hAnsi="Times New Roman" w:cs="Times New Roman" w:eastAsia="Times New Roman" w:hint="default"/>
          <w:spacing w:val="-2"/>
        </w:rPr>
        <w:t>17</w:t>
      </w:r>
      <w:r>
        <w:rPr>
          <w:spacing w:val="-2"/>
        </w:rPr>
        <w:t>项计算机软件著作权登记证书、</w:t>
      </w:r>
      <w:r>
        <w:rPr>
          <w:rFonts w:ascii="Times New Roman" w:hAnsi="Times New Roman" w:cs="Times New Roman" w:eastAsia="Times New Roman" w:hint="default"/>
          <w:spacing w:val="-2"/>
        </w:rPr>
        <w:t>8</w:t>
      </w:r>
      <w:r>
        <w:rPr>
          <w:rFonts w:ascii="Times New Roman" w:hAnsi="Times New Roman" w:cs="Times New Roman" w:eastAsia="Times New Roman" w:hint="default"/>
        </w:rPr>
        <w:t> </w:t>
      </w:r>
      <w:r>
        <w:rPr>
          <w:spacing w:val="-7"/>
        </w:rPr>
        <w:t>项资格认证证书、</w:t>
      </w:r>
      <w:r>
        <w:rPr>
          <w:rFonts w:ascii="Times New Roman" w:hAnsi="Times New Roman" w:cs="Times New Roman" w:eastAsia="Times New Roman" w:hint="default"/>
          <w:spacing w:val="-7"/>
        </w:rPr>
        <w:t>18</w:t>
      </w:r>
      <w:r>
        <w:rPr>
          <w:spacing w:val="-7"/>
        </w:rPr>
        <w:t>项产品认证证书；公司获得“省级企业技术中心”称号；公司已经连续七年获得“广东省诚信示范企业”，</w:t>
      </w:r>
      <w:r>
        <w:rPr>
          <w:spacing w:val="-47"/>
        </w:rPr>
        <w:t> </w:t>
      </w:r>
      <w:r>
        <w:rPr>
          <w:spacing w:val="-47"/>
        </w:rPr>
      </w:r>
      <w:r>
        <w:rPr/>
        <w:t>连续八年获得“广东省守合同重信用企业”。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Heading2"/>
        <w:spacing w:line="240" w:lineRule="auto"/>
        <w:ind w:right="94"/>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94" w:firstLine="360"/>
        <w:jc w:val="left"/>
      </w:pPr>
      <w:r>
        <w:rPr/>
        <w:t>公司的主要产品为</w:t>
      </w:r>
      <w:r>
        <w:rPr>
          <w:rFonts w:ascii="Times New Roman" w:hAnsi="Times New Roman" w:cs="Times New Roman" w:eastAsia="Times New Roman" w:hint="default"/>
        </w:rPr>
        <w:t>ATM</w:t>
      </w:r>
      <w:r>
        <w:rPr/>
        <w:t>自助设备，主要是提供给银行类金融机构用于为其客户提供自助式金融服务，目前公司的主营 业务由</w:t>
      </w:r>
      <w:r>
        <w:rPr>
          <w:rFonts w:ascii="Times New Roman" w:hAnsi="Times New Roman" w:cs="Times New Roman" w:eastAsia="Times New Roman" w:hint="default"/>
        </w:rPr>
        <w:t>ATM</w:t>
      </w:r>
      <w:r>
        <w:rPr/>
        <w:t>产品销售和</w:t>
      </w:r>
      <w:r>
        <w:rPr>
          <w:rFonts w:ascii="Times New Roman" w:hAnsi="Times New Roman" w:cs="Times New Roman" w:eastAsia="Times New Roman" w:hint="default"/>
        </w:rPr>
        <w:t>ATM</w:t>
      </w:r>
      <w:r>
        <w:rPr/>
        <w:t>运营服务两部分组成：</w:t>
      </w:r>
    </w:p>
    <w:p>
      <w:pPr>
        <w:pStyle w:val="BodyText"/>
        <w:spacing w:line="240" w:lineRule="auto" w:before="13"/>
        <w:ind w:left="513" w:right="94"/>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ATM</w:t>
      </w:r>
      <w:r>
        <w:rPr/>
        <w:t>设备及相关系统软件的研发、制造、销售，公司主要产品为</w:t>
      </w:r>
      <w:r>
        <w:rPr>
          <w:rFonts w:ascii="Times New Roman" w:hAnsi="Times New Roman" w:cs="Times New Roman" w:eastAsia="Times New Roman" w:hint="default"/>
        </w:rPr>
        <w:t>KingTeller</w:t>
      </w:r>
      <w:r>
        <w:rPr/>
        <w:t>系列自动柜员机；</w:t>
      </w:r>
    </w:p>
    <w:p>
      <w:pPr>
        <w:pStyle w:val="BodyText"/>
        <w:spacing w:line="307" w:lineRule="auto" w:before="63"/>
        <w:ind w:right="186" w:firstLine="360"/>
        <w:jc w:val="both"/>
      </w:pPr>
      <w:r>
        <w:rPr/>
        <w:t>（</w:t>
      </w:r>
      <w:r>
        <w:rPr>
          <w:rFonts w:ascii="Times New Roman" w:hAnsi="Times New Roman" w:cs="Times New Roman" w:eastAsia="Times New Roman" w:hint="default"/>
        </w:rPr>
        <w:t>2</w:t>
      </w:r>
      <w:r>
        <w:rPr/>
        <w:t>）为银行类金融机构提供</w:t>
      </w:r>
      <w:r>
        <w:rPr>
          <w:rFonts w:ascii="Times New Roman" w:hAnsi="Times New Roman" w:cs="Times New Roman" w:eastAsia="Times New Roman" w:hint="default"/>
        </w:rPr>
        <w:t>ATM</w:t>
      </w:r>
      <w:r>
        <w:rPr/>
        <w:t>运营服务，即公司与银行类金融机构合作建设</w:t>
      </w:r>
      <w:r>
        <w:rPr>
          <w:rFonts w:ascii="Times New Roman" w:hAnsi="Times New Roman" w:cs="Times New Roman" w:eastAsia="Times New Roman" w:hint="default"/>
        </w:rPr>
        <w:t>ATM</w:t>
      </w:r>
      <w:r>
        <w:rPr/>
        <w:t>终端，公司负责提供</w:t>
      </w:r>
      <w:r>
        <w:rPr>
          <w:rFonts w:ascii="Times New Roman" w:hAnsi="Times New Roman" w:cs="Times New Roman" w:eastAsia="Times New Roman" w:hint="default"/>
        </w:rPr>
        <w:t>ATM</w:t>
      </w:r>
      <w:r>
        <w:rPr/>
        <w:t>设备、</w:t>
      </w:r>
      <w:r>
        <w:rPr>
          <w:spacing w:val="2"/>
        </w:rPr>
        <w:t> </w:t>
      </w:r>
      <w:r>
        <w:rPr/>
        <w:t>网点选址、设备维护、技术支持等服务，银行类金融机构负责将</w:t>
      </w:r>
      <w:r>
        <w:rPr>
          <w:rFonts w:ascii="Times New Roman" w:hAnsi="Times New Roman" w:cs="Times New Roman" w:eastAsia="Times New Roman" w:hint="default"/>
        </w:rPr>
        <w:t>ATM</w:t>
      </w:r>
      <w:r>
        <w:rPr/>
        <w:t>网点向中国银监会或其授权机构报备、提供加钞和清</w:t>
      </w:r>
      <w:r>
        <w:rPr>
          <w:spacing w:val="-41"/>
        </w:rPr>
        <w:t> </w:t>
      </w:r>
      <w:r>
        <w:rPr>
          <w:spacing w:val="-41"/>
        </w:rPr>
      </w:r>
      <w:r>
        <w:rPr>
          <w:spacing w:val="-2"/>
        </w:rPr>
        <w:t>算等，合作银行在收取跨行交易的代理手续费后，按照合作协议约定的比例将公司应收取的服务费支付给公司，公司的运营</w:t>
      </w:r>
      <w:r>
        <w:rPr>
          <w:spacing w:val="-63"/>
        </w:rPr>
        <w:t> </w:t>
      </w:r>
      <w:r>
        <w:rPr>
          <w:spacing w:val="-63"/>
        </w:rPr>
      </w:r>
      <w:r>
        <w:rPr/>
        <w:t>服务根据合作条件、收款方式、收入确认等方面的差异可分为</w:t>
      </w:r>
      <w:r>
        <w:rPr>
          <w:rFonts w:ascii="Times New Roman" w:hAnsi="Times New Roman" w:cs="Times New Roman" w:eastAsia="Times New Roman" w:hint="default"/>
        </w:rPr>
        <w:t>ATM</w:t>
      </w:r>
      <w:r>
        <w:rPr/>
        <w:t>合作运营服务和</w:t>
      </w:r>
      <w:r>
        <w:rPr>
          <w:rFonts w:ascii="Times New Roman" w:hAnsi="Times New Roman" w:cs="Times New Roman" w:eastAsia="Times New Roman" w:hint="default"/>
        </w:rPr>
        <w:t>ATM</w:t>
      </w:r>
      <w:r>
        <w:rPr/>
        <w:t>融资租赁两种模式。</w:t>
      </w:r>
    </w:p>
    <w:p>
      <w:pPr>
        <w:pStyle w:val="Heading4"/>
        <w:spacing w:line="240" w:lineRule="auto" w:before="48"/>
        <w:ind w:left="152" w:right="94"/>
        <w:jc w:val="left"/>
        <w:rPr>
          <w:b w:val="0"/>
          <w:bCs w:val="0"/>
        </w:rPr>
      </w:pPr>
      <w:r>
        <w:rPr/>
        <w:t>公司回顾总结前期披露的发展战略和经营计划在报告期内的进展情况</w:t>
      </w:r>
      <w:r>
        <w:rPr>
          <w:b w:val="0"/>
          <w:bCs w:val="0"/>
        </w:rPr>
      </w:r>
    </w:p>
    <w:p>
      <w:pPr>
        <w:pStyle w:val="BodyText"/>
        <w:spacing w:line="312" w:lineRule="auto" w:before="115"/>
        <w:ind w:right="94" w:firstLine="360"/>
        <w:jc w:val="left"/>
      </w:pPr>
      <w:r>
        <w:rPr>
          <w:rFonts w:ascii="Times New Roman" w:hAnsi="Times New Roman" w:cs="Times New Roman" w:eastAsia="Times New Roman" w:hint="default"/>
          <w:spacing w:val="-2"/>
        </w:rPr>
        <w:t>2014</w:t>
      </w:r>
      <w:r>
        <w:rPr>
          <w:spacing w:val="-2"/>
        </w:rPr>
        <w:t>年公司管理层紧密围绕公司的发展战略目标，贯彻董事会的战略部署，专注于金融信息化领域，并在我国深化金融</w:t>
      </w:r>
      <w:r>
        <w:rPr/>
        <w:t> </w:t>
      </w:r>
      <w:r>
        <w:rPr>
          <w:spacing w:val="-2"/>
        </w:rPr>
        <w:t>改革的政策背景下，充分发挥公司积累的行业竞争优势，积极探索和发展创新金融互联网业务。报告期内，公司在做好金融</w:t>
      </w:r>
      <w:r>
        <w:rPr>
          <w:spacing w:val="-64"/>
        </w:rPr>
        <w:t> </w:t>
      </w:r>
      <w:r>
        <w:rPr>
          <w:spacing w:val="-64"/>
        </w:rPr>
      </w:r>
      <w:r>
        <w:rPr>
          <w:spacing w:val="-4"/>
        </w:rPr>
        <w:t>机具领域主体业务的基础上，积极探索，把握市场机遇，将公司业务向互联网金融、智慧银行等新兴产业领域进行延伸拓展，</w:t>
      </w:r>
      <w:r>
        <w:rPr>
          <w:spacing w:val="-46"/>
        </w:rPr>
        <w:t> </w:t>
      </w:r>
      <w:r>
        <w:rPr>
          <w:spacing w:val="-46"/>
        </w:rPr>
      </w:r>
      <w:r>
        <w:rPr/>
        <w:t>稳步开展各项工作。</w:t>
      </w:r>
    </w:p>
    <w:p>
      <w:pPr>
        <w:pStyle w:val="BodyText"/>
        <w:spacing w:line="314" w:lineRule="auto" w:before="63"/>
        <w:ind w:right="190" w:firstLine="360"/>
        <w:jc w:val="both"/>
      </w:pPr>
      <w:r>
        <w:rPr>
          <w:spacing w:val="-2"/>
        </w:rPr>
        <w:t>在互联网金融方面，公司积极探索利用新技术、互联网，以及新模式对现有业务进行深入的革新和重构，在对互联网金</w:t>
      </w:r>
      <w:r>
        <w:rPr/>
        <w:t> 融业务进行了重要战略布局，并特别注重互联网金融领域的开拓力度。</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月成功投资设立了全资子公司广州御银信息</w:t>
      </w:r>
      <w:r>
        <w:rPr>
          <w:spacing w:val="-85"/>
        </w:rPr>
        <w:t> </w:t>
      </w:r>
      <w:r>
        <w:rPr>
          <w:spacing w:val="-85"/>
        </w:rPr>
      </w:r>
      <w:r>
        <w:rPr>
          <w:spacing w:val="-2"/>
        </w:rPr>
        <w:t>科技有限公司，主用于对互联网金融企业的投资、兼并，适时参与互联网金融产业基金的发起设立，稳步推进了业务领域向</w:t>
      </w:r>
      <w:r>
        <w:rPr>
          <w:spacing w:val="-64"/>
        </w:rPr>
        <w:t> </w:t>
      </w:r>
      <w:r>
        <w:rPr>
          <w:spacing w:val="-64"/>
        </w:rPr>
      </w:r>
      <w:r>
        <w:rPr>
          <w:spacing w:val="-2"/>
        </w:rPr>
        <w:t>互联网金融等新兴产业延伸发展，进一步拓宽和丰富了业务领域，为公司整体长远发展创造了广阔的发展空间，为公司长期</w:t>
      </w:r>
      <w:r>
        <w:rPr>
          <w:spacing w:val="-63"/>
        </w:rPr>
        <w:t> </w:t>
      </w:r>
      <w:r>
        <w:rPr>
          <w:spacing w:val="-63"/>
        </w:rPr>
      </w:r>
      <w:r>
        <w:rPr/>
        <w:t>可持续发展奠定了坚实的基础；</w:t>
      </w:r>
    </w:p>
    <w:p>
      <w:pPr>
        <w:pStyle w:val="BodyText"/>
        <w:spacing w:line="314" w:lineRule="auto" w:before="59"/>
        <w:ind w:right="190" w:firstLine="360"/>
        <w:jc w:val="both"/>
      </w:pPr>
      <w:r>
        <w:rPr/>
        <w:t>在研发方面，公司推出新一代改良型</w:t>
      </w:r>
      <w:r>
        <w:rPr>
          <w:rFonts w:ascii="Times New Roman" w:hAnsi="Times New Roman" w:cs="Times New Roman" w:eastAsia="Times New Roman" w:hint="default"/>
        </w:rPr>
        <w:t>ATM</w:t>
      </w:r>
      <w:r>
        <w:rPr/>
        <w:t>自动柜员机、</w:t>
      </w:r>
      <w:r>
        <w:rPr>
          <w:rFonts w:ascii="Times New Roman" w:hAnsi="Times New Roman" w:cs="Times New Roman" w:eastAsia="Times New Roman" w:hint="default"/>
        </w:rPr>
        <w:t>CRS</w:t>
      </w:r>
      <w:r>
        <w:rPr/>
        <w:t>存取款一体机，在整机性能、安全防范、便捷体验等方面 </w:t>
      </w:r>
      <w:r>
        <w:rPr>
          <w:spacing w:val="-2"/>
        </w:rPr>
        <w:t>将得到进一步加强，同时面向部分地区对存折使用的需求，研发出卡折一体自动柜员机并获得市场支持，全面推广高速大容</w:t>
      </w:r>
      <w:r>
        <w:rPr>
          <w:spacing w:val="-63"/>
        </w:rPr>
        <w:t> </w:t>
      </w:r>
      <w:r>
        <w:rPr>
          <w:spacing w:val="-63"/>
        </w:rPr>
      </w:r>
      <w:r>
        <w:rPr>
          <w:spacing w:val="-2"/>
        </w:rPr>
        <w:t>量存款机，满足客户日渐增长的大额存款需求，该设备已经在全国多个网点上线使用，并得到银行及客户一致赞扬，推出柜</w:t>
      </w:r>
      <w:r>
        <w:rPr>
          <w:spacing w:val="-64"/>
        </w:rPr>
        <w:t> </w:t>
      </w:r>
      <w:r>
        <w:rPr>
          <w:spacing w:val="-64"/>
        </w:rPr>
      </w:r>
      <w:r>
        <w:rPr>
          <w:spacing w:val="-2"/>
        </w:rPr>
        <w:t>员用智能现金出纳机，并开始在银行进行测试，进一步提升了公司核心竞争力；在生物识别技术上，公司率先与国内顶尖科</w:t>
      </w:r>
      <w:r>
        <w:rPr>
          <w:spacing w:val="-65"/>
        </w:rPr>
        <w:t> </w:t>
      </w:r>
      <w:r>
        <w:rPr>
          <w:spacing w:val="-65"/>
        </w:rPr>
      </w:r>
      <w:r>
        <w:rPr>
          <w:spacing w:val="-2"/>
        </w:rPr>
        <w:t>研机构进行人脸识别、虹膜识别、静脉识别、指纹识别等多面方面联合开发工作，目前已经开发出一套基于生物活体识别统</w:t>
      </w:r>
    </w:p>
    <w:p>
      <w:pPr>
        <w:spacing w:after="0" w:line="314"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00" w:lineRule="auto" w:before="44"/>
        <w:ind w:right="94"/>
        <w:jc w:val="left"/>
      </w:pPr>
      <w:r>
        <w:rPr/>
        <w:t>一身份认证系统，并在部分银行成功应用；从金融信息安全方面考虑，公司全面开展基于</w:t>
      </w:r>
      <w:r>
        <w:rPr>
          <w:rFonts w:ascii="Times New Roman" w:hAnsi="Times New Roman" w:cs="Times New Roman" w:eastAsia="Times New Roman" w:hint="default"/>
        </w:rPr>
        <w:t>Linux</w:t>
      </w:r>
      <w:r>
        <w:rPr/>
        <w:t>国产操作系统的支持程序开</w:t>
      </w:r>
      <w:r>
        <w:rPr>
          <w:spacing w:val="-65"/>
        </w:rPr>
        <w:t> </w:t>
      </w:r>
      <w:r>
        <w:rPr>
          <w:spacing w:val="-65"/>
        </w:rPr>
      </w:r>
      <w:r>
        <w:rPr/>
        <w:t>发工作，同时进行基于跨操作系统的云安全开发工作，并取得较大的进展。</w:t>
      </w:r>
    </w:p>
    <w:p>
      <w:pPr>
        <w:pStyle w:val="BodyText"/>
        <w:spacing w:line="309" w:lineRule="auto" w:before="72"/>
        <w:ind w:right="94" w:firstLine="360"/>
        <w:jc w:val="left"/>
      </w:pPr>
      <w:r>
        <w:rPr>
          <w:spacing w:val="-2"/>
        </w:rPr>
        <w:t>在智慧银行方面，随着云计算、大数据、移动互联等新兴技术在应用领域的普及，御银股份智慧银行战略在诸多垂直领</w:t>
      </w:r>
      <w:r>
        <w:rPr/>
        <w:t> </w:t>
      </w:r>
      <w:r>
        <w:rPr>
          <w:spacing w:val="-2"/>
        </w:rPr>
        <w:t>域迈出建设创新的步伐。御银股份启动智慧银行项目，组建一批拥有十余年涉银行业务研发人员、行业精英队伍，并初步形</w:t>
      </w:r>
      <w:r>
        <w:rPr>
          <w:spacing w:val="-64"/>
        </w:rPr>
        <w:t> </w:t>
      </w:r>
      <w:r>
        <w:rPr>
          <w:spacing w:val="-64"/>
        </w:rPr>
      </w:r>
      <w:r>
        <w:rPr/>
        <w:t>成智慧银行业务架构；开发出统一数据分析平台、监控运维平台、手机</w:t>
      </w:r>
      <w:r>
        <w:rPr>
          <w:rFonts w:ascii="Times New Roman" w:hAnsi="Times New Roman" w:cs="Times New Roman" w:eastAsia="Times New Roman" w:hint="default"/>
        </w:rPr>
        <w:t>APP</w:t>
      </w:r>
      <w:r>
        <w:rPr/>
        <w:t>、网上商城等支撑业务；并与国内系统集成开发 商深入合作，涉及银行前置系统和客户营销系统。</w:t>
      </w:r>
      <w:r>
        <w:rPr>
          <w:rFonts w:ascii="Times New Roman" w:hAnsi="Times New Roman" w:cs="Times New Roman" w:eastAsia="Times New Roman" w:hint="default"/>
        </w:rPr>
        <w:t>2014</w:t>
      </w:r>
      <w:r>
        <w:rPr/>
        <w:t>年御银股份步步推进，在稳定发展原有业务的同时，优化业务结构， 积极培育智慧银行云服务能力，为银行客户及产业链合作伙伴创造更大的价值。</w:t>
      </w:r>
    </w:p>
    <w:p>
      <w:pPr>
        <w:pStyle w:val="BodyText"/>
        <w:spacing w:line="304" w:lineRule="auto" w:before="62"/>
        <w:ind w:right="104" w:firstLine="360"/>
        <w:jc w:val="both"/>
      </w:pPr>
      <w:r>
        <w:rPr/>
        <w:t>在销售方面，公司加大了对</w:t>
      </w:r>
      <w:r>
        <w:rPr>
          <w:rFonts w:ascii="Times New Roman" w:hAnsi="Times New Roman" w:cs="Times New Roman" w:eastAsia="Times New Roman" w:hint="default"/>
        </w:rPr>
        <w:t>ATM</w:t>
      </w:r>
      <w:r>
        <w:rPr/>
        <w:t>产品销售力度，成功入围建设银行的</w:t>
      </w:r>
      <w:r>
        <w:rPr>
          <w:rFonts w:ascii="Times New Roman" w:hAnsi="Times New Roman" w:cs="Times New Roman" w:eastAsia="Times New Roman" w:hint="default"/>
        </w:rPr>
        <w:t>ATM</w:t>
      </w:r>
      <w:r>
        <w:rPr/>
        <w:t>采购项目外，并以第一名的优势入围建设银 行的一体机（国产）采购项目，并取得了重大突破，保守预测中标金额</w:t>
      </w:r>
      <w:r>
        <w:rPr>
          <w:rFonts w:ascii="Times New Roman" w:hAnsi="Times New Roman" w:cs="Times New Roman" w:eastAsia="Times New Roman" w:hint="default"/>
        </w:rPr>
        <w:t>60,000</w:t>
      </w:r>
      <w:r>
        <w:rPr/>
        <w:t>万元以上，若合同按照预测金额完全履行，该 金额约占公司经审计的</w:t>
      </w:r>
      <w:r>
        <w:rPr>
          <w:rFonts w:ascii="Times New Roman" w:hAnsi="Times New Roman" w:cs="Times New Roman" w:eastAsia="Times New Roman" w:hint="default"/>
        </w:rPr>
        <w:t>2013</w:t>
      </w:r>
      <w:r>
        <w:rPr/>
        <w:t>会计年度在建设银行实现的营业收入的</w:t>
      </w:r>
      <w:r>
        <w:rPr>
          <w:rFonts w:ascii="Times New Roman" w:hAnsi="Times New Roman" w:cs="Times New Roman" w:eastAsia="Times New Roman" w:hint="default"/>
        </w:rPr>
        <w:t>491.79%</w:t>
      </w:r>
      <w:r>
        <w:rPr/>
        <w:t>；约占公司经审计的</w:t>
      </w:r>
      <w:r>
        <w:rPr>
          <w:rFonts w:ascii="Times New Roman" w:hAnsi="Times New Roman" w:cs="Times New Roman" w:eastAsia="Times New Roman" w:hint="default"/>
        </w:rPr>
        <w:t>2013</w:t>
      </w:r>
      <w:r>
        <w:rPr/>
        <w:t>会计年度自助设备销售 收入的</w:t>
      </w:r>
      <w:r>
        <w:rPr>
          <w:rFonts w:ascii="Times New Roman" w:hAnsi="Times New Roman" w:cs="Times New Roman" w:eastAsia="Times New Roman" w:hint="default"/>
        </w:rPr>
        <w:t>122.36%</w:t>
      </w:r>
      <w:r>
        <w:rPr/>
        <w:t>；约占公司经审计的</w:t>
      </w:r>
      <w:r>
        <w:rPr>
          <w:rFonts w:ascii="Times New Roman" w:hAnsi="Times New Roman" w:cs="Times New Roman" w:eastAsia="Times New Roman" w:hint="default"/>
        </w:rPr>
        <w:t>2013</w:t>
      </w:r>
      <w:r>
        <w:rPr/>
        <w:t>会计年度营业总收入的</w:t>
      </w:r>
      <w:r>
        <w:rPr>
          <w:rFonts w:ascii="Times New Roman" w:hAnsi="Times New Roman" w:cs="Times New Roman" w:eastAsia="Times New Roman" w:hint="default"/>
        </w:rPr>
        <w:t>70.70%</w:t>
      </w:r>
      <w:r>
        <w:rPr/>
        <w:t>。同时，继</w:t>
      </w:r>
      <w:r>
        <w:rPr>
          <w:rFonts w:ascii="Times New Roman" w:hAnsi="Times New Roman" w:cs="Times New Roman" w:eastAsia="Times New Roman" w:hint="default"/>
        </w:rPr>
        <w:t>2013</w:t>
      </w:r>
      <w:r>
        <w:rPr/>
        <w:t>年末公司成功成为中国工商银行的自 </w:t>
      </w:r>
      <w:r>
        <w:rPr>
          <w:spacing w:val="-2"/>
        </w:rPr>
        <w:t>动取款机供应商以来，首次成为中国工商银行的存取款一体机供应商，是公司整体实力的反映，进一步体现了公司凭借着高</w:t>
      </w:r>
      <w:r>
        <w:rPr>
          <w:spacing w:val="-61"/>
        </w:rPr>
        <w:t> </w:t>
      </w:r>
      <w:r>
        <w:rPr>
          <w:spacing w:val="-61"/>
        </w:rPr>
      </w:r>
      <w:r>
        <w:rPr>
          <w:spacing w:val="-4"/>
        </w:rPr>
        <w:t>品质的产品、周到的服务和较强的技术研发能力被越来越多的客户认可和支持，巩固和提升了公司在国产品牌供应商的地位；</w:t>
      </w:r>
    </w:p>
    <w:p>
      <w:pPr>
        <w:pStyle w:val="BodyText"/>
        <w:spacing w:line="300" w:lineRule="auto" w:before="69"/>
        <w:ind w:right="186" w:firstLine="360"/>
        <w:jc w:val="both"/>
      </w:pPr>
      <w:r>
        <w:rPr>
          <w:spacing w:val="-1"/>
        </w:rPr>
        <w:t>在生产方面，公司新厂房于</w:t>
      </w:r>
      <w:r>
        <w:rPr>
          <w:rFonts w:ascii="Times New Roman" w:hAnsi="Times New Roman" w:cs="Times New Roman" w:eastAsia="Times New Roman" w:hint="default"/>
          <w:spacing w:val="-1"/>
        </w:rPr>
        <w:t>2013</w:t>
      </w:r>
      <w:r>
        <w:rPr>
          <w:spacing w:val="-1"/>
        </w:rPr>
        <w:t>年底正式投入后，产能有了飞跃性的提升，年生产能力超过</w:t>
      </w:r>
      <w:r>
        <w:rPr>
          <w:rFonts w:ascii="Times New Roman" w:hAnsi="Times New Roman" w:cs="Times New Roman" w:eastAsia="Times New Roman" w:hint="default"/>
          <w:spacing w:val="-1"/>
        </w:rPr>
        <w:t>30,000</w:t>
      </w:r>
      <w:r>
        <w:rPr>
          <w:spacing w:val="-1"/>
        </w:rPr>
        <w:t>台的生产规模，使公</w:t>
      </w:r>
      <w:r>
        <w:rPr/>
        <w:t> 司的生产设备在国内同行业中占有相对领先优势，为公司进一步提高产品质量和满足客户交货要求提供有力的保证；</w:t>
      </w:r>
    </w:p>
    <w:p>
      <w:pPr>
        <w:pStyle w:val="BodyText"/>
        <w:spacing w:line="307" w:lineRule="auto" w:before="72"/>
        <w:ind w:right="94" w:firstLine="360"/>
        <w:jc w:val="left"/>
      </w:pPr>
      <w:r>
        <w:rPr>
          <w:spacing w:val="-2"/>
        </w:rPr>
        <w:t>在客服服务方面，运用业内首创智能服务和信息化管理平台</w:t>
      </w:r>
      <w:r>
        <w:rPr>
          <w:rFonts w:ascii="Times New Roman" w:hAnsi="Times New Roman" w:cs="Times New Roman" w:eastAsia="Times New Roman" w:hint="default"/>
          <w:spacing w:val="-2"/>
        </w:rPr>
        <w:t>——</w:t>
      </w:r>
      <w:r>
        <w:rPr>
          <w:spacing w:val="-2"/>
        </w:rPr>
        <w:t>“御银云管理平台”，实现全流程信息一体化管理，推</w:t>
      </w:r>
      <w:r>
        <w:rPr/>
        <w:t> 行各区服务评测模型，使服务差异可视化，推动整体服务品质的提升，同时</w:t>
      </w:r>
      <w:r>
        <w:rPr>
          <w:rFonts w:ascii="Times New Roman" w:hAnsi="Times New Roman" w:cs="Times New Roman" w:eastAsia="Times New Roman" w:hint="default"/>
        </w:rPr>
        <w:t>Call</w:t>
      </w:r>
      <w:r>
        <w:rPr>
          <w:rFonts w:ascii="Times New Roman" w:hAnsi="Times New Roman" w:cs="Times New Roman" w:eastAsia="Times New Roman" w:hint="default"/>
          <w:spacing w:val="-4"/>
        </w:rPr>
        <w:t> </w:t>
      </w:r>
      <w:r>
        <w:rPr>
          <w:rFonts w:ascii="Times New Roman" w:hAnsi="Times New Roman" w:cs="Times New Roman" w:eastAsia="Times New Roman" w:hint="default"/>
        </w:rPr>
        <w:t>Center</w:t>
      </w:r>
      <w:r>
        <w:rPr/>
        <w:t>为用户提供全天候的保障，并与御银 </w:t>
      </w:r>
      <w:r>
        <w:rPr>
          <w:spacing w:val="-4"/>
        </w:rPr>
        <w:t>云管理平台“主动获取自助设备的运行信息”、“微信报障平台”有机结合，全面解决客户需求，为用户提供全方位、可靠、</w:t>
      </w:r>
      <w:r>
        <w:rPr>
          <w:spacing w:val="-46"/>
        </w:rPr>
        <w:t> </w:t>
      </w:r>
      <w:r>
        <w:rPr>
          <w:spacing w:val="-46"/>
        </w:rPr>
      </w:r>
      <w:r>
        <w:rPr/>
        <w:t>周到、快捷的一流服务，奏响“主动式服务”最强音。</w:t>
      </w:r>
    </w:p>
    <w:p>
      <w:pPr>
        <w:pStyle w:val="BodyText"/>
        <w:spacing w:line="307" w:lineRule="auto" w:before="64"/>
        <w:ind w:right="188" w:firstLine="360"/>
        <w:jc w:val="both"/>
      </w:pPr>
      <w:r>
        <w:rPr>
          <w:spacing w:val="-2"/>
        </w:rPr>
        <w:t>在完善激励机制方面，公司坚持“以人为本”的管理理念，继续加大各类人才的培养，调整和优化人才结构，前瞻性地</w:t>
      </w:r>
      <w:r>
        <w:rPr/>
        <w:t> </w:t>
      </w:r>
      <w:r>
        <w:rPr>
          <w:spacing w:val="-2"/>
        </w:rPr>
        <w:t>做好人力资源储备，构筑人力资本优势。公司推出了第一期员工持股计划，参与员工总人数不超过</w:t>
      </w:r>
      <w:r>
        <w:rPr>
          <w:rFonts w:ascii="Times New Roman" w:hAnsi="Times New Roman" w:cs="Times New Roman" w:eastAsia="Times New Roman" w:hint="default"/>
          <w:spacing w:val="-2"/>
        </w:rPr>
        <w:t>62</w:t>
      </w:r>
      <w:r>
        <w:rPr>
          <w:spacing w:val="-2"/>
        </w:rPr>
        <w:t>人，员工持股计划的资</w:t>
      </w:r>
      <w:r>
        <w:rPr>
          <w:spacing w:val="-61"/>
        </w:rPr>
        <w:t> </w:t>
      </w:r>
      <w:r>
        <w:rPr>
          <w:spacing w:val="-61"/>
        </w:rPr>
      </w:r>
      <w:r>
        <w:rPr/>
        <w:t>金总额不超过</w:t>
      </w:r>
      <w:r>
        <w:rPr>
          <w:rFonts w:ascii="Times New Roman" w:hAnsi="Times New Roman" w:cs="Times New Roman" w:eastAsia="Times New Roman" w:hint="default"/>
        </w:rPr>
        <w:t>3,525</w:t>
      </w:r>
      <w:r>
        <w:rPr/>
        <w:t>万元。充分调动各层级人员的积极性和主观创造性，公司进一步丰富多样化的薪酬和激励体系，增强公</w:t>
      </w:r>
      <w:r>
        <w:rPr>
          <w:spacing w:val="-41"/>
        </w:rPr>
        <w:t> </w:t>
      </w:r>
      <w:r>
        <w:rPr>
          <w:spacing w:val="-41"/>
        </w:rPr>
      </w:r>
      <w:r>
        <w:rPr/>
        <w:t>司与管理层及核心骨干员工共同持续发展的理念。</w:t>
      </w:r>
    </w:p>
    <w:p>
      <w:pPr>
        <w:pStyle w:val="BodyText"/>
        <w:spacing w:line="319" w:lineRule="auto" w:before="67"/>
        <w:ind w:right="190" w:firstLine="360"/>
        <w:jc w:val="both"/>
      </w:pPr>
      <w:r>
        <w:rPr>
          <w:spacing w:val="-2"/>
        </w:rPr>
        <w:t>随着公司上市以后，尤其是近两年公司战略发展规划日渐清晰并逐步得到落实，公司竞争优势、品牌影响力得到进一步</w:t>
      </w:r>
      <w:r>
        <w:rPr/>
        <w:t> </w:t>
      </w:r>
      <w:r>
        <w:rPr>
          <w:spacing w:val="-2"/>
        </w:rPr>
        <w:t>提升。在此基础上，董事会和经营管理团队将继续秉持敢为人先的创新精神和务实进取的开拓精神，推动公司整体业务规模</w:t>
      </w:r>
      <w:r>
        <w:rPr>
          <w:spacing w:val="-66"/>
        </w:rPr>
        <w:t> </w:t>
      </w:r>
      <w:r>
        <w:rPr>
          <w:spacing w:val="-66"/>
        </w:rPr>
      </w:r>
      <w:r>
        <w:rPr/>
        <w:t>和产业领域升级，努力成为推动行业发展的开拓者和领导者，为股东及利益相关者创造更大的价值。</w:t>
      </w:r>
    </w:p>
    <w:p>
      <w:pPr>
        <w:pStyle w:val="BodyText"/>
        <w:spacing w:line="240" w:lineRule="auto" w:before="58"/>
        <w:ind w:right="94"/>
        <w:jc w:val="left"/>
      </w:pPr>
      <w:r>
        <w:rPr/>
        <w:t>公司实际经营业绩较曾公开披露过的本年度盈利预测低于或高于</w:t>
      </w:r>
      <w:r>
        <w:rPr>
          <w:spacing w:val="-43"/>
        </w:rPr>
        <w:t> </w:t>
      </w:r>
      <w:r>
        <w:rPr>
          <w:rFonts w:ascii="Times New Roman" w:hAnsi="Times New Roman" w:cs="Times New Roman" w:eastAsia="Times New Roman" w:hint="default"/>
        </w:rPr>
        <w:t>20%</w:t>
      </w:r>
      <w:r>
        <w:rPr/>
        <w:t>以上的差异原因</w:t>
      </w:r>
    </w:p>
    <w:p>
      <w:pPr>
        <w:pStyle w:val="BodyText"/>
        <w:spacing w:line="240" w:lineRule="auto" w:before="101"/>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4"/>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4"/>
        <w:jc w:val="left"/>
      </w:pPr>
      <w:r>
        <w:rPr/>
        <w:t>说明</w:t>
      </w:r>
    </w:p>
    <w:p>
      <w:pPr>
        <w:pStyle w:val="BodyText"/>
        <w:spacing w:line="240" w:lineRule="auto" w:before="117"/>
        <w:ind w:left="513" w:right="94"/>
        <w:jc w:val="left"/>
      </w:pPr>
      <w:r>
        <w:rPr/>
        <w:t>报告期内，公司业务延续历年来的发展态势，</w:t>
      </w:r>
      <w:r>
        <w:rPr>
          <w:rFonts w:ascii="Times New Roman" w:hAnsi="Times New Roman" w:cs="Times New Roman" w:eastAsia="Times New Roman" w:hint="default"/>
        </w:rPr>
        <w:t>2013</w:t>
      </w:r>
      <w:r>
        <w:rPr/>
        <w:t>年中标工商银行全行自动柜员机项目</w:t>
      </w:r>
      <w:r>
        <w:rPr>
          <w:rFonts w:ascii="Times New Roman" w:hAnsi="Times New Roman" w:cs="Times New Roman" w:eastAsia="Times New Roman" w:hint="default"/>
        </w:rPr>
        <w:t>/</w:t>
      </w:r>
      <w:r>
        <w:rPr/>
        <w:t>自动取款机（</w:t>
      </w:r>
      <w:r>
        <w:rPr>
          <w:rFonts w:ascii="Times New Roman" w:hAnsi="Times New Roman" w:cs="Times New Roman" w:eastAsia="Times New Roman" w:hint="default"/>
        </w:rPr>
        <w:t>A</w:t>
      </w:r>
      <w:r>
        <w:rPr/>
        <w:t>－</w:t>
      </w:r>
      <w:r>
        <w:rPr>
          <w:rFonts w:ascii="Times New Roman" w:hAnsi="Times New Roman" w:cs="Times New Roman" w:eastAsia="Times New Roman" w:hint="default"/>
        </w:rPr>
        <w:t>A</w:t>
      </w:r>
      <w:r>
        <w:rPr/>
        <w:t>项）项目执</w:t>
      </w:r>
    </w:p>
    <w:p>
      <w:pPr>
        <w:pStyle w:val="BodyText"/>
        <w:spacing w:line="300" w:lineRule="auto" w:before="63"/>
        <w:ind w:right="94"/>
        <w:jc w:val="left"/>
      </w:pPr>
      <w:r>
        <w:rPr>
          <w:spacing w:val="-1"/>
        </w:rPr>
        <w:t>行情况良好，报告期内销量稳步增长，报告期内陆续中标成为中国邮政集团和中国建设银行股份有限公司</w:t>
      </w:r>
      <w:r>
        <w:rPr>
          <w:rFonts w:ascii="Times New Roman" w:hAnsi="Times New Roman" w:cs="Times New Roman" w:eastAsia="Times New Roman" w:hint="default"/>
          <w:spacing w:val="-1"/>
        </w:rPr>
        <w:t>ATM</w:t>
      </w:r>
      <w:r>
        <w:rPr>
          <w:spacing w:val="-1"/>
        </w:rPr>
        <w:t>产品供应商，</w:t>
      </w:r>
      <w:r>
        <w:rPr>
          <w:spacing w:val="-70"/>
        </w:rPr>
        <w:t> </w:t>
      </w:r>
      <w:r>
        <w:rPr>
          <w:spacing w:val="-70"/>
        </w:rPr>
      </w:r>
      <w:r>
        <w:rPr/>
        <w:t>进一步扩大市场份额，提升公司品牌知名度，为公司的长期发展战略的实现奠定了坚实的基础。</w:t>
      </w:r>
      <w:r>
        <w:rPr>
          <w:spacing w:val="-18"/>
        </w:rPr>
        <w:t> </w:t>
      </w:r>
      <w:r>
        <w:rPr>
          <w:rFonts w:ascii="Times New Roman" w:hAnsi="Times New Roman" w:cs="Times New Roman" w:eastAsia="Times New Roman" w:hint="default"/>
        </w:rPr>
        <w:t>2014</w:t>
      </w:r>
      <w:r>
        <w:rPr/>
        <w:t>年度公司实现主营业 务收入</w:t>
      </w:r>
      <w:r>
        <w:rPr>
          <w:rFonts w:ascii="Times New Roman" w:hAnsi="Times New Roman" w:cs="Times New Roman" w:eastAsia="Times New Roman" w:hint="default"/>
        </w:rPr>
        <w:t>96,016.69</w:t>
      </w:r>
      <w:r>
        <w:rPr/>
        <w:t>万元，比上年同期增长</w:t>
      </w:r>
      <w:r>
        <w:rPr>
          <w:rFonts w:ascii="Times New Roman" w:hAnsi="Times New Roman" w:cs="Times New Roman" w:eastAsia="Times New Roman" w:hint="default"/>
        </w:rPr>
        <w:t>14.43%</w:t>
      </w:r>
      <w:r>
        <w:rPr/>
        <w:t>，其中实现</w:t>
      </w:r>
      <w:r>
        <w:rPr>
          <w:rFonts w:ascii="Times New Roman" w:hAnsi="Times New Roman" w:cs="Times New Roman" w:eastAsia="Times New Roman" w:hint="default"/>
        </w:rPr>
        <w:t>ATM</w:t>
      </w:r>
      <w:r>
        <w:rPr/>
        <w:t>销售收入</w:t>
      </w:r>
      <w:r>
        <w:rPr>
          <w:rFonts w:ascii="Times New Roman" w:hAnsi="Times New Roman" w:cs="Times New Roman" w:eastAsia="Times New Roman" w:hint="default"/>
        </w:rPr>
        <w:t>59,663.03</w:t>
      </w:r>
      <w:r>
        <w:rPr/>
        <w:t>万元，比上年同期增长</w:t>
      </w:r>
      <w:r>
        <w:rPr>
          <w:rFonts w:ascii="Times New Roman" w:hAnsi="Times New Roman" w:cs="Times New Roman" w:eastAsia="Times New Roman" w:hint="default"/>
        </w:rPr>
        <w:t>21.68%</w:t>
      </w:r>
      <w:r>
        <w:rPr/>
        <w:t>，主要原因 </w:t>
      </w:r>
      <w:r>
        <w:rPr>
          <w:spacing w:val="-3"/>
        </w:rPr>
        <w:t>是公司加大了市场开拓力度，中国建设银行股份有限公司、山西农信等客户销量增长所致。实现</w:t>
      </w:r>
      <w:r>
        <w:rPr>
          <w:rFonts w:ascii="Times New Roman" w:hAnsi="Times New Roman" w:cs="Times New Roman" w:eastAsia="Times New Roman" w:hint="default"/>
          <w:spacing w:val="-3"/>
        </w:rPr>
        <w:t>ATM</w:t>
      </w:r>
      <w:r>
        <w:rPr>
          <w:spacing w:val="-3"/>
        </w:rPr>
        <w:t>融资租赁收入</w:t>
      </w:r>
      <w:r>
        <w:rPr>
          <w:rFonts w:ascii="Times New Roman" w:hAnsi="Times New Roman" w:cs="Times New Roman" w:eastAsia="Times New Roman" w:hint="default"/>
          <w:spacing w:val="-3"/>
        </w:rPr>
        <w:t>16,985.22</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t>万元，比上年同期增长</w:t>
      </w:r>
      <w:r>
        <w:rPr>
          <w:rFonts w:ascii="Times New Roman" w:hAnsi="Times New Roman" w:cs="Times New Roman" w:eastAsia="Times New Roman" w:hint="default"/>
        </w:rPr>
        <w:t>14.07%</w:t>
      </w:r>
      <w:r>
        <w:rPr/>
        <w:t>，主要原因是公司加大对运营业务的投入，重庆银行，河南农信，广州邮政等客户融资租赁 设备大幅增长所致。实现</w:t>
      </w:r>
      <w:r>
        <w:rPr>
          <w:rFonts w:ascii="Times New Roman" w:hAnsi="Times New Roman" w:cs="Times New Roman" w:eastAsia="Times New Roman" w:hint="default"/>
        </w:rPr>
        <w:t>ATM</w:t>
      </w:r>
      <w:r>
        <w:rPr/>
        <w:t>技术、金融服务收入</w:t>
      </w:r>
      <w:r>
        <w:rPr>
          <w:rFonts w:ascii="Times New Roman" w:hAnsi="Times New Roman" w:cs="Times New Roman" w:eastAsia="Times New Roman" w:hint="default"/>
        </w:rPr>
        <w:t>6,121.81</w:t>
      </w:r>
      <w:r>
        <w:rPr/>
        <w:t>万元，比上年同期增长</w:t>
      </w:r>
      <w:r>
        <w:rPr>
          <w:rFonts w:ascii="Times New Roman" w:hAnsi="Times New Roman" w:cs="Times New Roman" w:eastAsia="Times New Roman" w:hint="default"/>
        </w:rPr>
        <w:t>51.51%</w:t>
      </w:r>
      <w:r>
        <w:rPr/>
        <w:t>，主要原因是随着公司产品销售量 逐年增长，带动售后服务收入增长所致。</w:t>
      </w:r>
    </w:p>
    <w:p>
      <w:pPr>
        <w:pStyle w:val="BodyText"/>
        <w:spacing w:line="240" w:lineRule="auto" w:before="31"/>
        <w:ind w:left="424" w:right="94"/>
        <w:jc w:val="left"/>
      </w:pPr>
      <w:r>
        <w:rPr/>
        <w:t>行业分类</w:t>
      </w:r>
    </w:p>
    <w:p>
      <w:pPr>
        <w:pStyle w:val="BodyText"/>
        <w:spacing w:line="240" w:lineRule="auto" w:before="76"/>
        <w:ind w:left="0" w:right="558"/>
        <w:jc w:val="right"/>
      </w:pPr>
      <w:r>
        <w:rPr/>
        <w:t>单位：元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59"/>
        <w:gridCol w:w="1136"/>
        <w:gridCol w:w="2976"/>
        <w:gridCol w:w="2890"/>
        <w:gridCol w:w="1080"/>
      </w:tblGrid>
      <w:tr>
        <w:trPr>
          <w:trHeight w:val="329" w:hRule="exact"/>
        </w:trPr>
        <w:tc>
          <w:tcPr>
            <w:tcW w:w="1559" w:type="dxa"/>
            <w:tcBorders>
              <w:top w:val="single" w:sz="4" w:space="0" w:color="000000"/>
              <w:left w:val="single" w:sz="4" w:space="0" w:color="000000"/>
              <w:bottom w:val="single" w:sz="6" w:space="0" w:color="000000"/>
              <w:right w:val="single" w:sz="6" w:space="0" w:color="000000"/>
            </w:tcBorders>
            <w:shd w:val="clear" w:color="auto" w:fill="D2D2D2"/>
          </w:tcPr>
          <w:p>
            <w:pPr>
              <w:pStyle w:val="TableParagraph"/>
              <w:spacing w:line="240" w:lineRule="auto" w:before="20"/>
              <w:ind w:left="416"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136" w:type="dxa"/>
            <w:tcBorders>
              <w:top w:val="single" w:sz="4"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76" w:type="dxa"/>
            <w:tcBorders>
              <w:top w:val="single" w:sz="4"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2890" w:type="dxa"/>
            <w:tcBorders>
              <w:top w:val="single" w:sz="4"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1080" w:type="dxa"/>
            <w:tcBorders>
              <w:top w:val="single" w:sz="4"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3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40"/>
        </w:sectPr>
      </w:pPr>
    </w:p>
    <w:p>
      <w:pPr>
        <w:spacing w:line="240" w:lineRule="auto" w:before="2"/>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60"/>
        <w:gridCol w:w="1136"/>
        <w:gridCol w:w="1274"/>
        <w:gridCol w:w="1702"/>
        <w:gridCol w:w="266"/>
        <w:gridCol w:w="1008"/>
        <w:gridCol w:w="1616"/>
        <w:gridCol w:w="1080"/>
      </w:tblGrid>
      <w:tr>
        <w:trPr>
          <w:trHeight w:val="338" w:hRule="exact"/>
        </w:trPr>
        <w:tc>
          <w:tcPr>
            <w:tcW w:w="1560" w:type="dxa"/>
            <w:tcBorders>
              <w:top w:val="nil" w:sz="6" w:space="0" w:color="auto"/>
              <w:left w:val="single" w:sz="4" w:space="0" w:color="000000"/>
              <w:bottom w:val="single" w:sz="6" w:space="0" w:color="000000"/>
              <w:right w:val="single" w:sz="6" w:space="0" w:color="000000"/>
            </w:tcBorders>
            <w:shd w:val="clear" w:color="auto" w:fill="D2D2D2"/>
          </w:tcPr>
          <w:p>
            <w:pPr/>
          </w:p>
        </w:tc>
        <w:tc>
          <w:tcPr>
            <w:tcW w:w="1136" w:type="dxa"/>
            <w:tcBorders>
              <w:top w:val="nil" w:sz="6" w:space="0" w:color="auto"/>
              <w:left w:val="single" w:sz="6" w:space="0" w:color="000000"/>
              <w:bottom w:val="single" w:sz="6" w:space="0" w:color="000000"/>
              <w:right w:val="single" w:sz="6" w:space="0" w:color="000000"/>
            </w:tcBorders>
            <w:shd w:val="clear" w:color="auto" w:fill="D2D2D2"/>
          </w:tcPr>
          <w:p>
            <w:pPr/>
          </w:p>
        </w:tc>
        <w:tc>
          <w:tcPr>
            <w:tcW w:w="1274" w:type="dxa"/>
            <w:tcBorders>
              <w:top w:val="nil" w:sz="6" w:space="0" w:color="auto"/>
              <w:left w:val="single" w:sz="6" w:space="0" w:color="000000"/>
              <w:bottom w:val="single" w:sz="6" w:space="0" w:color="000000"/>
              <w:right w:val="single" w:sz="6" w:space="0" w:color="000000"/>
            </w:tcBorders>
            <w:shd w:val="clear" w:color="auto" w:fill="D2D2D2"/>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02" w:type="dxa"/>
            <w:tcBorders>
              <w:top w:val="nil" w:sz="6" w:space="0" w:color="auto"/>
              <w:left w:val="single" w:sz="6" w:space="0" w:color="000000"/>
              <w:bottom w:val="single" w:sz="6" w:space="0" w:color="000000"/>
              <w:right w:val="single" w:sz="6" w:space="0" w:color="000000"/>
            </w:tcBorders>
            <w:shd w:val="clear" w:color="auto" w:fill="D2D2D2"/>
          </w:tcPr>
          <w:p>
            <w:pPr>
              <w:pStyle w:val="TableParagraph"/>
              <w:spacing w:line="240" w:lineRule="auto" w:before="17"/>
              <w:ind w:right="90"/>
              <w:jc w:val="center"/>
              <w:rPr>
                <w:rFonts w:ascii="Times New Roman" w:hAnsi="Times New Roman" w:cs="Times New Roman" w:eastAsia="Times New Roman" w:hint="default"/>
                <w:sz w:val="18"/>
                <w:szCs w:val="18"/>
              </w:rPr>
            </w:pPr>
            <w:r>
              <w:rPr>
                <w:rFonts w:ascii="宋体" w:hAnsi="宋体" w:cs="宋体" w:eastAsia="宋体" w:hint="default"/>
                <w:sz w:val="18"/>
                <w:szCs w:val="18"/>
              </w:rPr>
              <w:t>占营业收入比重（</w:t>
            </w:r>
            <w:r>
              <w:rPr>
                <w:rFonts w:ascii="Times New Roman" w:hAnsi="Times New Roman" w:cs="Times New Roman" w:eastAsia="Times New Roman" w:hint="default"/>
                <w:sz w:val="18"/>
                <w:szCs w:val="18"/>
              </w:rPr>
              <w:t>%</w:t>
            </w:r>
          </w:p>
        </w:tc>
        <w:tc>
          <w:tcPr>
            <w:tcW w:w="266" w:type="dxa"/>
            <w:tcBorders>
              <w:top w:val="nil" w:sz="6" w:space="0" w:color="auto"/>
              <w:left w:val="single" w:sz="6" w:space="0" w:color="000000"/>
              <w:bottom w:val="single" w:sz="6" w:space="0" w:color="000000"/>
              <w:right w:val="nil" w:sz="6" w:space="0" w:color="auto"/>
            </w:tcBorders>
            <w:shd w:val="clear" w:color="auto" w:fill="D2D2D2"/>
          </w:tcPr>
          <w:p>
            <w:pPr/>
          </w:p>
        </w:tc>
        <w:tc>
          <w:tcPr>
            <w:tcW w:w="1008" w:type="dxa"/>
            <w:tcBorders>
              <w:top w:val="nil" w:sz="6" w:space="0" w:color="auto"/>
              <w:left w:val="nil" w:sz="6" w:space="0" w:color="auto"/>
              <w:bottom w:val="single" w:sz="6" w:space="0" w:color="000000"/>
              <w:right w:val="single" w:sz="6" w:space="0" w:color="000000"/>
            </w:tcBorders>
            <w:shd w:val="clear" w:color="auto" w:fill="D2D2D2"/>
          </w:tcPr>
          <w:p>
            <w:pPr>
              <w:pStyle w:val="TableParagraph"/>
              <w:spacing w:line="240" w:lineRule="auto" w:before="17"/>
              <w:ind w:left="18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616" w:type="dxa"/>
            <w:tcBorders>
              <w:top w:val="nil" w:sz="6" w:space="0" w:color="auto"/>
              <w:left w:val="single" w:sz="6" w:space="0" w:color="000000"/>
              <w:bottom w:val="single" w:sz="6" w:space="0" w:color="000000"/>
              <w:right w:val="single" w:sz="6" w:space="0" w:color="000000"/>
            </w:tcBorders>
            <w:shd w:val="clear" w:color="auto" w:fill="D2D2D2"/>
          </w:tcPr>
          <w:p>
            <w:pPr>
              <w:pStyle w:val="TableParagraph"/>
              <w:spacing w:line="240" w:lineRule="auto" w:before="17"/>
              <w:ind w:right="85"/>
              <w:jc w:val="center"/>
              <w:rPr>
                <w:rFonts w:ascii="Times New Roman" w:hAnsi="Times New Roman" w:cs="Times New Roman" w:eastAsia="Times New Roman" w:hint="default"/>
                <w:sz w:val="18"/>
                <w:szCs w:val="18"/>
              </w:rPr>
            </w:pPr>
            <w:r>
              <w:rPr>
                <w:rFonts w:ascii="宋体" w:hAnsi="宋体" w:cs="宋体" w:eastAsia="宋体" w:hint="default"/>
                <w:sz w:val="18"/>
                <w:szCs w:val="18"/>
              </w:rPr>
              <w:t>占营业收入比</w:t>
            </w:r>
            <w:r>
              <w:rPr>
                <w:rFonts w:ascii="宋体" w:hAnsi="宋体" w:cs="宋体" w:eastAsia="宋体" w:hint="default"/>
                <w:spacing w:val="-87"/>
                <w:sz w:val="18"/>
                <w:szCs w:val="18"/>
              </w:rPr>
              <w:t>重</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tc>
        <w:tc>
          <w:tcPr>
            <w:tcW w:w="1080"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339" w:hRule="exact"/>
        </w:trPr>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146" w:right="0"/>
              <w:jc w:val="left"/>
              <w:rPr>
                <w:rFonts w:ascii="宋体" w:hAnsi="宋体" w:cs="宋体" w:eastAsia="宋体" w:hint="default"/>
                <w:sz w:val="18"/>
                <w:szCs w:val="18"/>
              </w:rPr>
            </w:pPr>
            <w:r>
              <w:rPr>
                <w:rFonts w:ascii="宋体" w:hAnsi="宋体" w:cs="宋体" w:eastAsia="宋体" w:hint="default"/>
                <w:sz w:val="18"/>
                <w:szCs w:val="18"/>
              </w:rPr>
              <w:t>专用设备制造业</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0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31" w:right="0"/>
              <w:jc w:val="left"/>
              <w:rPr>
                <w:rFonts w:ascii="Times New Roman" w:hAnsi="Times New Roman" w:cs="Times New Roman" w:eastAsia="Times New Roman" w:hint="default"/>
                <w:sz w:val="18"/>
                <w:szCs w:val="18"/>
              </w:rPr>
            </w:pPr>
            <w:r>
              <w:rPr>
                <w:rFonts w:ascii="Times New Roman"/>
                <w:sz w:val="18"/>
              </w:rPr>
              <w:t>960,166,932.01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
              <w:jc w:val="center"/>
              <w:rPr>
                <w:rFonts w:ascii="Times New Roman" w:hAnsi="Times New Roman" w:cs="Times New Roman" w:eastAsia="Times New Roman" w:hint="default"/>
                <w:sz w:val="18"/>
                <w:szCs w:val="18"/>
              </w:rPr>
            </w:pPr>
            <w:r>
              <w:rPr>
                <w:rFonts w:ascii="Times New Roman"/>
                <w:sz w:val="18"/>
              </w:rPr>
              <w:t>100.00%</w:t>
            </w:r>
          </w:p>
        </w:tc>
        <w:tc>
          <w:tcPr>
            <w:tcW w:w="12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32" w:right="0"/>
              <w:jc w:val="left"/>
              <w:rPr>
                <w:rFonts w:ascii="Times New Roman" w:hAnsi="Times New Roman" w:cs="Times New Roman" w:eastAsia="Times New Roman" w:hint="default"/>
                <w:sz w:val="18"/>
                <w:szCs w:val="18"/>
              </w:rPr>
            </w:pPr>
            <w:r>
              <w:rPr>
                <w:rFonts w:ascii="Times New Roman"/>
                <w:sz w:val="18"/>
              </w:rPr>
              <w:t>839,083,686.73</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100.00%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79" w:right="0"/>
              <w:jc w:val="left"/>
              <w:rPr>
                <w:rFonts w:ascii="Times New Roman" w:hAnsi="Times New Roman" w:cs="Times New Roman" w:eastAsia="Times New Roman" w:hint="default"/>
                <w:sz w:val="18"/>
                <w:szCs w:val="18"/>
              </w:rPr>
            </w:pPr>
            <w:r>
              <w:rPr>
                <w:rFonts w:ascii="Times New Roman"/>
                <w:sz w:val="18"/>
              </w:rPr>
              <w:t>14.43%%</w:t>
            </w:r>
          </w:p>
        </w:tc>
      </w:tr>
    </w:tbl>
    <w:p>
      <w:pPr>
        <w:pStyle w:val="BodyText"/>
        <w:spacing w:line="240" w:lineRule="auto" w:before="8"/>
        <w:ind w:right="146"/>
        <w:jc w:val="left"/>
      </w:pPr>
      <w:r>
        <w:rPr/>
        <w:pict>
          <v:shape style="position:absolute;margin-left:335.109985pt;margin-top:-33.748253pt;width:68.55pt;height:15.6pt;mso-position-horizontal-relative:page;mso-position-vertical-relative:paragraph;z-index:-750472" type="#_x0000_t202" filled="false" stroked="false">
            <v:textbox inset="0,0,0,0">
              <w:txbxContent>
                <w:p>
                  <w:pPr>
                    <w:pStyle w:val="BodyText"/>
                    <w:spacing w:line="240" w:lineRule="auto" w:before="8"/>
                    <w:ind w:left="0" w:right="0"/>
                    <w:jc w:val="left"/>
                  </w:pPr>
                  <w:r>
                    <w:rPr/>
                    <w:t>）</w:t>
                  </w:r>
                </w:p>
              </w:txbxContent>
            </v:textbox>
            <w10:wrap type="none"/>
          </v:shape>
        </w:pict>
      </w:r>
      <w:r>
        <w:rPr/>
        <w:pict>
          <v:shape style="position:absolute;margin-left:479.73999pt;margin-top:-34.228252pt;width:58.7pt;height:16.6pt;mso-position-horizontal-relative:page;mso-position-vertical-relative:paragraph;z-index:-750448" type="#_x0000_t202" filled="false" stroked="false">
            <v:textbox inset="0,0,0,0">
              <w:txbxContent>
                <w:p>
                  <w:pPr>
                    <w:pStyle w:val="BodyText"/>
                    <w:spacing w:line="240" w:lineRule="auto" w:before="17"/>
                    <w:ind w:left="0" w:right="0"/>
                    <w:jc w:val="left"/>
                  </w:pPr>
                  <w:r>
                    <w:rPr/>
                    <w:t>）</w:t>
                  </w:r>
                </w:p>
              </w:txbxContent>
            </v:textbox>
            <w10:wrap type="none"/>
          </v:shape>
        </w:pict>
      </w:r>
      <w:r>
        <w:rPr/>
        <w:t>产品分类</w:t>
      </w:r>
    </w:p>
    <w:p>
      <w:pPr>
        <w:pStyle w:val="BodyText"/>
        <w:spacing w:line="240" w:lineRule="auto" w:before="76"/>
        <w:ind w:left="0" w:right="338"/>
        <w:jc w:val="right"/>
      </w:pPr>
      <w:r>
        <w:rPr/>
        <w:pict>
          <v:shape style="position:absolute;margin-left:335.109985pt;margin-top:36.871712pt;width:68.55pt;height:15.6pt;mso-position-horizontal-relative:page;mso-position-vertical-relative:paragraph;z-index:-750424" type="#_x0000_t202" filled="false" stroked="false">
            <v:textbox inset="0,0,0,0">
              <w:txbxContent>
                <w:p>
                  <w:pPr>
                    <w:pStyle w:val="BodyText"/>
                    <w:spacing w:line="240" w:lineRule="auto" w:before="8"/>
                    <w:ind w:left="0" w:right="0"/>
                    <w:jc w:val="left"/>
                  </w:pPr>
                  <w:r>
                    <w:rPr/>
                    <w:t>）</w:t>
                  </w:r>
                </w:p>
              </w:txbxContent>
            </v:textbox>
            <w10:wrap type="none"/>
          </v:shape>
        </w:pict>
      </w:r>
      <w:r>
        <w:rPr/>
        <w:t>单位：元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702"/>
        <w:gridCol w:w="994"/>
        <w:gridCol w:w="1274"/>
        <w:gridCol w:w="1702"/>
        <w:gridCol w:w="1274"/>
        <w:gridCol w:w="1616"/>
        <w:gridCol w:w="1080"/>
      </w:tblGrid>
      <w:tr>
        <w:trPr>
          <w:trHeight w:val="346" w:hRule="exact"/>
        </w:trPr>
        <w:tc>
          <w:tcPr>
            <w:tcW w:w="1702" w:type="dxa"/>
            <w:vMerge w:val="restart"/>
            <w:tcBorders>
              <w:top w:val="single" w:sz="4" w:space="0" w:color="000000"/>
              <w:left w:val="single" w:sz="4"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994" w:type="dxa"/>
            <w:vMerge w:val="restart"/>
            <w:tcBorders>
              <w:top w:val="single" w:sz="4"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976" w:type="dxa"/>
            <w:gridSpan w:val="2"/>
            <w:tcBorders>
              <w:top w:val="single" w:sz="4"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2890" w:type="dxa"/>
            <w:gridSpan w:val="2"/>
            <w:tcBorders>
              <w:top w:val="single" w:sz="4"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1080" w:type="dxa"/>
            <w:vMerge w:val="restart"/>
            <w:tcBorders>
              <w:top w:val="single" w:sz="4"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09" w:lineRule="exact"/>
              <w:ind w:left="3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p>
            <w:pPr>
              <w:pStyle w:val="TableParagraph"/>
              <w:spacing w:line="195" w:lineRule="exact"/>
              <w:ind w:left="-109"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36" w:hRule="exact"/>
        </w:trPr>
        <w:tc>
          <w:tcPr>
            <w:tcW w:w="1702" w:type="dxa"/>
            <w:vMerge/>
            <w:tcBorders>
              <w:left w:val="single" w:sz="4" w:space="0" w:color="000000"/>
              <w:bottom w:val="single" w:sz="6" w:space="0" w:color="000000"/>
              <w:right w:val="single" w:sz="6" w:space="0" w:color="000000"/>
            </w:tcBorders>
            <w:shd w:val="clear" w:color="auto" w:fill="D2D2D2"/>
          </w:tcPr>
          <w:p>
            <w:pPr/>
          </w:p>
        </w:tc>
        <w:tc>
          <w:tcPr>
            <w:tcW w:w="994" w:type="dxa"/>
            <w:vMerge/>
            <w:tcBorders>
              <w:left w:val="single" w:sz="6" w:space="0" w:color="000000"/>
              <w:bottom w:val="single" w:sz="6" w:space="0" w:color="000000"/>
              <w:right w:val="single" w:sz="6" w:space="0" w:color="000000"/>
            </w:tcBorders>
            <w:shd w:val="clear" w:color="auto" w:fill="D2D2D2"/>
          </w:tcPr>
          <w:p>
            <w:pPr/>
          </w:p>
        </w:tc>
        <w:tc>
          <w:tcPr>
            <w:tcW w:w="12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
              <w:ind w:right="90"/>
              <w:jc w:val="center"/>
              <w:rPr>
                <w:rFonts w:ascii="Times New Roman" w:hAnsi="Times New Roman" w:cs="Times New Roman" w:eastAsia="Times New Roman" w:hint="default"/>
                <w:sz w:val="18"/>
                <w:szCs w:val="18"/>
              </w:rPr>
            </w:pPr>
            <w:r>
              <w:rPr>
                <w:rFonts w:ascii="宋体" w:hAnsi="宋体" w:cs="宋体" w:eastAsia="宋体" w:hint="default"/>
                <w:sz w:val="18"/>
                <w:szCs w:val="18"/>
              </w:rPr>
              <w:t>占营业收入比重（</w:t>
            </w:r>
            <w:r>
              <w:rPr>
                <w:rFonts w:ascii="Times New Roman" w:hAnsi="Times New Roman" w:cs="Times New Roman" w:eastAsia="Times New Roman" w:hint="default"/>
                <w:sz w:val="18"/>
                <w:szCs w:val="18"/>
              </w:rPr>
              <w:t>%</w:t>
            </w:r>
          </w:p>
        </w:tc>
        <w:tc>
          <w:tcPr>
            <w:tcW w:w="12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
              <w:ind w:right="85"/>
              <w:jc w:val="center"/>
              <w:rPr>
                <w:rFonts w:ascii="Times New Roman" w:hAnsi="Times New Roman" w:cs="Times New Roman" w:eastAsia="Times New Roman" w:hint="default"/>
                <w:sz w:val="18"/>
                <w:szCs w:val="18"/>
              </w:rPr>
            </w:pPr>
            <w:r>
              <w:rPr>
                <w:rFonts w:ascii="宋体" w:hAnsi="宋体" w:cs="宋体" w:eastAsia="宋体" w:hint="default"/>
                <w:sz w:val="18"/>
                <w:szCs w:val="18"/>
              </w:rPr>
              <w:t>占营业收入比</w:t>
            </w:r>
            <w:r>
              <w:rPr>
                <w:rFonts w:ascii="宋体" w:hAnsi="宋体" w:cs="宋体" w:eastAsia="宋体" w:hint="default"/>
                <w:spacing w:val="-87"/>
                <w:sz w:val="18"/>
                <w:szCs w:val="18"/>
              </w:rPr>
              <w:t>重</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tc>
        <w:tc>
          <w:tcPr>
            <w:tcW w:w="1080" w:type="dxa"/>
            <w:vMerge/>
            <w:tcBorders>
              <w:left w:val="single" w:sz="6" w:space="0" w:color="000000"/>
              <w:bottom w:val="single" w:sz="6" w:space="0" w:color="000000"/>
              <w:right w:val="single" w:sz="6" w:space="0" w:color="000000"/>
            </w:tcBorders>
            <w:shd w:val="clear" w:color="auto" w:fill="D2D2D2"/>
          </w:tcPr>
          <w:p>
            <w:pPr/>
          </w:p>
        </w:tc>
      </w:tr>
      <w:tr>
        <w:trPr>
          <w:trHeight w:val="418" w:hRule="exact"/>
        </w:trPr>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ATM</w:t>
            </w:r>
            <w:r>
              <w:rPr>
                <w:rFonts w:ascii="宋体" w:hAnsi="宋体" w:cs="宋体" w:eastAsia="宋体" w:hint="default"/>
                <w:sz w:val="18"/>
                <w:szCs w:val="18"/>
              </w:rPr>
              <w:t>产品销售</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596,630,347.35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62.14%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490,342,842.48</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58.44%</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21.68%</w:t>
            </w:r>
          </w:p>
        </w:tc>
      </w:tr>
      <w:tr>
        <w:trPr>
          <w:trHeight w:val="415" w:hRule="exact"/>
        </w:trPr>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ATM</w:t>
            </w:r>
            <w:r>
              <w:rPr>
                <w:rFonts w:ascii="宋体" w:hAnsi="宋体" w:cs="宋体" w:eastAsia="宋体" w:hint="default"/>
                <w:sz w:val="18"/>
                <w:szCs w:val="18"/>
              </w:rPr>
              <w:t>合作运营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132,466,288.90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13.80%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159,428,780.27</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19.00%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25" w:right="0"/>
              <w:jc w:val="left"/>
              <w:rPr>
                <w:rFonts w:ascii="Times New Roman" w:hAnsi="Times New Roman" w:cs="Times New Roman" w:eastAsia="Times New Roman" w:hint="default"/>
                <w:sz w:val="18"/>
                <w:szCs w:val="18"/>
              </w:rPr>
            </w:pPr>
            <w:r>
              <w:rPr>
                <w:rFonts w:ascii="Times New Roman"/>
                <w:sz w:val="18"/>
              </w:rPr>
              <w:t>-16.91%</w:t>
            </w:r>
          </w:p>
        </w:tc>
      </w:tr>
      <w:tr>
        <w:trPr>
          <w:trHeight w:val="418" w:hRule="exact"/>
        </w:trPr>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ATM</w:t>
            </w:r>
            <w:r>
              <w:rPr>
                <w:rFonts w:ascii="宋体" w:hAnsi="宋体" w:cs="宋体" w:eastAsia="宋体" w:hint="default"/>
                <w:sz w:val="18"/>
                <w:szCs w:val="18"/>
              </w:rPr>
              <w:t>融资租赁</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0"/>
              <w:jc w:val="right"/>
              <w:rPr>
                <w:rFonts w:ascii="Times New Roman" w:hAnsi="Times New Roman" w:cs="Times New Roman" w:eastAsia="Times New Roman" w:hint="default"/>
                <w:sz w:val="18"/>
                <w:szCs w:val="18"/>
              </w:rPr>
            </w:pPr>
            <w:r>
              <w:rPr>
                <w:rFonts w:ascii="Times New Roman"/>
                <w:spacing w:val="-1"/>
                <w:sz w:val="18"/>
              </w:rPr>
              <w:t>169,852,176.47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17.69%</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148,906,639.87</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17.75%</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254" w:right="0"/>
              <w:jc w:val="left"/>
              <w:rPr>
                <w:rFonts w:ascii="Times New Roman" w:hAnsi="Times New Roman" w:cs="Times New Roman" w:eastAsia="Times New Roman" w:hint="default"/>
                <w:sz w:val="18"/>
                <w:szCs w:val="18"/>
              </w:rPr>
            </w:pPr>
            <w:r>
              <w:rPr>
                <w:rFonts w:ascii="Times New Roman"/>
                <w:sz w:val="18"/>
              </w:rPr>
              <w:t>14.07%</w:t>
            </w:r>
          </w:p>
        </w:tc>
      </w:tr>
      <w:tr>
        <w:trPr>
          <w:trHeight w:val="418" w:hRule="exact"/>
        </w:trPr>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ATM</w:t>
            </w:r>
            <w:r>
              <w:rPr>
                <w:rFonts w:ascii="宋体" w:hAnsi="宋体" w:cs="宋体" w:eastAsia="宋体" w:hint="default"/>
                <w:sz w:val="18"/>
                <w:szCs w:val="18"/>
              </w:rPr>
              <w:t>技术、金融服务</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61,218,119.29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6.37%</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40,405,424.11</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4.81%</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51.51%</w:t>
            </w:r>
          </w:p>
        </w:tc>
      </w:tr>
    </w:tbl>
    <w:p>
      <w:pPr>
        <w:pStyle w:val="BodyText"/>
        <w:spacing w:line="240" w:lineRule="auto" w:before="49"/>
        <w:ind w:right="146"/>
        <w:jc w:val="left"/>
      </w:pPr>
      <w:r>
        <w:rPr/>
        <w:t>公司实物销售收入是否大于劳务收入</w:t>
      </w:r>
    </w:p>
    <w:p>
      <w:pPr>
        <w:pStyle w:val="BodyText"/>
        <w:spacing w:line="240" w:lineRule="auto" w:before="115"/>
        <w:ind w:right="14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07"/>
        <w:gridCol w:w="1573"/>
        <w:gridCol w:w="1603"/>
        <w:gridCol w:w="1596"/>
        <w:gridCol w:w="1594"/>
        <w:gridCol w:w="1594"/>
      </w:tblGrid>
      <w:tr>
        <w:trPr>
          <w:trHeight w:val="403" w:hRule="exact"/>
        </w:trPr>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607" w:type="dxa"/>
            <w:vMerge w:val="restart"/>
            <w:tcBorders>
              <w:top w:val="single" w:sz="4" w:space="0" w:color="000000"/>
              <w:left w:val="single" w:sz="4" w:space="0" w:color="000000"/>
              <w:right w:val="single" w:sz="13" w:space="0" w:color="D2D2D2"/>
            </w:tcBorders>
            <w:shd w:val="clear" w:color="auto" w:fill="C7EB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专用设备制造业</w:t>
            </w:r>
          </w:p>
        </w:tc>
        <w:tc>
          <w:tcPr>
            <w:tcW w:w="1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3" w:type="dxa"/>
            <w:tcBorders>
              <w:top w:val="single" w:sz="4" w:space="0" w:color="000000"/>
              <w:left w:val="single" w:sz="10" w:space="0" w:color="D2D2D2"/>
              <w:bottom w:val="single" w:sz="4" w:space="0" w:color="000000"/>
              <w:right w:val="single" w:sz="4" w:space="0" w:color="000000"/>
            </w:tcBorders>
            <w:shd w:val="clear" w:color="auto" w:fill="C7EBCC"/>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7,789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6,346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22.74%</w:t>
            </w:r>
          </w:p>
        </w:tc>
      </w:tr>
      <w:tr>
        <w:trPr>
          <w:trHeight w:val="403" w:hRule="exact"/>
        </w:trPr>
        <w:tc>
          <w:tcPr>
            <w:tcW w:w="1607" w:type="dxa"/>
            <w:vMerge/>
            <w:tcBorders>
              <w:left w:val="single" w:sz="4" w:space="0" w:color="000000"/>
              <w:right w:val="single" w:sz="13" w:space="0" w:color="D2D2D2"/>
            </w:tcBorders>
            <w:shd w:val="clear" w:color="auto" w:fill="C7EBCC"/>
          </w:tcPr>
          <w:p>
            <w:pPr/>
          </w:p>
        </w:tc>
        <w:tc>
          <w:tcPr>
            <w:tcW w:w="1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3" w:type="dxa"/>
            <w:tcBorders>
              <w:top w:val="single" w:sz="4" w:space="0" w:color="000000"/>
              <w:left w:val="single" w:sz="10" w:space="0" w:color="D2D2D2"/>
              <w:bottom w:val="single" w:sz="4" w:space="0" w:color="000000"/>
              <w:right w:val="single" w:sz="4" w:space="0" w:color="000000"/>
            </w:tcBorders>
            <w:shd w:val="clear" w:color="auto" w:fill="C7EBCC"/>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8,398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5,288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58.81%</w:t>
            </w:r>
          </w:p>
        </w:tc>
      </w:tr>
      <w:tr>
        <w:trPr>
          <w:trHeight w:val="401" w:hRule="exact"/>
        </w:trPr>
        <w:tc>
          <w:tcPr>
            <w:tcW w:w="1607" w:type="dxa"/>
            <w:vMerge/>
            <w:tcBorders>
              <w:left w:val="single" w:sz="4" w:space="0" w:color="000000"/>
              <w:bottom w:val="single" w:sz="4" w:space="0" w:color="000000"/>
              <w:right w:val="single" w:sz="13" w:space="0" w:color="D2D2D2"/>
            </w:tcBorders>
            <w:shd w:val="clear" w:color="auto" w:fill="C7EBCC"/>
          </w:tcPr>
          <w:p>
            <w:pPr/>
          </w:p>
        </w:tc>
        <w:tc>
          <w:tcPr>
            <w:tcW w:w="1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3" w:type="dxa"/>
            <w:tcBorders>
              <w:top w:val="single" w:sz="4" w:space="0" w:color="000000"/>
              <w:left w:val="single" w:sz="10" w:space="0" w:color="D2D2D2"/>
              <w:bottom w:val="single" w:sz="4" w:space="0" w:color="000000"/>
              <w:right w:val="single" w:sz="4" w:space="0" w:color="000000"/>
            </w:tcBorders>
            <w:shd w:val="clear" w:color="auto" w:fill="C7EBCC"/>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2,349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3,208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-26.78%</w:t>
            </w:r>
          </w:p>
        </w:tc>
      </w:tr>
    </w:tbl>
    <w:p>
      <w:pPr>
        <w:pStyle w:val="BodyText"/>
        <w:spacing w:line="240" w:lineRule="auto" w:before="49"/>
        <w:ind w:right="0"/>
        <w:jc w:val="both"/>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240" w:lineRule="auto" w:before="103"/>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right="0"/>
        <w:jc w:val="both"/>
      </w:pPr>
      <w:r>
        <w:rPr/>
        <w:t>（</w:t>
      </w:r>
      <w:r>
        <w:rPr>
          <w:rFonts w:ascii="Times New Roman" w:hAnsi="Times New Roman" w:cs="Times New Roman" w:eastAsia="Times New Roman" w:hint="default"/>
        </w:rPr>
        <w:t>1</w:t>
      </w:r>
      <w:r>
        <w:rPr/>
        <w:t>）报告期内公司生产量较上年同期增长</w:t>
      </w:r>
      <w:r>
        <w:rPr>
          <w:rFonts w:ascii="Times New Roman" w:hAnsi="Times New Roman" w:cs="Times New Roman" w:eastAsia="Times New Roman" w:hint="default"/>
        </w:rPr>
        <w:t>58.81%</w:t>
      </w:r>
      <w:r>
        <w:rPr/>
        <w:t>，主要原因是本年度销售订单增加，导致生产量增加所致；</w:t>
      </w:r>
    </w:p>
    <w:p>
      <w:pPr>
        <w:pStyle w:val="BodyText"/>
        <w:spacing w:line="340" w:lineRule="auto" w:before="63"/>
        <w:ind w:right="2289"/>
        <w:jc w:val="left"/>
      </w:pPr>
      <w:r>
        <w:rPr/>
        <w:t>（</w:t>
      </w:r>
      <w:r>
        <w:rPr>
          <w:rFonts w:ascii="Times New Roman" w:hAnsi="Times New Roman" w:cs="Times New Roman" w:eastAsia="Times New Roman" w:hint="default"/>
        </w:rPr>
        <w:t>2</w:t>
      </w:r>
      <w:r>
        <w:rPr/>
        <w:t>）报告期内公司库存量较上年同期减少</w:t>
      </w:r>
      <w:r>
        <w:rPr>
          <w:rFonts w:ascii="Times New Roman" w:hAnsi="Times New Roman" w:cs="Times New Roman" w:eastAsia="Times New Roman" w:hint="default"/>
        </w:rPr>
        <w:t>26.78%</w:t>
      </w:r>
      <w:r>
        <w:rPr/>
        <w:t>，主要原因是跨期生产计划较上年减少所致； 公司重大的在手订单情况</w:t>
      </w:r>
    </w:p>
    <w:p>
      <w:pPr>
        <w:pStyle w:val="BodyText"/>
        <w:spacing w:line="338" w:lineRule="auto" w:before="42"/>
        <w:ind w:left="513" w:right="187"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报告期内，公司收到中信国际招标有限公司关于中国建设银行股份有限公司（以下简称“建设银行”）</w:t>
      </w:r>
      <w:r>
        <w:rPr>
          <w:rFonts w:ascii="Times New Roman" w:hAnsi="Times New Roman" w:cs="Times New Roman" w:eastAsia="Times New Roman" w:hint="default"/>
        </w:rPr>
        <w:t>2014-2015</w:t>
      </w:r>
      <w:r>
        <w:rPr/>
        <w:t>年度</w:t>
      </w:r>
    </w:p>
    <w:p>
      <w:pPr>
        <w:pStyle w:val="BodyText"/>
        <w:spacing w:line="230" w:lineRule="exact"/>
        <w:ind w:right="0"/>
        <w:jc w:val="both"/>
      </w:pPr>
      <w:r>
        <w:rPr>
          <w:rFonts w:ascii="Times New Roman" w:hAnsi="Times New Roman" w:cs="Times New Roman" w:eastAsia="Times New Roman" w:hint="default"/>
        </w:rPr>
        <w:t>ATM</w:t>
      </w:r>
      <w:r>
        <w:rPr/>
        <w:t>采购项目（招标编号</w:t>
      </w:r>
      <w:r>
        <w:rPr>
          <w:rFonts w:ascii="Times New Roman" w:hAnsi="Times New Roman" w:cs="Times New Roman" w:eastAsia="Times New Roman" w:hint="default"/>
        </w:rPr>
        <w:t>0733-147912525101</w:t>
      </w:r>
      <w:r>
        <w:rPr/>
        <w:t>）及中国建设银行股份有限公司</w:t>
      </w:r>
      <w:r>
        <w:rPr>
          <w:rFonts w:ascii="Times New Roman" w:hAnsi="Times New Roman" w:cs="Times New Roman" w:eastAsia="Times New Roman" w:hint="default"/>
        </w:rPr>
        <w:t>2014-2015</w:t>
      </w:r>
      <w:r>
        <w:rPr/>
        <w:t>年度一体机（国产）采购项目</w:t>
      </w:r>
      <w:r>
        <w:rPr>
          <w:rFonts w:ascii="Times New Roman" w:hAnsi="Times New Roman" w:cs="Times New Roman" w:eastAsia="Times New Roman" w:hint="default"/>
        </w:rPr>
        <w:t>(</w:t>
      </w:r>
      <w:r>
        <w:rPr/>
        <w:t>招标</w:t>
      </w:r>
    </w:p>
    <w:p>
      <w:pPr>
        <w:pStyle w:val="BodyText"/>
        <w:spacing w:line="300" w:lineRule="auto" w:before="63"/>
        <w:ind w:right="151"/>
        <w:jc w:val="both"/>
      </w:pPr>
      <w:r>
        <w:rPr/>
        <w:t>编号：</w:t>
      </w:r>
      <w:r>
        <w:rPr>
          <w:rFonts w:ascii="Times New Roman" w:hAnsi="Times New Roman" w:cs="Times New Roman" w:eastAsia="Times New Roman" w:hint="default"/>
        </w:rPr>
        <w:t>0733-147912525201)</w:t>
      </w:r>
      <w:r>
        <w:rPr/>
        <w:t>的《中标通知书》。根据建行采购量分析，保守预测中标金额</w:t>
      </w:r>
      <w:r>
        <w:rPr>
          <w:rFonts w:ascii="Times New Roman" w:hAnsi="Times New Roman" w:cs="Times New Roman" w:eastAsia="Times New Roman" w:hint="default"/>
        </w:rPr>
        <w:t>60,000</w:t>
      </w:r>
      <w:r>
        <w:rPr/>
        <w:t>万元以上，公司与建设银行 </w:t>
      </w:r>
      <w:r>
        <w:rPr>
          <w:spacing w:val="-2"/>
        </w:rPr>
        <w:t>签订的为框架合同，实际执行金额、设备型号、成交数量需在后续订单签署时通知。详见公司于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24</w:t>
      </w:r>
      <w:r>
        <w:rPr>
          <w:spacing w:val="-2"/>
        </w:rPr>
        <w:t>日在《证券时</w:t>
      </w:r>
      <w:r>
        <w:rPr>
          <w:spacing w:val="-61"/>
        </w:rPr>
        <w:t> </w:t>
      </w:r>
      <w:r>
        <w:rPr>
          <w:spacing w:val="-61"/>
        </w:rPr>
      </w:r>
      <w:r>
        <w:rPr>
          <w:spacing w:val="-1"/>
        </w:rPr>
        <w:t>报》、《中国证券报》、《上海证券报》及巨潮资讯网上刊登的</w:t>
      </w:r>
      <w:r>
        <w:rPr>
          <w:rFonts w:ascii="Times New Roman" w:hAnsi="Times New Roman" w:cs="Times New Roman" w:eastAsia="Times New Roman" w:hint="default"/>
          <w:spacing w:val="-1"/>
        </w:rPr>
        <w:t>2014-046</w:t>
      </w:r>
      <w:r>
        <w:rPr>
          <w:spacing w:val="-1"/>
        </w:rPr>
        <w:t>号《中标通知公告》，截至</w:t>
      </w:r>
      <w:r>
        <w:rPr>
          <w:rFonts w:ascii="Times New Roman" w:hAnsi="Times New Roman" w:cs="Times New Roman" w:eastAsia="Times New Roman" w:hint="default"/>
          <w:spacing w:val="-1"/>
        </w:rPr>
        <w:t>2014</w:t>
      </w:r>
      <w:r>
        <w:rPr>
          <w:spacing w:val="-1"/>
        </w:rPr>
        <w:t>年底公司收到了该</w:t>
      </w:r>
      <w:r>
        <w:rPr/>
        <w:t> 合同下的第一批采购订单，订单金额约</w:t>
      </w:r>
      <w:r>
        <w:rPr>
          <w:rFonts w:ascii="Times New Roman" w:hAnsi="Times New Roman" w:cs="Times New Roman" w:eastAsia="Times New Roman" w:hint="default"/>
        </w:rPr>
        <w:t>8,800</w:t>
      </w:r>
      <w:r>
        <w:rPr/>
        <w:t>万元。</w:t>
      </w:r>
    </w:p>
    <w:p>
      <w:pPr>
        <w:pStyle w:val="BodyText"/>
        <w:spacing w:line="300" w:lineRule="auto" w:before="53"/>
        <w:ind w:right="144" w:firstLine="360"/>
        <w:jc w:val="both"/>
      </w:pPr>
      <w:r>
        <w:rPr/>
        <w:t>由于公司与客户签订框架式销售合同主要集中在</w:t>
      </w:r>
      <w:r>
        <w:rPr>
          <w:rFonts w:ascii="Times New Roman" w:hAnsi="Times New Roman" w:cs="Times New Roman" w:eastAsia="Times New Roman" w:hint="default"/>
        </w:rPr>
        <w:t>2014</w:t>
      </w:r>
      <w:r>
        <w:rPr/>
        <w:t>年底，而会计核算实现销售收入的原则是以公司确认</w:t>
      </w:r>
      <w:r>
        <w:rPr>
          <w:rFonts w:ascii="Times New Roman" w:hAnsi="Times New Roman" w:cs="Times New Roman" w:eastAsia="Times New Roman" w:hint="default"/>
        </w:rPr>
        <w:t>ATM</w:t>
      </w:r>
      <w:r>
        <w:rPr/>
        <w:t>上线验</w:t>
      </w:r>
      <w:r>
        <w:rPr>
          <w:spacing w:val="2"/>
        </w:rPr>
        <w:t> </w:t>
      </w:r>
      <w:r>
        <w:rPr>
          <w:spacing w:val="-2"/>
        </w:rPr>
        <w:t>收为准，因此公司订单存在跨期确认收入的情况。截止</w:t>
      </w:r>
      <w:r>
        <w:rPr>
          <w:rFonts w:ascii="Times New Roman" w:hAnsi="Times New Roman" w:cs="Times New Roman" w:eastAsia="Times New Roman" w:hint="default"/>
          <w:spacing w:val="-2"/>
        </w:rPr>
        <w:t>2014</w:t>
      </w:r>
      <w:r>
        <w:rPr>
          <w:spacing w:val="-2"/>
        </w:rPr>
        <w:t>年底，结转到以后年度执行的包括中国建设银行、工商银行、邮</w:t>
      </w:r>
      <w:r>
        <w:rPr>
          <w:spacing w:val="-64"/>
        </w:rPr>
        <w:t> </w:t>
      </w:r>
      <w:r>
        <w:rPr>
          <w:spacing w:val="-64"/>
        </w:rPr>
      </w:r>
      <w:r>
        <w:rPr/>
        <w:t>政总局等客户下达的订单金额至少约</w:t>
      </w:r>
      <w:r>
        <w:rPr>
          <w:rFonts w:ascii="Times New Roman" w:hAnsi="Times New Roman" w:cs="Times New Roman" w:eastAsia="Times New Roman" w:hint="default"/>
        </w:rPr>
        <w:t>20,000</w:t>
      </w:r>
      <w:r>
        <w:rPr/>
        <w:t>万元。</w:t>
      </w:r>
    </w:p>
    <w:p>
      <w:pPr>
        <w:pStyle w:val="BodyText"/>
        <w:spacing w:line="240" w:lineRule="auto" w:before="53"/>
        <w:ind w:right="0"/>
        <w:jc w:val="both"/>
      </w:pPr>
      <w:r>
        <w:rPr/>
        <w:t>公司报告期内产品或服务发生重大变化或调整有关情况</w:t>
      </w:r>
    </w:p>
    <w:p>
      <w:pPr>
        <w:pStyle w:val="BodyText"/>
        <w:spacing w:line="340" w:lineRule="auto" w:before="115"/>
        <w:ind w:right="7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公司主要销售客户情况</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342,570,440.62</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35.26%</w:t>
            </w:r>
          </w:p>
        </w:tc>
      </w:tr>
    </w:tbl>
    <w:p>
      <w:pPr>
        <w:pStyle w:val="BodyText"/>
        <w:spacing w:line="240" w:lineRule="auto" w:before="49"/>
        <w:ind w:right="146"/>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pStyle w:val="BodyText"/>
        <w:spacing w:line="240" w:lineRule="auto" w:before="101"/>
        <w:ind w:right="14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shd w:val="clear" w:color="auto" w:fill="C7EBCC"/>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第一名客户</w:t>
            </w:r>
          </w:p>
        </w:tc>
        <w:tc>
          <w:tcPr>
            <w:tcW w:w="2321" w:type="dxa"/>
            <w:tcBorders>
              <w:top w:val="single" w:sz="4" w:space="0" w:color="000000"/>
              <w:left w:val="single" w:sz="13" w:space="0" w:color="C7EBCC"/>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88,979,116.36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9.16%</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shd w:val="clear" w:color="auto" w:fill="C7EBCC"/>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第二名客户</w:t>
            </w:r>
          </w:p>
        </w:tc>
        <w:tc>
          <w:tcPr>
            <w:tcW w:w="2321" w:type="dxa"/>
            <w:tcBorders>
              <w:top w:val="single" w:sz="4" w:space="0" w:color="000000"/>
              <w:left w:val="single" w:sz="13" w:space="0" w:color="C7EB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77,758,675.19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shd w:val="clear" w:color="auto" w:fill="C7EBCC"/>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第三名客户</w:t>
            </w:r>
          </w:p>
        </w:tc>
        <w:tc>
          <w:tcPr>
            <w:tcW w:w="2321" w:type="dxa"/>
            <w:tcBorders>
              <w:top w:val="single" w:sz="4" w:space="0" w:color="000000"/>
              <w:left w:val="single" w:sz="13" w:space="0" w:color="C7EBCC"/>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77,216,666.57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7.95%</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第四名客户</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51,620,589.18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5.31%</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shd w:val="clear" w:color="auto" w:fill="C7EB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第五名客户</w:t>
            </w:r>
          </w:p>
        </w:tc>
        <w:tc>
          <w:tcPr>
            <w:tcW w:w="2321" w:type="dxa"/>
            <w:tcBorders>
              <w:top w:val="single" w:sz="4" w:space="0" w:color="000000"/>
              <w:left w:val="single" w:sz="13" w:space="0" w:color="C7EBCC"/>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46,995,393.32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4.84%</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342,570,440.62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35.26%</w:t>
            </w:r>
          </w:p>
        </w:tc>
      </w:tr>
    </w:tbl>
    <w:p>
      <w:pPr>
        <w:spacing w:line="240" w:lineRule="auto" w:before="3"/>
        <w:rPr>
          <w:rFonts w:ascii="宋体" w:hAnsi="宋体" w:cs="宋体" w:eastAsia="宋体" w:hint="default"/>
          <w:sz w:val="19"/>
          <w:szCs w:val="19"/>
        </w:rPr>
      </w:pPr>
    </w:p>
    <w:p>
      <w:pPr>
        <w:pStyle w:val="Heading3"/>
        <w:spacing w:line="240" w:lineRule="auto" w:before="36"/>
        <w:ind w:right="146"/>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46"/>
        <w:jc w:val="left"/>
      </w:pPr>
      <w:r>
        <w:rPr/>
        <w:t>行业分类</w:t>
      </w:r>
    </w:p>
    <w:p>
      <w:pPr>
        <w:pStyle w:val="BodyText"/>
        <w:spacing w:line="240" w:lineRule="auto" w:before="118"/>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专用设备制造业</w:t>
            </w:r>
          </w:p>
        </w:tc>
        <w:tc>
          <w:tcPr>
            <w:tcW w:w="136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12" w:space="0" w:color="C7EBCC"/>
              <w:bottom w:val="single" w:sz="4" w:space="0" w:color="000000"/>
              <w:right w:val="single" w:sz="4" w:space="0" w:color="000000"/>
            </w:tcBorders>
          </w:tcPr>
          <w:p>
            <w:pPr>
              <w:pStyle w:val="TableParagraph"/>
              <w:spacing w:line="240" w:lineRule="auto" w:before="91"/>
              <w:ind w:left="197" w:right="0"/>
              <w:jc w:val="left"/>
              <w:rPr>
                <w:rFonts w:ascii="Times New Roman" w:hAnsi="Times New Roman" w:cs="Times New Roman" w:eastAsia="Times New Roman" w:hint="default"/>
                <w:sz w:val="18"/>
                <w:szCs w:val="18"/>
              </w:rPr>
            </w:pPr>
            <w:r>
              <w:rPr>
                <w:rFonts w:ascii="Times New Roman"/>
                <w:sz w:val="18"/>
              </w:rPr>
              <w:t>571,095,979.25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457,532,442.30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24.82%</w:t>
            </w:r>
          </w:p>
        </w:tc>
      </w:tr>
    </w:tbl>
    <w:p>
      <w:pPr>
        <w:pStyle w:val="BodyText"/>
        <w:spacing w:line="240" w:lineRule="auto" w:before="49"/>
        <w:ind w:right="146"/>
        <w:jc w:val="left"/>
      </w:pPr>
      <w:r>
        <w:rPr/>
        <w:t>产品分类</w:t>
      </w:r>
    </w:p>
    <w:p>
      <w:pPr>
        <w:pStyle w:val="BodyText"/>
        <w:spacing w:line="240" w:lineRule="auto" w:before="117"/>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1"/>
        <w:gridCol w:w="1024"/>
        <w:gridCol w:w="1379"/>
        <w:gridCol w:w="1366"/>
        <w:gridCol w:w="1368"/>
        <w:gridCol w:w="1366"/>
        <w:gridCol w:w="1368"/>
      </w:tblGrid>
      <w:tr>
        <w:trPr>
          <w:trHeight w:val="403" w:hRule="exact"/>
        </w:trPr>
        <w:tc>
          <w:tcPr>
            <w:tcW w:w="1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0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1024" w:type="dxa"/>
            <w:vMerge/>
            <w:tcBorders>
              <w:left w:val="single" w:sz="4" w:space="0" w:color="000000"/>
              <w:bottom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70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产品销售</w:t>
            </w:r>
          </w:p>
        </w:tc>
        <w:tc>
          <w:tcPr>
            <w:tcW w:w="102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79" w:type="dxa"/>
            <w:tcBorders>
              <w:top w:val="single" w:sz="4" w:space="0" w:color="000000"/>
              <w:left w:val="single" w:sz="12" w:space="0" w:color="C7EB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351,741,787.43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61.59%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277,773,876.38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26.63%</w:t>
            </w:r>
          </w:p>
        </w:tc>
      </w:tr>
      <w:tr>
        <w:trPr>
          <w:trHeight w:val="401" w:hRule="exact"/>
        </w:trPr>
        <w:tc>
          <w:tcPr>
            <w:tcW w:w="170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合作运营</w:t>
            </w:r>
          </w:p>
        </w:tc>
        <w:tc>
          <w:tcPr>
            <w:tcW w:w="102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79" w:type="dxa"/>
            <w:tcBorders>
              <w:top w:val="single" w:sz="4" w:space="0" w:color="000000"/>
              <w:left w:val="single" w:sz="12" w:space="0" w:color="C7EB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88,892,677.44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94,221,245.00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-5.66%</w:t>
            </w:r>
          </w:p>
        </w:tc>
      </w:tr>
      <w:tr>
        <w:trPr>
          <w:trHeight w:val="403" w:hRule="exact"/>
        </w:trPr>
        <w:tc>
          <w:tcPr>
            <w:tcW w:w="170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融资租赁</w:t>
            </w:r>
          </w:p>
        </w:tc>
        <w:tc>
          <w:tcPr>
            <w:tcW w:w="102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79" w:type="dxa"/>
            <w:tcBorders>
              <w:top w:val="single" w:sz="4" w:space="0" w:color="000000"/>
              <w:left w:val="single" w:sz="12" w:space="0" w:color="C7EB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113,042,328.76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77,093,248.93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46.63%</w:t>
            </w:r>
          </w:p>
        </w:tc>
      </w:tr>
      <w:tr>
        <w:trPr>
          <w:trHeight w:val="401" w:hRule="exact"/>
        </w:trPr>
        <w:tc>
          <w:tcPr>
            <w:tcW w:w="170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技术、金融服务</w:t>
            </w:r>
          </w:p>
        </w:tc>
        <w:tc>
          <w:tcPr>
            <w:tcW w:w="102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79" w:type="dxa"/>
            <w:tcBorders>
              <w:top w:val="single" w:sz="4" w:space="0" w:color="000000"/>
              <w:left w:val="single" w:sz="12" w:space="0" w:color="C7EB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17,419,185.62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8,444,071.99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106.29%</w:t>
            </w:r>
          </w:p>
        </w:tc>
      </w:tr>
    </w:tbl>
    <w:p>
      <w:pPr>
        <w:pStyle w:val="BodyText"/>
        <w:spacing w:line="360" w:lineRule="auto" w:before="49"/>
        <w:ind w:right="9054"/>
        <w:jc w:val="left"/>
      </w:pPr>
      <w:r>
        <w:rPr/>
        <w:t>说明 成本构成</w:t>
      </w:r>
    </w:p>
    <w:p>
      <w:pPr>
        <w:spacing w:line="240" w:lineRule="auto" w:before="9"/>
        <w:rPr>
          <w:rFonts w:ascii="宋体" w:hAnsi="宋体" w:cs="宋体" w:eastAsia="宋体" w:hint="default"/>
          <w:sz w:val="4"/>
          <w:szCs w:val="4"/>
        </w:rPr>
      </w:pPr>
    </w:p>
    <w:p>
      <w:pPr>
        <w:spacing w:line="1155" w:lineRule="exact"/>
        <w:ind w:left="153" w:right="0" w:firstLine="0"/>
        <w:rPr>
          <w:rFonts w:ascii="宋体" w:hAnsi="宋体" w:cs="宋体" w:eastAsia="宋体" w:hint="default"/>
          <w:sz w:val="20"/>
          <w:szCs w:val="20"/>
        </w:rPr>
      </w:pPr>
      <w:r>
        <w:rPr>
          <w:rFonts w:ascii="宋体" w:hAnsi="宋体" w:cs="宋体" w:eastAsia="宋体" w:hint="default"/>
          <w:position w:val="-22"/>
          <w:sz w:val="20"/>
          <w:szCs w:val="20"/>
        </w:rPr>
        <w:drawing>
          <wp:inline distT="0" distB="0" distL="0" distR="0">
            <wp:extent cx="5701521" cy="73342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2" cstate="print"/>
                    <a:stretch>
                      <a:fillRect/>
                    </a:stretch>
                  </pic:blipFill>
                  <pic:spPr>
                    <a:xfrm>
                      <a:off x="0" y="0"/>
                      <a:ext cx="5701521" cy="733425"/>
                    </a:xfrm>
                    <a:prstGeom prst="rect">
                      <a:avLst/>
                    </a:prstGeom>
                  </pic:spPr>
                </pic:pic>
              </a:graphicData>
            </a:graphic>
          </wp:inline>
        </w:drawing>
      </w:r>
      <w:r>
        <w:rPr>
          <w:rFonts w:ascii="宋体" w:hAnsi="宋体" w:cs="宋体" w:eastAsia="宋体" w:hint="default"/>
          <w:position w:val="-22"/>
          <w:sz w:val="20"/>
          <w:szCs w:val="20"/>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6"/>
          <w:szCs w:val="16"/>
        </w:rPr>
      </w:pPr>
    </w:p>
    <w:p>
      <w:pPr>
        <w:pStyle w:val="BodyText"/>
        <w:spacing w:line="240" w:lineRule="auto"/>
        <w:ind w:right="146"/>
        <w:jc w:val="left"/>
      </w:pPr>
      <w:r>
        <w:rPr/>
        <w:t>公司主要供应商情况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214,539,156.46</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49.66%</w:t>
            </w:r>
          </w:p>
        </w:tc>
      </w:tr>
    </w:tbl>
    <w:p>
      <w:pPr>
        <w:pStyle w:val="BodyText"/>
        <w:spacing w:line="240" w:lineRule="auto" w:before="49"/>
        <w:ind w:right="146"/>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pStyle w:val="BodyText"/>
        <w:spacing w:line="240" w:lineRule="auto" w:before="101"/>
        <w:ind w:right="14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24"/>
        <w:gridCol w:w="3156"/>
        <w:gridCol w:w="2333"/>
        <w:gridCol w:w="3145"/>
      </w:tblGrid>
      <w:tr>
        <w:trPr>
          <w:trHeight w:val="401" w:hRule="exact"/>
        </w:trPr>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序号</w:t>
            </w:r>
          </w:p>
        </w:tc>
        <w:tc>
          <w:tcPr>
            <w:tcW w:w="3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8"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1</w:t>
            </w:r>
          </w:p>
        </w:tc>
        <w:tc>
          <w:tcPr>
            <w:tcW w:w="3156" w:type="dxa"/>
            <w:tcBorders>
              <w:top w:val="single" w:sz="4" w:space="0" w:color="000000"/>
              <w:left w:val="single" w:sz="13" w:space="0" w:color="D2D2D2"/>
              <w:bottom w:val="single" w:sz="4" w:space="0" w:color="000000"/>
              <w:right w:val="single" w:sz="4" w:space="0" w:color="000000"/>
            </w:tcBorders>
            <w:shd w:val="clear" w:color="auto" w:fill="C7EBC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第一名供应商</w:t>
            </w:r>
          </w:p>
        </w:tc>
        <w:tc>
          <w:tcPr>
            <w:tcW w:w="2333" w:type="dxa"/>
            <w:tcBorders>
              <w:top w:val="single" w:sz="4" w:space="0" w:color="000000"/>
              <w:left w:val="single" w:sz="13" w:space="0" w:color="C7EBCC"/>
              <w:bottom w:val="single" w:sz="4" w:space="0" w:color="000000"/>
              <w:right w:val="single" w:sz="4" w:space="0" w:color="000000"/>
            </w:tcBorders>
          </w:tcPr>
          <w:p>
            <w:pPr>
              <w:pStyle w:val="TableParagraph"/>
              <w:spacing w:line="240" w:lineRule="auto" w:before="91"/>
              <w:ind w:left="1164" w:right="0"/>
              <w:jc w:val="left"/>
              <w:rPr>
                <w:rFonts w:ascii="Times New Roman" w:hAnsi="Times New Roman" w:cs="Times New Roman" w:eastAsia="Times New Roman" w:hint="default"/>
                <w:sz w:val="18"/>
                <w:szCs w:val="18"/>
              </w:rPr>
            </w:pPr>
            <w:r>
              <w:rPr>
                <w:rFonts w:ascii="Times New Roman"/>
                <w:sz w:val="18"/>
              </w:rPr>
              <w:t>132,317,508.34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30.62%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912"/>
        <w:gridCol w:w="3168"/>
        <w:gridCol w:w="2333"/>
        <w:gridCol w:w="3145"/>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13" w:space="0" w:color="D2D2D2"/>
              <w:bottom w:val="single" w:sz="4" w:space="0" w:color="000000"/>
              <w:right w:val="single" w:sz="4" w:space="0" w:color="000000"/>
            </w:tcBorders>
            <w:shd w:val="clear" w:color="auto" w:fill="C7EB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第二名供应商</w:t>
            </w:r>
          </w:p>
        </w:tc>
        <w:tc>
          <w:tcPr>
            <w:tcW w:w="2333" w:type="dxa"/>
            <w:tcBorders>
              <w:top w:val="single" w:sz="4" w:space="0" w:color="000000"/>
              <w:left w:val="single" w:sz="13" w:space="0" w:color="C7EB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25,445,527.74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13" w:space="0" w:color="D2D2D2"/>
              <w:bottom w:val="single" w:sz="4" w:space="0" w:color="000000"/>
              <w:right w:val="single" w:sz="4" w:space="0" w:color="000000"/>
            </w:tcBorders>
            <w:shd w:val="clear" w:color="auto" w:fill="C7EB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第三名供应商</w:t>
            </w:r>
          </w:p>
        </w:tc>
        <w:tc>
          <w:tcPr>
            <w:tcW w:w="2333" w:type="dxa"/>
            <w:tcBorders>
              <w:top w:val="single" w:sz="4" w:space="0" w:color="000000"/>
              <w:left w:val="single" w:sz="13" w:space="0" w:color="C7EBCC"/>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20,600,732.66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4.77%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13" w:space="0" w:color="D2D2D2"/>
              <w:bottom w:val="single" w:sz="4" w:space="0" w:color="000000"/>
              <w:right w:val="single" w:sz="4" w:space="0" w:color="000000"/>
            </w:tcBorders>
            <w:shd w:val="clear" w:color="auto" w:fill="C7EB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第四名供应商</w:t>
            </w:r>
          </w:p>
        </w:tc>
        <w:tc>
          <w:tcPr>
            <w:tcW w:w="2333" w:type="dxa"/>
            <w:tcBorders>
              <w:top w:val="single" w:sz="4" w:space="0" w:color="000000"/>
              <w:left w:val="single" w:sz="13" w:space="0" w:color="C7EB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19,125,132.02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13" w:space="0" w:color="D2D2D2"/>
              <w:bottom w:val="single" w:sz="4" w:space="0" w:color="000000"/>
              <w:right w:val="single" w:sz="4" w:space="0" w:color="000000"/>
            </w:tcBorders>
            <w:shd w:val="clear" w:color="auto" w:fill="C7EB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第五名供应商</w:t>
            </w:r>
          </w:p>
        </w:tc>
        <w:tc>
          <w:tcPr>
            <w:tcW w:w="2333" w:type="dxa"/>
            <w:tcBorders>
              <w:top w:val="single" w:sz="4" w:space="0" w:color="000000"/>
              <w:left w:val="single" w:sz="13" w:space="0" w:color="C7EBCC"/>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17,050,255.70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3.95%</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w:t>
            </w:r>
          </w:p>
        </w:tc>
        <w:tc>
          <w:tcPr>
            <w:tcW w:w="23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214,539,156.46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49.66%</w:t>
            </w:r>
          </w:p>
        </w:tc>
      </w:tr>
    </w:tbl>
    <w:p>
      <w:pPr>
        <w:spacing w:line="240" w:lineRule="auto" w:before="3"/>
        <w:rPr>
          <w:rFonts w:ascii="宋体" w:hAnsi="宋体" w:cs="宋体" w:eastAsia="宋体" w:hint="default"/>
          <w:sz w:val="19"/>
          <w:szCs w:val="19"/>
        </w:rPr>
      </w:pPr>
    </w:p>
    <w:p>
      <w:pPr>
        <w:pStyle w:val="Heading3"/>
        <w:spacing w:line="240" w:lineRule="auto" w:before="36"/>
        <w:ind w:right="146"/>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13"/>
        <w:rPr>
          <w:rFonts w:ascii="宋体" w:hAnsi="宋体" w:cs="宋体" w:eastAsia="宋体" w:hint="default"/>
          <w:b/>
          <w:bCs/>
          <w:sz w:val="25"/>
          <w:szCs w:val="25"/>
        </w:rPr>
      </w:pPr>
    </w:p>
    <w:tbl>
      <w:tblPr>
        <w:tblW w:w="0" w:type="auto"/>
        <w:jc w:val="left"/>
        <w:tblInd w:w="151" w:type="dxa"/>
        <w:tblLayout w:type="fixed"/>
        <w:tblCellMar>
          <w:top w:w="0" w:type="dxa"/>
          <w:left w:w="0" w:type="dxa"/>
          <w:bottom w:w="0" w:type="dxa"/>
          <w:right w:w="0" w:type="dxa"/>
        </w:tblCellMar>
        <w:tblLook w:val="01E0"/>
      </w:tblPr>
      <w:tblGrid>
        <w:gridCol w:w="990"/>
        <w:gridCol w:w="1772"/>
        <w:gridCol w:w="1771"/>
        <w:gridCol w:w="1985"/>
        <w:gridCol w:w="2761"/>
      </w:tblGrid>
      <w:tr>
        <w:trPr>
          <w:trHeight w:val="415" w:hRule="exact"/>
        </w:trPr>
        <w:tc>
          <w:tcPr>
            <w:tcW w:w="990" w:type="dxa"/>
            <w:tcBorders>
              <w:top w:val="single" w:sz="4" w:space="0" w:color="000000"/>
              <w:left w:val="single" w:sz="4" w:space="0" w:color="000000"/>
              <w:bottom w:val="single" w:sz="8" w:space="0" w:color="000000"/>
              <w:right w:val="single" w:sz="8" w:space="0" w:color="000000"/>
            </w:tcBorders>
            <w:shd w:val="clear" w:color="auto" w:fill="D2D2D2"/>
          </w:tcPr>
          <w:p>
            <w:pPr>
              <w:pStyle w:val="TableParagraph"/>
              <w:spacing w:line="240" w:lineRule="auto" w:before="55"/>
              <w:ind w:left="1" w:right="0"/>
              <w:jc w:val="center"/>
              <w:rPr>
                <w:rFonts w:ascii="宋体" w:hAnsi="宋体" w:cs="宋体" w:eastAsia="宋体" w:hint="default"/>
                <w:sz w:val="18"/>
                <w:szCs w:val="18"/>
              </w:rPr>
            </w:pPr>
            <w:r>
              <w:rPr>
                <w:rFonts w:ascii="宋体" w:hAnsi="宋体" w:cs="宋体" w:eastAsia="宋体" w:hint="default"/>
                <w:sz w:val="18"/>
                <w:szCs w:val="18"/>
              </w:rPr>
              <w:t>费用项目</w:t>
            </w:r>
          </w:p>
        </w:tc>
        <w:tc>
          <w:tcPr>
            <w:tcW w:w="1772" w:type="dxa"/>
            <w:tcBorders>
              <w:top w:val="single" w:sz="4"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5"/>
              <w:ind w:left="2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年度（元）</w:t>
            </w:r>
          </w:p>
        </w:tc>
        <w:tc>
          <w:tcPr>
            <w:tcW w:w="1771" w:type="dxa"/>
            <w:tcBorders>
              <w:top w:val="single" w:sz="4"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5"/>
              <w:ind w:left="2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年度（元）</w:t>
            </w:r>
          </w:p>
        </w:tc>
        <w:tc>
          <w:tcPr>
            <w:tcW w:w="1985" w:type="dxa"/>
            <w:tcBorders>
              <w:top w:val="single" w:sz="4"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5"/>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本年比上年增减幅</w:t>
            </w:r>
            <w:r>
              <w:rPr>
                <w:rFonts w:ascii="宋体" w:hAnsi="宋体" w:cs="宋体" w:eastAsia="宋体" w:hint="default"/>
                <w:spacing w:val="-75"/>
                <w:sz w:val="18"/>
                <w:szCs w:val="18"/>
              </w:rPr>
              <w:t>度</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tc>
        <w:tc>
          <w:tcPr>
            <w:tcW w:w="2761" w:type="dxa"/>
            <w:tcBorders>
              <w:top w:val="single" w:sz="4" w:space="0" w:color="000000"/>
              <w:left w:val="single" w:sz="8" w:space="0" w:color="000000"/>
              <w:bottom w:val="single" w:sz="8" w:space="0" w:color="000000"/>
              <w:right w:val="single" w:sz="8" w:space="0" w:color="000000"/>
            </w:tcBorders>
            <w:shd w:val="clear" w:color="auto" w:fill="DDDDDD"/>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占</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年度营业收入的比例（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28" w:hRule="exact"/>
        </w:trPr>
        <w:tc>
          <w:tcPr>
            <w:tcW w:w="990" w:type="dxa"/>
            <w:tcBorders>
              <w:top w:val="single" w:sz="8" w:space="0" w:color="000000"/>
              <w:left w:val="single" w:sz="4" w:space="0" w:color="000000"/>
              <w:bottom w:val="single" w:sz="8" w:space="0" w:color="000000"/>
              <w:right w:val="single" w:sz="8" w:space="0" w:color="000000"/>
            </w:tcBorders>
            <w:shd w:val="clear" w:color="auto" w:fill="D2D2D2"/>
          </w:tcPr>
          <w:p>
            <w:pPr>
              <w:pStyle w:val="TableParagraph"/>
              <w:spacing w:line="240" w:lineRule="auto" w:before="55"/>
              <w:ind w:left="1" w:right="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177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91,817,629.43</w:t>
            </w:r>
          </w:p>
        </w:tc>
        <w:tc>
          <w:tcPr>
            <w:tcW w:w="177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94,842,651.90</w:t>
            </w:r>
          </w:p>
        </w:tc>
        <w:tc>
          <w:tcPr>
            <w:tcW w:w="198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z w:val="18"/>
              </w:rPr>
              <w:t>-3.19%</w:t>
            </w:r>
          </w:p>
        </w:tc>
        <w:tc>
          <w:tcPr>
            <w:tcW w:w="27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0"/>
              <w:jc w:val="center"/>
              <w:rPr>
                <w:rFonts w:ascii="Times New Roman" w:hAnsi="Times New Roman" w:cs="Times New Roman" w:eastAsia="Times New Roman" w:hint="default"/>
                <w:sz w:val="18"/>
                <w:szCs w:val="18"/>
              </w:rPr>
            </w:pPr>
            <w:r>
              <w:rPr>
                <w:rFonts w:ascii="Times New Roman"/>
                <w:sz w:val="18"/>
              </w:rPr>
              <w:t>9.45%</w:t>
            </w:r>
          </w:p>
        </w:tc>
      </w:tr>
      <w:tr>
        <w:trPr>
          <w:trHeight w:val="423" w:hRule="exact"/>
        </w:trPr>
        <w:tc>
          <w:tcPr>
            <w:tcW w:w="990" w:type="dxa"/>
            <w:tcBorders>
              <w:top w:val="single" w:sz="8" w:space="0" w:color="000000"/>
              <w:left w:val="single" w:sz="4" w:space="0" w:color="000000"/>
              <w:bottom w:val="single" w:sz="8" w:space="0" w:color="000000"/>
              <w:right w:val="single" w:sz="8"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171,877,610.96</w:t>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131,084,728.02</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31.12%</w:t>
            </w:r>
          </w:p>
        </w:tc>
        <w:tc>
          <w:tcPr>
            <w:tcW w:w="27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17.69%</w:t>
            </w:r>
          </w:p>
        </w:tc>
      </w:tr>
      <w:tr>
        <w:trPr>
          <w:trHeight w:val="423" w:hRule="exact"/>
        </w:trPr>
        <w:tc>
          <w:tcPr>
            <w:tcW w:w="990" w:type="dxa"/>
            <w:tcBorders>
              <w:top w:val="single" w:sz="8" w:space="0" w:color="000000"/>
              <w:left w:val="single" w:sz="4" w:space="0" w:color="000000"/>
              <w:bottom w:val="single" w:sz="8" w:space="0" w:color="000000"/>
              <w:right w:val="single" w:sz="8"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1,437,529.83</w:t>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-133,344.39</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1178.06%</w:t>
            </w:r>
          </w:p>
        </w:tc>
        <w:tc>
          <w:tcPr>
            <w:tcW w:w="27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0.15%</w:t>
            </w:r>
          </w:p>
        </w:tc>
      </w:tr>
      <w:tr>
        <w:trPr>
          <w:trHeight w:val="422" w:hRule="exact"/>
        </w:trPr>
        <w:tc>
          <w:tcPr>
            <w:tcW w:w="990" w:type="dxa"/>
            <w:tcBorders>
              <w:top w:val="single" w:sz="8" w:space="0" w:color="000000"/>
              <w:left w:val="single" w:sz="4" w:space="0" w:color="000000"/>
              <w:bottom w:val="single" w:sz="8" w:space="0" w:color="000000"/>
              <w:right w:val="single" w:sz="8"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所得税费用</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16,943,178.89</w:t>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29,165,380.38</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-41.91%</w:t>
            </w:r>
          </w:p>
        </w:tc>
        <w:tc>
          <w:tcPr>
            <w:tcW w:w="27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1.74%</w:t>
            </w:r>
          </w:p>
        </w:tc>
      </w:tr>
    </w:tbl>
    <w:p>
      <w:pPr>
        <w:pStyle w:val="BodyText"/>
        <w:spacing w:line="240" w:lineRule="auto" w:before="8"/>
        <w:ind w:right="146"/>
        <w:jc w:val="left"/>
      </w:pPr>
      <w:r>
        <w:rPr/>
        <w:t>针对变动比例</w:t>
      </w:r>
      <w:r>
        <w:rPr>
          <w:rFonts w:ascii="Times New Roman" w:hAnsi="Times New Roman" w:cs="Times New Roman" w:eastAsia="Times New Roman" w:hint="default"/>
        </w:rPr>
        <w:t>30%</w:t>
      </w:r>
      <w:r>
        <w:rPr/>
        <w:t>以上的需要说明变化原因</w:t>
      </w:r>
    </w:p>
    <w:p>
      <w:pPr>
        <w:pStyle w:val="BodyText"/>
        <w:spacing w:line="240" w:lineRule="auto" w:before="63"/>
        <w:ind w:right="146"/>
        <w:jc w:val="left"/>
      </w:pPr>
      <w:r>
        <w:rPr/>
        <w:t>（</w:t>
      </w:r>
      <w:r>
        <w:rPr>
          <w:rFonts w:ascii="Times New Roman" w:hAnsi="Times New Roman" w:cs="Times New Roman" w:eastAsia="Times New Roman" w:hint="default"/>
        </w:rPr>
        <w:t>1</w:t>
      </w:r>
      <w:r>
        <w:rPr/>
        <w:t>）管理费用</w:t>
      </w:r>
      <w:r>
        <w:rPr>
          <w:rFonts w:ascii="Times New Roman" w:hAnsi="Times New Roman" w:cs="Times New Roman" w:eastAsia="Times New Roman" w:hint="default"/>
        </w:rPr>
        <w:t>171,877,610.96</w:t>
      </w:r>
      <w:r>
        <w:rPr/>
        <w:t>元，比上年同期增长</w:t>
      </w:r>
      <w:r>
        <w:rPr>
          <w:rFonts w:ascii="Times New Roman" w:hAnsi="Times New Roman" w:cs="Times New Roman" w:eastAsia="Times New Roman" w:hint="default"/>
        </w:rPr>
        <w:t>31.12%</w:t>
      </w:r>
      <w:r>
        <w:rPr/>
        <w:t>元，主要原因是公司加大研发投入所致。</w:t>
      </w:r>
    </w:p>
    <w:p>
      <w:pPr>
        <w:pStyle w:val="BodyText"/>
        <w:spacing w:line="300" w:lineRule="auto" w:before="63"/>
        <w:ind w:right="224"/>
        <w:jc w:val="left"/>
      </w:pPr>
      <w:r>
        <w:rPr/>
        <w:t>（</w:t>
      </w:r>
      <w:r>
        <w:rPr>
          <w:rFonts w:ascii="Times New Roman" w:hAnsi="Times New Roman" w:cs="Times New Roman" w:eastAsia="Times New Roman" w:hint="default"/>
        </w:rPr>
        <w:t>2</w:t>
      </w:r>
      <w:r>
        <w:rPr/>
        <w:t>）财务费用</w:t>
      </w:r>
      <w:r>
        <w:rPr>
          <w:rFonts w:ascii="Times New Roman" w:hAnsi="Times New Roman" w:cs="Times New Roman" w:eastAsia="Times New Roman" w:hint="default"/>
        </w:rPr>
        <w:t>1,437,529.83</w:t>
      </w:r>
      <w:r>
        <w:rPr/>
        <w:t>元，比上年同期增长</w:t>
      </w:r>
      <w:r>
        <w:rPr>
          <w:rFonts w:ascii="Times New Roman" w:hAnsi="Times New Roman" w:cs="Times New Roman" w:eastAsia="Times New Roman" w:hint="default"/>
        </w:rPr>
        <w:t>1178.06%</w:t>
      </w:r>
      <w:r>
        <w:rPr/>
        <w:t>，主要原因是</w:t>
      </w:r>
      <w:r>
        <w:rPr>
          <w:rFonts w:ascii="Times New Roman" w:hAnsi="Times New Roman" w:cs="Times New Roman" w:eastAsia="Times New Roman" w:hint="default"/>
        </w:rPr>
        <w:t>ATM</w:t>
      </w:r>
      <w:r>
        <w:rPr/>
        <w:t>设备扩大产能项目竣工，项目借款利息费用化 所致。</w:t>
      </w:r>
    </w:p>
    <w:p>
      <w:pPr>
        <w:pStyle w:val="BodyText"/>
        <w:spacing w:line="240" w:lineRule="auto" w:before="31"/>
        <w:ind w:right="146"/>
        <w:jc w:val="left"/>
      </w:pPr>
      <w:r>
        <w:rPr/>
        <w:t>（</w:t>
      </w:r>
      <w:r>
        <w:rPr>
          <w:rFonts w:ascii="Times New Roman" w:hAnsi="Times New Roman" w:cs="Times New Roman" w:eastAsia="Times New Roman" w:hint="default"/>
        </w:rPr>
        <w:t>3</w:t>
      </w:r>
      <w:r>
        <w:rPr/>
        <w:t>）所得税费用</w:t>
      </w:r>
      <w:r>
        <w:rPr>
          <w:rFonts w:ascii="Times New Roman" w:hAnsi="Times New Roman" w:cs="Times New Roman" w:eastAsia="Times New Roman" w:hint="default"/>
        </w:rPr>
        <w:t>16,943,178.89</w:t>
      </w:r>
      <w:r>
        <w:rPr/>
        <w:t>元，比上年同期减少</w:t>
      </w:r>
      <w:r>
        <w:rPr>
          <w:rFonts w:ascii="Times New Roman" w:hAnsi="Times New Roman" w:cs="Times New Roman" w:eastAsia="Times New Roman" w:hint="default"/>
        </w:rPr>
        <w:t>41.91%</w:t>
      </w:r>
      <w:r>
        <w:rPr/>
        <w:t>，主要原因是应纳所得税额减少所致。</w:t>
      </w:r>
    </w:p>
    <w:p>
      <w:pPr>
        <w:spacing w:line="240" w:lineRule="auto" w:before="2"/>
        <w:rPr>
          <w:rFonts w:ascii="宋体" w:hAnsi="宋体" w:cs="宋体" w:eastAsia="宋体" w:hint="default"/>
          <w:sz w:val="26"/>
          <w:szCs w:val="26"/>
        </w:rPr>
      </w:pPr>
    </w:p>
    <w:p>
      <w:pPr>
        <w:pStyle w:val="Heading3"/>
        <w:spacing w:line="240" w:lineRule="auto"/>
        <w:ind w:right="146"/>
        <w:jc w:val="left"/>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4"/>
        <w:rPr>
          <w:rFonts w:ascii="宋体" w:hAnsi="宋体" w:cs="宋体" w:eastAsia="宋体" w:hint="default"/>
          <w:b/>
          <w:bCs/>
          <w:sz w:val="26"/>
          <w:szCs w:val="26"/>
        </w:rPr>
      </w:pPr>
    </w:p>
    <w:tbl>
      <w:tblPr>
        <w:tblW w:w="0" w:type="auto"/>
        <w:jc w:val="left"/>
        <w:tblInd w:w="151" w:type="dxa"/>
        <w:tblLayout w:type="fixed"/>
        <w:tblCellMar>
          <w:top w:w="0" w:type="dxa"/>
          <w:left w:w="0" w:type="dxa"/>
          <w:bottom w:w="0" w:type="dxa"/>
          <w:right w:w="0" w:type="dxa"/>
        </w:tblCellMar>
        <w:tblLook w:val="01E0"/>
      </w:tblPr>
      <w:tblGrid>
        <w:gridCol w:w="2078"/>
        <w:gridCol w:w="1659"/>
        <w:gridCol w:w="1781"/>
        <w:gridCol w:w="2021"/>
      </w:tblGrid>
      <w:tr>
        <w:trPr>
          <w:trHeight w:val="331" w:hRule="exact"/>
        </w:trPr>
        <w:tc>
          <w:tcPr>
            <w:tcW w:w="2078" w:type="dxa"/>
            <w:tcBorders>
              <w:top w:val="single" w:sz="4" w:space="0" w:color="000000"/>
              <w:left w:val="single" w:sz="4" w:space="0" w:color="000000"/>
              <w:bottom w:val="single" w:sz="8" w:space="0" w:color="000000"/>
              <w:right w:val="single" w:sz="8" w:space="0" w:color="000000"/>
            </w:tcBorders>
            <w:shd w:val="clear" w:color="auto" w:fill="D2D2D2"/>
          </w:tcPr>
          <w:p>
            <w:pPr/>
          </w:p>
        </w:tc>
        <w:tc>
          <w:tcPr>
            <w:tcW w:w="1659" w:type="dxa"/>
            <w:tcBorders>
              <w:top w:val="single" w:sz="4"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9"/>
              <w:ind w:left="1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年度（元）</w:t>
            </w:r>
          </w:p>
        </w:tc>
        <w:tc>
          <w:tcPr>
            <w:tcW w:w="1781" w:type="dxa"/>
            <w:tcBorders>
              <w:top w:val="single" w:sz="4"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9"/>
              <w:ind w:left="2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年度（元）</w:t>
            </w:r>
          </w:p>
        </w:tc>
        <w:tc>
          <w:tcPr>
            <w:tcW w:w="2021" w:type="dxa"/>
            <w:tcBorders>
              <w:top w:val="single" w:sz="4"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9"/>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年度（元）</w:t>
            </w:r>
          </w:p>
        </w:tc>
      </w:tr>
      <w:tr>
        <w:trPr>
          <w:trHeight w:val="347" w:hRule="exact"/>
        </w:trPr>
        <w:tc>
          <w:tcPr>
            <w:tcW w:w="2078" w:type="dxa"/>
            <w:tcBorders>
              <w:top w:val="single" w:sz="8" w:space="0" w:color="000000"/>
              <w:left w:val="single" w:sz="4" w:space="0" w:color="000000"/>
              <w:bottom w:val="single" w:sz="8" w:space="0" w:color="000000"/>
              <w:right w:val="single" w:sz="8" w:space="0" w:color="000000"/>
            </w:tcBorders>
            <w:shd w:val="clear" w:color="auto" w:fill="D2D2D2"/>
          </w:tcPr>
          <w:p>
            <w:pPr>
              <w:pStyle w:val="TableParagraph"/>
              <w:spacing w:line="240" w:lineRule="auto" w:before="14"/>
              <w:ind w:left="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65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80,212,338.55</w:t>
            </w:r>
          </w:p>
        </w:tc>
        <w:tc>
          <w:tcPr>
            <w:tcW w:w="178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61,269,905.53</w:t>
            </w:r>
          </w:p>
        </w:tc>
        <w:tc>
          <w:tcPr>
            <w:tcW w:w="202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43,427,834.20</w:t>
            </w:r>
          </w:p>
        </w:tc>
      </w:tr>
      <w:tr>
        <w:trPr>
          <w:trHeight w:val="343" w:hRule="exact"/>
        </w:trPr>
        <w:tc>
          <w:tcPr>
            <w:tcW w:w="2078" w:type="dxa"/>
            <w:tcBorders>
              <w:top w:val="single" w:sz="8" w:space="0" w:color="000000"/>
              <w:left w:val="single" w:sz="4" w:space="0" w:color="000000"/>
              <w:bottom w:val="single" w:sz="8" w:space="0" w:color="000000"/>
              <w:right w:val="single" w:sz="8" w:space="0" w:color="000000"/>
            </w:tcBorders>
            <w:shd w:val="clear" w:color="auto" w:fill="D2D2D2"/>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占净资产比例（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4.98%</w:t>
            </w:r>
          </w:p>
        </w:tc>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4.08%</w:t>
            </w:r>
          </w:p>
        </w:tc>
        <w:tc>
          <w:tcPr>
            <w:tcW w:w="20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3.16%</w:t>
            </w:r>
          </w:p>
        </w:tc>
      </w:tr>
      <w:tr>
        <w:trPr>
          <w:trHeight w:val="343" w:hRule="exact"/>
        </w:trPr>
        <w:tc>
          <w:tcPr>
            <w:tcW w:w="2078" w:type="dxa"/>
            <w:tcBorders>
              <w:top w:val="single" w:sz="8" w:space="0" w:color="000000"/>
              <w:left w:val="single" w:sz="4" w:space="0" w:color="000000"/>
              <w:bottom w:val="single" w:sz="8" w:space="0" w:color="000000"/>
              <w:right w:val="single" w:sz="8" w:space="0" w:color="000000"/>
            </w:tcBorders>
            <w:shd w:val="clear" w:color="auto" w:fill="D2D2D2"/>
          </w:tcPr>
          <w:p>
            <w:pPr>
              <w:pStyle w:val="TableParagraph"/>
              <w:spacing w:line="240" w:lineRule="auto" w:before="8"/>
              <w:ind w:left="3" w:right="0"/>
              <w:jc w:val="left"/>
              <w:rPr>
                <w:rFonts w:ascii="宋体" w:hAnsi="宋体" w:cs="宋体" w:eastAsia="宋体" w:hint="default"/>
                <w:sz w:val="18"/>
                <w:szCs w:val="18"/>
              </w:rPr>
            </w:pPr>
            <w:r>
              <w:rPr>
                <w:rFonts w:ascii="宋体" w:hAnsi="宋体" w:cs="宋体" w:eastAsia="宋体" w:hint="default"/>
                <w:sz w:val="18"/>
                <w:szCs w:val="18"/>
              </w:rPr>
              <w:t>占营业收入比例（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8.25%</w:t>
            </w:r>
          </w:p>
        </w:tc>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7.22%</w:t>
            </w:r>
          </w:p>
        </w:tc>
        <w:tc>
          <w:tcPr>
            <w:tcW w:w="20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5.79%</w:t>
            </w:r>
          </w:p>
        </w:tc>
      </w:tr>
    </w:tbl>
    <w:p>
      <w:pPr>
        <w:pStyle w:val="BodyText"/>
        <w:spacing w:line="316" w:lineRule="auto" w:before="8"/>
        <w:ind w:right="150" w:firstLine="360"/>
        <w:jc w:val="both"/>
      </w:pPr>
      <w:r>
        <w:rPr>
          <w:spacing w:val="-2"/>
        </w:rPr>
        <w:t>公司高度重视技术研发，把研究开发作为一项长期性战略性工作持续加大投入，以市场需求为导向，不断开发新产品新</w:t>
      </w:r>
      <w:r>
        <w:rPr/>
        <w:t> 工艺，产品持续升级换代，铸造出以核心技术为导向的企业综合竞争力。</w:t>
      </w:r>
    </w:p>
    <w:p>
      <w:pPr>
        <w:pStyle w:val="BodyText"/>
        <w:spacing w:line="300" w:lineRule="auto" w:before="19"/>
        <w:ind w:right="158" w:firstLine="360"/>
        <w:jc w:val="both"/>
      </w:pPr>
      <w:r>
        <w:rPr/>
        <w:t>报告期内，公司取得了</w:t>
      </w:r>
      <w:r>
        <w:rPr>
          <w:rFonts w:ascii="Times New Roman" w:hAnsi="Times New Roman" w:cs="Times New Roman" w:eastAsia="Times New Roman" w:hint="default"/>
        </w:rPr>
        <w:t>3</w:t>
      </w:r>
      <w:r>
        <w:rPr/>
        <w:t>项外观设计专利、</w:t>
      </w:r>
      <w:r>
        <w:rPr>
          <w:rFonts w:ascii="Times New Roman" w:hAnsi="Times New Roman" w:cs="Times New Roman" w:eastAsia="Times New Roman" w:hint="default"/>
        </w:rPr>
        <w:t>35</w:t>
      </w:r>
      <w:r>
        <w:rPr/>
        <w:t>项实用新型专利、</w:t>
      </w:r>
      <w:r>
        <w:rPr>
          <w:rFonts w:ascii="Times New Roman" w:hAnsi="Times New Roman" w:cs="Times New Roman" w:eastAsia="Times New Roman" w:hint="default"/>
        </w:rPr>
        <w:t>20</w:t>
      </w:r>
      <w:r>
        <w:rPr/>
        <w:t>项软件产品登记证书、</w:t>
      </w:r>
      <w:r>
        <w:rPr>
          <w:rFonts w:ascii="Times New Roman" w:hAnsi="Times New Roman" w:cs="Times New Roman" w:eastAsia="Times New Roman" w:hint="default"/>
        </w:rPr>
        <w:t>17</w:t>
      </w:r>
      <w:r>
        <w:rPr/>
        <w:t>项计算机软件著作权登记证 书、</w:t>
      </w:r>
      <w:r>
        <w:rPr>
          <w:rFonts w:ascii="Times New Roman" w:hAnsi="Times New Roman" w:cs="Times New Roman" w:eastAsia="Times New Roman" w:hint="default"/>
        </w:rPr>
        <w:t>8</w:t>
      </w:r>
      <w:r>
        <w:rPr/>
        <w:t>项资格认证证书、</w:t>
      </w:r>
      <w:r>
        <w:rPr>
          <w:rFonts w:ascii="Times New Roman" w:hAnsi="Times New Roman" w:cs="Times New Roman" w:eastAsia="Times New Roman" w:hint="default"/>
        </w:rPr>
        <w:t>18</w:t>
      </w:r>
      <w:r>
        <w:rPr/>
        <w:t>项产品认证证书；公司获得“省级企业技术中心”称号；公司已经连续七年获得“广东省诚信示 范企业”，连续八年获得“广东省守合同重信用企业”。</w:t>
      </w:r>
    </w:p>
    <w:p>
      <w:pPr>
        <w:spacing w:line="240" w:lineRule="auto" w:before="10"/>
        <w:rPr>
          <w:rFonts w:ascii="宋体" w:hAnsi="宋体" w:cs="宋体" w:eastAsia="宋体" w:hint="default"/>
          <w:sz w:val="23"/>
          <w:szCs w:val="23"/>
        </w:rPr>
      </w:pPr>
    </w:p>
    <w:p>
      <w:pPr>
        <w:pStyle w:val="Heading3"/>
        <w:spacing w:line="240" w:lineRule="auto"/>
        <w:ind w:right="146"/>
        <w:jc w:val="left"/>
        <w:rPr>
          <w:b w:val="0"/>
          <w:bCs w:val="0"/>
        </w:rPr>
      </w:pPr>
      <w:r>
        <w:rPr>
          <w:rFonts w:ascii="Times New Roman" w:hAnsi="Times New Roman" w:cs="Times New Roman" w:eastAsia="Times New Roman" w:hint="default"/>
        </w:rPr>
        <w:t>6</w:t>
      </w:r>
      <w:r>
        <w:rPr/>
        <w:t>、现金流</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813"/>
        <w:gridCol w:w="2255"/>
        <w:gridCol w:w="2244"/>
        <w:gridCol w:w="2247"/>
      </w:tblGrid>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1,044,761,706.93</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817,666,568.48</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27.77%</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868,334,592.87</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718,064,390.98</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20.93%</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176,427,114.06</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99,602,177.50</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77.13%</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667,689,893.44</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51,915,878.74</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1,186.10%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23"/>
        <w:gridCol w:w="2255"/>
        <w:gridCol w:w="2244"/>
        <w:gridCol w:w="2247"/>
      </w:tblGrid>
      <w:tr>
        <w:trPr>
          <w:trHeight w:val="401"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694,509,429.33</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147,545,684.60</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370.71%</w:t>
            </w:r>
          </w:p>
        </w:tc>
      </w:tr>
      <w:tr>
        <w:trPr>
          <w:trHeight w:val="404"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-26,819,535.89</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-95,629,805.86</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71.95%</w:t>
            </w:r>
          </w:p>
        </w:tc>
      </w:tr>
      <w:tr>
        <w:trPr>
          <w:trHeight w:val="401"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55" w:type="dxa"/>
            <w:tcBorders>
              <w:top w:val="single" w:sz="4" w:space="0" w:color="000000"/>
              <w:left w:val="single" w:sz="10" w:space="0" w:color="D2D2D2"/>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35,749,570.89</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136,528,860.62</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-73.82%</w:t>
            </w:r>
          </w:p>
        </w:tc>
      </w:tr>
      <w:tr>
        <w:trPr>
          <w:trHeight w:val="401"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-35,749,570.89</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-131,528,860.62</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72.82%</w:t>
            </w:r>
          </w:p>
        </w:tc>
      </w:tr>
      <w:tr>
        <w:trPr>
          <w:trHeight w:val="403"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113,858,007.28</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-127,556,488.98</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189.26%</w:t>
            </w:r>
          </w:p>
        </w:tc>
      </w:tr>
    </w:tbl>
    <w:p>
      <w:pPr>
        <w:pStyle w:val="BodyText"/>
        <w:spacing w:line="240" w:lineRule="auto" w:before="49"/>
        <w:ind w:right="146"/>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240" w:lineRule="auto" w:before="101"/>
        <w:ind w:right="14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939"/>
        <w:jc w:val="left"/>
      </w:pPr>
      <w:r>
        <w:rPr/>
        <w:t>（</w:t>
      </w:r>
      <w:r>
        <w:rPr>
          <w:rFonts w:ascii="Times New Roman" w:hAnsi="Times New Roman" w:cs="Times New Roman" w:eastAsia="Times New Roman" w:hint="default"/>
        </w:rPr>
        <w:t>1</w:t>
      </w:r>
      <w:r>
        <w:rPr/>
        <w:t>）经营活动现金流量 报告期内公司经营活动产生的现金流量净额比上年同期增长</w:t>
      </w:r>
      <w:r>
        <w:rPr>
          <w:rFonts w:ascii="Times New Roman" w:hAnsi="Times New Roman" w:cs="Times New Roman" w:eastAsia="Times New Roman" w:hint="default"/>
        </w:rPr>
        <w:t>77.13%</w:t>
      </w:r>
      <w:r>
        <w:rPr/>
        <w:t>，主要原因是销售收款比去年同期增加所致。</w:t>
      </w:r>
    </w:p>
    <w:p>
      <w:pPr>
        <w:pStyle w:val="BodyText"/>
        <w:spacing w:line="304" w:lineRule="auto" w:before="13"/>
        <w:ind w:right="146"/>
        <w:jc w:val="left"/>
      </w:pPr>
      <w:r>
        <w:rPr/>
        <w:t>（</w:t>
      </w:r>
      <w:r>
        <w:rPr>
          <w:rFonts w:ascii="Times New Roman" w:hAnsi="Times New Roman" w:cs="Times New Roman" w:eastAsia="Times New Roman" w:hint="default"/>
        </w:rPr>
        <w:t>2</w:t>
      </w:r>
      <w:r>
        <w:rPr/>
        <w:t>）投资活动现金流量 报告期内公司投资活动现金流入比上年同期增长</w:t>
      </w:r>
      <w:r>
        <w:rPr>
          <w:rFonts w:ascii="Times New Roman" w:hAnsi="Times New Roman" w:cs="Times New Roman" w:eastAsia="Times New Roman" w:hint="default"/>
        </w:rPr>
        <w:t>1186.10%</w:t>
      </w:r>
      <w:r>
        <w:rPr/>
        <w:t>，主要原因是公司增加理财产品购入所致； </w:t>
      </w:r>
      <w:r>
        <w:rPr>
          <w:spacing w:val="-1"/>
        </w:rPr>
        <w:t>报告期内公司投资活动现金流出比上年同期增长</w:t>
      </w:r>
      <w:r>
        <w:rPr>
          <w:rFonts w:ascii="Times New Roman" w:hAnsi="Times New Roman" w:cs="Times New Roman" w:eastAsia="Times New Roman" w:hint="default"/>
          <w:spacing w:val="-1"/>
        </w:rPr>
        <w:t>370.71%</w:t>
      </w:r>
      <w:r>
        <w:rPr>
          <w:spacing w:val="-1"/>
        </w:rPr>
        <w:t>，主要原因是公司出售当年购入的理财产品以及子公司御新软件出</w:t>
      </w:r>
      <w:r>
        <w:rPr>
          <w:spacing w:val="-42"/>
        </w:rPr>
        <w:t> </w:t>
      </w:r>
      <w:r>
        <w:rPr>
          <w:spacing w:val="-42"/>
        </w:rPr>
      </w:r>
      <w:r>
        <w:rPr/>
        <w:t>售所持的星河生物股票所致； 报告期内公司投资活动产生的现金流量净额比上年同期增长</w:t>
      </w:r>
      <w:r>
        <w:rPr>
          <w:rFonts w:ascii="Times New Roman" w:hAnsi="Times New Roman" w:cs="Times New Roman" w:eastAsia="Times New Roman" w:hint="default"/>
        </w:rPr>
        <w:t>71.95%</w:t>
      </w:r>
      <w:r>
        <w:rPr/>
        <w:t>，主要原因是公司出售委托理财产品及子公司御新软件 出售所持星河生物股票所致。</w:t>
      </w:r>
    </w:p>
    <w:p>
      <w:pPr>
        <w:pStyle w:val="BodyText"/>
        <w:spacing w:line="300" w:lineRule="auto" w:before="28"/>
        <w:ind w:right="146"/>
        <w:jc w:val="left"/>
      </w:pPr>
      <w:r>
        <w:rPr/>
        <w:t>（</w:t>
      </w:r>
      <w:r>
        <w:rPr>
          <w:rFonts w:ascii="Times New Roman" w:hAnsi="Times New Roman" w:cs="Times New Roman" w:eastAsia="Times New Roman" w:hint="default"/>
        </w:rPr>
        <w:t>3</w:t>
      </w:r>
      <w:r>
        <w:rPr/>
        <w:t>）筹资活动现金流量 报告期内公司筹资活动现金流入比上年同期减少</w:t>
      </w:r>
      <w:r>
        <w:rPr>
          <w:rFonts w:ascii="Times New Roman" w:hAnsi="Times New Roman" w:cs="Times New Roman" w:eastAsia="Times New Roman" w:hint="default"/>
        </w:rPr>
        <w:t>500</w:t>
      </w:r>
      <w:r>
        <w:rPr/>
        <w:t>万元，主要原因是上年度高唐办公楼项目借入工商银行贷款所致； 报告期内公司筹资活动现金流出比上年同期减少</w:t>
      </w:r>
      <w:r>
        <w:rPr>
          <w:rFonts w:ascii="Times New Roman" w:hAnsi="Times New Roman" w:cs="Times New Roman" w:eastAsia="Times New Roman" w:hint="default"/>
        </w:rPr>
        <w:t>73.82%</w:t>
      </w:r>
      <w:r>
        <w:rPr/>
        <w:t>，主要原因是公司本期归还借款减少所致； 报告期内公司筹资活动产生的现金流量净额比上年同期增长</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rFonts w:ascii="Times New Roman" w:hAnsi="Times New Roman" w:cs="Times New Roman" w:eastAsia="Times New Roman" w:hint="default"/>
        </w:rPr>
        <w:t>2.82%</w:t>
      </w:r>
      <w:r>
        <w:rPr/>
        <w:t>，主要原因是公司本期归还借款减少所致。</w:t>
      </w:r>
    </w:p>
    <w:p>
      <w:pPr>
        <w:pStyle w:val="BodyText"/>
        <w:spacing w:line="300" w:lineRule="auto" w:before="53"/>
        <w:ind w:right="146"/>
        <w:jc w:val="left"/>
      </w:pPr>
      <w:r>
        <w:rPr>
          <w:spacing w:val="-1"/>
        </w:rPr>
        <w:t>报告期内公司现金及现金等价物净增加额比上年同期增长</w:t>
      </w:r>
      <w:r>
        <w:rPr>
          <w:rFonts w:ascii="Times New Roman" w:hAnsi="Times New Roman" w:cs="Times New Roman" w:eastAsia="Times New Roman" w:hint="default"/>
          <w:spacing w:val="-1"/>
        </w:rPr>
        <w:t>189.26%</w:t>
      </w:r>
      <w:r>
        <w:rPr>
          <w:spacing w:val="-1"/>
        </w:rPr>
        <w:t>，主要原因是公司经营活动产生的现金流量净额增长及子</w:t>
      </w:r>
      <w:r>
        <w:rPr>
          <w:spacing w:val="-42"/>
        </w:rPr>
        <w:t> </w:t>
      </w:r>
      <w:r>
        <w:rPr>
          <w:spacing w:val="-42"/>
        </w:rPr>
      </w:r>
      <w:r>
        <w:rPr/>
        <w:t>公司御新软件出售所持的星河生物股票所致。</w:t>
      </w:r>
    </w:p>
    <w:p>
      <w:pPr>
        <w:pStyle w:val="BodyText"/>
        <w:spacing w:line="240" w:lineRule="auto" w:before="70"/>
        <w:ind w:right="146"/>
        <w:jc w:val="left"/>
      </w:pPr>
      <w:r>
        <w:rPr/>
        <w:t>报告期内公司经营活动的现金流量与本年度净利润存在重大差异的原因说明</w:t>
      </w:r>
    </w:p>
    <w:p>
      <w:pPr>
        <w:pStyle w:val="BodyText"/>
        <w:spacing w:line="240" w:lineRule="auto" w:before="117"/>
        <w:ind w:right="14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46"/>
        <w:jc w:val="left"/>
        <w:rPr>
          <w:b w:val="0"/>
          <w:bCs w:val="0"/>
        </w:rPr>
      </w:pPr>
      <w:r>
        <w:rPr/>
        <w:t>三、主营业务构成情况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2"/>
        <w:gridCol w:w="1419"/>
        <w:gridCol w:w="1416"/>
        <w:gridCol w:w="934"/>
        <w:gridCol w:w="1366"/>
        <w:gridCol w:w="1366"/>
        <w:gridCol w:w="1370"/>
      </w:tblGrid>
      <w:tr>
        <w:trPr>
          <w:trHeight w:val="714"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19" w:right="46"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专用设备制造业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960,166,932.01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571,095,979.25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40.52%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24.82%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-4.95%</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4" w:hRule="exact"/>
        </w:trPr>
        <w:tc>
          <w:tcPr>
            <w:tcW w:w="1702"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产品销售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596,630,347.35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351,741,787.43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41.05%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26.63%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-2.30%</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合作运营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132,466,288.90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88,892,677.44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-8.01%</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融资租赁</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169,852,176.47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113,042,328.76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33.45%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46.63%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-14.78%</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技术、金融服务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61,218,119.29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17,419,185.62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106.29%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-7.55%</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广州地区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28,477,337.49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15,277,155.74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-11.44%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01"/>
        <w:gridCol w:w="1419"/>
        <w:gridCol w:w="1416"/>
        <w:gridCol w:w="934"/>
        <w:gridCol w:w="1366"/>
        <w:gridCol w:w="1366"/>
        <w:gridCol w:w="1370"/>
      </w:tblGrid>
      <w:tr>
        <w:trPr>
          <w:trHeight w:val="401" w:hRule="exact"/>
        </w:trPr>
        <w:tc>
          <w:tcPr>
            <w:tcW w:w="170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广东省</w:t>
            </w:r>
            <w:r>
              <w:rPr>
                <w:rFonts w:ascii="Times New Roman" w:hAnsi="Times New Roman" w:cs="Times New Roman" w:eastAsia="Times New Roman" w:hint="default"/>
                <w:sz w:val="18"/>
                <w:szCs w:val="18"/>
              </w:rPr>
              <w:t>(</w:t>
            </w:r>
            <w:r>
              <w:rPr>
                <w:rFonts w:ascii="宋体" w:hAnsi="宋体" w:cs="宋体" w:eastAsia="宋体" w:hint="default"/>
                <w:sz w:val="18"/>
                <w:szCs w:val="18"/>
              </w:rPr>
              <w:t>除广州</w:t>
            </w:r>
            <w:r>
              <w:rPr>
                <w:rFonts w:ascii="Times New Roman" w:hAnsi="Times New Roman" w:cs="Times New Roman" w:eastAsia="Times New Roman" w:hint="default"/>
                <w:sz w:val="18"/>
                <w:szCs w:val="18"/>
              </w:rPr>
              <w:t>)</w:t>
            </w:r>
            <w:r>
              <w:rPr>
                <w:rFonts w:ascii="宋体" w:hAnsi="宋体" w:cs="宋体" w:eastAsia="宋体" w:hint="default"/>
                <w:sz w:val="18"/>
                <w:szCs w:val="18"/>
              </w:rPr>
              <w:t>地区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234,439,729.95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137,581,015.57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31.36%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-9.85%</w:t>
            </w:r>
          </w:p>
        </w:tc>
      </w:tr>
      <w:tr>
        <w:trPr>
          <w:trHeight w:val="404" w:hRule="exact"/>
        </w:trPr>
        <w:tc>
          <w:tcPr>
            <w:tcW w:w="170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广东省外地区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697,249,864.57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418,237,807.94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40.02%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18.43%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24.64%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-2.98%</w:t>
            </w:r>
          </w:p>
        </w:tc>
      </w:tr>
    </w:tbl>
    <w:p>
      <w:pPr>
        <w:pStyle w:val="BodyText"/>
        <w:spacing w:line="240" w:lineRule="auto" w:before="49"/>
        <w:ind w:right="242"/>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2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242"/>
        <w:jc w:val="left"/>
        <w:rPr>
          <w:b w:val="0"/>
          <w:bCs w:val="0"/>
        </w:rPr>
      </w:pPr>
      <w:r>
        <w:rPr/>
        <w:t>四、资产、负债状况分析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242"/>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0"/>
        <w:gridCol w:w="1275"/>
        <w:gridCol w:w="1277"/>
        <w:gridCol w:w="1277"/>
        <w:gridCol w:w="1274"/>
        <w:gridCol w:w="709"/>
        <w:gridCol w:w="2198"/>
      </w:tblGrid>
      <w:tr>
        <w:trPr>
          <w:trHeight w:val="206" w:hRule="exact"/>
        </w:trPr>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25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5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59" w:right="78"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2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5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560" w:type="dxa"/>
            <w:vMerge w:val="restart"/>
            <w:tcBorders>
              <w:top w:val="nil" w:sz="6" w:space="0" w:color="auto"/>
              <w:left w:val="single" w:sz="4" w:space="0" w:color="000000"/>
              <w:right w:val="single" w:sz="4" w:space="0" w:color="000000"/>
            </w:tcBorders>
            <w:shd w:val="clear" w:color="auto" w:fill="D2D2D2"/>
          </w:tcPr>
          <w:p>
            <w:pPr/>
          </w:p>
        </w:tc>
        <w:tc>
          <w:tcPr>
            <w:tcW w:w="2552" w:type="dxa"/>
            <w:gridSpan w:val="2"/>
            <w:vMerge/>
            <w:tcBorders>
              <w:left w:val="single" w:sz="4" w:space="0" w:color="000000"/>
              <w:bottom w:val="single" w:sz="4" w:space="0" w:color="000000"/>
              <w:right w:val="single" w:sz="4" w:space="0" w:color="000000"/>
            </w:tcBorders>
            <w:shd w:val="clear" w:color="auto" w:fill="D2D2D2"/>
          </w:tcPr>
          <w:p>
            <w:pPr/>
          </w:p>
        </w:tc>
        <w:tc>
          <w:tcPr>
            <w:tcW w:w="2552" w:type="dxa"/>
            <w:gridSpan w:val="2"/>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2198" w:type="dxa"/>
            <w:vMerge/>
            <w:tcBorders>
              <w:left w:val="single" w:sz="4" w:space="0" w:color="000000"/>
              <w:right w:val="single" w:sz="4" w:space="0" w:color="000000"/>
            </w:tcBorders>
            <w:shd w:val="clear" w:color="auto" w:fill="D2D2D2"/>
          </w:tcPr>
          <w:p>
            <w:pPr/>
          </w:p>
        </w:tc>
      </w:tr>
      <w:tr>
        <w:trPr>
          <w:trHeight w:val="199" w:hRule="exact"/>
        </w:trPr>
        <w:tc>
          <w:tcPr>
            <w:tcW w:w="1560" w:type="dxa"/>
            <w:vMerge/>
            <w:tcBorders>
              <w:left w:val="single" w:sz="4" w:space="0" w:color="000000"/>
              <w:bottom w:val="nil" w:sz="6" w:space="0" w:color="auto"/>
              <w:right w:val="single" w:sz="4" w:space="0" w:color="000000"/>
            </w:tcBorders>
            <w:shd w:val="clear" w:color="auto" w:fill="D2D2D2"/>
          </w:tcPr>
          <w:p>
            <w:pPr/>
          </w:p>
        </w:tc>
        <w:tc>
          <w:tcPr>
            <w:tcW w:w="12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709" w:type="dxa"/>
            <w:vMerge/>
            <w:tcBorders>
              <w:left w:val="single" w:sz="4" w:space="0" w:color="000000"/>
              <w:right w:val="single" w:sz="4" w:space="0" w:color="000000"/>
            </w:tcBorders>
            <w:shd w:val="clear" w:color="auto" w:fill="D2D2D2"/>
          </w:tcPr>
          <w:p>
            <w:pPr/>
          </w:p>
        </w:tc>
        <w:tc>
          <w:tcPr>
            <w:tcW w:w="2198" w:type="dxa"/>
            <w:vMerge/>
            <w:tcBorders>
              <w:left w:val="single" w:sz="4" w:space="0" w:color="000000"/>
              <w:right w:val="single" w:sz="4" w:space="0" w:color="000000"/>
            </w:tcBorders>
            <w:shd w:val="clear" w:color="auto" w:fill="D2D2D2"/>
          </w:tcPr>
          <w:p>
            <w:pPr/>
          </w:p>
        </w:tc>
      </w:tr>
      <w:tr>
        <w:trPr>
          <w:trHeight w:val="206" w:hRule="exact"/>
        </w:trPr>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2198"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290,223,319.40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15.66%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163,835,716.70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6.22%</w:t>
            </w:r>
          </w:p>
        </w:tc>
        <w:tc>
          <w:tcPr>
            <w:tcW w:w="219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收回销售货款</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320,701,697.63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17.31%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237,897,056.53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13.71%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w:t>
            </w:r>
          </w:p>
        </w:tc>
        <w:tc>
          <w:tcPr>
            <w:tcW w:w="219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产品销售增加</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272,079,634.21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14.68%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255,142,098.34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14.70%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219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材料采购增加</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75" w:type="dxa"/>
            <w:tcBorders>
              <w:top w:val="single" w:sz="4" w:space="0" w:color="000000"/>
              <w:left w:val="single" w:sz="9"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198" w:type="dxa"/>
            <w:tcBorders>
              <w:top w:val="single" w:sz="4" w:space="0" w:color="000000"/>
              <w:left w:val="single" w:sz="4" w:space="0" w:color="000000"/>
              <w:bottom w:val="single" w:sz="4" w:space="0" w:color="000000"/>
              <w:right w:val="single" w:sz="4" w:space="0" w:color="000000"/>
            </w:tcBorders>
            <w:shd w:val="clear" w:color="auto" w:fill="C7EBCC"/>
          </w:tcPr>
          <w:p>
            <w:pP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75" w:type="dxa"/>
            <w:tcBorders>
              <w:top w:val="single" w:sz="4" w:space="0" w:color="000000"/>
              <w:left w:val="single" w:sz="9"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198" w:type="dxa"/>
            <w:tcBorders>
              <w:top w:val="single" w:sz="4" w:space="0" w:color="000000"/>
              <w:left w:val="single" w:sz="4" w:space="0" w:color="000000"/>
              <w:bottom w:val="single" w:sz="4" w:space="0" w:color="000000"/>
              <w:right w:val="single" w:sz="4" w:space="0" w:color="000000"/>
            </w:tcBorders>
            <w:shd w:val="clear" w:color="auto" w:fill="C7EBCC"/>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335,039,953.14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18.08%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398,437,917.16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22.96%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-4.88%</w:t>
            </w:r>
          </w:p>
        </w:tc>
        <w:tc>
          <w:tcPr>
            <w:tcW w:w="219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处置</w:t>
            </w:r>
            <w:r>
              <w:rPr>
                <w:rFonts w:ascii="宋体" w:hAnsi="宋体" w:cs="宋体" w:eastAsia="宋体" w:hint="default"/>
                <w:spacing w:val="-44"/>
                <w:sz w:val="18"/>
                <w:szCs w:val="18"/>
              </w:rPr>
              <w:t> </w:t>
            </w: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z w:val="18"/>
                <w:szCs w:val="18"/>
              </w:rPr>
              <w:t> </w:t>
            </w:r>
            <w:r>
              <w:rPr>
                <w:rFonts w:ascii="宋体" w:hAnsi="宋体" w:cs="宋体" w:eastAsia="宋体" w:hint="default"/>
                <w:sz w:val="18"/>
                <w:szCs w:val="18"/>
              </w:rPr>
              <w:t>机器</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210,040,029.10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204,620,194.16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11.79%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-0.45%</w:t>
            </w:r>
          </w:p>
        </w:tc>
        <w:tc>
          <w:tcPr>
            <w:tcW w:w="219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高唐办公楼项目支出增加</w:t>
            </w:r>
          </w:p>
        </w:tc>
      </w:tr>
      <w:tr>
        <w:trPr>
          <w:trHeight w:val="1025"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以公允价值计量且 变动计入当期损益 的金融资产</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33,000,750.00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w:t>
            </w:r>
          </w:p>
        </w:tc>
        <w:tc>
          <w:tcPr>
            <w:tcW w:w="219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出售理财产品</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33,851,000.00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93,363,236.40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-3.55%</w:t>
            </w:r>
          </w:p>
        </w:tc>
        <w:tc>
          <w:tcPr>
            <w:tcW w:w="219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22" w:right="183"/>
              <w:jc w:val="left"/>
              <w:rPr>
                <w:rFonts w:ascii="宋体" w:hAnsi="宋体" w:cs="宋体" w:eastAsia="宋体" w:hint="default"/>
                <w:sz w:val="18"/>
                <w:szCs w:val="18"/>
              </w:rPr>
            </w:pPr>
            <w:r>
              <w:rPr>
                <w:rFonts w:ascii="宋体" w:hAnsi="宋体" w:cs="宋体" w:eastAsia="宋体" w:hint="default"/>
                <w:sz w:val="18"/>
                <w:szCs w:val="18"/>
              </w:rPr>
              <w:t>子公司御新软件出售星河 生物股票</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10,756,532.78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12,184,521.39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-0.12%</w:t>
            </w:r>
          </w:p>
        </w:tc>
        <w:tc>
          <w:tcPr>
            <w:tcW w:w="219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供应商结算预付的货款</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4,734,876.81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-0.27%</w:t>
            </w:r>
          </w:p>
        </w:tc>
        <w:tc>
          <w:tcPr>
            <w:tcW w:w="219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软件开发完成</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1,411,478.48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459,966.00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w:t>
            </w:r>
          </w:p>
        </w:tc>
        <w:tc>
          <w:tcPr>
            <w:tcW w:w="219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设备维护费增加</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5,309,140.68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6,514,493.17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-0.09%</w:t>
            </w:r>
          </w:p>
        </w:tc>
        <w:tc>
          <w:tcPr>
            <w:tcW w:w="219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预付的安装工程款结算</w:t>
            </w:r>
          </w:p>
        </w:tc>
      </w:tr>
    </w:tbl>
    <w:p>
      <w:pPr>
        <w:spacing w:line="240" w:lineRule="auto" w:before="3"/>
        <w:rPr>
          <w:rFonts w:ascii="宋体" w:hAnsi="宋体" w:cs="宋体" w:eastAsia="宋体" w:hint="default"/>
          <w:sz w:val="19"/>
          <w:szCs w:val="19"/>
        </w:rPr>
      </w:pPr>
    </w:p>
    <w:p>
      <w:pPr>
        <w:pStyle w:val="Heading3"/>
        <w:spacing w:line="240" w:lineRule="auto" w:before="36"/>
        <w:ind w:right="242"/>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2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183"/>
        <w:gridCol w:w="1277"/>
        <w:gridCol w:w="1135"/>
        <w:gridCol w:w="1275"/>
        <w:gridCol w:w="708"/>
        <w:gridCol w:w="2824"/>
      </w:tblGrid>
      <w:tr>
        <w:trPr>
          <w:trHeight w:val="207"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246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1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259" w:right="77"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282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2461" w:type="dxa"/>
            <w:gridSpan w:val="2"/>
            <w:vMerge/>
            <w:tcBorders>
              <w:left w:val="single" w:sz="4" w:space="0" w:color="000000"/>
              <w:bottom w:val="single" w:sz="4" w:space="0" w:color="000000"/>
              <w:right w:val="single" w:sz="4" w:space="0" w:color="000000"/>
            </w:tcBorders>
            <w:shd w:val="clear" w:color="auto" w:fill="D2D2D2"/>
          </w:tcPr>
          <w:p>
            <w:pPr/>
          </w:p>
        </w:tc>
        <w:tc>
          <w:tcPr>
            <w:tcW w:w="2410" w:type="dxa"/>
            <w:gridSpan w:val="2"/>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2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7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9"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1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708" w:type="dxa"/>
            <w:vMerge/>
            <w:tcBorders>
              <w:left w:val="single" w:sz="4" w:space="0" w:color="000000"/>
              <w:right w:val="single" w:sz="4" w:space="0" w:color="000000"/>
            </w:tcBorders>
            <w:shd w:val="clear" w:color="auto" w:fill="D2D2D2"/>
          </w:tcPr>
          <w:p>
            <w:pPr/>
          </w:p>
        </w:tc>
        <w:tc>
          <w:tcPr>
            <w:tcW w:w="2824"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3"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282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8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17,837,604.21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43,548,591.89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w:t>
            </w:r>
          </w:p>
        </w:tc>
        <w:tc>
          <w:tcPr>
            <w:tcW w:w="708" w:type="dxa"/>
            <w:tcBorders>
              <w:top w:val="single" w:sz="22" w:space="0" w:color="D2D2D2"/>
              <w:left w:val="single" w:sz="4" w:space="0" w:color="000000"/>
              <w:bottom w:val="single" w:sz="4" w:space="0" w:color="000000"/>
              <w:right w:val="single" w:sz="13" w:space="0" w:color="C7EBCC"/>
            </w:tcBorders>
          </w:tcPr>
          <w:p>
            <w:pPr>
              <w:pStyle w:val="TableParagraph"/>
              <w:spacing w:line="240" w:lineRule="auto" w:before="68"/>
              <w:ind w:right="8"/>
              <w:jc w:val="right"/>
              <w:rPr>
                <w:rFonts w:ascii="Times New Roman" w:hAnsi="Times New Roman" w:cs="Times New Roman" w:eastAsia="Times New Roman" w:hint="default"/>
                <w:sz w:val="18"/>
                <w:szCs w:val="18"/>
              </w:rPr>
            </w:pPr>
            <w:r>
              <w:rPr>
                <w:rFonts w:ascii="Times New Roman"/>
                <w:sz w:val="18"/>
              </w:rPr>
              <w:t>-1.55%</w:t>
            </w:r>
          </w:p>
        </w:tc>
        <w:tc>
          <w:tcPr>
            <w:tcW w:w="282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子公司柜员机归还银行借款</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6,054,000.00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9,000,524.00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0.52%</w:t>
            </w:r>
          </w:p>
        </w:tc>
        <w:tc>
          <w:tcPr>
            <w:tcW w:w="708" w:type="dxa"/>
            <w:tcBorders>
              <w:top w:val="single" w:sz="4" w:space="0" w:color="000000"/>
              <w:left w:val="single" w:sz="4" w:space="0" w:color="000000"/>
              <w:bottom w:val="single" w:sz="4" w:space="0" w:color="000000"/>
              <w:right w:val="single" w:sz="13" w:space="0" w:color="C7EBCC"/>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-0.19%</w:t>
            </w:r>
          </w:p>
        </w:tc>
        <w:tc>
          <w:tcPr>
            <w:tcW w:w="282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银行承兑汇票承兑</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109,370,949.21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87,490,113.87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5.04%</w:t>
            </w:r>
          </w:p>
        </w:tc>
        <w:tc>
          <w:tcPr>
            <w:tcW w:w="708" w:type="dxa"/>
            <w:tcBorders>
              <w:top w:val="single" w:sz="4" w:space="0" w:color="000000"/>
              <w:left w:val="single" w:sz="4" w:space="0" w:color="000000"/>
              <w:bottom w:val="single" w:sz="4" w:space="0" w:color="000000"/>
              <w:right w:val="single" w:sz="13" w:space="0" w:color="C7EBCC"/>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0.86%</w:t>
            </w:r>
          </w:p>
        </w:tc>
        <w:tc>
          <w:tcPr>
            <w:tcW w:w="282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原材料采购增加</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8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183"/>
        <w:gridCol w:w="1277"/>
        <w:gridCol w:w="1135"/>
        <w:gridCol w:w="1275"/>
        <w:gridCol w:w="720"/>
        <w:gridCol w:w="2812"/>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6,578,438.99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12,558,711.63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0.72%</w:t>
            </w:r>
          </w:p>
        </w:tc>
        <w:tc>
          <w:tcPr>
            <w:tcW w:w="720" w:type="dxa"/>
            <w:tcBorders>
              <w:top w:val="single" w:sz="4" w:space="0" w:color="000000"/>
              <w:left w:val="single" w:sz="4" w:space="0" w:color="000000"/>
              <w:bottom w:val="single" w:sz="4" w:space="0" w:color="000000"/>
              <w:right w:val="single" w:sz="13" w:space="0" w:color="C7EBCC"/>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-0.36%</w:t>
            </w:r>
          </w:p>
        </w:tc>
        <w:tc>
          <w:tcPr>
            <w:tcW w:w="2812"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AMT</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产品上线确认营业收入</w:t>
            </w:r>
          </w:p>
        </w:tc>
      </w:tr>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10,690,351.19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0.58%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17,539,784.87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1.01%</w:t>
            </w:r>
          </w:p>
        </w:tc>
        <w:tc>
          <w:tcPr>
            <w:tcW w:w="720" w:type="dxa"/>
            <w:tcBorders>
              <w:top w:val="single" w:sz="4" w:space="0" w:color="000000"/>
              <w:left w:val="single" w:sz="4" w:space="0" w:color="000000"/>
              <w:bottom w:val="single" w:sz="4" w:space="0" w:color="000000"/>
              <w:right w:val="single" w:sz="13" w:space="0" w:color="C7EBCC"/>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-0.43%</w:t>
            </w:r>
          </w:p>
        </w:tc>
        <w:tc>
          <w:tcPr>
            <w:tcW w:w="2812"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往来款减少</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39,676,419.00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40,918,419.00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w:t>
            </w:r>
          </w:p>
        </w:tc>
        <w:tc>
          <w:tcPr>
            <w:tcW w:w="720" w:type="dxa"/>
            <w:tcBorders>
              <w:top w:val="single" w:sz="4" w:space="0" w:color="000000"/>
              <w:left w:val="single" w:sz="4" w:space="0" w:color="000000"/>
              <w:bottom w:val="single" w:sz="4" w:space="0" w:color="000000"/>
              <w:right w:val="single" w:sz="13" w:space="0" w:color="C7EBCC"/>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-0.22%</w:t>
            </w:r>
          </w:p>
        </w:tc>
        <w:tc>
          <w:tcPr>
            <w:tcW w:w="2812"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机器预计维保费减少</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723,362.17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6,646,683.07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0.38%</w:t>
            </w:r>
          </w:p>
        </w:tc>
        <w:tc>
          <w:tcPr>
            <w:tcW w:w="720" w:type="dxa"/>
            <w:tcBorders>
              <w:top w:val="single" w:sz="4" w:space="0" w:color="000000"/>
              <w:left w:val="single" w:sz="4" w:space="0" w:color="000000"/>
              <w:bottom w:val="single" w:sz="4" w:space="0" w:color="000000"/>
              <w:right w:val="single" w:sz="13" w:space="0" w:color="C7EBCC"/>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-0.34%</w:t>
            </w:r>
          </w:p>
        </w:tc>
        <w:tc>
          <w:tcPr>
            <w:tcW w:w="2812"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子公司御新软件出售星河生物股票</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-16,242.10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17,543,598.68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w:t>
            </w:r>
          </w:p>
        </w:tc>
        <w:tc>
          <w:tcPr>
            <w:tcW w:w="720" w:type="dxa"/>
            <w:tcBorders>
              <w:top w:val="single" w:sz="4" w:space="0" w:color="000000"/>
              <w:left w:val="single" w:sz="4" w:space="0" w:color="000000"/>
              <w:bottom w:val="single" w:sz="4" w:space="0" w:color="000000"/>
              <w:right w:val="single" w:sz="13" w:space="0" w:color="C7EBCC"/>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w:t>
            </w:r>
          </w:p>
        </w:tc>
        <w:tc>
          <w:tcPr>
            <w:tcW w:w="2812"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子公司御新软件出售星河生物股票</w:t>
            </w:r>
          </w:p>
        </w:tc>
      </w:tr>
    </w:tbl>
    <w:p>
      <w:pPr>
        <w:spacing w:line="240" w:lineRule="auto" w:before="3"/>
        <w:rPr>
          <w:rFonts w:ascii="宋体" w:hAnsi="宋体" w:cs="宋体" w:eastAsia="宋体" w:hint="default"/>
          <w:sz w:val="19"/>
          <w:szCs w:val="19"/>
        </w:rPr>
      </w:pPr>
    </w:p>
    <w:p>
      <w:pPr>
        <w:pStyle w:val="Heading3"/>
        <w:spacing w:line="240" w:lineRule="auto" w:before="36"/>
        <w:ind w:right="242"/>
        <w:jc w:val="left"/>
        <w:rPr>
          <w:b w:val="0"/>
          <w:bCs w:val="0"/>
        </w:rPr>
      </w:pPr>
      <w:r>
        <w:rPr>
          <w:rFonts w:ascii="Times New Roman" w:hAnsi="Times New Roman" w:cs="Times New Roman" w:eastAsia="Times New Roman" w:hint="default"/>
        </w:rPr>
        <w:t>3</w:t>
      </w:r>
      <w:r>
        <w:rPr/>
        <w:t>、以公允价值计量的资产和负债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2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2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76"/>
        <w:gridCol w:w="1213"/>
        <w:gridCol w:w="1190"/>
        <w:gridCol w:w="1372"/>
        <w:gridCol w:w="1014"/>
        <w:gridCol w:w="1201"/>
        <w:gridCol w:w="1193"/>
        <w:gridCol w:w="1198"/>
      </w:tblGrid>
      <w:tr>
        <w:trPr>
          <w:trHeight w:val="161" w:hRule="exact"/>
        </w:trPr>
        <w:tc>
          <w:tcPr>
            <w:tcW w:w="11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26" w:right="51"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141" w:right="50" w:hanging="92"/>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101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26" w:right="47" w:hanging="272"/>
              <w:jc w:val="left"/>
              <w:rPr>
                <w:rFonts w:ascii="宋体" w:hAnsi="宋体" w:cs="宋体" w:eastAsia="宋体" w:hint="default"/>
                <w:sz w:val="18"/>
                <w:szCs w:val="18"/>
              </w:rPr>
            </w:pPr>
            <w:r>
              <w:rPr>
                <w:rFonts w:ascii="宋体" w:hAnsi="宋体" w:cs="宋体" w:eastAsia="宋体" w:hint="default"/>
                <w:sz w:val="18"/>
                <w:szCs w:val="18"/>
              </w:rPr>
              <w:t>本期计提的 减值</w:t>
            </w:r>
          </w:p>
        </w:tc>
        <w:tc>
          <w:tcPr>
            <w:tcW w:w="12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1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90" w:type="dxa"/>
            <w:vMerge/>
            <w:tcBorders>
              <w:left w:val="single" w:sz="4" w:space="0" w:color="000000"/>
              <w:right w:val="single" w:sz="4" w:space="0" w:color="000000"/>
            </w:tcBorders>
            <w:shd w:val="clear" w:color="auto" w:fill="D2D2D2"/>
          </w:tcPr>
          <w:p>
            <w:pPr/>
          </w:p>
        </w:tc>
        <w:tc>
          <w:tcPr>
            <w:tcW w:w="1372" w:type="dxa"/>
            <w:vMerge/>
            <w:tcBorders>
              <w:left w:val="single" w:sz="4" w:space="0" w:color="000000"/>
              <w:right w:val="single" w:sz="4" w:space="0" w:color="000000"/>
            </w:tcBorders>
            <w:shd w:val="clear" w:color="auto" w:fill="D2D2D2"/>
          </w:tcPr>
          <w:p>
            <w:pPr/>
          </w:p>
        </w:tc>
        <w:tc>
          <w:tcPr>
            <w:tcW w:w="1014" w:type="dxa"/>
            <w:vMerge/>
            <w:tcBorders>
              <w:left w:val="single" w:sz="4" w:space="0" w:color="000000"/>
              <w:right w:val="single" w:sz="4" w:space="0" w:color="000000"/>
            </w:tcBorders>
            <w:shd w:val="clear" w:color="auto" w:fill="D2D2D2"/>
          </w:tcPr>
          <w:p>
            <w:pPr/>
          </w:p>
        </w:tc>
        <w:tc>
          <w:tcPr>
            <w:tcW w:w="12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8"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1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本期出售金额</w:t>
            </w:r>
          </w:p>
        </w:tc>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66" w:hRule="exact"/>
        </w:trPr>
        <w:tc>
          <w:tcPr>
            <w:tcW w:w="11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0" w:type="dxa"/>
            <w:vMerge/>
            <w:tcBorders>
              <w:left w:val="single" w:sz="4" w:space="0" w:color="000000"/>
              <w:bottom w:val="single" w:sz="4" w:space="0" w:color="000000"/>
              <w:right w:val="single" w:sz="4" w:space="0" w:color="000000"/>
            </w:tcBorders>
            <w:shd w:val="clear" w:color="auto" w:fill="D2D2D2"/>
          </w:tcPr>
          <w:p>
            <w:pPr/>
          </w:p>
        </w:tc>
        <w:tc>
          <w:tcPr>
            <w:tcW w:w="1372" w:type="dxa"/>
            <w:vMerge/>
            <w:tcBorders>
              <w:left w:val="single" w:sz="4" w:space="0" w:color="000000"/>
              <w:bottom w:val="single" w:sz="4" w:space="0" w:color="000000"/>
              <w:right w:val="single" w:sz="4" w:space="0" w:color="000000"/>
            </w:tcBorders>
            <w:shd w:val="clear" w:color="auto" w:fill="D2D2D2"/>
          </w:tcPr>
          <w:p>
            <w:pPr/>
          </w:p>
        </w:tc>
        <w:tc>
          <w:tcPr>
            <w:tcW w:w="1014" w:type="dxa"/>
            <w:vMerge/>
            <w:tcBorders>
              <w:left w:val="single" w:sz="4" w:space="0" w:color="000000"/>
              <w:bottom w:val="single" w:sz="4" w:space="0" w:color="000000"/>
              <w:right w:val="single" w:sz="4" w:space="0" w:color="000000"/>
            </w:tcBorders>
            <w:shd w:val="clear" w:color="auto" w:fill="D2D2D2"/>
          </w:tcPr>
          <w:p>
            <w:pPr/>
          </w:p>
        </w:tc>
        <w:tc>
          <w:tcPr>
            <w:tcW w:w="12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382"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961" w:hRule="exact"/>
        </w:trPr>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7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 计量且其变动 计入当期损益 的金融资（不 含衍生金融资 产）</w:t>
            </w:r>
          </w:p>
        </w:tc>
        <w:tc>
          <w:tcPr>
            <w:tcW w:w="12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33,000,750.00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33,000,750.00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 融资产</w:t>
            </w:r>
          </w:p>
        </w:tc>
        <w:tc>
          <w:tcPr>
            <w:tcW w:w="12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58,503,236.40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1,693,841.95</w:t>
            </w:r>
          </w:p>
        </w:tc>
        <w:tc>
          <w:tcPr>
            <w:tcW w:w="1372"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60,197,078.35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2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91,503,986.40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1,693,841.95</w:t>
            </w:r>
          </w:p>
        </w:tc>
        <w:tc>
          <w:tcPr>
            <w:tcW w:w="1372"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93,197,828.35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91,503,986.40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1,693,841.95</w:t>
            </w:r>
          </w:p>
        </w:tc>
        <w:tc>
          <w:tcPr>
            <w:tcW w:w="1372"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93,197,828.35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0"/>
        <w:jc w:val="both"/>
      </w:pPr>
      <w:r>
        <w:rPr/>
        <w:t>报告期内公司主要资产计量属性是否发生重大变化</w:t>
      </w:r>
    </w:p>
    <w:p>
      <w:pPr>
        <w:pStyle w:val="BodyText"/>
        <w:spacing w:line="240" w:lineRule="auto" w:before="117"/>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五、核心竞争力分析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513" w:right="242"/>
        <w:jc w:val="left"/>
        <w:rPr>
          <w:rFonts w:ascii="Times New Roman" w:hAnsi="Times New Roman" w:cs="Times New Roman" w:eastAsia="Times New Roman" w:hint="default"/>
        </w:rPr>
      </w:pPr>
      <w:r>
        <w:rPr>
          <w:rFonts w:ascii="Times New Roman" w:hAnsi="Times New Roman" w:cs="Times New Roman" w:eastAsia="Times New Roman" w:hint="default"/>
        </w:rPr>
        <w:t>1</w:t>
      </w:r>
      <w:r>
        <w:rPr/>
        <w:t>、生产优势 </w:t>
      </w:r>
      <w:r>
        <w:rPr>
          <w:spacing w:val="-4"/>
        </w:rPr>
        <w:t>为了满足迅速增长的市场需求和公司业务快速发展的要求，公司新厂房投入后，产能有了飞跃性的提升，拥有超过</w:t>
      </w:r>
      <w:r>
        <w:rPr>
          <w:rFonts w:ascii="Times New Roman" w:hAnsi="Times New Roman" w:cs="Times New Roman" w:eastAsia="Times New Roman" w:hint="default"/>
          <w:spacing w:val="-4"/>
        </w:rPr>
        <w:t>30,000</w:t>
      </w:r>
    </w:p>
    <w:p>
      <w:pPr>
        <w:pStyle w:val="BodyText"/>
        <w:spacing w:line="316" w:lineRule="auto" w:before="13"/>
        <w:ind w:right="253"/>
        <w:jc w:val="both"/>
      </w:pPr>
      <w:r>
        <w:rPr>
          <w:spacing w:val="-2"/>
        </w:rPr>
        <w:t>台的生产能力。使公司的生产设备在国内同行业中占有相对领先优势，为公司进一步提高产品质量和满足客户交货要求提供</w:t>
      </w:r>
      <w:r>
        <w:rPr>
          <w:spacing w:val="-64"/>
        </w:rPr>
        <w:t> </w:t>
      </w:r>
      <w:r>
        <w:rPr>
          <w:spacing w:val="-64"/>
        </w:rPr>
      </w:r>
      <w:r>
        <w:rPr/>
        <w:t>有力的保证。</w:t>
      </w:r>
    </w:p>
    <w:p>
      <w:pPr>
        <w:pStyle w:val="BodyText"/>
        <w:spacing w:line="300" w:lineRule="auto" w:before="19"/>
        <w:ind w:left="513" w:right="242"/>
        <w:jc w:val="left"/>
      </w:pPr>
      <w:r>
        <w:rPr>
          <w:rFonts w:ascii="Times New Roman" w:hAnsi="Times New Roman" w:cs="Times New Roman" w:eastAsia="Times New Roman" w:hint="default"/>
        </w:rPr>
        <w:t>2</w:t>
      </w:r>
      <w:r>
        <w:rPr/>
        <w:t>、研发设计优势 </w:t>
      </w:r>
      <w:r>
        <w:rPr>
          <w:spacing w:val="-2"/>
        </w:rPr>
        <w:t>公司高度重视产品研发，坚持自主研发、自主创新，积极培养及引进高端技术人才，与国内外多家顶尖院校、企业、研</w:t>
      </w:r>
    </w:p>
    <w:p>
      <w:pPr>
        <w:pStyle w:val="BodyText"/>
        <w:spacing w:line="309" w:lineRule="auto" w:before="31"/>
        <w:ind w:right="250"/>
        <w:jc w:val="both"/>
      </w:pPr>
      <w:r>
        <w:rPr>
          <w:spacing w:val="-2"/>
        </w:rPr>
        <w:t>究机构、行业协会等单位建立长期合作关系，并凝聚了一批经验丰富的银行自助设备资深专家，构建顶尖的专业团队及科研</w:t>
      </w:r>
      <w:r>
        <w:rPr>
          <w:spacing w:val="-63"/>
        </w:rPr>
        <w:t> </w:t>
      </w:r>
      <w:r>
        <w:rPr>
          <w:spacing w:val="-63"/>
        </w:rPr>
      </w:r>
      <w:r>
        <w:rPr/>
        <w:t>平台，以掌握未来科技的制高点。逐步形成涵盖</w:t>
      </w:r>
      <w:r>
        <w:rPr>
          <w:rFonts w:ascii="Times New Roman" w:hAnsi="Times New Roman" w:cs="Times New Roman" w:eastAsia="Times New Roman" w:hint="default"/>
        </w:rPr>
        <w:t>ATM</w:t>
      </w:r>
      <w:r>
        <w:rPr/>
        <w:t>自主品牌整机研发设计生产，核心模块自主研发、多功能交易系统机</w:t>
      </w:r>
      <w:r>
        <w:rPr>
          <w:spacing w:val="-43"/>
        </w:rPr>
        <w:t> </w:t>
      </w:r>
      <w:r>
        <w:rPr>
          <w:spacing w:val="-43"/>
        </w:rPr>
      </w:r>
      <w:r>
        <w:rPr/>
        <w:t>型设计、产品升级换代、软件开发集成等综合研发能力。</w:t>
      </w:r>
    </w:p>
    <w:p>
      <w:pPr>
        <w:pStyle w:val="BodyText"/>
        <w:spacing w:line="300" w:lineRule="auto" w:before="24"/>
        <w:ind w:left="513" w:right="242"/>
        <w:jc w:val="left"/>
      </w:pPr>
      <w:r>
        <w:rPr>
          <w:rFonts w:ascii="Times New Roman" w:hAnsi="Times New Roman" w:cs="Times New Roman" w:eastAsia="Times New Roman" w:hint="default"/>
        </w:rPr>
        <w:t>3</w:t>
      </w:r>
      <w:r>
        <w:rPr/>
        <w:t>、金融安全方面的优势 公司生产的</w:t>
      </w:r>
      <w:r>
        <w:rPr>
          <w:rFonts w:ascii="Times New Roman" w:hAnsi="Times New Roman" w:cs="Times New Roman" w:eastAsia="Times New Roman" w:hint="default"/>
        </w:rPr>
        <w:t>ATM</w:t>
      </w:r>
      <w:r>
        <w:rPr/>
        <w:t>设备，其硬件驱动程序、</w:t>
      </w:r>
      <w:r>
        <w:rPr>
          <w:rFonts w:ascii="Times New Roman" w:hAnsi="Times New Roman" w:cs="Times New Roman" w:eastAsia="Times New Roman" w:hint="default"/>
        </w:rPr>
        <w:t>SP</w:t>
      </w:r>
      <w:r>
        <w:rPr/>
        <w:t>软件部分等均由我司独立开发；通讯软件、应用程序等相关软件由我司或</w:t>
      </w:r>
    </w:p>
    <w:p>
      <w:pPr>
        <w:spacing w:after="0" w:line="300" w:lineRule="auto"/>
        <w:jc w:val="left"/>
        <w:sectPr>
          <w:pgSz w:w="11910" w:h="16840"/>
          <w:pgMar w:header="745" w:footer="980" w:top="1060" w:bottom="1160" w:left="980" w:right="880"/>
        </w:sectPr>
      </w:pPr>
    </w:p>
    <w:p>
      <w:pPr>
        <w:spacing w:line="240" w:lineRule="auto" w:before="9"/>
        <w:rPr>
          <w:rFonts w:ascii="宋体" w:hAnsi="宋体" w:cs="宋体" w:eastAsia="宋体" w:hint="default"/>
          <w:sz w:val="25"/>
          <w:szCs w:val="25"/>
        </w:rPr>
      </w:pPr>
    </w:p>
    <w:p>
      <w:pPr>
        <w:pStyle w:val="BodyText"/>
        <w:spacing w:line="300" w:lineRule="auto" w:before="44"/>
        <w:ind w:left="392" w:right="314"/>
        <w:jc w:val="left"/>
      </w:pPr>
      <w:r>
        <w:rPr/>
        <w:t>国内合作伙伴开发提供。公司产品均经过严格检测，不存在有窃取用户信息插件的情况，同时公司全面开展基于</w:t>
      </w:r>
      <w:r>
        <w:rPr>
          <w:rFonts w:ascii="Times New Roman" w:hAnsi="Times New Roman" w:cs="Times New Roman" w:eastAsia="Times New Roman" w:hint="default"/>
        </w:rPr>
        <w:t>Linux</w:t>
      </w:r>
      <w:r>
        <w:rPr/>
        <w:t>国产</w:t>
      </w:r>
      <w:r>
        <w:rPr>
          <w:spacing w:val="-62"/>
        </w:rPr>
        <w:t> </w:t>
      </w:r>
      <w:r>
        <w:rPr/>
        <w:t>操作系统的支持程序开发工作，同时进行基于跨操作系统的云安全开发工作，并取得较大的进展。</w:t>
      </w:r>
    </w:p>
    <w:p>
      <w:pPr>
        <w:pStyle w:val="BodyText"/>
        <w:spacing w:line="300" w:lineRule="auto" w:before="31"/>
        <w:ind w:left="753" w:right="314"/>
        <w:jc w:val="left"/>
      </w:pPr>
      <w:r>
        <w:rPr>
          <w:rFonts w:ascii="Times New Roman" w:hAnsi="Times New Roman" w:cs="Times New Roman" w:eastAsia="Times New Roman" w:hint="default"/>
        </w:rPr>
        <w:t>4</w:t>
      </w:r>
      <w:r>
        <w:rPr/>
        <w:t>、后台服务系统的优势 </w:t>
      </w:r>
      <w:r>
        <w:rPr>
          <w:spacing w:val="-4"/>
        </w:rPr>
        <w:t>御银客户服务管理云平台通过“一站式”应用和“云”的理念，试图打破运维服务信息化边界，让公司内部、银行客户、</w:t>
      </w:r>
    </w:p>
    <w:p>
      <w:pPr>
        <w:pStyle w:val="BodyText"/>
        <w:spacing w:line="312" w:lineRule="auto" w:before="31"/>
        <w:ind w:left="392" w:right="314"/>
        <w:jc w:val="left"/>
      </w:pPr>
      <w:r>
        <w:rPr>
          <w:spacing w:val="-8"/>
          <w:w w:val="99"/>
        </w:rPr>
        <w:t>代理商、分公司、各维护服务站等在同一平台上享用各种应用服务。通过云计算技术，能支持不同的终端接入，如手机、</w:t>
      </w:r>
      <w:r>
        <w:rPr>
          <w:rFonts w:ascii="Times New Roman" w:hAnsi="Times New Roman" w:cs="Times New Roman" w:eastAsia="Times New Roman" w:hint="default"/>
          <w:spacing w:val="-8"/>
          <w:w w:val="99"/>
        </w:rPr>
        <w:t>IPAD</w:t>
      </w:r>
      <w:r>
        <w:rPr>
          <w:spacing w:val="-8"/>
          <w:w w:val="99"/>
        </w:rPr>
        <w:t>、</w:t>
      </w:r>
      <w:r>
        <w:rPr>
          <w:spacing w:val="-38"/>
          <w:w w:val="99"/>
        </w:rPr>
        <w:t> </w:t>
      </w:r>
      <w:r>
        <w:rPr/>
        <w:t>便携笔记本等，使得空间和时间不再受限，实现信息即时化，极大提高信息获取和反馈的速度，从而提高各方的工作效率， </w:t>
      </w:r>
      <w:r>
        <w:rPr>
          <w:spacing w:val="-2"/>
        </w:rPr>
        <w:t>降低运营成本，提升各方的满意度。同时，引入先进的物联网技术，将各类设备将互联网连接起来，实现“物”和信息的有</w:t>
      </w:r>
      <w:r>
        <w:rPr>
          <w:spacing w:val="-69"/>
        </w:rPr>
        <w:t> </w:t>
      </w:r>
      <w:r>
        <w:rPr>
          <w:spacing w:val="-69"/>
        </w:rPr>
      </w:r>
      <w:r>
        <w:rPr/>
        <w:t>机结合，能够更准确、更全面的进行管理，避免了信息的断层，为公司客户服务的及时性有效性打下坚实的基础。</w:t>
      </w:r>
    </w:p>
    <w:p>
      <w:pPr>
        <w:pStyle w:val="BodyText"/>
        <w:spacing w:line="300" w:lineRule="auto" w:before="22"/>
        <w:ind w:left="753" w:right="314"/>
        <w:jc w:val="left"/>
      </w:pPr>
      <w:r>
        <w:rPr>
          <w:rFonts w:ascii="Times New Roman" w:hAnsi="Times New Roman" w:cs="Times New Roman" w:eastAsia="Times New Roman" w:hint="default"/>
        </w:rPr>
        <w:t>5</w:t>
      </w:r>
      <w:r>
        <w:rPr/>
        <w:t>、市场开发的优势 </w:t>
      </w:r>
      <w:r>
        <w:rPr>
          <w:spacing w:val="-2"/>
        </w:rPr>
        <w:t>随着行业市场空间的增长和国产化进程加快双重驱动，使得公司的市场份额不断增加，</w:t>
      </w:r>
      <w:r>
        <w:rPr>
          <w:rFonts w:ascii="Times New Roman" w:hAnsi="Times New Roman" w:cs="Times New Roman" w:eastAsia="Times New Roman" w:hint="default"/>
          <w:spacing w:val="-2"/>
        </w:rPr>
        <w:t>2014</w:t>
      </w:r>
      <w:r>
        <w:rPr>
          <w:spacing w:val="-2"/>
        </w:rPr>
        <w:t>年，公司分别以第一名第二</w:t>
      </w:r>
    </w:p>
    <w:p>
      <w:pPr>
        <w:pStyle w:val="BodyText"/>
        <w:spacing w:line="312" w:lineRule="auto" w:before="13"/>
        <w:ind w:left="392" w:right="410"/>
        <w:jc w:val="both"/>
      </w:pPr>
      <w:r>
        <w:rPr/>
        <w:t>名的优势中标中国建设银行股份有限公司一体机及</w:t>
      </w:r>
      <w:r>
        <w:rPr>
          <w:rFonts w:ascii="Times New Roman" w:hAnsi="Times New Roman" w:cs="Times New Roman" w:eastAsia="Times New Roman" w:hint="default"/>
        </w:rPr>
        <w:t>ATM</w:t>
      </w:r>
      <w:r>
        <w:rPr/>
        <w:t>（国产）采购项目，同时，继</w:t>
      </w:r>
      <w:r>
        <w:rPr>
          <w:rFonts w:ascii="Times New Roman" w:hAnsi="Times New Roman" w:cs="Times New Roman" w:eastAsia="Times New Roman" w:hint="default"/>
        </w:rPr>
        <w:t>2013</w:t>
      </w:r>
      <w:r>
        <w:rPr/>
        <w:t>年末公司成功成为中国工商银行</w:t>
      </w:r>
      <w:r>
        <w:rPr>
          <w:spacing w:val="-39"/>
        </w:rPr>
        <w:t> </w:t>
      </w:r>
      <w:r>
        <w:rPr>
          <w:spacing w:val="-39"/>
        </w:rPr>
      </w:r>
      <w:r>
        <w:rPr>
          <w:spacing w:val="-2"/>
        </w:rPr>
        <w:t>的自动取款机供应商以来，双方建立了良好的合作关系。首次成为中国工商银行的存取款一体机供应商，进一步公司整体实</w:t>
      </w:r>
      <w:r>
        <w:rPr>
          <w:spacing w:val="-63"/>
        </w:rPr>
        <w:t> </w:t>
      </w:r>
      <w:r>
        <w:rPr>
          <w:spacing w:val="-63"/>
        </w:rPr>
      </w:r>
      <w:r>
        <w:rPr>
          <w:spacing w:val="-2"/>
        </w:rPr>
        <w:t>力的反映，体现了公司凭借着高品质的产品、周到的服务和较强的技术研发能力被越来越多的客户认可和支持，巩固和提升</w:t>
      </w:r>
      <w:r>
        <w:rPr>
          <w:spacing w:val="-63"/>
        </w:rPr>
        <w:t> </w:t>
      </w:r>
      <w:r>
        <w:rPr>
          <w:spacing w:val="-63"/>
        </w:rPr>
      </w:r>
      <w:r>
        <w:rPr/>
        <w:t>了公司在国产品牌供应商的地位，为公司的长期发展战略的实现奠定了坚实的基础。</w:t>
      </w:r>
    </w:p>
    <w:p>
      <w:pPr>
        <w:pStyle w:val="BodyText"/>
        <w:spacing w:line="340" w:lineRule="auto" w:before="22"/>
        <w:ind w:left="753" w:right="314"/>
        <w:jc w:val="left"/>
      </w:pPr>
      <w:r>
        <w:rPr>
          <w:rFonts w:ascii="Times New Roman" w:hAnsi="Times New Roman" w:cs="Times New Roman" w:eastAsia="Times New Roman" w:hint="default"/>
        </w:rPr>
        <w:t>6</w:t>
      </w:r>
      <w:r>
        <w:rPr/>
        <w:t>、蓄势待发的金融业务 </w:t>
      </w:r>
      <w:r>
        <w:rPr>
          <w:spacing w:val="-2"/>
        </w:rPr>
        <w:t>随着近年来一系列有利于互联网金融发展的政策相继出台，国家政策的大力支持给互联网金融未来的健康发展提供了有</w:t>
      </w:r>
    </w:p>
    <w:p>
      <w:pPr>
        <w:pStyle w:val="BodyText"/>
        <w:spacing w:line="316" w:lineRule="auto" w:before="1"/>
        <w:ind w:left="392" w:right="314"/>
        <w:jc w:val="left"/>
      </w:pPr>
      <w:r>
        <w:rPr/>
        <w:t>力保障。同时，互联网经济规模的扩大及变革推动互联网金融快速发展，而互联网与金融的结合突破了传统金融发展瓶颈， </w:t>
      </w:r>
      <w:r>
        <w:rPr>
          <w:spacing w:val="-2"/>
        </w:rPr>
        <w:t>促进金融服务模式的创新。互联网金融因其创新模式、低成本优势、便捷方便等特点，正日益成为人们经济社会生活的重要</w:t>
      </w:r>
      <w:r>
        <w:rPr>
          <w:spacing w:val="-64"/>
        </w:rPr>
        <w:t> </w:t>
      </w:r>
      <w:r>
        <w:rPr>
          <w:spacing w:val="-64"/>
        </w:rPr>
      </w:r>
      <w:r>
        <w:rPr>
          <w:spacing w:val="-2"/>
        </w:rPr>
        <w:t>组成部分，互联网支付、网络借贷、互联网众筹等互联网金融各领域不论是平台数量还是行业规模都呈现爆炸式增长，使得</w:t>
      </w:r>
      <w:r>
        <w:rPr>
          <w:spacing w:val="-64"/>
        </w:rPr>
        <w:t> </w:t>
      </w:r>
      <w:r>
        <w:rPr>
          <w:spacing w:val="-64"/>
        </w:rPr>
      </w:r>
      <w:r>
        <w:rPr/>
        <w:t>互联网金融的发展拥有无限广阔的空间。</w:t>
      </w:r>
    </w:p>
    <w:p>
      <w:pPr>
        <w:spacing w:line="240" w:lineRule="auto" w:before="9"/>
        <w:rPr>
          <w:rFonts w:ascii="宋体" w:hAnsi="宋体" w:cs="宋体" w:eastAsia="宋体" w:hint="default"/>
          <w:sz w:val="20"/>
          <w:szCs w:val="20"/>
        </w:rPr>
      </w:pPr>
    </w:p>
    <w:p>
      <w:pPr>
        <w:pStyle w:val="Heading2"/>
        <w:spacing w:line="240" w:lineRule="auto"/>
        <w:ind w:left="392" w:right="314"/>
        <w:jc w:val="left"/>
        <w:rPr>
          <w:b w:val="0"/>
          <w:bCs w:val="0"/>
        </w:rPr>
      </w:pPr>
      <w:r>
        <w:rPr/>
        <w:t>六、投资状况分析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392" w:right="314"/>
        <w:jc w:val="left"/>
        <w:rPr>
          <w:b w:val="0"/>
          <w:bCs w:val="0"/>
        </w:rPr>
      </w:pPr>
      <w:r>
        <w:rPr>
          <w:rFonts w:ascii="Times New Roman" w:hAnsi="Times New Roman" w:cs="Times New Roman" w:eastAsia="Times New Roman" w:hint="default"/>
        </w:rPr>
        <w:t>1</w:t>
      </w:r>
      <w:r>
        <w:rPr/>
        <w:t>、对外股权投资情况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392" w:right="314"/>
        <w:jc w:val="left"/>
        <w:rPr>
          <w:b w:val="0"/>
          <w:bCs w:val="0"/>
        </w:rPr>
      </w:pPr>
      <w:r>
        <w:rPr/>
        <w:t>（</w:t>
      </w:r>
      <w:r>
        <w:rPr>
          <w:rFonts w:ascii="Times New Roman" w:hAnsi="Times New Roman" w:cs="Times New Roman" w:eastAsia="Times New Roman" w:hint="default"/>
        </w:rPr>
        <w:t>1</w:t>
      </w:r>
      <w:r>
        <w:rPr/>
        <w:t>）对外投资情况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392" w:right="3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387"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上市公司占被投资公司权益比例</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广州御银信息科技有限公司</w:t>
            </w:r>
          </w:p>
        </w:tc>
        <w:tc>
          <w:tcPr>
            <w:tcW w:w="3192"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3"/>
        <w:rPr>
          <w:rFonts w:ascii="宋体" w:hAnsi="宋体" w:cs="宋体" w:eastAsia="宋体" w:hint="default"/>
          <w:sz w:val="19"/>
          <w:szCs w:val="19"/>
        </w:rPr>
      </w:pPr>
    </w:p>
    <w:p>
      <w:pPr>
        <w:pStyle w:val="Heading3"/>
        <w:spacing w:line="240" w:lineRule="auto" w:before="36"/>
        <w:ind w:left="392" w:right="314"/>
        <w:jc w:val="left"/>
        <w:rPr>
          <w:b w:val="0"/>
          <w:bCs w:val="0"/>
        </w:rPr>
      </w:pP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392" w:right="3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1160"/>
        <w:gridCol w:w="826"/>
        <w:gridCol w:w="1133"/>
        <w:gridCol w:w="994"/>
        <w:gridCol w:w="708"/>
        <w:gridCol w:w="994"/>
        <w:gridCol w:w="850"/>
        <w:gridCol w:w="1277"/>
        <w:gridCol w:w="850"/>
        <w:gridCol w:w="850"/>
        <w:gridCol w:w="569"/>
      </w:tblGrid>
      <w:tr>
        <w:trPr>
          <w:trHeight w:val="715" w:hRule="exact"/>
        </w:trPr>
        <w:tc>
          <w:tcPr>
            <w:tcW w:w="1160" w:type="dxa"/>
            <w:tcBorders>
              <w:top w:val="single" w:sz="4" w:space="0" w:color="000000"/>
              <w:left w:val="single" w:sz="4" w:space="0" w:color="000000"/>
              <w:bottom w:val="single" w:sz="8" w:space="0" w:color="C7EBCC"/>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公司类别</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1" w:right="110" w:hanging="89"/>
              <w:jc w:val="left"/>
              <w:rPr>
                <w:rFonts w:ascii="宋体" w:hAnsi="宋体" w:cs="宋体" w:eastAsia="宋体" w:hint="default"/>
                <w:sz w:val="18"/>
                <w:szCs w:val="18"/>
              </w:rPr>
            </w:pPr>
            <w:r>
              <w:rPr>
                <w:rFonts w:ascii="宋体" w:hAnsi="宋体" w:cs="宋体" w:eastAsia="宋体" w:hint="default"/>
                <w:sz w:val="18"/>
                <w:szCs w:val="18"/>
              </w:rPr>
              <w:t>最初投资成 本（元）</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2" w:right="41" w:hanging="92"/>
              <w:jc w:val="left"/>
              <w:rPr>
                <w:rFonts w:ascii="宋体" w:hAnsi="宋体" w:cs="宋体" w:eastAsia="宋体" w:hint="default"/>
                <w:sz w:val="18"/>
                <w:szCs w:val="18"/>
              </w:rPr>
            </w:pPr>
            <w:r>
              <w:rPr>
                <w:rFonts w:ascii="宋体" w:hAnsi="宋体" w:cs="宋体" w:eastAsia="宋体" w:hint="default"/>
                <w:sz w:val="18"/>
                <w:szCs w:val="18"/>
              </w:rPr>
              <w:t>期初持股数 量（股）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left"/>
              <w:rPr>
                <w:rFonts w:ascii="宋体" w:hAnsi="宋体" w:cs="宋体" w:eastAsia="宋体" w:hint="default"/>
                <w:sz w:val="18"/>
                <w:szCs w:val="18"/>
              </w:rPr>
            </w:pPr>
            <w:r>
              <w:rPr>
                <w:rFonts w:ascii="宋体" w:hAnsi="宋体" w:cs="宋体" w:eastAsia="宋体" w:hint="default"/>
                <w:sz w:val="18"/>
                <w:szCs w:val="18"/>
              </w:rPr>
              <w:t>期初持 股比例</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2" w:right="41" w:hanging="92"/>
              <w:jc w:val="left"/>
              <w:rPr>
                <w:rFonts w:ascii="宋体" w:hAnsi="宋体" w:cs="宋体" w:eastAsia="宋体" w:hint="default"/>
                <w:sz w:val="18"/>
                <w:szCs w:val="18"/>
              </w:rPr>
            </w:pPr>
            <w:r>
              <w:rPr>
                <w:rFonts w:ascii="宋体" w:hAnsi="宋体" w:cs="宋体" w:eastAsia="宋体" w:hint="default"/>
                <w:sz w:val="18"/>
                <w:szCs w:val="18"/>
              </w:rPr>
              <w:t>期末持股数 量（股）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9" w:right="59" w:hanging="180"/>
              <w:jc w:val="left"/>
              <w:rPr>
                <w:rFonts w:ascii="宋体" w:hAnsi="宋体" w:cs="宋体" w:eastAsia="宋体" w:hint="default"/>
                <w:sz w:val="18"/>
                <w:szCs w:val="18"/>
              </w:rPr>
            </w:pPr>
            <w:r>
              <w:rPr>
                <w:rFonts w:ascii="宋体" w:hAnsi="宋体" w:cs="宋体" w:eastAsia="宋体" w:hint="default"/>
                <w:sz w:val="18"/>
                <w:szCs w:val="18"/>
              </w:rPr>
              <w:t>期末持股 比例</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期末账面值</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 w:right="58"/>
              <w:jc w:val="left"/>
              <w:rPr>
                <w:rFonts w:ascii="宋体" w:hAnsi="宋体" w:cs="宋体" w:eastAsia="宋体" w:hint="default"/>
                <w:sz w:val="18"/>
                <w:szCs w:val="18"/>
              </w:rPr>
            </w:pPr>
            <w:r>
              <w:rPr>
                <w:rFonts w:ascii="宋体" w:hAnsi="宋体" w:cs="宋体" w:eastAsia="宋体" w:hint="default"/>
                <w:sz w:val="18"/>
                <w:szCs w:val="18"/>
              </w:rPr>
              <w:t>报告期损 益（元）</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9" w:right="59"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569" w:type="dxa"/>
            <w:tcBorders>
              <w:top w:val="single" w:sz="4" w:space="0" w:color="000000"/>
              <w:left w:val="single" w:sz="4" w:space="0" w:color="000000"/>
              <w:bottom w:val="single" w:sz="8" w:space="0" w:color="C7EBCC"/>
              <w:right w:val="single" w:sz="4" w:space="0" w:color="000000"/>
            </w:tcBorders>
            <w:shd w:val="clear" w:color="auto" w:fill="D2D2D2"/>
          </w:tcPr>
          <w:p>
            <w:pPr>
              <w:pStyle w:val="TableParagraph"/>
              <w:spacing w:line="316" w:lineRule="auto" w:before="49"/>
              <w:ind w:left="98" w:right="98"/>
              <w:jc w:val="left"/>
              <w:rPr>
                <w:rFonts w:ascii="宋体" w:hAnsi="宋体" w:cs="宋体" w:eastAsia="宋体" w:hint="default"/>
                <w:sz w:val="18"/>
                <w:szCs w:val="18"/>
              </w:rPr>
            </w:pPr>
            <w:r>
              <w:rPr>
                <w:rFonts w:ascii="宋体" w:hAnsi="宋体" w:cs="宋体" w:eastAsia="宋体" w:hint="default"/>
                <w:sz w:val="18"/>
                <w:szCs w:val="18"/>
              </w:rPr>
              <w:t>股份 来源</w:t>
            </w:r>
          </w:p>
        </w:tc>
      </w:tr>
      <w:tr>
        <w:trPr>
          <w:trHeight w:val="713" w:hRule="exact"/>
        </w:trPr>
        <w:tc>
          <w:tcPr>
            <w:tcW w:w="116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68"/>
              <w:ind w:left="24" w:right="45"/>
              <w:jc w:val="left"/>
              <w:rPr>
                <w:rFonts w:ascii="宋体" w:hAnsi="宋体" w:cs="宋体" w:eastAsia="宋体" w:hint="default"/>
                <w:sz w:val="18"/>
                <w:szCs w:val="18"/>
              </w:rPr>
            </w:pPr>
            <w:r>
              <w:rPr>
                <w:rFonts w:ascii="宋体" w:hAnsi="宋体" w:cs="宋体" w:eastAsia="宋体" w:hint="default"/>
                <w:sz w:val="18"/>
                <w:szCs w:val="18"/>
              </w:rPr>
              <w:t>广州花都稠州 村镇银行股份</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商业银行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25,000,000.00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25,000,000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25,000,000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10.00%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25,000,000.00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4" w:right="0"/>
              <w:jc w:val="lef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5"/>
              <w:jc w:val="left"/>
              <w:rPr>
                <w:rFonts w:ascii="宋体" w:hAnsi="宋体" w:cs="宋体" w:eastAsia="宋体" w:hint="default"/>
                <w:sz w:val="18"/>
                <w:szCs w:val="18"/>
              </w:rPr>
            </w:pPr>
            <w:r>
              <w:rPr>
                <w:rFonts w:ascii="宋体" w:hAnsi="宋体" w:cs="宋体" w:eastAsia="宋体" w:hint="default"/>
                <w:sz w:val="18"/>
                <w:szCs w:val="18"/>
              </w:rPr>
              <w:t>可供出售 金融资产</w:t>
            </w:r>
          </w:p>
        </w:tc>
        <w:tc>
          <w:tcPr>
            <w:tcW w:w="56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68"/>
              <w:ind w:left="23" w:right="173"/>
              <w:jc w:val="left"/>
              <w:rPr>
                <w:rFonts w:ascii="宋体" w:hAnsi="宋体" w:cs="宋体" w:eastAsia="宋体" w:hint="default"/>
                <w:sz w:val="18"/>
                <w:szCs w:val="18"/>
              </w:rPr>
            </w:pPr>
            <w:r>
              <w:rPr>
                <w:rFonts w:ascii="宋体" w:hAnsi="宋体" w:cs="宋体" w:eastAsia="宋体" w:hint="default"/>
                <w:sz w:val="18"/>
                <w:szCs w:val="18"/>
              </w:rPr>
              <w:t>发起 人股</w:t>
            </w:r>
          </w:p>
        </w:tc>
      </w:tr>
    </w:tbl>
    <w:p>
      <w:pPr>
        <w:spacing w:after="0" w:line="316" w:lineRule="auto"/>
        <w:jc w:val="left"/>
        <w:rPr>
          <w:rFonts w:ascii="宋体" w:hAnsi="宋体" w:cs="宋体" w:eastAsia="宋体" w:hint="default"/>
          <w:sz w:val="18"/>
          <w:szCs w:val="18"/>
        </w:rPr>
        <w:sectPr>
          <w:pgSz w:w="11910" w:h="16840"/>
          <w:pgMar w:header="745" w:footer="980" w:top="1060" w:bottom="1160" w:left="740" w:right="720"/>
        </w:sectPr>
      </w:pPr>
    </w:p>
    <w:p>
      <w:pPr>
        <w:spacing w:line="240" w:lineRule="auto" w:before="6"/>
        <w:rPr>
          <w:rFonts w:ascii="宋体" w:hAnsi="宋体" w:cs="宋体" w:eastAsia="宋体" w:hint="default"/>
          <w:sz w:val="28"/>
          <w:szCs w:val="28"/>
        </w:rPr>
      </w:pPr>
    </w:p>
    <w:tbl>
      <w:tblPr>
        <w:tblW w:w="0" w:type="auto"/>
        <w:jc w:val="left"/>
        <w:tblInd w:w="244" w:type="dxa"/>
        <w:tblLayout w:type="fixed"/>
        <w:tblCellMar>
          <w:top w:w="0" w:type="dxa"/>
          <w:left w:w="0" w:type="dxa"/>
          <w:bottom w:w="0" w:type="dxa"/>
          <w:right w:w="0" w:type="dxa"/>
        </w:tblCellMar>
        <w:tblLook w:val="01E0"/>
      </w:tblPr>
      <w:tblGrid>
        <w:gridCol w:w="1160"/>
        <w:gridCol w:w="826"/>
        <w:gridCol w:w="1133"/>
        <w:gridCol w:w="994"/>
        <w:gridCol w:w="708"/>
        <w:gridCol w:w="994"/>
        <w:gridCol w:w="850"/>
        <w:gridCol w:w="1277"/>
        <w:gridCol w:w="850"/>
        <w:gridCol w:w="850"/>
        <w:gridCol w:w="569"/>
      </w:tblGrid>
      <w:tr>
        <w:trPr>
          <w:trHeight w:val="362" w:hRule="exact"/>
        </w:trPr>
        <w:tc>
          <w:tcPr>
            <w:tcW w:w="116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2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份</w:t>
            </w:r>
          </w:p>
        </w:tc>
      </w:tr>
      <w:tr>
        <w:trPr>
          <w:trHeight w:val="401" w:hRule="exact"/>
        </w:trPr>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25,000,000.00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25,000,000</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8" w:right="0"/>
              <w:jc w:val="left"/>
              <w:rPr>
                <w:rFonts w:ascii="Times New Roman" w:hAnsi="Times New Roman" w:cs="Times New Roman" w:eastAsia="Times New Roman" w:hint="default"/>
                <w:sz w:val="18"/>
                <w:szCs w:val="18"/>
              </w:rPr>
            </w:pPr>
            <w:r>
              <w:rPr>
                <w:rFonts w:ascii="Times New Roman"/>
                <w:sz w:val="18"/>
              </w:rPr>
              <w:t>25,000,000</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25,000,000.00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4" w:right="0"/>
              <w:jc w:val="lef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left="532" w:right="5725"/>
        <w:jc w:val="left"/>
        <w:rPr>
          <w:b w:val="0"/>
          <w:bCs w:val="0"/>
        </w:rPr>
      </w:pPr>
      <w:r>
        <w:rPr/>
        <w:t>（</w:t>
      </w:r>
      <w:r>
        <w:rPr>
          <w:rFonts w:ascii="Times New Roman" w:hAnsi="Times New Roman" w:cs="Times New Roman" w:eastAsia="Times New Roman" w:hint="default"/>
        </w:rPr>
        <w:t>3</w:t>
      </w:r>
      <w:r>
        <w:rPr/>
        <w:t>）证券投资情况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32" w:right="572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527" w:type="dxa"/>
        <w:tblLayout w:type="fixed"/>
        <w:tblCellMar>
          <w:top w:w="0" w:type="dxa"/>
          <w:left w:w="0" w:type="dxa"/>
          <w:bottom w:w="0" w:type="dxa"/>
          <w:right w:w="0" w:type="dxa"/>
        </w:tblCellMar>
        <w:tblLook w:val="01E0"/>
      </w:tblPr>
      <w:tblGrid>
        <w:gridCol w:w="428"/>
        <w:gridCol w:w="708"/>
        <w:gridCol w:w="566"/>
        <w:gridCol w:w="1133"/>
        <w:gridCol w:w="852"/>
        <w:gridCol w:w="708"/>
        <w:gridCol w:w="850"/>
        <w:gridCol w:w="710"/>
        <w:gridCol w:w="850"/>
        <w:gridCol w:w="1136"/>
        <w:gridCol w:w="708"/>
        <w:gridCol w:w="1277"/>
      </w:tblGrid>
      <w:tr>
        <w:trPr>
          <w:trHeight w:val="713" w:hRule="exact"/>
        </w:trPr>
        <w:tc>
          <w:tcPr>
            <w:tcW w:w="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 w:right="27"/>
              <w:jc w:val="left"/>
              <w:rPr>
                <w:rFonts w:ascii="宋体" w:hAnsi="宋体" w:cs="宋体" w:eastAsia="宋体" w:hint="default"/>
                <w:sz w:val="18"/>
                <w:szCs w:val="18"/>
              </w:rPr>
            </w:pPr>
            <w:r>
              <w:rPr>
                <w:rFonts w:ascii="宋体" w:hAnsi="宋体" w:cs="宋体" w:eastAsia="宋体" w:hint="default"/>
                <w:sz w:val="18"/>
                <w:szCs w:val="18"/>
              </w:rPr>
              <w:t>证券 品种</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7" w:hanging="180"/>
              <w:jc w:val="left"/>
              <w:rPr>
                <w:rFonts w:ascii="宋体" w:hAnsi="宋体" w:cs="宋体" w:eastAsia="宋体" w:hint="default"/>
                <w:sz w:val="18"/>
                <w:szCs w:val="18"/>
              </w:rPr>
            </w:pPr>
            <w:r>
              <w:rPr>
                <w:rFonts w:ascii="宋体" w:hAnsi="宋体" w:cs="宋体" w:eastAsia="宋体" w:hint="default"/>
                <w:sz w:val="18"/>
                <w:szCs w:val="18"/>
              </w:rPr>
              <w:t>证券代 码</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证券 简称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1" w:right="110" w:hanging="89"/>
              <w:jc w:val="left"/>
              <w:rPr>
                <w:rFonts w:ascii="宋体" w:hAnsi="宋体" w:cs="宋体" w:eastAsia="宋体" w:hint="default"/>
                <w:sz w:val="18"/>
                <w:szCs w:val="18"/>
              </w:rPr>
            </w:pPr>
            <w:r>
              <w:rPr>
                <w:rFonts w:ascii="宋体" w:hAnsi="宋体" w:cs="宋体" w:eastAsia="宋体" w:hint="default"/>
                <w:sz w:val="18"/>
                <w:szCs w:val="18"/>
              </w:rPr>
              <w:t>最初投资成 本（元）</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0" w:firstLine="36"/>
              <w:jc w:val="left"/>
              <w:rPr>
                <w:rFonts w:ascii="宋体" w:hAnsi="宋体" w:cs="宋体" w:eastAsia="宋体" w:hint="default"/>
                <w:sz w:val="18"/>
                <w:szCs w:val="18"/>
              </w:rPr>
            </w:pPr>
            <w:r>
              <w:rPr>
                <w:rFonts w:ascii="宋体" w:hAnsi="宋体" w:cs="宋体" w:eastAsia="宋体" w:hint="default"/>
                <w:sz w:val="18"/>
                <w:szCs w:val="18"/>
              </w:rPr>
              <w:t>期初持股 </w:t>
            </w:r>
            <w:r>
              <w:rPr>
                <w:rFonts w:ascii="宋体" w:hAnsi="宋体" w:cs="宋体" w:eastAsia="宋体" w:hint="default"/>
                <w:spacing w:val="-4"/>
                <w:sz w:val="18"/>
                <w:szCs w:val="18"/>
              </w:rPr>
              <w:t>数量（股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期初持</w:t>
            </w:r>
          </w:p>
          <w:p>
            <w:pPr>
              <w:pStyle w:val="TableParagraph"/>
              <w:spacing w:line="240" w:lineRule="auto" w:before="76"/>
              <w:ind w:left="-1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9"/>
                <w:sz w:val="18"/>
                <w:szCs w:val="18"/>
              </w:rPr>
              <w:t> </w:t>
            </w:r>
            <w:r>
              <w:rPr>
                <w:rFonts w:ascii="宋体" w:hAnsi="宋体" w:cs="宋体" w:eastAsia="宋体" w:hint="default"/>
                <w:sz w:val="18"/>
                <w:szCs w:val="18"/>
              </w:rPr>
              <w:t>股比例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58" w:firstLine="36"/>
              <w:jc w:val="left"/>
              <w:rPr>
                <w:rFonts w:ascii="宋体" w:hAnsi="宋体" w:cs="宋体" w:eastAsia="宋体" w:hint="default"/>
                <w:sz w:val="18"/>
                <w:szCs w:val="18"/>
              </w:rPr>
            </w:pPr>
            <w:r>
              <w:rPr>
                <w:rFonts w:ascii="宋体" w:hAnsi="宋体" w:cs="宋体" w:eastAsia="宋体" w:hint="default"/>
                <w:sz w:val="18"/>
                <w:szCs w:val="18"/>
              </w:rPr>
              <w:t>期末持股 </w:t>
            </w:r>
            <w:r>
              <w:rPr>
                <w:rFonts w:ascii="宋体" w:hAnsi="宋体" w:cs="宋体" w:eastAsia="宋体" w:hint="default"/>
                <w:spacing w:val="-5"/>
                <w:sz w:val="18"/>
                <w:szCs w:val="18"/>
              </w:rPr>
              <w:t>数量（股</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期末持</w:t>
            </w:r>
          </w:p>
          <w:p>
            <w:pPr>
              <w:pStyle w:val="TableParagraph"/>
              <w:spacing w:line="240" w:lineRule="auto" w:before="76"/>
              <w:ind w:left="-1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6"/>
                <w:sz w:val="18"/>
                <w:szCs w:val="18"/>
              </w:rPr>
              <w:t> </w:t>
            </w:r>
            <w:r>
              <w:rPr>
                <w:rFonts w:ascii="宋体" w:hAnsi="宋体" w:cs="宋体" w:eastAsia="宋体" w:hint="default"/>
                <w:sz w:val="18"/>
                <w:szCs w:val="18"/>
              </w:rPr>
              <w:t>股比例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 w:right="59"/>
              <w:jc w:val="left"/>
              <w:rPr>
                <w:rFonts w:ascii="宋体" w:hAnsi="宋体" w:cs="宋体" w:eastAsia="宋体" w:hint="default"/>
                <w:sz w:val="18"/>
                <w:szCs w:val="18"/>
              </w:rPr>
            </w:pPr>
            <w:r>
              <w:rPr>
                <w:rFonts w:ascii="宋体" w:hAnsi="宋体" w:cs="宋体" w:eastAsia="宋体" w:hint="default"/>
                <w:sz w:val="18"/>
                <w:szCs w:val="18"/>
              </w:rPr>
              <w:t>期末账面 值（元）</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报告期损益</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left"/>
              <w:rPr>
                <w:rFonts w:ascii="宋体" w:hAnsi="宋体" w:cs="宋体" w:eastAsia="宋体" w:hint="default"/>
                <w:sz w:val="18"/>
                <w:szCs w:val="18"/>
              </w:rPr>
            </w:pPr>
            <w:r>
              <w:rPr>
                <w:rFonts w:ascii="宋体" w:hAnsi="宋体" w:cs="宋体" w:eastAsia="宋体" w:hint="default"/>
                <w:sz w:val="18"/>
                <w:szCs w:val="18"/>
              </w:rPr>
              <w:t>会计核 算科目</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股份来源</w:t>
            </w:r>
          </w:p>
        </w:tc>
      </w:tr>
      <w:tr>
        <w:trPr>
          <w:trHeight w:val="1027" w:hRule="exact"/>
        </w:trPr>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70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300143</w:t>
            </w:r>
          </w:p>
        </w:tc>
        <w:tc>
          <w:tcPr>
            <w:tcW w:w="566"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星河 生物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15,000,000.00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5,969,718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4.05%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28,625,434.03</w:t>
            </w:r>
          </w:p>
        </w:tc>
        <w:tc>
          <w:tcPr>
            <w:tcW w:w="708" w:type="dxa"/>
            <w:tcBorders>
              <w:top w:val="single" w:sz="4" w:space="0" w:color="000000"/>
              <w:left w:val="single" w:sz="4" w:space="0" w:color="000000"/>
              <w:bottom w:val="single" w:sz="4" w:space="0" w:color="000000"/>
              <w:right w:val="single" w:sz="13" w:space="0" w:color="C7EBCC"/>
            </w:tcBorders>
          </w:tcPr>
          <w:p>
            <w:pPr>
              <w:pStyle w:val="TableParagraph"/>
              <w:spacing w:line="316" w:lineRule="auto" w:before="49"/>
              <w:ind w:left="23" w:right="120"/>
              <w:jc w:val="both"/>
              <w:rPr>
                <w:rFonts w:ascii="宋体" w:hAnsi="宋体" w:cs="宋体" w:eastAsia="宋体" w:hint="default"/>
                <w:sz w:val="18"/>
                <w:szCs w:val="18"/>
              </w:rPr>
            </w:pPr>
            <w:r>
              <w:rPr>
                <w:rFonts w:ascii="宋体" w:hAnsi="宋体" w:cs="宋体" w:eastAsia="宋体" w:hint="default"/>
                <w:sz w:val="18"/>
                <w:szCs w:val="18"/>
              </w:rPr>
              <w:t>可供出 售金融 资产</w:t>
            </w:r>
          </w:p>
        </w:tc>
        <w:tc>
          <w:tcPr>
            <w:tcW w:w="127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09"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通过全资子公 司广州御新</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PE</w:t>
            </w:r>
            <w:r>
              <w:rPr>
                <w:rFonts w:ascii="Times New Roman" w:hAnsi="Times New Roman" w:cs="Times New Roman" w:eastAsia="Times New Roman" w:hint="default"/>
                <w:spacing w:val="3"/>
                <w:w w:val="99"/>
                <w:sz w:val="18"/>
                <w:szCs w:val="18"/>
              </w:rPr>
              <w:t> </w:t>
            </w:r>
            <w:r>
              <w:rPr>
                <w:rFonts w:ascii="宋体" w:hAnsi="宋体" w:cs="宋体" w:eastAsia="宋体" w:hint="default"/>
                <w:sz w:val="18"/>
                <w:szCs w:val="18"/>
              </w:rPr>
              <w:t>投资所得</w:t>
            </w:r>
          </w:p>
        </w:tc>
      </w:tr>
      <w:tr>
        <w:trPr>
          <w:trHeight w:val="401" w:hRule="exact"/>
        </w:trPr>
        <w:tc>
          <w:tcPr>
            <w:tcW w:w="17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15,000,000.00</w:t>
            </w:r>
          </w:p>
        </w:tc>
        <w:tc>
          <w:tcPr>
            <w:tcW w:w="8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5,969,718</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28,625,434.03</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368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证券投资审批董事会公告披露日期</w:t>
            </w:r>
          </w:p>
        </w:tc>
        <w:tc>
          <w:tcPr>
            <w:tcW w:w="6239"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368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证券投资审批股东会公告披露日期（如有</w:t>
            </w:r>
            <w:r>
              <w:rPr>
                <w:rFonts w:ascii="Times New Roman" w:hAnsi="Times New Roman" w:cs="Times New Roman" w:eastAsia="Times New Roman" w:hint="default"/>
                <w:sz w:val="18"/>
                <w:szCs w:val="18"/>
              </w:rPr>
              <w:t>)</w:t>
            </w:r>
          </w:p>
        </w:tc>
        <w:tc>
          <w:tcPr>
            <w:tcW w:w="6239"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3"/>
        <w:spacing w:line="240" w:lineRule="auto" w:before="36"/>
        <w:ind w:left="532" w:right="5725"/>
        <w:jc w:val="left"/>
        <w:rPr>
          <w:b w:val="0"/>
          <w:bCs w:val="0"/>
        </w:rPr>
      </w:pPr>
      <w:r>
        <w:rPr/>
        <w:t>（</w:t>
      </w:r>
      <w:r>
        <w:rPr>
          <w:rFonts w:ascii="Times New Roman" w:hAnsi="Times New Roman" w:cs="Times New Roman" w:eastAsia="Times New Roman" w:hint="default"/>
        </w:rPr>
        <w:t>4</w:t>
      </w:r>
      <w:r>
        <w:rPr/>
        <w:t>）持有其他上市公司股权情况的说明</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532" w:right="572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公司报告期未持有其他上市公司股权。</w:t>
      </w:r>
    </w:p>
    <w:p>
      <w:pPr>
        <w:spacing w:line="240" w:lineRule="auto" w:before="3"/>
        <w:rPr>
          <w:rFonts w:ascii="宋体" w:hAnsi="宋体" w:cs="宋体" w:eastAsia="宋体" w:hint="default"/>
          <w:sz w:val="21"/>
          <w:szCs w:val="21"/>
        </w:rPr>
      </w:pPr>
    </w:p>
    <w:p>
      <w:pPr>
        <w:pStyle w:val="Heading3"/>
        <w:spacing w:line="240" w:lineRule="auto"/>
        <w:ind w:left="532" w:right="5725"/>
        <w:jc w:val="left"/>
        <w:rPr>
          <w:b w:val="0"/>
          <w:bCs w:val="0"/>
        </w:rPr>
      </w:pP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532" w:right="5725"/>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532" w:right="572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411"/>
        <w:jc w:val="right"/>
      </w:pPr>
      <w:r>
        <w:rPr/>
        <w:t>单位：万元</w:t>
      </w:r>
    </w:p>
    <w:p>
      <w:pPr>
        <w:spacing w:line="240" w:lineRule="auto" w:before="4"/>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993"/>
        <w:gridCol w:w="425"/>
        <w:gridCol w:w="709"/>
        <w:gridCol w:w="851"/>
        <w:gridCol w:w="709"/>
        <w:gridCol w:w="852"/>
        <w:gridCol w:w="864"/>
        <w:gridCol w:w="980"/>
        <w:gridCol w:w="991"/>
        <w:gridCol w:w="1277"/>
        <w:gridCol w:w="566"/>
        <w:gridCol w:w="991"/>
      </w:tblGrid>
      <w:tr>
        <w:trPr>
          <w:trHeight w:val="708"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 w:right="0"/>
              <w:jc w:val="left"/>
              <w:rPr>
                <w:rFonts w:ascii="宋体" w:hAnsi="宋体" w:cs="宋体" w:eastAsia="宋体" w:hint="default"/>
                <w:sz w:val="18"/>
                <w:szCs w:val="18"/>
              </w:rPr>
            </w:pPr>
            <w:r>
              <w:rPr>
                <w:rFonts w:ascii="宋体" w:hAnsi="宋体" w:cs="宋体" w:eastAsia="宋体" w:hint="default"/>
                <w:sz w:val="18"/>
                <w:szCs w:val="18"/>
              </w:rPr>
              <w:t>受托人名称</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 w:right="24"/>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8"/>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left"/>
              <w:rPr>
                <w:rFonts w:ascii="宋体" w:hAnsi="宋体" w:cs="宋体" w:eastAsia="宋体" w:hint="default"/>
                <w:sz w:val="18"/>
                <w:szCs w:val="18"/>
              </w:rPr>
            </w:pPr>
            <w:r>
              <w:rPr>
                <w:rFonts w:ascii="宋体" w:hAnsi="宋体" w:cs="宋体" w:eastAsia="宋体" w:hint="default"/>
                <w:sz w:val="18"/>
                <w:szCs w:val="18"/>
              </w:rPr>
              <w:t>委托理 财金额</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9" w:right="39" w:hanging="361"/>
              <w:jc w:val="left"/>
              <w:rPr>
                <w:rFonts w:ascii="宋体" w:hAnsi="宋体" w:cs="宋体" w:eastAsia="宋体" w:hint="default"/>
                <w:sz w:val="18"/>
                <w:szCs w:val="18"/>
              </w:rPr>
            </w:pPr>
            <w:r>
              <w:rPr>
                <w:rFonts w:ascii="宋体" w:hAnsi="宋体" w:cs="宋体" w:eastAsia="宋体" w:hint="default"/>
                <w:sz w:val="18"/>
                <w:szCs w:val="18"/>
              </w:rPr>
              <w:t>报酬确定方 式</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 w:right="38"/>
              <w:jc w:val="left"/>
              <w:rPr>
                <w:rFonts w:ascii="宋体" w:hAnsi="宋体" w:cs="宋体" w:eastAsia="宋体" w:hint="default"/>
                <w:sz w:val="18"/>
                <w:szCs w:val="18"/>
              </w:rPr>
            </w:pPr>
            <w:r>
              <w:rPr>
                <w:rFonts w:ascii="宋体" w:hAnsi="宋体" w:cs="宋体" w:eastAsia="宋体" w:hint="default"/>
                <w:sz w:val="18"/>
                <w:szCs w:val="18"/>
              </w:rPr>
              <w:t>本期实际收 回本金金额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2"/>
              <w:jc w:val="left"/>
              <w:rPr>
                <w:rFonts w:ascii="宋体" w:hAnsi="宋体" w:cs="宋体" w:eastAsia="宋体" w:hint="default"/>
                <w:sz w:val="18"/>
                <w:szCs w:val="18"/>
              </w:rPr>
            </w:pPr>
            <w:r>
              <w:rPr>
                <w:rFonts w:ascii="宋体" w:hAnsi="宋体" w:cs="宋体" w:eastAsia="宋体" w:hint="default"/>
                <w:sz w:val="18"/>
                <w:szCs w:val="18"/>
              </w:rPr>
              <w:t>计提减值准备 金额（如有）</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1" w:right="38" w:hanging="92"/>
              <w:jc w:val="left"/>
              <w:rPr>
                <w:rFonts w:ascii="宋体" w:hAnsi="宋体" w:cs="宋体" w:eastAsia="宋体" w:hint="default"/>
                <w:sz w:val="18"/>
                <w:szCs w:val="18"/>
              </w:rPr>
            </w:pPr>
            <w:r>
              <w:rPr>
                <w:rFonts w:ascii="宋体" w:hAnsi="宋体" w:cs="宋体" w:eastAsia="宋体" w:hint="default"/>
                <w:sz w:val="18"/>
                <w:szCs w:val="18"/>
              </w:rPr>
              <w:t>报告期实际 损益金额</w:t>
            </w:r>
          </w:p>
        </w:tc>
      </w:tr>
      <w:tr>
        <w:trPr>
          <w:trHeight w:val="720" w:hRule="exact"/>
        </w:trPr>
        <w:tc>
          <w:tcPr>
            <w:tcW w:w="99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4" w:lineRule="auto" w:before="56"/>
              <w:ind w:left="25" w:right="56"/>
              <w:jc w:val="left"/>
              <w:rPr>
                <w:rFonts w:ascii="宋体" w:hAnsi="宋体" w:cs="宋体" w:eastAsia="宋体" w:hint="default"/>
                <w:sz w:val="18"/>
                <w:szCs w:val="18"/>
              </w:rPr>
            </w:pPr>
            <w:r>
              <w:rPr>
                <w:rFonts w:ascii="宋体" w:hAnsi="宋体" w:cs="宋体" w:eastAsia="宋体" w:hint="default"/>
                <w:sz w:val="18"/>
                <w:szCs w:val="18"/>
              </w:rPr>
              <w:t>中国建设银 行高新支行</w:t>
            </w:r>
          </w:p>
        </w:tc>
        <w:tc>
          <w:tcPr>
            <w:tcW w:w="425"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4" w:lineRule="auto" w:before="56"/>
              <w:ind w:left="22" w:right="96"/>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10" w:space="0" w:color="C7EBCC"/>
            </w:tcBorders>
          </w:tcPr>
          <w:p>
            <w:pPr>
              <w:pStyle w:val="TableParagraph"/>
              <w:spacing w:line="240" w:lineRule="auto" w:before="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4" w:lineRule="auto" w:before="56"/>
              <w:ind w:left="11" w:right="57"/>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预计年化收 益率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4.64%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1.78</w:t>
            </w: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25" w:right="56"/>
              <w:jc w:val="left"/>
              <w:rPr>
                <w:rFonts w:ascii="宋体" w:hAnsi="宋体" w:cs="宋体" w:eastAsia="宋体" w:hint="default"/>
                <w:sz w:val="18"/>
                <w:szCs w:val="18"/>
              </w:rPr>
            </w:pPr>
            <w:r>
              <w:rPr>
                <w:rFonts w:ascii="宋体" w:hAnsi="宋体" w:cs="宋体" w:eastAsia="宋体" w:hint="default"/>
                <w:sz w:val="18"/>
                <w:szCs w:val="18"/>
              </w:rPr>
              <w:t>中国建设银 行高新支行</w:t>
            </w:r>
          </w:p>
        </w:tc>
        <w:tc>
          <w:tcPr>
            <w:tcW w:w="425"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10" w:space="0" w:color="C7EBCC"/>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11" w:right="57"/>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预计年化收 益率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4.64%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10.45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10.45</w:t>
            </w: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4" w:lineRule="auto" w:before="50"/>
              <w:ind w:left="25" w:right="56"/>
              <w:jc w:val="left"/>
              <w:rPr>
                <w:rFonts w:ascii="宋体" w:hAnsi="宋体" w:cs="宋体" w:eastAsia="宋体" w:hint="default"/>
                <w:sz w:val="18"/>
                <w:szCs w:val="18"/>
              </w:rPr>
            </w:pPr>
            <w:r>
              <w:rPr>
                <w:rFonts w:ascii="宋体" w:hAnsi="宋体" w:cs="宋体" w:eastAsia="宋体" w:hint="default"/>
                <w:sz w:val="18"/>
                <w:szCs w:val="18"/>
              </w:rPr>
              <w:t>中国建设银 行高新支行</w:t>
            </w:r>
          </w:p>
        </w:tc>
        <w:tc>
          <w:tcPr>
            <w:tcW w:w="425"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4" w:lineRule="auto" w:before="50"/>
              <w:ind w:left="22" w:right="96"/>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10" w:space="0" w:color="C7EBCC"/>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4" w:lineRule="auto" w:before="50"/>
              <w:ind w:left="11" w:right="57"/>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预计年化收 益率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4.89%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2.29</w:t>
            </w:r>
          </w:p>
        </w:tc>
      </w:tr>
      <w:tr>
        <w:trPr>
          <w:trHeight w:val="715" w:hRule="exact"/>
        </w:trPr>
        <w:tc>
          <w:tcPr>
            <w:tcW w:w="99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25" w:right="56"/>
              <w:jc w:val="left"/>
              <w:rPr>
                <w:rFonts w:ascii="宋体" w:hAnsi="宋体" w:cs="宋体" w:eastAsia="宋体" w:hint="default"/>
                <w:sz w:val="18"/>
                <w:szCs w:val="18"/>
              </w:rPr>
            </w:pPr>
            <w:r>
              <w:rPr>
                <w:rFonts w:ascii="宋体" w:hAnsi="宋体" w:cs="宋体" w:eastAsia="宋体" w:hint="default"/>
                <w:sz w:val="18"/>
                <w:szCs w:val="18"/>
              </w:rPr>
              <w:t>中国建设银 行高新支行</w:t>
            </w:r>
          </w:p>
        </w:tc>
        <w:tc>
          <w:tcPr>
            <w:tcW w:w="425"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10" w:space="0" w:color="C7EBCC"/>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11" w:right="57"/>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预计年化收 益率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4.64%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6.68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6.68</w:t>
            </w: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4" w:lineRule="auto" w:before="50"/>
              <w:ind w:left="25" w:right="56"/>
              <w:jc w:val="left"/>
              <w:rPr>
                <w:rFonts w:ascii="宋体" w:hAnsi="宋体" w:cs="宋体" w:eastAsia="宋体" w:hint="default"/>
                <w:sz w:val="18"/>
                <w:szCs w:val="18"/>
              </w:rPr>
            </w:pPr>
            <w:r>
              <w:rPr>
                <w:rFonts w:ascii="宋体" w:hAnsi="宋体" w:cs="宋体" w:eastAsia="宋体" w:hint="default"/>
                <w:sz w:val="18"/>
                <w:szCs w:val="18"/>
              </w:rPr>
              <w:t>中国建设银 行高新支行</w:t>
            </w:r>
          </w:p>
        </w:tc>
        <w:tc>
          <w:tcPr>
            <w:tcW w:w="425"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4" w:lineRule="auto" w:before="50"/>
              <w:ind w:left="22" w:right="96"/>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10" w:space="0" w:color="C7EBCC"/>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4" w:lineRule="auto" w:before="50"/>
              <w:ind w:left="11" w:right="57"/>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预计年化收 益率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4.89%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10.47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10.47</w:t>
            </w:r>
          </w:p>
        </w:tc>
      </w:tr>
      <w:tr>
        <w:trPr>
          <w:trHeight w:val="715" w:hRule="exact"/>
        </w:trPr>
        <w:tc>
          <w:tcPr>
            <w:tcW w:w="99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25" w:right="56"/>
              <w:jc w:val="left"/>
              <w:rPr>
                <w:rFonts w:ascii="宋体" w:hAnsi="宋体" w:cs="宋体" w:eastAsia="宋体" w:hint="default"/>
                <w:sz w:val="18"/>
                <w:szCs w:val="18"/>
              </w:rPr>
            </w:pPr>
            <w:r>
              <w:rPr>
                <w:rFonts w:ascii="宋体" w:hAnsi="宋体" w:cs="宋体" w:eastAsia="宋体" w:hint="default"/>
                <w:sz w:val="18"/>
                <w:szCs w:val="18"/>
              </w:rPr>
              <w:t>中国建设银 行高新支行</w:t>
            </w:r>
          </w:p>
        </w:tc>
        <w:tc>
          <w:tcPr>
            <w:tcW w:w="425"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03</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10" w:space="0" w:color="C7EBCC"/>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03</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11" w:right="57"/>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预计年化收 益率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4.64%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7.84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7.84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600" w:right="7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993"/>
        <w:gridCol w:w="425"/>
        <w:gridCol w:w="709"/>
        <w:gridCol w:w="851"/>
        <w:gridCol w:w="709"/>
        <w:gridCol w:w="852"/>
        <w:gridCol w:w="864"/>
        <w:gridCol w:w="980"/>
        <w:gridCol w:w="991"/>
        <w:gridCol w:w="1277"/>
        <w:gridCol w:w="566"/>
        <w:gridCol w:w="991"/>
      </w:tblGrid>
      <w:tr>
        <w:trPr>
          <w:trHeight w:val="714" w:hRule="exact"/>
        </w:trPr>
        <w:tc>
          <w:tcPr>
            <w:tcW w:w="99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9" w:lineRule="auto" w:before="49"/>
              <w:ind w:left="25" w:right="56"/>
              <w:jc w:val="left"/>
              <w:rPr>
                <w:rFonts w:ascii="宋体" w:hAnsi="宋体" w:cs="宋体" w:eastAsia="宋体" w:hint="default"/>
                <w:sz w:val="18"/>
                <w:szCs w:val="18"/>
              </w:rPr>
            </w:pPr>
            <w:r>
              <w:rPr>
                <w:rFonts w:ascii="宋体" w:hAnsi="宋体" w:cs="宋体" w:eastAsia="宋体" w:hint="default"/>
                <w:sz w:val="18"/>
                <w:szCs w:val="18"/>
              </w:rPr>
              <w:t>中国建设银 行高新支行</w:t>
            </w:r>
          </w:p>
        </w:tc>
        <w:tc>
          <w:tcPr>
            <w:tcW w:w="425"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9"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10,500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10" w:space="0" w:color="C7EBCC"/>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9" w:lineRule="auto" w:before="49"/>
              <w:ind w:left="11" w:right="57"/>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预计年化收 益率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4.91%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10,500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42.98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42.98</w:t>
            </w: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4" w:lineRule="auto" w:before="50"/>
              <w:ind w:left="25" w:right="56"/>
              <w:jc w:val="left"/>
              <w:rPr>
                <w:rFonts w:ascii="宋体" w:hAnsi="宋体" w:cs="宋体" w:eastAsia="宋体" w:hint="default"/>
                <w:sz w:val="18"/>
                <w:szCs w:val="18"/>
              </w:rPr>
            </w:pPr>
            <w:r>
              <w:rPr>
                <w:rFonts w:ascii="宋体" w:hAnsi="宋体" w:cs="宋体" w:eastAsia="宋体" w:hint="default"/>
                <w:sz w:val="18"/>
                <w:szCs w:val="18"/>
              </w:rPr>
              <w:t>中国建设银 行高新支行</w:t>
            </w:r>
          </w:p>
        </w:tc>
        <w:tc>
          <w:tcPr>
            <w:tcW w:w="425"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4" w:lineRule="auto" w:before="50"/>
              <w:ind w:left="22" w:right="96"/>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10" w:space="0" w:color="C7EBCC"/>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4" w:lineRule="auto" w:before="50"/>
              <w:ind w:left="11" w:right="57"/>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预计年化收 益率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4.66%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4.62</w:t>
            </w: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25" w:right="56"/>
              <w:jc w:val="left"/>
              <w:rPr>
                <w:rFonts w:ascii="宋体" w:hAnsi="宋体" w:cs="宋体" w:eastAsia="宋体" w:hint="default"/>
                <w:sz w:val="18"/>
                <w:szCs w:val="18"/>
              </w:rPr>
            </w:pPr>
            <w:r>
              <w:rPr>
                <w:rFonts w:ascii="宋体" w:hAnsi="宋体" w:cs="宋体" w:eastAsia="宋体" w:hint="default"/>
                <w:sz w:val="18"/>
                <w:szCs w:val="18"/>
              </w:rPr>
              <w:t>中国建设银 行高新支行</w:t>
            </w:r>
          </w:p>
        </w:tc>
        <w:tc>
          <w:tcPr>
            <w:tcW w:w="425"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10" w:space="0" w:color="C7EBCC"/>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11" w:right="57"/>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预计年化收 益率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4.77%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6.17</w:t>
            </w: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4" w:lineRule="auto" w:before="50"/>
              <w:ind w:left="25" w:right="56"/>
              <w:jc w:val="left"/>
              <w:rPr>
                <w:rFonts w:ascii="宋体" w:hAnsi="宋体" w:cs="宋体" w:eastAsia="宋体" w:hint="default"/>
                <w:sz w:val="18"/>
                <w:szCs w:val="18"/>
              </w:rPr>
            </w:pPr>
            <w:r>
              <w:rPr>
                <w:rFonts w:ascii="宋体" w:hAnsi="宋体" w:cs="宋体" w:eastAsia="宋体" w:hint="default"/>
                <w:sz w:val="18"/>
                <w:szCs w:val="18"/>
              </w:rPr>
              <w:t>中国建设银 行高新支行</w:t>
            </w:r>
          </w:p>
        </w:tc>
        <w:tc>
          <w:tcPr>
            <w:tcW w:w="425"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4" w:lineRule="auto" w:before="50"/>
              <w:ind w:left="22" w:right="96"/>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10" w:space="0" w:color="C7EBCC"/>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4" w:lineRule="auto" w:before="50"/>
              <w:ind w:left="11" w:right="57"/>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预计年化收 益率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4.74%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3.35</w:t>
            </w: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25" w:right="56"/>
              <w:jc w:val="left"/>
              <w:rPr>
                <w:rFonts w:ascii="宋体" w:hAnsi="宋体" w:cs="宋体" w:eastAsia="宋体" w:hint="default"/>
                <w:sz w:val="18"/>
                <w:szCs w:val="18"/>
              </w:rPr>
            </w:pPr>
            <w:r>
              <w:rPr>
                <w:rFonts w:ascii="宋体" w:hAnsi="宋体" w:cs="宋体" w:eastAsia="宋体" w:hint="default"/>
                <w:sz w:val="18"/>
                <w:szCs w:val="18"/>
              </w:rPr>
              <w:t>中国建设银 行高新支行</w:t>
            </w:r>
          </w:p>
        </w:tc>
        <w:tc>
          <w:tcPr>
            <w:tcW w:w="425"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10" w:space="0" w:color="C7EBCC"/>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11" w:right="57"/>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预计年化收 益率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4.67%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1.51</w:t>
            </w:r>
          </w:p>
        </w:tc>
      </w:tr>
      <w:tr>
        <w:trPr>
          <w:trHeight w:val="715" w:hRule="exact"/>
        </w:trPr>
        <w:tc>
          <w:tcPr>
            <w:tcW w:w="99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4" w:lineRule="auto" w:before="50"/>
              <w:ind w:left="25" w:right="56"/>
              <w:jc w:val="left"/>
              <w:rPr>
                <w:rFonts w:ascii="宋体" w:hAnsi="宋体" w:cs="宋体" w:eastAsia="宋体" w:hint="default"/>
                <w:sz w:val="18"/>
                <w:szCs w:val="18"/>
              </w:rPr>
            </w:pPr>
            <w:r>
              <w:rPr>
                <w:rFonts w:ascii="宋体" w:hAnsi="宋体" w:cs="宋体" w:eastAsia="宋体" w:hint="default"/>
                <w:sz w:val="18"/>
                <w:szCs w:val="18"/>
              </w:rPr>
              <w:t>中国建设银 行高新支行</w:t>
            </w:r>
          </w:p>
        </w:tc>
        <w:tc>
          <w:tcPr>
            <w:tcW w:w="425"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4" w:lineRule="auto" w:before="50"/>
              <w:ind w:left="22" w:right="96"/>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10" w:space="0" w:color="C7EBCC"/>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4" w:lineRule="auto" w:before="50"/>
              <w:ind w:left="11" w:right="57"/>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预计年化收 益率</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3.44</w:t>
            </w: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25" w:right="56"/>
              <w:jc w:val="left"/>
              <w:rPr>
                <w:rFonts w:ascii="宋体" w:hAnsi="宋体" w:cs="宋体" w:eastAsia="宋体" w:hint="default"/>
                <w:sz w:val="18"/>
                <w:szCs w:val="18"/>
              </w:rPr>
            </w:pPr>
            <w:r>
              <w:rPr>
                <w:rFonts w:ascii="宋体" w:hAnsi="宋体" w:cs="宋体" w:eastAsia="宋体" w:hint="default"/>
                <w:sz w:val="18"/>
                <w:szCs w:val="18"/>
              </w:rPr>
              <w:t>中国建设银 行高新支行</w:t>
            </w:r>
          </w:p>
        </w:tc>
        <w:tc>
          <w:tcPr>
            <w:tcW w:w="425"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10" w:space="0" w:color="C7EBCC"/>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11" w:right="57"/>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预计年化收 益率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4.97%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2.09</w:t>
            </w: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4" w:lineRule="auto" w:before="50"/>
              <w:ind w:left="25" w:right="56"/>
              <w:jc w:val="left"/>
              <w:rPr>
                <w:rFonts w:ascii="宋体" w:hAnsi="宋体" w:cs="宋体" w:eastAsia="宋体" w:hint="default"/>
                <w:sz w:val="18"/>
                <w:szCs w:val="18"/>
              </w:rPr>
            </w:pPr>
            <w:r>
              <w:rPr>
                <w:rFonts w:ascii="宋体" w:hAnsi="宋体" w:cs="宋体" w:eastAsia="宋体" w:hint="default"/>
                <w:sz w:val="18"/>
                <w:szCs w:val="18"/>
              </w:rPr>
              <w:t>中国建设银 行高新支行</w:t>
            </w:r>
          </w:p>
        </w:tc>
        <w:tc>
          <w:tcPr>
            <w:tcW w:w="425"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4" w:lineRule="auto" w:before="50"/>
              <w:ind w:left="22" w:right="96"/>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10" w:space="0" w:color="C7EBCC"/>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4" w:lineRule="auto" w:before="50"/>
              <w:ind w:left="11" w:right="57"/>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预计年化收 益率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4.71%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3.93</w:t>
            </w: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25" w:right="56"/>
              <w:jc w:val="left"/>
              <w:rPr>
                <w:rFonts w:ascii="宋体" w:hAnsi="宋体" w:cs="宋体" w:eastAsia="宋体" w:hint="default"/>
                <w:sz w:val="18"/>
                <w:szCs w:val="18"/>
              </w:rPr>
            </w:pPr>
            <w:r>
              <w:rPr>
                <w:rFonts w:ascii="宋体" w:hAnsi="宋体" w:cs="宋体" w:eastAsia="宋体" w:hint="default"/>
                <w:sz w:val="18"/>
                <w:szCs w:val="18"/>
              </w:rPr>
              <w:t>中国建设银 行高新支行</w:t>
            </w:r>
          </w:p>
        </w:tc>
        <w:tc>
          <w:tcPr>
            <w:tcW w:w="425"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10" w:space="0" w:color="C7EBCC"/>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11" w:right="57"/>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预计年化收 益率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4.68%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7,500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9.79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9.79</w:t>
            </w: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4" w:lineRule="auto" w:before="50"/>
              <w:ind w:left="25" w:right="56"/>
              <w:jc w:val="left"/>
              <w:rPr>
                <w:rFonts w:ascii="宋体" w:hAnsi="宋体" w:cs="宋体" w:eastAsia="宋体" w:hint="default"/>
                <w:sz w:val="18"/>
                <w:szCs w:val="18"/>
              </w:rPr>
            </w:pPr>
            <w:r>
              <w:rPr>
                <w:rFonts w:ascii="宋体" w:hAnsi="宋体" w:cs="宋体" w:eastAsia="宋体" w:hint="default"/>
                <w:sz w:val="18"/>
                <w:szCs w:val="18"/>
              </w:rPr>
              <w:t>中国建设银 行高新支行</w:t>
            </w:r>
          </w:p>
        </w:tc>
        <w:tc>
          <w:tcPr>
            <w:tcW w:w="425"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4" w:lineRule="auto" w:before="50"/>
              <w:ind w:left="22" w:right="96"/>
              <w:jc w:val="left"/>
              <w:rPr>
                <w:rFonts w:ascii="宋体" w:hAnsi="宋体" w:cs="宋体" w:eastAsia="宋体" w:hint="default"/>
                <w:sz w:val="18"/>
                <w:szCs w:val="18"/>
              </w:rPr>
            </w:pPr>
            <w:r>
              <w:rPr>
                <w:rFonts w:ascii="宋体" w:hAnsi="宋体" w:cs="宋体" w:eastAsia="宋体" w:hint="default"/>
                <w:sz w:val="18"/>
                <w:szCs w:val="18"/>
              </w:rPr>
              <w:t>保本保收 益型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10" w:space="0" w:color="C7EBCC"/>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4" w:lineRule="auto" w:before="50"/>
              <w:ind w:left="11" w:right="57"/>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预计年化收 益率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4.52%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1.54</w:t>
            </w: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25" w:right="56"/>
              <w:jc w:val="left"/>
              <w:rPr>
                <w:rFonts w:ascii="宋体" w:hAnsi="宋体" w:cs="宋体" w:eastAsia="宋体" w:hint="default"/>
                <w:sz w:val="18"/>
                <w:szCs w:val="18"/>
              </w:rPr>
            </w:pPr>
            <w:r>
              <w:rPr>
                <w:rFonts w:ascii="宋体" w:hAnsi="宋体" w:cs="宋体" w:eastAsia="宋体" w:hint="default"/>
                <w:sz w:val="18"/>
                <w:szCs w:val="18"/>
              </w:rPr>
              <w:t>广发银行广 州东站支行</w:t>
            </w:r>
          </w:p>
        </w:tc>
        <w:tc>
          <w:tcPr>
            <w:tcW w:w="425"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保本保收 益型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3,300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10" w:space="0" w:color="C7EBCC"/>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11" w:right="57"/>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预计年化收 益率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3,300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4.6</w:t>
            </w: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4" w:lineRule="auto" w:before="50"/>
              <w:ind w:left="25" w:right="56"/>
              <w:jc w:val="left"/>
              <w:rPr>
                <w:rFonts w:ascii="宋体" w:hAnsi="宋体" w:cs="宋体" w:eastAsia="宋体" w:hint="default"/>
                <w:sz w:val="18"/>
                <w:szCs w:val="18"/>
              </w:rPr>
            </w:pPr>
            <w:r>
              <w:rPr>
                <w:rFonts w:ascii="宋体" w:hAnsi="宋体" w:cs="宋体" w:eastAsia="宋体" w:hint="default"/>
                <w:sz w:val="18"/>
                <w:szCs w:val="18"/>
              </w:rPr>
              <w:t>中国建设银 行高新支行</w:t>
            </w:r>
          </w:p>
        </w:tc>
        <w:tc>
          <w:tcPr>
            <w:tcW w:w="425"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4" w:lineRule="auto" w:before="50"/>
              <w:ind w:left="22" w:right="96"/>
              <w:jc w:val="left"/>
              <w:rPr>
                <w:rFonts w:ascii="宋体" w:hAnsi="宋体" w:cs="宋体" w:eastAsia="宋体" w:hint="default"/>
                <w:sz w:val="18"/>
                <w:szCs w:val="18"/>
              </w:rPr>
            </w:pPr>
            <w:r>
              <w:rPr>
                <w:rFonts w:ascii="宋体" w:hAnsi="宋体" w:cs="宋体" w:eastAsia="宋体" w:hint="default"/>
                <w:sz w:val="18"/>
                <w:szCs w:val="18"/>
              </w:rPr>
              <w:t>保本保收 益型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10" w:space="0" w:color="C7EBCC"/>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4" w:lineRule="auto" w:before="50"/>
              <w:ind w:left="11" w:right="57"/>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预计年化收 益率</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11.51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11.51</w:t>
            </w: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25" w:right="56"/>
              <w:jc w:val="left"/>
              <w:rPr>
                <w:rFonts w:ascii="宋体" w:hAnsi="宋体" w:cs="宋体" w:eastAsia="宋体" w:hint="default"/>
                <w:sz w:val="18"/>
                <w:szCs w:val="18"/>
              </w:rPr>
            </w:pPr>
            <w:r>
              <w:rPr>
                <w:rFonts w:ascii="宋体" w:hAnsi="宋体" w:cs="宋体" w:eastAsia="宋体" w:hint="default"/>
                <w:sz w:val="18"/>
                <w:szCs w:val="18"/>
              </w:rPr>
              <w:t>中国建设银 行高新支行</w:t>
            </w:r>
          </w:p>
        </w:tc>
        <w:tc>
          <w:tcPr>
            <w:tcW w:w="425"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保本保收 益型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10" w:space="0" w:color="C7EBCC"/>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11" w:right="57"/>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预计年化收 益率</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8.59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8.59</w:t>
            </w: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4" w:lineRule="auto" w:before="50"/>
              <w:ind w:left="25" w:right="56"/>
              <w:jc w:val="left"/>
              <w:rPr>
                <w:rFonts w:ascii="宋体" w:hAnsi="宋体" w:cs="宋体" w:eastAsia="宋体" w:hint="default"/>
                <w:sz w:val="18"/>
                <w:szCs w:val="18"/>
              </w:rPr>
            </w:pPr>
            <w:r>
              <w:rPr>
                <w:rFonts w:ascii="宋体" w:hAnsi="宋体" w:cs="宋体" w:eastAsia="宋体" w:hint="default"/>
                <w:sz w:val="18"/>
                <w:szCs w:val="18"/>
              </w:rPr>
              <w:t>中国建设银 行高新支行</w:t>
            </w:r>
          </w:p>
        </w:tc>
        <w:tc>
          <w:tcPr>
            <w:tcW w:w="425"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4" w:lineRule="auto" w:before="50"/>
              <w:ind w:left="22" w:right="96"/>
              <w:jc w:val="left"/>
              <w:rPr>
                <w:rFonts w:ascii="宋体" w:hAnsi="宋体" w:cs="宋体" w:eastAsia="宋体" w:hint="default"/>
                <w:sz w:val="18"/>
                <w:szCs w:val="18"/>
              </w:rPr>
            </w:pPr>
            <w:r>
              <w:rPr>
                <w:rFonts w:ascii="宋体" w:hAnsi="宋体" w:cs="宋体" w:eastAsia="宋体" w:hint="default"/>
                <w:sz w:val="18"/>
                <w:szCs w:val="18"/>
              </w:rPr>
              <w:t>保本保收 益型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10" w:space="0" w:color="C7EBCC"/>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4" w:lineRule="auto" w:before="50"/>
              <w:ind w:left="11" w:right="57"/>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预计年化收 益率</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2.47</w:t>
            </w: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25" w:right="56"/>
              <w:jc w:val="left"/>
              <w:rPr>
                <w:rFonts w:ascii="宋体" w:hAnsi="宋体" w:cs="宋体" w:eastAsia="宋体" w:hint="default"/>
                <w:sz w:val="18"/>
                <w:szCs w:val="18"/>
              </w:rPr>
            </w:pPr>
            <w:r>
              <w:rPr>
                <w:rFonts w:ascii="宋体" w:hAnsi="宋体" w:cs="宋体" w:eastAsia="宋体" w:hint="default"/>
                <w:sz w:val="18"/>
                <w:szCs w:val="18"/>
              </w:rPr>
              <w:t>广发银行东 站支行</w:t>
            </w:r>
          </w:p>
        </w:tc>
        <w:tc>
          <w:tcPr>
            <w:tcW w:w="425"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保本保收 益型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10" w:space="0" w:color="C7EBCC"/>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11" w:right="57"/>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预计年化收 益率</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8.76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8.76</w:t>
            </w: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4" w:lineRule="auto" w:before="50"/>
              <w:ind w:left="25" w:right="56"/>
              <w:jc w:val="left"/>
              <w:rPr>
                <w:rFonts w:ascii="宋体" w:hAnsi="宋体" w:cs="宋体" w:eastAsia="宋体" w:hint="default"/>
                <w:sz w:val="18"/>
                <w:szCs w:val="18"/>
              </w:rPr>
            </w:pPr>
            <w:r>
              <w:rPr>
                <w:rFonts w:ascii="宋体" w:hAnsi="宋体" w:cs="宋体" w:eastAsia="宋体" w:hint="default"/>
                <w:sz w:val="18"/>
                <w:szCs w:val="18"/>
              </w:rPr>
              <w:t>深圳招商银 行松岗支行</w:t>
            </w:r>
          </w:p>
        </w:tc>
        <w:tc>
          <w:tcPr>
            <w:tcW w:w="425"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4" w:lineRule="auto" w:before="50"/>
              <w:ind w:left="22" w:right="96"/>
              <w:jc w:val="left"/>
              <w:rPr>
                <w:rFonts w:ascii="宋体" w:hAnsi="宋体" w:cs="宋体" w:eastAsia="宋体" w:hint="default"/>
                <w:sz w:val="18"/>
                <w:szCs w:val="18"/>
              </w:rPr>
            </w:pPr>
            <w:r>
              <w:rPr>
                <w:rFonts w:ascii="宋体" w:hAnsi="宋体" w:cs="宋体" w:eastAsia="宋体" w:hint="default"/>
                <w:sz w:val="18"/>
                <w:szCs w:val="18"/>
              </w:rPr>
              <w:t>保本保收 益型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10" w:space="0" w:color="C7EBCC"/>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4" w:lineRule="auto" w:before="50"/>
              <w:ind w:left="11" w:right="57"/>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预计年化收 益率</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0.01</w:t>
            </w:r>
          </w:p>
        </w:tc>
      </w:tr>
      <w:tr>
        <w:trPr>
          <w:trHeight w:val="403" w:hRule="exact"/>
        </w:trPr>
        <w:tc>
          <w:tcPr>
            <w:tcW w:w="29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56,810</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center"/>
              <w:rPr>
                <w:rFonts w:ascii="Times New Roman" w:hAnsi="Times New Roman" w:cs="Times New Roman" w:eastAsia="Times New Roman" w:hint="default"/>
                <w:sz w:val="18"/>
                <w:szCs w:val="18"/>
              </w:rPr>
            </w:pPr>
            <w:r>
              <w:rPr>
                <w:rFonts w:ascii="Times New Roman"/>
                <w:sz w:val="18"/>
              </w:rPr>
              <w:t>--</w:t>
            </w:r>
          </w:p>
        </w:tc>
        <w:tc>
          <w:tcPr>
            <w:tcW w:w="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59,810</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154.87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154.87</w:t>
            </w:r>
          </w:p>
        </w:tc>
      </w:tr>
      <w:tr>
        <w:trPr>
          <w:trHeight w:val="402" w:hRule="exact"/>
        </w:trPr>
        <w:tc>
          <w:tcPr>
            <w:tcW w:w="4538" w:type="dxa"/>
            <w:gridSpan w:val="6"/>
            <w:tcBorders>
              <w:top w:val="single" w:sz="4" w:space="0" w:color="000000"/>
              <w:left w:val="single" w:sz="4" w:space="0" w:color="000000"/>
              <w:bottom w:val="single" w:sz="4" w:space="0" w:color="000000"/>
              <w:right w:val="single" w:sz="13" w:space="0" w:color="C7EBCC"/>
            </w:tcBorders>
            <w:shd w:val="clear" w:color="auto" w:fill="D2D2D2"/>
          </w:tcPr>
          <w:p>
            <w:pPr>
              <w:pStyle w:val="TableParagraph"/>
              <w:spacing w:line="240" w:lineRule="auto" w:before="50"/>
              <w:ind w:left="25"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5670" w:type="dxa"/>
            <w:gridSpan w:val="6"/>
            <w:tcBorders>
              <w:top w:val="single" w:sz="4" w:space="0" w:color="000000"/>
              <w:left w:val="single" w:sz="12" w:space="0" w:color="D2D2D2"/>
              <w:bottom w:val="single" w:sz="4" w:space="0" w:color="000000"/>
              <w:right w:val="single" w:sz="4" w:space="0" w:color="000000"/>
            </w:tcBorders>
            <w:shd w:val="clear" w:color="auto" w:fill="C7EBCC"/>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自有闲置资金</w:t>
            </w:r>
          </w:p>
        </w:tc>
      </w:tr>
      <w:tr>
        <w:trPr>
          <w:trHeight w:val="402" w:hRule="exact"/>
        </w:trPr>
        <w:tc>
          <w:tcPr>
            <w:tcW w:w="453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w:t>
            </w:r>
          </w:p>
        </w:tc>
        <w:tc>
          <w:tcPr>
            <w:tcW w:w="5670" w:type="dxa"/>
            <w:gridSpan w:val="6"/>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538" w:type="dxa"/>
            <w:gridSpan w:val="6"/>
            <w:tcBorders>
              <w:top w:val="single" w:sz="4" w:space="0" w:color="000000"/>
              <w:left w:val="single" w:sz="4" w:space="0" w:color="000000"/>
              <w:bottom w:val="single" w:sz="4" w:space="0" w:color="000000"/>
              <w:right w:val="single" w:sz="13" w:space="0" w:color="C7EBCC"/>
            </w:tcBorders>
            <w:shd w:val="clear" w:color="auto" w:fill="D2D2D2"/>
          </w:tcPr>
          <w:p>
            <w:pPr>
              <w:pStyle w:val="TableParagraph"/>
              <w:spacing w:line="240" w:lineRule="auto" w:before="50"/>
              <w:ind w:left="25"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5670" w:type="dxa"/>
            <w:gridSpan w:val="6"/>
            <w:tcBorders>
              <w:top w:val="single" w:sz="4" w:space="0" w:color="000000"/>
              <w:left w:val="single" w:sz="12" w:space="0" w:color="D2D2D2"/>
              <w:bottom w:val="single" w:sz="4" w:space="0" w:color="000000"/>
              <w:right w:val="single" w:sz="4" w:space="0" w:color="000000"/>
            </w:tcBorders>
            <w:shd w:val="clear" w:color="auto" w:fill="C7EBCC"/>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453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委托理财审批董事会公告披露日期（如有</w:t>
            </w:r>
            <w:r>
              <w:rPr>
                <w:rFonts w:ascii="Times New Roman" w:hAnsi="Times New Roman" w:cs="Times New Roman" w:eastAsia="Times New Roman" w:hint="default"/>
                <w:sz w:val="18"/>
                <w:szCs w:val="18"/>
              </w:rPr>
              <w:t>)</w:t>
            </w:r>
          </w:p>
        </w:tc>
        <w:tc>
          <w:tcPr>
            <w:tcW w:w="5670" w:type="dxa"/>
            <w:gridSpan w:val="6"/>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402" w:hRule="exact"/>
        </w:trPr>
        <w:tc>
          <w:tcPr>
            <w:tcW w:w="453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委托理财审批股东会公告披露日期（如有</w:t>
            </w:r>
            <w:r>
              <w:rPr>
                <w:rFonts w:ascii="Times New Roman" w:hAnsi="Times New Roman" w:cs="Times New Roman" w:eastAsia="Times New Roman" w:hint="default"/>
                <w:sz w:val="18"/>
                <w:szCs w:val="18"/>
              </w:rPr>
              <w:t>)</w:t>
            </w:r>
          </w:p>
        </w:tc>
        <w:tc>
          <w:tcPr>
            <w:tcW w:w="5670" w:type="dxa"/>
            <w:gridSpan w:val="6"/>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80" w:top="1060" w:bottom="1160" w:left="600" w:right="88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6"/>
        <w:ind w:left="812" w:right="7794"/>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left="812" w:right="7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公司报告期不存在衍生品投资。</w:t>
      </w:r>
    </w:p>
    <w:p>
      <w:pPr>
        <w:spacing w:line="240" w:lineRule="auto" w:before="7"/>
        <w:rPr>
          <w:rFonts w:ascii="宋体" w:hAnsi="宋体" w:cs="宋体" w:eastAsia="宋体" w:hint="default"/>
          <w:sz w:val="21"/>
          <w:szCs w:val="21"/>
        </w:rPr>
      </w:pPr>
    </w:p>
    <w:p>
      <w:pPr>
        <w:pStyle w:val="Heading3"/>
        <w:spacing w:line="240" w:lineRule="auto"/>
        <w:ind w:left="812" w:right="7794"/>
        <w:jc w:val="left"/>
        <w:rPr>
          <w:b w:val="0"/>
          <w:bCs w:val="0"/>
        </w:rPr>
      </w:pPr>
      <w:r>
        <w:rPr/>
        <w:t>（</w:t>
      </w:r>
      <w:r>
        <w:rPr>
          <w:rFonts w:ascii="Times New Roman" w:hAnsi="Times New Roman" w:cs="Times New Roman" w:eastAsia="Times New Roman" w:hint="default"/>
        </w:rPr>
        <w:t>3</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left="812" w:right="7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7"/>
        <w:rPr>
          <w:rFonts w:ascii="宋体" w:hAnsi="宋体" w:cs="宋体" w:eastAsia="宋体" w:hint="default"/>
          <w:sz w:val="21"/>
          <w:szCs w:val="21"/>
        </w:rPr>
      </w:pPr>
    </w:p>
    <w:p>
      <w:pPr>
        <w:pStyle w:val="Heading3"/>
        <w:spacing w:line="240" w:lineRule="auto"/>
        <w:ind w:left="812" w:right="7019"/>
        <w:jc w:val="left"/>
        <w:rPr>
          <w:b w:val="0"/>
          <w:bCs w:val="0"/>
        </w:rPr>
      </w:pPr>
      <w:r>
        <w:rPr>
          <w:rFonts w:ascii="Times New Roman" w:hAnsi="Times New Roman" w:cs="Times New Roman" w:eastAsia="Times New Roman" w:hint="default"/>
        </w:rPr>
        <w:t>3</w:t>
      </w:r>
      <w:r>
        <w:rPr/>
        <w:t>、主要子公司、参股公司分析</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320" w:right="440"/>
        </w:sectPr>
      </w:pPr>
    </w:p>
    <w:p>
      <w:pPr>
        <w:pStyle w:val="BodyText"/>
        <w:spacing w:line="340" w:lineRule="auto" w:before="44"/>
        <w:ind w:left="812"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812" w:right="0"/>
        <w:jc w:val="left"/>
      </w:pPr>
      <w:r>
        <w:rPr/>
        <w:t>单位：元</w:t>
      </w:r>
    </w:p>
    <w:p>
      <w:pPr>
        <w:spacing w:after="0" w:line="240" w:lineRule="auto"/>
        <w:jc w:val="left"/>
        <w:sectPr>
          <w:type w:val="continuous"/>
          <w:pgSz w:w="11910" w:h="16840"/>
          <w:pgMar w:top="1060" w:bottom="1160" w:left="320" w:right="440"/>
          <w:cols w:num="2" w:equalWidth="0">
            <w:col w:w="2973" w:space="5947"/>
            <w:col w:w="2230"/>
          </w:cols>
        </w:sectPr>
      </w:pPr>
    </w:p>
    <w:p>
      <w:pPr>
        <w:spacing w:line="240" w:lineRule="auto" w:before="4"/>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850"/>
        <w:gridCol w:w="852"/>
        <w:gridCol w:w="850"/>
        <w:gridCol w:w="1419"/>
        <w:gridCol w:w="850"/>
        <w:gridCol w:w="1277"/>
        <w:gridCol w:w="1274"/>
        <w:gridCol w:w="1136"/>
        <w:gridCol w:w="1133"/>
        <w:gridCol w:w="1277"/>
      </w:tblGrid>
      <w:tr>
        <w:trPr>
          <w:trHeight w:val="402"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主要产品或服务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85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50"/>
              <w:ind w:left="23" w:right="94"/>
              <w:jc w:val="both"/>
              <w:rPr>
                <w:rFonts w:ascii="宋体" w:hAnsi="宋体" w:cs="宋体" w:eastAsia="宋体" w:hint="default"/>
                <w:sz w:val="18"/>
                <w:szCs w:val="18"/>
              </w:rPr>
            </w:pPr>
            <w:r>
              <w:rPr>
                <w:rFonts w:ascii="宋体" w:hAnsi="宋体" w:cs="宋体" w:eastAsia="宋体" w:hint="default"/>
                <w:sz w:val="18"/>
                <w:szCs w:val="18"/>
              </w:rPr>
              <w:t>广州御新 软件有限 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41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50"/>
              <w:ind w:left="23" w:right="-34"/>
              <w:jc w:val="left"/>
              <w:rPr>
                <w:rFonts w:ascii="宋体" w:hAnsi="宋体" w:cs="宋体" w:eastAsia="宋体" w:hint="default"/>
                <w:sz w:val="18"/>
                <w:szCs w:val="18"/>
              </w:rPr>
            </w:pPr>
            <w:r>
              <w:rPr>
                <w:rFonts w:ascii="宋体" w:hAnsi="宋体" w:cs="宋体" w:eastAsia="宋体" w:hint="default"/>
                <w:sz w:val="18"/>
                <w:szCs w:val="18"/>
              </w:rPr>
              <w:t>自动柜员机及点 </w:t>
            </w:r>
            <w:r>
              <w:rPr>
                <w:rFonts w:ascii="宋体" w:hAnsi="宋体" w:cs="宋体" w:eastAsia="宋体" w:hint="default"/>
                <w:spacing w:val="-3"/>
                <w:sz w:val="18"/>
                <w:szCs w:val="18"/>
              </w:rPr>
              <w:t>钞机设备的研发、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销售</w:t>
            </w:r>
          </w:p>
        </w:tc>
        <w:tc>
          <w:tcPr>
            <w:tcW w:w="85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384,751,650.26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323,733,341.49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85,034,187.99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73,964,721.53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73,322,689.57</w:t>
            </w:r>
          </w:p>
        </w:tc>
      </w:tr>
      <w:tr>
        <w:trPr>
          <w:trHeight w:val="1961" w:hRule="exact"/>
        </w:trPr>
        <w:tc>
          <w:tcPr>
            <w:tcW w:w="85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94"/>
              <w:jc w:val="both"/>
              <w:rPr>
                <w:rFonts w:ascii="宋体" w:hAnsi="宋体" w:cs="宋体" w:eastAsia="宋体" w:hint="default"/>
                <w:sz w:val="18"/>
                <w:szCs w:val="18"/>
              </w:rPr>
            </w:pPr>
            <w:r>
              <w:rPr>
                <w:rFonts w:ascii="宋体" w:hAnsi="宋体" w:cs="宋体" w:eastAsia="宋体" w:hint="default"/>
                <w:sz w:val="18"/>
                <w:szCs w:val="18"/>
              </w:rPr>
              <w:t>广州御银 自动柜员 机技术有 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41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23" w:right="-34"/>
              <w:jc w:val="both"/>
              <w:rPr>
                <w:rFonts w:ascii="宋体" w:hAnsi="宋体" w:cs="宋体" w:eastAsia="宋体" w:hint="default"/>
                <w:sz w:val="18"/>
                <w:szCs w:val="18"/>
              </w:rPr>
            </w:pPr>
            <w:r>
              <w:rPr>
                <w:rFonts w:ascii="宋体" w:hAnsi="宋体" w:cs="宋体" w:eastAsia="宋体" w:hint="default"/>
                <w:spacing w:val="-10"/>
                <w:sz w:val="18"/>
                <w:szCs w:val="18"/>
              </w:rPr>
              <w:t>电子产品、金融机</w:t>
            </w:r>
            <w:r>
              <w:rPr>
                <w:rFonts w:ascii="宋体" w:hAnsi="宋体" w:cs="宋体" w:eastAsia="宋体" w:hint="default"/>
                <w:sz w:val="18"/>
                <w:szCs w:val="18"/>
              </w:rPr>
              <w:t> </w:t>
            </w:r>
            <w:r>
              <w:rPr>
                <w:rFonts w:ascii="宋体" w:hAnsi="宋体" w:cs="宋体" w:eastAsia="宋体" w:hint="default"/>
                <w:spacing w:val="-10"/>
                <w:sz w:val="18"/>
                <w:szCs w:val="18"/>
              </w:rPr>
              <w:t>具设备、自动柜员</w:t>
            </w:r>
            <w:r>
              <w:rPr>
                <w:rFonts w:ascii="宋体" w:hAnsi="宋体" w:cs="宋体" w:eastAsia="宋体" w:hint="default"/>
                <w:sz w:val="18"/>
                <w:szCs w:val="18"/>
              </w:rPr>
              <w:t> </w:t>
            </w:r>
            <w:r>
              <w:rPr>
                <w:rFonts w:ascii="宋体" w:hAnsi="宋体" w:cs="宋体" w:eastAsia="宋体" w:hint="default"/>
                <w:spacing w:val="-3"/>
                <w:sz w:val="18"/>
                <w:szCs w:val="18"/>
              </w:rPr>
              <w:t>机的研究、开发、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0"/>
                <w:sz w:val="18"/>
                <w:szCs w:val="18"/>
              </w:rPr>
              <w:t>销售、自由房地产</w:t>
            </w:r>
            <w:r>
              <w:rPr>
                <w:rFonts w:ascii="宋体" w:hAnsi="宋体" w:cs="宋体" w:eastAsia="宋体" w:hint="default"/>
                <w:sz w:val="18"/>
                <w:szCs w:val="18"/>
              </w:rPr>
              <w:t> </w:t>
            </w:r>
            <w:r>
              <w:rPr>
                <w:rFonts w:ascii="宋体" w:hAnsi="宋体" w:cs="宋体" w:eastAsia="宋体" w:hint="default"/>
                <w:spacing w:val="-10"/>
                <w:sz w:val="18"/>
                <w:szCs w:val="18"/>
              </w:rPr>
              <w:t>经营、电子元器件</w:t>
            </w:r>
            <w:r>
              <w:rPr>
                <w:rFonts w:ascii="宋体" w:hAnsi="宋体" w:cs="宋体" w:eastAsia="宋体" w:hint="default"/>
                <w:sz w:val="18"/>
                <w:szCs w:val="18"/>
              </w:rPr>
              <w:t> 批发、房屋租赁</w:t>
            </w:r>
          </w:p>
        </w:tc>
        <w:tc>
          <w:tcPr>
            <w:tcW w:w="85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234,029,682.08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182,943,076.16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77,563,015.28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-32,708,313.1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-24,935,864.01</w:t>
            </w:r>
          </w:p>
        </w:tc>
      </w:tr>
      <w:tr>
        <w:trPr>
          <w:trHeight w:val="1027" w:hRule="exact"/>
        </w:trPr>
        <w:tc>
          <w:tcPr>
            <w:tcW w:w="85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51"/>
              <w:ind w:left="23" w:right="94"/>
              <w:jc w:val="both"/>
              <w:rPr>
                <w:rFonts w:ascii="宋体" w:hAnsi="宋体" w:cs="宋体" w:eastAsia="宋体" w:hint="default"/>
                <w:sz w:val="18"/>
                <w:szCs w:val="18"/>
              </w:rPr>
            </w:pPr>
            <w:r>
              <w:rPr>
                <w:rFonts w:ascii="宋体" w:hAnsi="宋体" w:cs="宋体" w:eastAsia="宋体" w:hint="default"/>
                <w:sz w:val="18"/>
                <w:szCs w:val="18"/>
              </w:rPr>
              <w:t>安徽御银 电子科技 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95"/>
              <w:jc w:val="left"/>
              <w:rPr>
                <w:rFonts w:ascii="宋体" w:hAnsi="宋体" w:cs="宋体" w:eastAsia="宋体" w:hint="default"/>
                <w:sz w:val="18"/>
                <w:szCs w:val="18"/>
              </w:rPr>
            </w:pPr>
            <w:r>
              <w:rPr>
                <w:rFonts w:ascii="宋体" w:hAnsi="宋体" w:cs="宋体" w:eastAsia="宋体" w:hint="default"/>
                <w:sz w:val="18"/>
                <w:szCs w:val="18"/>
              </w:rPr>
              <w:t>电子设备 业</w:t>
            </w:r>
          </w:p>
        </w:tc>
        <w:tc>
          <w:tcPr>
            <w:tcW w:w="141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51"/>
              <w:ind w:left="23" w:right="-34"/>
              <w:jc w:val="left"/>
              <w:rPr>
                <w:rFonts w:ascii="宋体" w:hAnsi="宋体" w:cs="宋体" w:eastAsia="宋体" w:hint="default"/>
                <w:sz w:val="18"/>
                <w:szCs w:val="18"/>
              </w:rPr>
            </w:pPr>
            <w:r>
              <w:rPr>
                <w:rFonts w:ascii="宋体" w:hAnsi="宋体" w:cs="宋体" w:eastAsia="宋体" w:hint="default"/>
                <w:sz w:val="18"/>
                <w:szCs w:val="18"/>
              </w:rPr>
              <w:t>自动柜员机及点 </w:t>
            </w:r>
            <w:r>
              <w:rPr>
                <w:rFonts w:ascii="宋体" w:hAnsi="宋体" w:cs="宋体" w:eastAsia="宋体" w:hint="default"/>
                <w:spacing w:val="-3"/>
                <w:sz w:val="18"/>
                <w:szCs w:val="18"/>
              </w:rPr>
              <w:t>钞机设备的研发、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销售</w:t>
            </w:r>
          </w:p>
        </w:tc>
        <w:tc>
          <w:tcPr>
            <w:tcW w:w="85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1,323,252.08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1,033,959.43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-753,911.10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-575,039.96</w:t>
            </w:r>
          </w:p>
        </w:tc>
      </w:tr>
      <w:tr>
        <w:trPr>
          <w:trHeight w:val="1337" w:hRule="exact"/>
        </w:trPr>
        <w:tc>
          <w:tcPr>
            <w:tcW w:w="85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4"/>
              <w:jc w:val="both"/>
              <w:rPr>
                <w:rFonts w:ascii="宋体" w:hAnsi="宋体" w:cs="宋体" w:eastAsia="宋体" w:hint="default"/>
                <w:sz w:val="18"/>
                <w:szCs w:val="18"/>
              </w:rPr>
            </w:pPr>
            <w:r>
              <w:rPr>
                <w:rFonts w:ascii="宋体" w:hAnsi="宋体" w:cs="宋体" w:eastAsia="宋体" w:hint="default"/>
                <w:sz w:val="18"/>
                <w:szCs w:val="18"/>
              </w:rPr>
              <w:t>广州御银 金融服务 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金融业</w:t>
            </w:r>
          </w:p>
        </w:tc>
        <w:tc>
          <w:tcPr>
            <w:tcW w:w="141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对柜员机进行维 </w:t>
            </w:r>
            <w:r>
              <w:rPr>
                <w:rFonts w:ascii="宋体" w:hAnsi="宋体" w:cs="宋体" w:eastAsia="宋体" w:hint="default"/>
                <w:spacing w:val="-10"/>
                <w:sz w:val="18"/>
                <w:szCs w:val="18"/>
              </w:rPr>
              <w:t>护及管理，对现金</w:t>
            </w:r>
            <w:r>
              <w:rPr>
                <w:rFonts w:ascii="宋体" w:hAnsi="宋体" w:cs="宋体" w:eastAsia="宋体" w:hint="default"/>
                <w:sz w:val="18"/>
                <w:szCs w:val="18"/>
              </w:rPr>
              <w:t> 及有价证券清分 处理</w:t>
            </w:r>
          </w:p>
        </w:tc>
        <w:tc>
          <w:tcPr>
            <w:tcW w:w="85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42,782,993.70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9,777,831.01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1,843,815.54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-17,394,837.6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-14,133,664.15</w:t>
            </w:r>
          </w:p>
        </w:tc>
      </w:tr>
      <w:tr>
        <w:trPr>
          <w:trHeight w:val="1340" w:hRule="exact"/>
        </w:trPr>
        <w:tc>
          <w:tcPr>
            <w:tcW w:w="85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51"/>
              <w:ind w:left="23" w:right="94"/>
              <w:jc w:val="both"/>
              <w:rPr>
                <w:rFonts w:ascii="宋体" w:hAnsi="宋体" w:cs="宋体" w:eastAsia="宋体" w:hint="default"/>
                <w:sz w:val="18"/>
                <w:szCs w:val="18"/>
              </w:rPr>
            </w:pPr>
            <w:r>
              <w:rPr>
                <w:rFonts w:ascii="宋体" w:hAnsi="宋体" w:cs="宋体" w:eastAsia="宋体" w:hint="default"/>
                <w:sz w:val="18"/>
                <w:szCs w:val="18"/>
              </w:rPr>
              <w:t>御银（中 国）科技 国际有限 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贸易业</w:t>
            </w:r>
          </w:p>
        </w:tc>
        <w:tc>
          <w:tcPr>
            <w:tcW w:w="141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85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302,058.72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268,649.76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-239,531.57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-239,531.57</w:t>
            </w:r>
          </w:p>
        </w:tc>
      </w:tr>
      <w:tr>
        <w:trPr>
          <w:trHeight w:val="1025" w:hRule="exact"/>
        </w:trPr>
        <w:tc>
          <w:tcPr>
            <w:tcW w:w="85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御银科技</w:t>
            </w:r>
          </w:p>
          <w:p>
            <w:pPr>
              <w:pStyle w:val="TableParagraph"/>
              <w:spacing w:line="316" w:lineRule="auto" w:before="76"/>
              <w:ind w:left="23" w:right="94"/>
              <w:jc w:val="left"/>
              <w:rPr>
                <w:rFonts w:ascii="宋体" w:hAnsi="宋体" w:cs="宋体" w:eastAsia="宋体" w:hint="default"/>
                <w:sz w:val="18"/>
                <w:szCs w:val="18"/>
              </w:rPr>
            </w:pPr>
            <w:r>
              <w:rPr>
                <w:rFonts w:ascii="宋体" w:hAnsi="宋体" w:cs="宋体" w:eastAsia="宋体" w:hint="default"/>
                <w:sz w:val="18"/>
                <w:szCs w:val="18"/>
              </w:rPr>
              <w:t>（香港） 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贸易业</w:t>
            </w:r>
          </w:p>
        </w:tc>
        <w:tc>
          <w:tcPr>
            <w:tcW w:w="141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85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港</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4,115,250.44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601,594.45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541,056.05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77,048.58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74,667.85</w:t>
            </w:r>
          </w:p>
        </w:tc>
      </w:tr>
      <w:tr>
        <w:trPr>
          <w:trHeight w:val="986" w:hRule="exact"/>
        </w:trPr>
        <w:tc>
          <w:tcPr>
            <w:tcW w:w="85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94"/>
              <w:jc w:val="left"/>
              <w:rPr>
                <w:rFonts w:ascii="宋体" w:hAnsi="宋体" w:cs="宋体" w:eastAsia="宋体" w:hint="default"/>
                <w:sz w:val="18"/>
                <w:szCs w:val="18"/>
              </w:rPr>
            </w:pPr>
            <w:r>
              <w:rPr>
                <w:rFonts w:ascii="宋体" w:hAnsi="宋体" w:cs="宋体" w:eastAsia="宋体" w:hint="default"/>
                <w:sz w:val="18"/>
                <w:szCs w:val="18"/>
              </w:rPr>
              <w:t>上海博科 咨询股份</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85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41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pacing w:val="-10"/>
                <w:sz w:val="18"/>
                <w:szCs w:val="18"/>
              </w:rPr>
              <w:t>计算机软、硬件的</w:t>
            </w:r>
            <w:r>
              <w:rPr>
                <w:rFonts w:ascii="宋体" w:hAnsi="宋体" w:cs="宋体" w:eastAsia="宋体" w:hint="default"/>
                <w:sz w:val="18"/>
                <w:szCs w:val="18"/>
              </w:rPr>
              <w:t> </w:t>
            </w:r>
            <w:r>
              <w:rPr>
                <w:rFonts w:ascii="宋体" w:hAnsi="宋体" w:cs="宋体" w:eastAsia="宋体" w:hint="default"/>
                <w:spacing w:val="-10"/>
                <w:sz w:val="18"/>
                <w:szCs w:val="18"/>
              </w:rPr>
              <w:t>技术开发、技术服</w:t>
            </w:r>
            <w:r>
              <w:rPr>
                <w:rFonts w:ascii="宋体" w:hAnsi="宋体" w:cs="宋体" w:eastAsia="宋体" w:hint="default"/>
                <w:sz w:val="18"/>
                <w:szCs w:val="18"/>
              </w:rPr>
              <w:t> </w:t>
            </w:r>
            <w:r>
              <w:rPr>
                <w:rFonts w:ascii="宋体" w:hAnsi="宋体" w:cs="宋体" w:eastAsia="宋体" w:hint="default"/>
                <w:spacing w:val="-10"/>
                <w:sz w:val="18"/>
                <w:szCs w:val="18"/>
              </w:rPr>
              <w:t>务、技术咨询、销</w:t>
            </w:r>
          </w:p>
        </w:tc>
        <w:tc>
          <w:tcPr>
            <w:tcW w:w="85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96,000,00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pacing w:val="-1"/>
                <w:sz w:val="18"/>
              </w:rPr>
              <w:t>343,097,546.47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261,117,495.13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152,588,281.9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17,194,036.22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pacing w:val="-1"/>
                <w:sz w:val="18"/>
              </w:rPr>
              <w:t>26,616,963.97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320" w:right="440"/>
        </w:sectPr>
      </w:pPr>
    </w:p>
    <w:p>
      <w:pPr>
        <w:spacing w:line="240" w:lineRule="auto" w:before="6"/>
        <w:rPr>
          <w:rFonts w:ascii="宋体" w:hAnsi="宋体" w:cs="宋体" w:eastAsia="宋体" w:hint="default"/>
          <w:sz w:val="26"/>
          <w:szCs w:val="26"/>
        </w:rPr>
      </w:pPr>
    </w:p>
    <w:p>
      <w:pPr>
        <w:pStyle w:val="BodyText"/>
        <w:tabs>
          <w:tab w:pos="2685" w:val="left" w:leader="none"/>
        </w:tabs>
        <w:spacing w:line="316" w:lineRule="auto" w:before="44"/>
        <w:ind w:left="2685" w:right="7019" w:hanging="2552"/>
        <w:jc w:val="left"/>
      </w:pPr>
      <w:r>
        <w:rPr/>
        <w:pict>
          <v:shape style="position:absolute;margin-left:195.854004pt;margin-top:1.787738pt;width:66.2pt;height:95.7pt;mso-position-horizontal-relative:page;mso-position-vertical-relative:paragraph;z-index:-75040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4"/>
                      <w:szCs w:val="24"/>
                    </w:rPr>
                  </w:pPr>
                </w:p>
                <w:p>
                  <w:pPr>
                    <w:pStyle w:val="BodyText"/>
                    <w:spacing w:line="240" w:lineRule="auto"/>
                    <w:ind w:left="0" w:right="0"/>
                    <w:jc w:val="left"/>
                  </w:pPr>
                  <w:r>
                    <w:rPr/>
                    <w:t>维护，</w:t>
                  </w:r>
                </w:p>
              </w:txbxContent>
            </v:textbox>
            <w10:wrap type="none"/>
          </v:shape>
        </w:pict>
      </w:r>
      <w:r>
        <w:rPr/>
        <w:pict>
          <v:group style="position:absolute;margin-left:21pt;margin-top:1.071733pt;width:546.35pt;height:583.15pt;mso-position-horizontal-relative:page;mso-position-vertical-relative:paragraph;z-index:-750376" coordorigin="420,21" coordsize="10927,11663">
            <v:group style="position:absolute;left:442;top:36;width:2;height:353" coordorigin="442,36" coordsize="2,353">
              <v:shape style="position:absolute;left:442;top:36;width:2;height:353" coordorigin="442,36" coordsize="0,353" path="m442,36l442,389e" filled="false" stroked="true" strokeweight="1.2pt" strokecolor="#c7ebcc">
                <v:path arrowok="t"/>
              </v:shape>
            </v:group>
            <v:group style="position:absolute;left:1260;top:36;width:2;height:353" coordorigin="1260,36" coordsize="2,353">
              <v:shape style="position:absolute;left:1260;top:36;width:2;height:353" coordorigin="1260,36" coordsize="0,353" path="m1260,36l1260,389e" filled="false" stroked="true" strokeweight="1.224pt" strokecolor="#c7ebcc">
                <v:path arrowok="t"/>
              </v:shape>
            </v:group>
            <v:group style="position:absolute;left:430;top:389;width:843;height:1561" coordorigin="430,389" coordsize="843,1561">
              <v:shape style="position:absolute;left:430;top:389;width:843;height:1561" coordorigin="430,389" coordsize="843,1561" path="m430,1949l1272,1949,1272,389,430,389,430,1949xe" filled="true" fillcolor="#c7ebcc" stroked="false">
                <v:path arrowok="t"/>
                <v:fill type="solid"/>
              </v:shape>
            </v:group>
            <v:group style="position:absolute;left:454;top:36;width:795;height:353" coordorigin="454,36" coordsize="795,353">
              <v:shape style="position:absolute;left:454;top:36;width:795;height:353" coordorigin="454,36" coordsize="795,353" path="m454,389l1248,389,1248,36,454,36,454,389xe" filled="true" fillcolor="#c7ebcc" stroked="false">
                <v:path arrowok="t"/>
                <v:fill type="solid"/>
              </v:shape>
            </v:group>
            <v:group style="position:absolute;left:430;top:31;width:841;height:2" coordorigin="430,31" coordsize="841,2">
              <v:shape style="position:absolute;left:430;top:31;width:841;height:2" coordorigin="430,31" coordsize="841,0" path="m430,31l1270,31e" filled="false" stroked="true" strokeweight=".48pt" strokecolor="#000000">
                <v:path arrowok="t"/>
              </v:shape>
            </v:group>
            <v:group style="position:absolute;left:2132;top:36;width:840;height:1914" coordorigin="2132,36" coordsize="840,1914">
              <v:shape style="position:absolute;left:2132;top:36;width:840;height:1914" coordorigin="2132,36" coordsize="840,1914" path="m2132,1949l2972,1949,2972,36,2132,36,2132,1949xe" filled="true" fillcolor="#c7ebcc" stroked="false">
                <v:path arrowok="t"/>
                <v:fill type="solid"/>
              </v:shape>
            </v:group>
            <v:group style="position:absolute;left:2993;top:36;width:2;height:1914" coordorigin="2993,36" coordsize="2,1914">
              <v:shape style="position:absolute;left:2993;top:36;width:2;height:1914" coordorigin="2993,36" coordsize="0,1914" path="m2993,36l2993,1949e" filled="false" stroked="true" strokeweight="1.2pt" strokecolor="#c7ebcc">
                <v:path arrowok="t"/>
              </v:shape>
            </v:group>
            <v:group style="position:absolute;left:4380;top:36;width:2;height:1914" coordorigin="4380,36" coordsize="2,1914">
              <v:shape style="position:absolute;left:4380;top:36;width:2;height:1914" coordorigin="4380,36" coordsize="0,1914" path="m4380,36l4380,1949e" filled="false" stroked="true" strokeweight="1.08pt" strokecolor="#c7ebcc">
                <v:path arrowok="t"/>
              </v:shape>
            </v:group>
            <v:group style="position:absolute;left:3005;top:36;width:1364;height:312" coordorigin="3005,36" coordsize="1364,312">
              <v:shape style="position:absolute;left:3005;top:36;width:1364;height:312" coordorigin="3005,36" coordsize="1364,312" path="m3005,348l4369,348,4369,36,3005,36,3005,348xe" filled="true" fillcolor="#c7ebcc" stroked="false">
                <v:path arrowok="t"/>
                <v:fill type="solid"/>
              </v:shape>
            </v:group>
            <v:group style="position:absolute;left:3005;top:348;width:1364;height:313" coordorigin="3005,348" coordsize="1364,313">
              <v:shape style="position:absolute;left:3005;top:348;width:1364;height:313" coordorigin="3005,348" coordsize="1364,313" path="m3005,660l4369,660,4369,348,3005,348,3005,660xe" filled="true" fillcolor="#c7ebcc" stroked="false">
                <v:path arrowok="t"/>
                <v:fill type="solid"/>
              </v:shape>
            </v:group>
            <v:group style="position:absolute;left:3005;top:660;width:1364;height:312" coordorigin="3005,660" coordsize="1364,312">
              <v:shape style="position:absolute;left:3005;top:660;width:1364;height:312" coordorigin="3005,660" coordsize="1364,312" path="m3005,972l4369,972,4369,660,3005,660,3005,972xe" filled="true" fillcolor="#c7ebcc" stroked="false">
                <v:path arrowok="t"/>
                <v:fill type="solid"/>
              </v:shape>
            </v:group>
            <v:group style="position:absolute;left:3005;top:972;width:1364;height:312" coordorigin="3005,972" coordsize="1364,312">
              <v:shape style="position:absolute;left:3005;top:972;width:1364;height:312" coordorigin="3005,972" coordsize="1364,312" path="m3005,1284l4369,1284,4369,972,3005,972,3005,1284xe" filled="true" fillcolor="#c7ebcc" stroked="false">
                <v:path arrowok="t"/>
                <v:fill type="solid"/>
              </v:shape>
            </v:group>
            <v:group style="position:absolute;left:3005;top:1284;width:1364;height:312" coordorigin="3005,1284" coordsize="1364,312">
              <v:shape style="position:absolute;left:3005;top:1284;width:1364;height:312" coordorigin="3005,1284" coordsize="1364,312" path="m3005,1596l4369,1596,4369,1284,3005,1284,3005,1596xe" filled="true" fillcolor="#c7ebcc" stroked="false">
                <v:path arrowok="t"/>
                <v:fill type="solid"/>
              </v:shape>
            </v:group>
            <v:group style="position:absolute;left:3005;top:1596;width:1364;height:353" coordorigin="3005,1596" coordsize="1364,353">
              <v:shape style="position:absolute;left:3005;top:1596;width:1364;height:353" coordorigin="3005,1596" coordsize="1364,353" path="m3005,1949l4369,1949,4369,1596,3005,1596,3005,1949xe" filled="true" fillcolor="#c7ebcc" stroked="false">
                <v:path arrowok="t"/>
                <v:fill type="solid"/>
              </v:shape>
            </v:group>
            <v:group style="position:absolute;left:4400;top:36;width:840;height:1914" coordorigin="4400,36" coordsize="840,1914">
              <v:shape style="position:absolute;left:4400;top:36;width:840;height:1914" coordorigin="4400,36" coordsize="840,1914" path="m4400,1949l5240,1949,5240,36,4400,36,4400,1949xe" filled="true" fillcolor="#c7ebcc" stroked="false">
                <v:path arrowok="t"/>
                <v:fill type="solid"/>
              </v:shape>
            </v:group>
            <v:group style="position:absolute;left:1280;top:31;width:843;height:2" coordorigin="1280,31" coordsize="843,2">
              <v:shape style="position:absolute;left:1280;top:31;width:843;height:2" coordorigin="1280,31" coordsize="843,0" path="m1280,31l2122,31e" filled="false" stroked="true" strokeweight=".48pt" strokecolor="#000000">
                <v:path arrowok="t"/>
              </v:shape>
            </v:group>
            <v:group style="position:absolute;left:2132;top:31;width:840;height:2" coordorigin="2132,31" coordsize="840,2">
              <v:shape style="position:absolute;left:2132;top:31;width:840;height:2" coordorigin="2132,31" coordsize="840,0" path="m2132,31l2972,31e" filled="false" stroked="true" strokeweight=".48pt" strokecolor="#000000">
                <v:path arrowok="t"/>
              </v:shape>
            </v:group>
            <v:group style="position:absolute;left:2981;top:31;width:1410;height:2" coordorigin="2981,31" coordsize="1410,2">
              <v:shape style="position:absolute;left:2981;top:31;width:1410;height:2" coordorigin="2981,31" coordsize="1410,0" path="m2981,31l4390,31e" filled="false" stroked="true" strokeweight=".48pt" strokecolor="#000000">
                <v:path arrowok="t"/>
              </v:shape>
            </v:group>
            <v:group style="position:absolute;left:4400;top:31;width:840;height:2" coordorigin="4400,31" coordsize="840,2">
              <v:shape style="position:absolute;left:4400;top:31;width:840;height:2" coordorigin="4400,31" coordsize="840,0" path="m4400,31l5240,31e" filled="false" stroked="true" strokeweight=".48pt" strokecolor="#000000">
                <v:path arrowok="t"/>
              </v:shape>
            </v:group>
            <v:group style="position:absolute;left:5250;top:31;width:1268;height:2" coordorigin="5250,31" coordsize="1268,2">
              <v:shape style="position:absolute;left:5250;top:31;width:1268;height:2" coordorigin="5250,31" coordsize="1268,0" path="m5250,31l6517,31e" filled="false" stroked="true" strokeweight=".48pt" strokecolor="#000000">
                <v:path arrowok="t"/>
              </v:shape>
            </v:group>
            <v:group style="position:absolute;left:6527;top:31;width:1265;height:2" coordorigin="6527,31" coordsize="1265,2">
              <v:shape style="position:absolute;left:6527;top:31;width:1265;height:2" coordorigin="6527,31" coordsize="1265,0" path="m6527,31l7792,31e" filled="false" stroked="true" strokeweight=".48pt" strokecolor="#000000">
                <v:path arrowok="t"/>
              </v:shape>
            </v:group>
            <v:group style="position:absolute;left:7801;top:31;width:1127;height:2" coordorigin="7801,31" coordsize="1127,2">
              <v:shape style="position:absolute;left:7801;top:31;width:1127;height:2" coordorigin="7801,31" coordsize="1127,0" path="m7801,31l8927,31e" filled="false" stroked="true" strokeweight=".48pt" strokecolor="#000000">
                <v:path arrowok="t"/>
              </v:shape>
            </v:group>
            <v:group style="position:absolute;left:8937;top:31;width:1124;height:2" coordorigin="8937,31" coordsize="1124,2">
              <v:shape style="position:absolute;left:8937;top:31;width:1124;height:2" coordorigin="8937,31" coordsize="1124,0" path="m8937,31l10060,31e" filled="false" stroked="true" strokeweight=".48pt" strokecolor="#000000">
                <v:path arrowok="t"/>
              </v:shape>
            </v:group>
            <v:group style="position:absolute;left:10070;top:31;width:1268;height:2" coordorigin="10070,31" coordsize="1268,2">
              <v:shape style="position:absolute;left:10070;top:31;width:1268;height:2" coordorigin="10070,31" coordsize="1268,0" path="m10070,31l11337,31e" filled="false" stroked="true" strokeweight=".48pt" strokecolor="#000000">
                <v:path arrowok="t"/>
              </v:shape>
            </v:group>
            <v:group style="position:absolute;left:442;top:1959;width:2;height:1328" coordorigin="442,1959" coordsize="2,1328">
              <v:shape style="position:absolute;left:442;top:1959;width:2;height:1328" coordorigin="442,1959" coordsize="0,1328" path="m442,1959l442,3286e" filled="false" stroked="true" strokeweight="1.2pt" strokecolor="#c7ebcc">
                <v:path arrowok="t"/>
              </v:shape>
            </v:group>
            <v:group style="position:absolute;left:1260;top:1959;width:2;height:1328" coordorigin="1260,1959" coordsize="2,1328">
              <v:shape style="position:absolute;left:1260;top:1959;width:2;height:1328" coordorigin="1260,1959" coordsize="0,1328" path="m1260,1959l1260,3286e" filled="false" stroked="true" strokeweight="1.224pt" strokecolor="#c7ebcc">
                <v:path arrowok="t"/>
              </v:shape>
            </v:group>
            <v:group style="position:absolute;left:454;top:1959;width:795;height:353" coordorigin="454,1959" coordsize="795,353">
              <v:shape style="position:absolute;left:454;top:1959;width:795;height:353" coordorigin="454,1959" coordsize="795,353" path="m454,2311l1248,2311,1248,1959,454,1959,454,2311xe" filled="true" fillcolor="#c7ebcc" stroked="false">
                <v:path arrowok="t"/>
                <v:fill type="solid"/>
              </v:shape>
            </v:group>
            <v:group style="position:absolute;left:454;top:2311;width:795;height:312" coordorigin="454,2311" coordsize="795,312">
              <v:shape style="position:absolute;left:454;top:2311;width:795;height:312" coordorigin="454,2311" coordsize="795,312" path="m454,2623l1248,2623,1248,2311,454,2311,454,2623xe" filled="true" fillcolor="#c7ebcc" stroked="false">
                <v:path arrowok="t"/>
                <v:fill type="solid"/>
              </v:shape>
            </v:group>
            <v:group style="position:absolute;left:454;top:2623;width:795;height:312" coordorigin="454,2623" coordsize="795,312">
              <v:shape style="position:absolute;left:454;top:2623;width:795;height:312" coordorigin="454,2623" coordsize="795,312" path="m454,2935l1248,2935,1248,2623,454,2623,454,2935xe" filled="true" fillcolor="#c7ebcc" stroked="false">
                <v:path arrowok="t"/>
                <v:fill type="solid"/>
              </v:shape>
            </v:group>
            <v:group style="position:absolute;left:454;top:2935;width:795;height:351" coordorigin="454,2935" coordsize="795,351">
              <v:shape style="position:absolute;left:454;top:2935;width:795;height:351" coordorigin="454,2935" coordsize="795,351" path="m454,3286l1248,3286,1248,2935,454,2935,454,3286xe" filled="true" fillcolor="#c7ebcc" stroked="false">
                <v:path arrowok="t"/>
                <v:fill type="solid"/>
              </v:shape>
            </v:group>
            <v:group style="position:absolute;left:2132;top:1959;width:840;height:468" coordorigin="2132,1959" coordsize="840,468">
              <v:shape style="position:absolute;left:2132;top:1959;width:840;height:468" coordorigin="2132,1959" coordsize="840,468" path="m2132,2427l2972,2427,2972,1959,2132,1959,2132,2427xe" filled="true" fillcolor="#c7ebcc" stroked="false">
                <v:path arrowok="t"/>
                <v:fill type="solid"/>
              </v:shape>
            </v:group>
            <v:group style="position:absolute;left:2144;top:2427;width:2;height:392" coordorigin="2144,2427" coordsize="2,392">
              <v:shape style="position:absolute;left:2144;top:2427;width:2;height:392" coordorigin="2144,2427" coordsize="0,392" path="m2144,2427l2144,2818e" filled="false" stroked="true" strokeweight="1.2pt" strokecolor="#c7ebcc">
                <v:path arrowok="t"/>
              </v:shape>
            </v:group>
            <v:group style="position:absolute;left:2961;top:2427;width:2;height:392" coordorigin="2961,2427" coordsize="2,392">
              <v:shape style="position:absolute;left:2961;top:2427;width:2;height:392" coordorigin="2961,2427" coordsize="0,392" path="m2961,2427l2961,2818e" filled="false" stroked="true" strokeweight="1.08pt" strokecolor="#c7ebcc">
                <v:path arrowok="t"/>
              </v:shape>
            </v:group>
            <v:group style="position:absolute;left:2132;top:2818;width:840;height:468" coordorigin="2132,2818" coordsize="840,468">
              <v:shape style="position:absolute;left:2132;top:2818;width:840;height:468" coordorigin="2132,2818" coordsize="840,468" path="m2132,3286l2972,3286,2972,2818,2132,2818,2132,3286xe" filled="true" fillcolor="#c7ebcc" stroked="false">
                <v:path arrowok="t"/>
                <v:fill type="solid"/>
              </v:shape>
            </v:group>
            <v:group style="position:absolute;left:2156;top:2427;width:795;height:392" coordorigin="2156,2427" coordsize="795,392">
              <v:shape style="position:absolute;left:2156;top:2427;width:795;height:392" coordorigin="2156,2427" coordsize="795,392" path="m2156,2818l2950,2818,2950,2427,2156,2427,2156,2818xe" filled="true" fillcolor="#c7ebcc" stroked="false">
                <v:path arrowok="t"/>
                <v:fill type="solid"/>
              </v:shape>
            </v:group>
            <v:group style="position:absolute;left:2981;top:1959;width:1410;height:156" coordorigin="2981,1959" coordsize="1410,156">
              <v:shape style="position:absolute;left:2981;top:1959;width:1410;height:156" coordorigin="2981,1959" coordsize="1410,156" path="m2981,2115l4390,2115,4390,1959,2981,1959,2981,2115xe" filled="true" fillcolor="#c7ebcc" stroked="false">
                <v:path arrowok="t"/>
                <v:fill type="solid"/>
              </v:shape>
            </v:group>
            <v:group style="position:absolute;left:2993;top:2115;width:2;height:1016" coordorigin="2993,2115" coordsize="2,1016">
              <v:shape style="position:absolute;left:2993;top:2115;width:2;height:1016" coordorigin="2993,2115" coordsize="0,1016" path="m2993,2115l2993,3130e" filled="false" stroked="true" strokeweight="1.2pt" strokecolor="#c7ebcc">
                <v:path arrowok="t"/>
              </v:shape>
            </v:group>
            <v:group style="position:absolute;left:4380;top:2115;width:2;height:1016" coordorigin="4380,2115" coordsize="2,1016">
              <v:shape style="position:absolute;left:4380;top:2115;width:2;height:1016" coordorigin="4380,2115" coordsize="0,1016" path="m4380,2115l4380,3130e" filled="false" stroked="true" strokeweight="1.08pt" strokecolor="#c7ebcc">
                <v:path arrowok="t"/>
              </v:shape>
            </v:group>
            <v:group style="position:absolute;left:2981;top:3130;width:1410;height:156" coordorigin="2981,3130" coordsize="1410,156">
              <v:shape style="position:absolute;left:2981;top:3130;width:1410;height:156" coordorigin="2981,3130" coordsize="1410,156" path="m2981,3286l4390,3286,4390,3130,2981,3130,2981,3286xe" filled="true" fillcolor="#c7ebcc" stroked="false">
                <v:path arrowok="t"/>
                <v:fill type="solid"/>
              </v:shape>
            </v:group>
            <v:group style="position:absolute;left:3005;top:2115;width:1364;height:353" coordorigin="3005,2115" coordsize="1364,353">
              <v:shape style="position:absolute;left:3005;top:2115;width:1364;height:353" coordorigin="3005,2115" coordsize="1364,353" path="m3005,2467l4369,2467,4369,2115,3005,2115,3005,2467xe" filled="true" fillcolor="#c7ebcc" stroked="false">
                <v:path arrowok="t"/>
                <v:fill type="solid"/>
              </v:shape>
            </v:group>
            <v:group style="position:absolute;left:3005;top:2467;width:1364;height:312" coordorigin="3005,2467" coordsize="1364,312">
              <v:shape style="position:absolute;left:3005;top:2467;width:1364;height:312" coordorigin="3005,2467" coordsize="1364,312" path="m3005,2779l4369,2779,4369,2467,3005,2467,3005,2779xe" filled="true" fillcolor="#c7ebcc" stroked="false">
                <v:path arrowok="t"/>
                <v:fill type="solid"/>
              </v:shape>
            </v:group>
            <v:group style="position:absolute;left:3005;top:2779;width:1364;height:351" coordorigin="3005,2779" coordsize="1364,351">
              <v:shape style="position:absolute;left:3005;top:2779;width:1364;height:351" coordorigin="3005,2779" coordsize="1364,351" path="m3005,3130l4369,3130,4369,2779,3005,2779,3005,3130xe" filled="true" fillcolor="#c7ebcc" stroked="false">
                <v:path arrowok="t"/>
                <v:fill type="solid"/>
              </v:shape>
            </v:group>
            <v:group style="position:absolute;left:4400;top:1959;width:840;height:468" coordorigin="4400,1959" coordsize="840,468">
              <v:shape style="position:absolute;left:4400;top:1959;width:840;height:468" coordorigin="4400,1959" coordsize="840,468" path="m4400,2427l5240,2427,5240,1959,4400,1959,4400,2427xe" filled="true" fillcolor="#c7ebcc" stroked="false">
                <v:path arrowok="t"/>
                <v:fill type="solid"/>
              </v:shape>
            </v:group>
            <v:group style="position:absolute;left:4412;top:2427;width:2;height:392" coordorigin="4412,2427" coordsize="2,392">
              <v:shape style="position:absolute;left:4412;top:2427;width:2;height:392" coordorigin="4412,2427" coordsize="0,392" path="m4412,2427l4412,2818e" filled="false" stroked="true" strokeweight="1.2pt" strokecolor="#c7ebcc">
                <v:path arrowok="t"/>
              </v:shape>
            </v:group>
            <v:group style="position:absolute;left:5229;top:2427;width:2;height:392" coordorigin="5229,2427" coordsize="2,392">
              <v:shape style="position:absolute;left:5229;top:2427;width:2;height:392" coordorigin="5229,2427" coordsize="0,392" path="m5229,2427l5229,2818e" filled="false" stroked="true" strokeweight="1.08pt" strokecolor="#c7ebcc">
                <v:path arrowok="t"/>
              </v:shape>
            </v:group>
            <v:group style="position:absolute;left:4400;top:2818;width:840;height:468" coordorigin="4400,2818" coordsize="840,468">
              <v:shape style="position:absolute;left:4400;top:2818;width:840;height:468" coordorigin="4400,2818" coordsize="840,468" path="m4400,3286l5240,3286,5240,2818,4400,2818,4400,3286xe" filled="true" fillcolor="#c7ebcc" stroked="false">
                <v:path arrowok="t"/>
                <v:fill type="solid"/>
              </v:shape>
            </v:group>
            <v:group style="position:absolute;left:4424;top:2427;width:795;height:392" coordorigin="4424,2427" coordsize="795,392">
              <v:shape style="position:absolute;left:4424;top:2427;width:795;height:392" coordorigin="4424,2427" coordsize="795,392" path="m4424,2818l5219,2818,5219,2427,4424,2427,4424,2818xe" filled="true" fillcolor="#c7ebcc" stroked="false">
                <v:path arrowok="t"/>
                <v:fill type="solid"/>
              </v:shape>
            </v:group>
            <v:group style="position:absolute;left:430;top:1954;width:841;height:2" coordorigin="430,1954" coordsize="841,2">
              <v:shape style="position:absolute;left:430;top:1954;width:841;height:2" coordorigin="430,1954" coordsize="841,0" path="m430,1954l1270,1954e" filled="false" stroked="true" strokeweight=".48001pt" strokecolor="#000000">
                <v:path arrowok="t"/>
              </v:shape>
            </v:group>
            <v:group style="position:absolute;left:1280;top:1954;width:843;height:2" coordorigin="1280,1954" coordsize="843,2">
              <v:shape style="position:absolute;left:1280;top:1954;width:843;height:2" coordorigin="1280,1954" coordsize="843,0" path="m1280,1954l2122,1954e" filled="false" stroked="true" strokeweight=".48001pt" strokecolor="#000000">
                <v:path arrowok="t"/>
              </v:shape>
            </v:group>
            <v:group style="position:absolute;left:2132;top:1954;width:840;height:2" coordorigin="2132,1954" coordsize="840,2">
              <v:shape style="position:absolute;left:2132;top:1954;width:840;height:2" coordorigin="2132,1954" coordsize="840,0" path="m2132,1954l2972,1954e" filled="false" stroked="true" strokeweight=".48001pt" strokecolor="#000000">
                <v:path arrowok="t"/>
              </v:shape>
            </v:group>
            <v:group style="position:absolute;left:2981;top:1954;width:1410;height:2" coordorigin="2981,1954" coordsize="1410,2">
              <v:shape style="position:absolute;left:2981;top:1954;width:1410;height:2" coordorigin="2981,1954" coordsize="1410,0" path="m2981,1954l4390,1954e" filled="false" stroked="true" strokeweight=".48001pt" strokecolor="#000000">
                <v:path arrowok="t"/>
              </v:shape>
            </v:group>
            <v:group style="position:absolute;left:4400;top:1954;width:840;height:2" coordorigin="4400,1954" coordsize="840,2">
              <v:shape style="position:absolute;left:4400;top:1954;width:840;height:2" coordorigin="4400,1954" coordsize="840,0" path="m4400,1954l5240,1954e" filled="false" stroked="true" strokeweight=".48001pt" strokecolor="#000000">
                <v:path arrowok="t"/>
              </v:shape>
            </v:group>
            <v:group style="position:absolute;left:5250;top:1954;width:1268;height:2" coordorigin="5250,1954" coordsize="1268,2">
              <v:shape style="position:absolute;left:5250;top:1954;width:1268;height:2" coordorigin="5250,1954" coordsize="1268,0" path="m5250,1954l6517,1954e" filled="false" stroked="true" strokeweight=".48001pt" strokecolor="#000000">
                <v:path arrowok="t"/>
              </v:shape>
            </v:group>
            <v:group style="position:absolute;left:6527;top:1954;width:1265;height:2" coordorigin="6527,1954" coordsize="1265,2">
              <v:shape style="position:absolute;left:6527;top:1954;width:1265;height:2" coordorigin="6527,1954" coordsize="1265,0" path="m6527,1954l7792,1954e" filled="false" stroked="true" strokeweight=".48001pt" strokecolor="#000000">
                <v:path arrowok="t"/>
              </v:shape>
            </v:group>
            <v:group style="position:absolute;left:7801;top:1954;width:1127;height:2" coordorigin="7801,1954" coordsize="1127,2">
              <v:shape style="position:absolute;left:7801;top:1954;width:1127;height:2" coordorigin="7801,1954" coordsize="1127,0" path="m7801,1954l8927,1954e" filled="false" stroked="true" strokeweight=".48001pt" strokecolor="#000000">
                <v:path arrowok="t"/>
              </v:shape>
            </v:group>
            <v:group style="position:absolute;left:8937;top:1954;width:1124;height:2" coordorigin="8937,1954" coordsize="1124,2">
              <v:shape style="position:absolute;left:8937;top:1954;width:1124;height:2" coordorigin="8937,1954" coordsize="1124,0" path="m8937,1954l10060,1954e" filled="false" stroked="true" strokeweight=".48001pt" strokecolor="#000000">
                <v:path arrowok="t"/>
              </v:shape>
            </v:group>
            <v:group style="position:absolute;left:10070;top:1954;width:1268;height:2" coordorigin="10070,1954" coordsize="1268,2">
              <v:shape style="position:absolute;left:10070;top:1954;width:1268;height:2" coordorigin="10070,1954" coordsize="1268,0" path="m10070,1954l11337,1954e" filled="false" stroked="true" strokeweight=".48001pt" strokecolor="#000000">
                <v:path arrowok="t"/>
              </v:shape>
            </v:group>
            <v:group style="position:absolute;left:430;top:3295;width:843;height:156" coordorigin="430,3295" coordsize="843,156">
              <v:shape style="position:absolute;left:430;top:3295;width:843;height:156" coordorigin="430,3295" coordsize="843,156" path="m430,3451l1272,3451,1272,3295,430,3295,430,3451xe" filled="true" fillcolor="#c7ebcc" stroked="false">
                <v:path arrowok="t"/>
                <v:fill type="solid"/>
              </v:shape>
            </v:group>
            <v:group style="position:absolute;left:442;top:3452;width:2;height:1331" coordorigin="442,3452" coordsize="2,1331">
              <v:shape style="position:absolute;left:442;top:3452;width:2;height:1331" coordorigin="442,3452" coordsize="0,1331" path="m442,3452l442,4782e" filled="false" stroked="true" strokeweight="1.2pt" strokecolor="#c7ebcc">
                <v:path arrowok="t"/>
              </v:shape>
            </v:group>
            <v:group style="position:absolute;left:1260;top:3452;width:2;height:1331" coordorigin="1260,3452" coordsize="2,1331">
              <v:shape style="position:absolute;left:1260;top:3452;width:2;height:1331" coordorigin="1260,3452" coordsize="0,1331" path="m1260,3452l1260,4782e" filled="false" stroked="true" strokeweight="1.224pt" strokecolor="#c7ebcc">
                <v:path arrowok="t"/>
              </v:shape>
            </v:group>
            <v:group style="position:absolute;left:430;top:4782;width:843;height:156" coordorigin="430,4782" coordsize="843,156">
              <v:shape style="position:absolute;left:430;top:4782;width:843;height:156" coordorigin="430,4782" coordsize="843,156" path="m430,4938l1272,4938,1272,4782,430,4782,430,4938xe" filled="true" fillcolor="#c7ebcc" stroked="false">
                <v:path arrowok="t"/>
                <v:fill type="solid"/>
              </v:shape>
            </v:group>
            <v:group style="position:absolute;left:454;top:3451;width:795;height:353" coordorigin="454,3451" coordsize="795,353">
              <v:shape style="position:absolute;left:454;top:3451;width:795;height:353" coordorigin="454,3451" coordsize="795,353" path="m454,3804l1248,3804,1248,3451,454,3451,454,3804xe" filled="true" fillcolor="#c7ebcc" stroked="false">
                <v:path arrowok="t"/>
                <v:fill type="solid"/>
              </v:shape>
            </v:group>
            <v:group style="position:absolute;left:454;top:3804;width:795;height:312" coordorigin="454,3804" coordsize="795,312">
              <v:shape style="position:absolute;left:454;top:3804;width:795;height:312" coordorigin="454,3804" coordsize="795,312" path="m454,4116l1248,4116,1248,3804,454,3804,454,4116xe" filled="true" fillcolor="#c7ebcc" stroked="false">
                <v:path arrowok="t"/>
                <v:fill type="solid"/>
              </v:shape>
            </v:group>
            <v:group style="position:absolute;left:454;top:4116;width:795;height:313" coordorigin="454,4116" coordsize="795,313">
              <v:shape style="position:absolute;left:454;top:4116;width:795;height:313" coordorigin="454,4116" coordsize="795,313" path="m454,4429l1248,4429,1248,4116,454,4116,454,4429xe" filled="true" fillcolor="#c7ebcc" stroked="false">
                <v:path arrowok="t"/>
                <v:fill type="solid"/>
              </v:shape>
            </v:group>
            <v:group style="position:absolute;left:454;top:4429;width:795;height:353" coordorigin="454,4429" coordsize="795,353">
              <v:shape style="position:absolute;left:454;top:4429;width:795;height:353" coordorigin="454,4429" coordsize="795,353" path="m454,4782l1248,4782,1248,4429,454,4429,454,4782xe" filled="true" fillcolor="#c7ebcc" stroked="false">
                <v:path arrowok="t"/>
                <v:fill type="solid"/>
              </v:shape>
            </v:group>
            <v:group style="position:absolute;left:2132;top:3295;width:840;height:468" coordorigin="2132,3295" coordsize="840,468">
              <v:shape style="position:absolute;left:2132;top:3295;width:840;height:468" coordorigin="2132,3295" coordsize="840,468" path="m2132,3763l2972,3763,2972,3295,2132,3295,2132,3763xe" filled="true" fillcolor="#c7ebcc" stroked="false">
                <v:path arrowok="t"/>
                <v:fill type="solid"/>
              </v:shape>
            </v:group>
            <v:group style="position:absolute;left:2144;top:3764;width:2;height:707" coordorigin="2144,3764" coordsize="2,707">
              <v:shape style="position:absolute;left:2144;top:3764;width:2;height:707" coordorigin="2144,3764" coordsize="0,707" path="m2144,3764l2144,4470e" filled="false" stroked="true" strokeweight="1.2pt" strokecolor="#c7ebcc">
                <v:path arrowok="t"/>
              </v:shape>
            </v:group>
            <v:group style="position:absolute;left:2961;top:3764;width:2;height:707" coordorigin="2961,3764" coordsize="2,707">
              <v:shape style="position:absolute;left:2961;top:3764;width:2;height:707" coordorigin="2961,3764" coordsize="0,707" path="m2961,3764l2961,4470e" filled="false" stroked="true" strokeweight="1.08pt" strokecolor="#c7ebcc">
                <v:path arrowok="t"/>
              </v:shape>
            </v:group>
            <v:group style="position:absolute;left:2132;top:4470;width:840;height:468" coordorigin="2132,4470" coordsize="840,468">
              <v:shape style="position:absolute;left:2132;top:4470;width:840;height:468" coordorigin="2132,4470" coordsize="840,468" path="m2132,4938l2972,4938,2972,4470,2132,4470,2132,4938xe" filled="true" fillcolor="#c7ebcc" stroked="false">
                <v:path arrowok="t"/>
                <v:fill type="solid"/>
              </v:shape>
            </v:group>
            <v:group style="position:absolute;left:2156;top:3763;width:795;height:353" coordorigin="2156,3763" coordsize="795,353">
              <v:shape style="position:absolute;left:2156;top:3763;width:795;height:353" coordorigin="2156,3763" coordsize="795,353" path="m2156,4116l2950,4116,2950,3763,2156,3763,2156,4116xe" filled="true" fillcolor="#c7ebcc" stroked="false">
                <v:path arrowok="t"/>
                <v:fill type="solid"/>
              </v:shape>
            </v:group>
            <v:group style="position:absolute;left:2156;top:4116;width:795;height:354" coordorigin="2156,4116" coordsize="795,354">
              <v:shape style="position:absolute;left:2156;top:4116;width:795;height:354" coordorigin="2156,4116" coordsize="795,354" path="m2156,4470l2950,4470,2950,4116,2156,4116,2156,4470xe" filled="true" fillcolor="#c7ebcc" stroked="false">
                <v:path arrowok="t"/>
                <v:fill type="solid"/>
              </v:shape>
            </v:group>
            <v:group style="position:absolute;left:2993;top:3296;width:2;height:1643" coordorigin="2993,3296" coordsize="2,1643">
              <v:shape style="position:absolute;left:2993;top:3296;width:2;height:1643" coordorigin="2993,3296" coordsize="0,1643" path="m2993,3296l2993,4938e" filled="false" stroked="true" strokeweight="1.2pt" strokecolor="#c7ebcc">
                <v:path arrowok="t"/>
              </v:shape>
            </v:group>
            <v:group style="position:absolute;left:4380;top:3296;width:2;height:1643" coordorigin="4380,3296" coordsize="2,1643">
              <v:shape style="position:absolute;left:4380;top:3296;width:2;height:1643" coordorigin="4380,3296" coordsize="0,1643" path="m4380,3296l4380,4938e" filled="false" stroked="true" strokeweight="1.08pt" strokecolor="#c7ebcc">
                <v:path arrowok="t"/>
              </v:shape>
            </v:group>
            <v:group style="position:absolute;left:3005;top:3295;width:1364;height:353" coordorigin="3005,3295" coordsize="1364,353">
              <v:shape style="position:absolute;left:3005;top:3295;width:1364;height:353" coordorigin="3005,3295" coordsize="1364,353" path="m3005,3648l4369,3648,4369,3295,3005,3295,3005,3648xe" filled="true" fillcolor="#c7ebcc" stroked="false">
                <v:path arrowok="t"/>
                <v:fill type="solid"/>
              </v:shape>
            </v:group>
            <v:group style="position:absolute;left:3005;top:3648;width:1364;height:312" coordorigin="3005,3648" coordsize="1364,312">
              <v:shape style="position:absolute;left:3005;top:3648;width:1364;height:312" coordorigin="3005,3648" coordsize="1364,312" path="m3005,3960l4369,3960,4369,3648,3005,3648,3005,3960xe" filled="true" fillcolor="#c7ebcc" stroked="false">
                <v:path arrowok="t"/>
                <v:fill type="solid"/>
              </v:shape>
            </v:group>
            <v:group style="position:absolute;left:3005;top:3960;width:1364;height:313" coordorigin="3005,3960" coordsize="1364,313">
              <v:shape style="position:absolute;left:3005;top:3960;width:1364;height:313" coordorigin="3005,3960" coordsize="1364,313" path="m3005,4273l4369,4273,4369,3960,3005,3960,3005,4273xe" filled="true" fillcolor="#c7ebcc" stroked="false">
                <v:path arrowok="t"/>
                <v:fill type="solid"/>
              </v:shape>
            </v:group>
            <v:group style="position:absolute;left:3005;top:4273;width:1364;height:312" coordorigin="3005,4273" coordsize="1364,312">
              <v:shape style="position:absolute;left:3005;top:4273;width:1364;height:312" coordorigin="3005,4273" coordsize="1364,312" path="m3005,4585l4369,4585,4369,4273,3005,4273,3005,4585xe" filled="true" fillcolor="#c7ebcc" stroked="false">
                <v:path arrowok="t"/>
                <v:fill type="solid"/>
              </v:shape>
            </v:group>
            <v:group style="position:absolute;left:3005;top:4585;width:1364;height:353" coordorigin="3005,4585" coordsize="1364,353">
              <v:shape style="position:absolute;left:3005;top:4585;width:1364;height:353" coordorigin="3005,4585" coordsize="1364,353" path="m3005,4938l4369,4938,4369,4585,3005,4585,3005,4938xe" filled="true" fillcolor="#c7ebcc" stroked="false">
                <v:path arrowok="t"/>
                <v:fill type="solid"/>
              </v:shape>
            </v:group>
            <v:group style="position:absolute;left:4400;top:3295;width:840;height:468" coordorigin="4400,3295" coordsize="840,468">
              <v:shape style="position:absolute;left:4400;top:3295;width:840;height:468" coordorigin="4400,3295" coordsize="840,468" path="m4400,3763l5240,3763,5240,3295,4400,3295,4400,3763xe" filled="true" fillcolor="#c7ebcc" stroked="false">
                <v:path arrowok="t"/>
                <v:fill type="solid"/>
              </v:shape>
            </v:group>
            <v:group style="position:absolute;left:4412;top:3764;width:2;height:707" coordorigin="4412,3764" coordsize="2,707">
              <v:shape style="position:absolute;left:4412;top:3764;width:2;height:707" coordorigin="4412,3764" coordsize="0,707" path="m4412,3764l4412,4470e" filled="false" stroked="true" strokeweight="1.2pt" strokecolor="#c7ebcc">
                <v:path arrowok="t"/>
              </v:shape>
            </v:group>
            <v:group style="position:absolute;left:5229;top:3764;width:2;height:707" coordorigin="5229,3764" coordsize="2,707">
              <v:shape style="position:absolute;left:5229;top:3764;width:2;height:707" coordorigin="5229,3764" coordsize="0,707" path="m5229,3764l5229,4470e" filled="false" stroked="true" strokeweight="1.08pt" strokecolor="#c7ebcc">
                <v:path arrowok="t"/>
              </v:shape>
            </v:group>
            <v:group style="position:absolute;left:4400;top:4470;width:840;height:468" coordorigin="4400,4470" coordsize="840,468">
              <v:shape style="position:absolute;left:4400;top:4470;width:840;height:468" coordorigin="4400,4470" coordsize="840,468" path="m4400,4938l5240,4938,5240,4470,4400,4470,4400,4938xe" filled="true" fillcolor="#c7ebcc" stroked="false">
                <v:path arrowok="t"/>
                <v:fill type="solid"/>
              </v:shape>
            </v:group>
            <v:group style="position:absolute;left:4424;top:3763;width:795;height:353" coordorigin="4424,3763" coordsize="795,353">
              <v:shape style="position:absolute;left:4424;top:3763;width:795;height:353" coordorigin="4424,3763" coordsize="795,353" path="m4424,4116l5219,4116,5219,3763,4424,3763,4424,4116xe" filled="true" fillcolor="#c7ebcc" stroked="false">
                <v:path arrowok="t"/>
                <v:fill type="solid"/>
              </v:shape>
            </v:group>
            <v:group style="position:absolute;left:4424;top:4116;width:795;height:354" coordorigin="4424,4116" coordsize="795,354">
              <v:shape style="position:absolute;left:4424;top:4116;width:795;height:354" coordorigin="4424,4116" coordsize="795,354" path="m4424,4470l5219,4470,5219,4116,4424,4116,4424,4470xe" filled="true" fillcolor="#c7ebcc" stroked="false">
                <v:path arrowok="t"/>
                <v:fill type="solid"/>
              </v:shape>
            </v:group>
            <v:group style="position:absolute;left:430;top:3291;width:841;height:2" coordorigin="430,3291" coordsize="841,2">
              <v:shape style="position:absolute;left:430;top:3291;width:841;height:2" coordorigin="430,3291" coordsize="841,0" path="m430,3291l1270,3291e" filled="false" stroked="true" strokeweight=".48pt" strokecolor="#000000">
                <v:path arrowok="t"/>
              </v:shape>
            </v:group>
            <v:group style="position:absolute;left:1280;top:3291;width:843;height:2" coordorigin="1280,3291" coordsize="843,2">
              <v:shape style="position:absolute;left:1280;top:3291;width:843;height:2" coordorigin="1280,3291" coordsize="843,0" path="m1280,3291l2122,3291e" filled="false" stroked="true" strokeweight=".48pt" strokecolor="#000000">
                <v:path arrowok="t"/>
              </v:shape>
            </v:group>
            <v:group style="position:absolute;left:2132;top:3291;width:840;height:2" coordorigin="2132,3291" coordsize="840,2">
              <v:shape style="position:absolute;left:2132;top:3291;width:840;height:2" coordorigin="2132,3291" coordsize="840,0" path="m2132,3291l2972,3291e" filled="false" stroked="true" strokeweight=".48pt" strokecolor="#000000">
                <v:path arrowok="t"/>
              </v:shape>
            </v:group>
            <v:group style="position:absolute;left:2981;top:3291;width:1410;height:2" coordorigin="2981,3291" coordsize="1410,2">
              <v:shape style="position:absolute;left:2981;top:3291;width:1410;height:2" coordorigin="2981,3291" coordsize="1410,0" path="m2981,3291l4390,3291e" filled="false" stroked="true" strokeweight=".48pt" strokecolor="#000000">
                <v:path arrowok="t"/>
              </v:shape>
            </v:group>
            <v:group style="position:absolute;left:4400;top:3291;width:840;height:2" coordorigin="4400,3291" coordsize="840,2">
              <v:shape style="position:absolute;left:4400;top:3291;width:840;height:2" coordorigin="4400,3291" coordsize="840,0" path="m4400,3291l5240,3291e" filled="false" stroked="true" strokeweight=".48pt" strokecolor="#000000">
                <v:path arrowok="t"/>
              </v:shape>
            </v:group>
            <v:group style="position:absolute;left:5250;top:3291;width:1268;height:2" coordorigin="5250,3291" coordsize="1268,2">
              <v:shape style="position:absolute;left:5250;top:3291;width:1268;height:2" coordorigin="5250,3291" coordsize="1268,0" path="m5250,3291l6517,3291e" filled="false" stroked="true" strokeweight=".48pt" strokecolor="#000000">
                <v:path arrowok="t"/>
              </v:shape>
            </v:group>
            <v:group style="position:absolute;left:6527;top:3291;width:1265;height:2" coordorigin="6527,3291" coordsize="1265,2">
              <v:shape style="position:absolute;left:6527;top:3291;width:1265;height:2" coordorigin="6527,3291" coordsize="1265,0" path="m6527,3291l7792,3291e" filled="false" stroked="true" strokeweight=".48pt" strokecolor="#000000">
                <v:path arrowok="t"/>
              </v:shape>
            </v:group>
            <v:group style="position:absolute;left:7801;top:3291;width:1127;height:2" coordorigin="7801,3291" coordsize="1127,2">
              <v:shape style="position:absolute;left:7801;top:3291;width:1127;height:2" coordorigin="7801,3291" coordsize="1127,0" path="m7801,3291l8927,3291e" filled="false" stroked="true" strokeweight=".48pt" strokecolor="#000000">
                <v:path arrowok="t"/>
              </v:shape>
            </v:group>
            <v:group style="position:absolute;left:8937;top:3291;width:1124;height:2" coordorigin="8937,3291" coordsize="1124,2">
              <v:shape style="position:absolute;left:8937;top:3291;width:1124;height:2" coordorigin="8937,3291" coordsize="1124,0" path="m8937,3291l10060,3291e" filled="false" stroked="true" strokeweight=".48pt" strokecolor="#000000">
                <v:path arrowok="t"/>
              </v:shape>
            </v:group>
            <v:group style="position:absolute;left:10070;top:3291;width:1268;height:2" coordorigin="10070,3291" coordsize="1268,2">
              <v:shape style="position:absolute;left:10070;top:3291;width:1268;height:2" coordorigin="10070,3291" coordsize="1268,0" path="m10070,3291l11337,3291e" filled="false" stroked="true" strokeweight=".48pt" strokecolor="#000000">
                <v:path arrowok="t"/>
              </v:shape>
            </v:group>
            <v:group style="position:absolute;left:430;top:4947;width:843;height:1248" coordorigin="430,4947" coordsize="843,1248">
              <v:shape style="position:absolute;left:430;top:4947;width:843;height:1248" coordorigin="430,4947" coordsize="843,1248" path="m430,6195l1272,6195,1272,4947,430,4947,430,6195xe" filled="true" fillcolor="#c7ebcc" stroked="false">
                <v:path arrowok="t"/>
                <v:fill type="solid"/>
              </v:shape>
            </v:group>
            <v:group style="position:absolute;left:442;top:6195;width:2;height:1328" coordorigin="442,6195" coordsize="2,1328">
              <v:shape style="position:absolute;left:442;top:6195;width:2;height:1328" coordorigin="442,6195" coordsize="0,1328" path="m442,6195l442,7522e" filled="false" stroked="true" strokeweight="1.2pt" strokecolor="#c7ebcc">
                <v:path arrowok="t"/>
              </v:shape>
            </v:group>
            <v:group style="position:absolute;left:1260;top:6195;width:2;height:1328" coordorigin="1260,6195" coordsize="2,1328">
              <v:shape style="position:absolute;left:1260;top:6195;width:2;height:1328" coordorigin="1260,6195" coordsize="0,1328" path="m1260,6195l1260,7522e" filled="false" stroked="true" strokeweight="1.224pt" strokecolor="#c7ebcc">
                <v:path arrowok="t"/>
              </v:shape>
            </v:group>
            <v:group style="position:absolute;left:430;top:7522;width:843;height:1249" coordorigin="430,7522" coordsize="843,1249">
              <v:shape style="position:absolute;left:430;top:7522;width:843;height:1249" coordorigin="430,7522" coordsize="843,1249" path="m430,8771l1272,8771,1272,7522,430,7522,430,8771xe" filled="true" fillcolor="#c7ebcc" stroked="false">
                <v:path arrowok="t"/>
                <v:fill type="solid"/>
              </v:shape>
            </v:group>
            <v:group style="position:absolute;left:454;top:6195;width:795;height:353" coordorigin="454,6195" coordsize="795,353">
              <v:shape style="position:absolute;left:454;top:6195;width:795;height:353" coordorigin="454,6195" coordsize="795,353" path="m454,6548l1248,6548,1248,6195,454,6195,454,6548xe" filled="true" fillcolor="#c7ebcc" stroked="false">
                <v:path arrowok="t"/>
                <v:fill type="solid"/>
              </v:shape>
            </v:group>
            <v:group style="position:absolute;left:454;top:6548;width:795;height:312" coordorigin="454,6548" coordsize="795,312">
              <v:shape style="position:absolute;left:454;top:6548;width:795;height:312" coordorigin="454,6548" coordsize="795,312" path="m454,6860l1248,6860,1248,6548,454,6548,454,6860xe" filled="true" fillcolor="#c7ebcc" stroked="false">
                <v:path arrowok="t"/>
                <v:fill type="solid"/>
              </v:shape>
            </v:group>
            <v:group style="position:absolute;left:454;top:6860;width:795;height:312" coordorigin="454,6860" coordsize="795,312">
              <v:shape style="position:absolute;left:454;top:6860;width:795;height:312" coordorigin="454,6860" coordsize="795,312" path="m454,7172l1248,7172,1248,6860,454,6860,454,7172xe" filled="true" fillcolor="#c7ebcc" stroked="false">
                <v:path arrowok="t"/>
                <v:fill type="solid"/>
              </v:shape>
            </v:group>
            <v:group style="position:absolute;left:454;top:7172;width:795;height:351" coordorigin="454,7172" coordsize="795,351">
              <v:shape style="position:absolute;left:454;top:7172;width:795;height:351" coordorigin="454,7172" coordsize="795,351" path="m454,7522l1248,7522,1248,7172,454,7172,454,7522xe" filled="true" fillcolor="#c7ebcc" stroked="false">
                <v:path arrowok="t"/>
                <v:fill type="solid"/>
              </v:shape>
            </v:group>
            <v:group style="position:absolute;left:2132;top:4947;width:840;height:1716" coordorigin="2132,4947" coordsize="840,1716">
              <v:shape style="position:absolute;left:2132;top:4947;width:840;height:1716" coordorigin="2132,4947" coordsize="840,1716" path="m2132,6663l2972,6663,2972,4947,2132,4947,2132,6663xe" filled="true" fillcolor="#c7ebcc" stroked="false">
                <v:path arrowok="t"/>
                <v:fill type="solid"/>
              </v:shape>
            </v:group>
            <v:group style="position:absolute;left:2144;top:6663;width:2;height:392" coordorigin="2144,6663" coordsize="2,392">
              <v:shape style="position:absolute;left:2144;top:6663;width:2;height:392" coordorigin="2144,6663" coordsize="0,392" path="m2144,6663l2144,7054e" filled="false" stroked="true" strokeweight="1.2pt" strokecolor="#c7ebcc">
                <v:path arrowok="t"/>
              </v:shape>
            </v:group>
            <v:group style="position:absolute;left:2961;top:6663;width:2;height:392" coordorigin="2961,6663" coordsize="2,392">
              <v:shape style="position:absolute;left:2961;top:6663;width:2;height:392" coordorigin="2961,6663" coordsize="0,392" path="m2961,6663l2961,7054e" filled="false" stroked="true" strokeweight="1.08pt" strokecolor="#c7ebcc">
                <v:path arrowok="t"/>
              </v:shape>
            </v:group>
            <v:group style="position:absolute;left:2132;top:7054;width:840;height:1717" coordorigin="2132,7054" coordsize="840,1717">
              <v:shape style="position:absolute;left:2132;top:7054;width:840;height:1717" coordorigin="2132,7054" coordsize="840,1717" path="m2132,8771l2972,8771,2972,7054,2132,7054,2132,8771xe" filled="true" fillcolor="#c7ebcc" stroked="false">
                <v:path arrowok="t"/>
                <v:fill type="solid"/>
              </v:shape>
            </v:group>
            <v:group style="position:absolute;left:2156;top:6663;width:795;height:392" coordorigin="2156,6663" coordsize="795,392">
              <v:shape style="position:absolute;left:2156;top:6663;width:795;height:392" coordorigin="2156,6663" coordsize="795,392" path="m2156,7054l2950,7054,2950,6663,2156,6663,2156,7054xe" filled="true" fillcolor="#c7ebcc" stroked="false">
                <v:path arrowok="t"/>
                <v:fill type="solid"/>
              </v:shape>
            </v:group>
            <v:group style="position:absolute;left:2993;top:4947;width:2;height:3824" coordorigin="2993,4947" coordsize="2,3824">
              <v:shape style="position:absolute;left:2993;top:4947;width:2;height:3824" coordorigin="2993,4947" coordsize="0,3824" path="m2993,4947l2993,8771e" filled="false" stroked="true" strokeweight="1.2pt" strokecolor="#c7ebcc">
                <v:path arrowok="t"/>
              </v:shape>
            </v:group>
            <v:group style="position:absolute;left:4380;top:4947;width:2;height:3824" coordorigin="4380,4947" coordsize="2,3824">
              <v:shape style="position:absolute;left:4380;top:4947;width:2;height:3824" coordorigin="4380,4947" coordsize="0,3824" path="m4380,4947l4380,8771e" filled="false" stroked="true" strokeweight="1.08pt" strokecolor="#c7ebcc">
                <v:path arrowok="t"/>
              </v:shape>
            </v:group>
            <v:group style="position:absolute;left:3005;top:4947;width:1364;height:353" coordorigin="3005,4947" coordsize="1364,353">
              <v:shape style="position:absolute;left:3005;top:4947;width:1364;height:353" coordorigin="3005,4947" coordsize="1364,353" path="m3005,5300l4369,5300,4369,4947,3005,4947,3005,5300xe" filled="true" fillcolor="#c7ebcc" stroked="false">
                <v:path arrowok="t"/>
                <v:fill type="solid"/>
              </v:shape>
            </v:group>
            <v:group style="position:absolute;left:3005;top:5300;width:1364;height:312" coordorigin="3005,5300" coordsize="1364,312">
              <v:shape style="position:absolute;left:3005;top:5300;width:1364;height:312" coordorigin="3005,5300" coordsize="1364,312" path="m3005,5612l4369,5612,4369,5300,3005,5300,3005,5612xe" filled="true" fillcolor="#c7ebcc" stroked="false">
                <v:path arrowok="t"/>
                <v:fill type="solid"/>
              </v:shape>
            </v:group>
            <v:group style="position:absolute;left:3005;top:5612;width:1364;height:312" coordorigin="3005,5612" coordsize="1364,312">
              <v:shape style="position:absolute;left:3005;top:5612;width:1364;height:312" coordorigin="3005,5612" coordsize="1364,312" path="m3005,5924l4369,5924,4369,5612,3005,5612,3005,5924xe" filled="true" fillcolor="#c7ebcc" stroked="false">
                <v:path arrowok="t"/>
                <v:fill type="solid"/>
              </v:shape>
            </v:group>
            <v:group style="position:absolute;left:3005;top:5924;width:1364;height:312" coordorigin="3005,5924" coordsize="1364,312">
              <v:shape style="position:absolute;left:3005;top:5924;width:1364;height:312" coordorigin="3005,5924" coordsize="1364,312" path="m3005,6236l4369,6236,4369,5924,3005,5924,3005,6236xe" filled="true" fillcolor="#c7ebcc" stroked="false">
                <v:path arrowok="t"/>
                <v:fill type="solid"/>
              </v:shape>
            </v:group>
            <v:group style="position:absolute;left:3005;top:6236;width:1364;height:312" coordorigin="3005,6236" coordsize="1364,312">
              <v:shape style="position:absolute;left:3005;top:6236;width:1364;height:312" coordorigin="3005,6236" coordsize="1364,312" path="m3005,6548l4369,6548,4369,6236,3005,6236,3005,6548xe" filled="true" fillcolor="#c7ebcc" stroked="false">
                <v:path arrowok="t"/>
                <v:fill type="solid"/>
              </v:shape>
            </v:group>
            <v:group style="position:absolute;left:3005;top:6548;width:1364;height:312" coordorigin="3005,6548" coordsize="1364,312">
              <v:shape style="position:absolute;left:3005;top:6548;width:1364;height:312" coordorigin="3005,6548" coordsize="1364,312" path="m3005,6860l4369,6860,4369,6548,3005,6548,3005,6860xe" filled="true" fillcolor="#c7ebcc" stroked="false">
                <v:path arrowok="t"/>
                <v:fill type="solid"/>
              </v:shape>
            </v:group>
            <v:group style="position:absolute;left:3005;top:6860;width:1364;height:312" coordorigin="3005,6860" coordsize="1364,312">
              <v:shape style="position:absolute;left:3005;top:6860;width:1364;height:312" coordorigin="3005,6860" coordsize="1364,312" path="m3005,7172l4369,7172,4369,6860,3005,6860,3005,7172xe" filled="true" fillcolor="#c7ebcc" stroked="false">
                <v:path arrowok="t"/>
                <v:fill type="solid"/>
              </v:shape>
            </v:group>
            <v:group style="position:absolute;left:3005;top:7172;width:1364;height:312" coordorigin="3005,7172" coordsize="1364,312">
              <v:shape style="position:absolute;left:3005;top:7172;width:1364;height:312" coordorigin="3005,7172" coordsize="1364,312" path="m3005,7484l4369,7484,4369,7172,3005,7172,3005,7484xe" filled="true" fillcolor="#c7ebcc" stroked="false">
                <v:path arrowok="t"/>
                <v:fill type="solid"/>
              </v:shape>
            </v:group>
            <v:group style="position:absolute;left:3005;top:7484;width:1364;height:312" coordorigin="3005,7484" coordsize="1364,312">
              <v:shape style="position:absolute;left:3005;top:7484;width:1364;height:312" coordorigin="3005,7484" coordsize="1364,312" path="m3005,7796l4369,7796,4369,7484,3005,7484,3005,7796xe" filled="true" fillcolor="#c7ebcc" stroked="false">
                <v:path arrowok="t"/>
                <v:fill type="solid"/>
              </v:shape>
            </v:group>
            <v:group style="position:absolute;left:3005;top:7796;width:1364;height:313" coordorigin="3005,7796" coordsize="1364,313">
              <v:shape style="position:absolute;left:3005;top:7796;width:1364;height:313" coordorigin="3005,7796" coordsize="1364,313" path="m3005,8108l4369,8108,4369,7796,3005,7796,3005,8108xe" filled="true" fillcolor="#c7ebcc" stroked="false">
                <v:path arrowok="t"/>
                <v:fill type="solid"/>
              </v:shape>
            </v:group>
            <v:group style="position:absolute;left:3005;top:8108;width:1364;height:312" coordorigin="3005,8108" coordsize="1364,312">
              <v:shape style="position:absolute;left:3005;top:8108;width:1364;height:312" coordorigin="3005,8108" coordsize="1364,312" path="m3005,8420l4369,8420,4369,8108,3005,8108,3005,8420xe" filled="true" fillcolor="#c7ebcc" stroked="false">
                <v:path arrowok="t"/>
                <v:fill type="solid"/>
              </v:shape>
            </v:group>
            <v:group style="position:absolute;left:3005;top:8420;width:1364;height:351" coordorigin="3005,8420" coordsize="1364,351">
              <v:shape style="position:absolute;left:3005;top:8420;width:1364;height:351" coordorigin="3005,8420" coordsize="1364,351" path="m3005,8771l4369,8771,4369,8420,3005,8420,3005,8771xe" filled="true" fillcolor="#c7ebcc" stroked="false">
                <v:path arrowok="t"/>
                <v:fill type="solid"/>
              </v:shape>
            </v:group>
            <v:group style="position:absolute;left:4400;top:4947;width:840;height:1560" coordorigin="4400,4947" coordsize="840,1560">
              <v:shape style="position:absolute;left:4400;top:4947;width:840;height:1560" coordorigin="4400,4947" coordsize="840,1560" path="m4400,6507l5240,6507,5240,4947,4400,4947,4400,6507xe" filled="true" fillcolor="#c7ebcc" stroked="false">
                <v:path arrowok="t"/>
                <v:fill type="solid"/>
              </v:shape>
            </v:group>
            <v:group style="position:absolute;left:4412;top:6507;width:2;height:704" coordorigin="4412,6507" coordsize="2,704">
              <v:shape style="position:absolute;left:4412;top:6507;width:2;height:704" coordorigin="4412,6507" coordsize="0,704" path="m4412,6507l4412,7210e" filled="false" stroked="true" strokeweight="1.2pt" strokecolor="#c7ebcc">
                <v:path arrowok="t"/>
              </v:shape>
            </v:group>
            <v:group style="position:absolute;left:5229;top:6507;width:2;height:704" coordorigin="5229,6507" coordsize="2,704">
              <v:shape style="position:absolute;left:5229;top:6507;width:2;height:704" coordorigin="5229,6507" coordsize="0,704" path="m5229,6507l5229,7210e" filled="false" stroked="true" strokeweight="1.08pt" strokecolor="#c7ebcc">
                <v:path arrowok="t"/>
              </v:shape>
            </v:group>
            <v:group style="position:absolute;left:4400;top:7210;width:840;height:1561" coordorigin="4400,7210" coordsize="840,1561">
              <v:shape style="position:absolute;left:4400;top:7210;width:840;height:1561" coordorigin="4400,7210" coordsize="840,1561" path="m4400,8771l5240,8771,5240,7210,4400,7210,4400,8771xe" filled="true" fillcolor="#c7ebcc" stroked="false">
                <v:path arrowok="t"/>
                <v:fill type="solid"/>
              </v:shape>
            </v:group>
            <v:group style="position:absolute;left:4424;top:6507;width:795;height:353" coordorigin="4424,6507" coordsize="795,353">
              <v:shape style="position:absolute;left:4424;top:6507;width:795;height:353" coordorigin="4424,6507" coordsize="795,353" path="m4424,6860l5219,6860,5219,6507,4424,6507,4424,6860xe" filled="true" fillcolor="#c7ebcc" stroked="false">
                <v:path arrowok="t"/>
                <v:fill type="solid"/>
              </v:shape>
            </v:group>
            <v:group style="position:absolute;left:4424;top:6860;width:795;height:351" coordorigin="4424,6860" coordsize="795,351">
              <v:shape style="position:absolute;left:4424;top:6860;width:795;height:351" coordorigin="4424,6860" coordsize="795,351" path="m4424,7210l5219,7210,5219,6860,4424,6860,4424,7210xe" filled="true" fillcolor="#c7ebcc" stroked="false">
                <v:path arrowok="t"/>
                <v:fill type="solid"/>
              </v:shape>
            </v:group>
            <v:group style="position:absolute;left:430;top:4942;width:841;height:2" coordorigin="430,4942" coordsize="841,2">
              <v:shape style="position:absolute;left:430;top:4942;width:841;height:2" coordorigin="430,4942" coordsize="841,0" path="m430,4942l1270,4942e" filled="false" stroked="true" strokeweight=".48001pt" strokecolor="#000000">
                <v:path arrowok="t"/>
              </v:shape>
            </v:group>
            <v:group style="position:absolute;left:1280;top:4942;width:843;height:2" coordorigin="1280,4942" coordsize="843,2">
              <v:shape style="position:absolute;left:1280;top:4942;width:843;height:2" coordorigin="1280,4942" coordsize="843,0" path="m1280,4942l2122,4942e" filled="false" stroked="true" strokeweight=".48001pt" strokecolor="#000000">
                <v:path arrowok="t"/>
              </v:shape>
            </v:group>
            <v:group style="position:absolute;left:2132;top:4942;width:840;height:2" coordorigin="2132,4942" coordsize="840,2">
              <v:shape style="position:absolute;left:2132;top:4942;width:840;height:2" coordorigin="2132,4942" coordsize="840,0" path="m2132,4942l2972,4942e" filled="false" stroked="true" strokeweight=".48001pt" strokecolor="#000000">
                <v:path arrowok="t"/>
              </v:shape>
            </v:group>
            <v:group style="position:absolute;left:2981;top:4942;width:1410;height:2" coordorigin="2981,4942" coordsize="1410,2">
              <v:shape style="position:absolute;left:2981;top:4942;width:1410;height:2" coordorigin="2981,4942" coordsize="1410,0" path="m2981,4942l4390,4942e" filled="false" stroked="true" strokeweight=".48001pt" strokecolor="#000000">
                <v:path arrowok="t"/>
              </v:shape>
            </v:group>
            <v:group style="position:absolute;left:4400;top:4942;width:840;height:2" coordorigin="4400,4942" coordsize="840,2">
              <v:shape style="position:absolute;left:4400;top:4942;width:840;height:2" coordorigin="4400,4942" coordsize="840,0" path="m4400,4942l5240,4942e" filled="false" stroked="true" strokeweight=".48001pt" strokecolor="#000000">
                <v:path arrowok="t"/>
              </v:shape>
            </v:group>
            <v:group style="position:absolute;left:5250;top:4942;width:1268;height:2" coordorigin="5250,4942" coordsize="1268,2">
              <v:shape style="position:absolute;left:5250;top:4942;width:1268;height:2" coordorigin="5250,4942" coordsize="1268,0" path="m5250,4942l6517,4942e" filled="false" stroked="true" strokeweight=".48001pt" strokecolor="#000000">
                <v:path arrowok="t"/>
              </v:shape>
            </v:group>
            <v:group style="position:absolute;left:6527;top:4942;width:1265;height:2" coordorigin="6527,4942" coordsize="1265,2">
              <v:shape style="position:absolute;left:6527;top:4942;width:1265;height:2" coordorigin="6527,4942" coordsize="1265,0" path="m6527,4942l7792,4942e" filled="false" stroked="true" strokeweight=".48001pt" strokecolor="#000000">
                <v:path arrowok="t"/>
              </v:shape>
            </v:group>
            <v:group style="position:absolute;left:7801;top:4942;width:1127;height:2" coordorigin="7801,4942" coordsize="1127,2">
              <v:shape style="position:absolute;left:7801;top:4942;width:1127;height:2" coordorigin="7801,4942" coordsize="1127,0" path="m7801,4942l8927,4942e" filled="false" stroked="true" strokeweight=".48001pt" strokecolor="#000000">
                <v:path arrowok="t"/>
              </v:shape>
            </v:group>
            <v:group style="position:absolute;left:8937;top:4942;width:1124;height:2" coordorigin="8937,4942" coordsize="1124,2">
              <v:shape style="position:absolute;left:8937;top:4942;width:1124;height:2" coordorigin="8937,4942" coordsize="1124,0" path="m8937,4942l10060,4942e" filled="false" stroked="true" strokeweight=".48001pt" strokecolor="#000000">
                <v:path arrowok="t"/>
              </v:shape>
            </v:group>
            <v:group style="position:absolute;left:10070;top:4942;width:1268;height:2" coordorigin="10070,4942" coordsize="1268,2">
              <v:shape style="position:absolute;left:10070;top:4942;width:1268;height:2" coordorigin="10070,4942" coordsize="1268,0" path="m10070,4942l11337,4942e" filled="false" stroked="true" strokeweight=".48001pt" strokecolor="#000000">
                <v:path arrowok="t"/>
              </v:shape>
            </v:group>
            <v:group style="position:absolute;left:430;top:8780;width:843;height:936" coordorigin="430,8780" coordsize="843,936">
              <v:shape style="position:absolute;left:430;top:8780;width:843;height:936" coordorigin="430,8780" coordsize="843,936" path="m430,9716l1272,9716,1272,8780,430,8780,430,9716xe" filled="true" fillcolor="#c7ebcc" stroked="false">
                <v:path arrowok="t"/>
                <v:fill type="solid"/>
              </v:shape>
            </v:group>
            <v:group style="position:absolute;left:442;top:9716;width:2;height:1018" coordorigin="442,9716" coordsize="2,1018">
              <v:shape style="position:absolute;left:442;top:9716;width:2;height:1018" coordorigin="442,9716" coordsize="0,1018" path="m442,9716l442,10734e" filled="false" stroked="true" strokeweight="1.2pt" strokecolor="#c7ebcc">
                <v:path arrowok="t"/>
              </v:shape>
            </v:group>
            <v:group style="position:absolute;left:1260;top:9716;width:2;height:1018" coordorigin="1260,9716" coordsize="2,1018">
              <v:shape style="position:absolute;left:1260;top:9716;width:2;height:1018" coordorigin="1260,9716" coordsize="0,1018" path="m1260,9716l1260,10734e" filled="false" stroked="true" strokeweight="1.224pt" strokecolor="#c7ebcc">
                <v:path arrowok="t"/>
              </v:shape>
            </v:group>
            <v:group style="position:absolute;left:430;top:10734;width:843;height:936" coordorigin="430,10734" coordsize="843,936">
              <v:shape style="position:absolute;left:430;top:10734;width:843;height:936" coordorigin="430,10734" coordsize="843,936" path="m430,11670l1272,11670,1272,10734,430,10734,430,11670xe" filled="true" fillcolor="#c7ebcc" stroked="false">
                <v:path arrowok="t"/>
                <v:fill type="solid"/>
              </v:shape>
            </v:group>
            <v:group style="position:absolute;left:454;top:9716;width:795;height:353" coordorigin="454,9716" coordsize="795,353">
              <v:shape style="position:absolute;left:454;top:9716;width:795;height:353" coordorigin="454,9716" coordsize="795,353" path="m454,10069l1248,10069,1248,9716,454,9716,454,10069xe" filled="true" fillcolor="#c7ebcc" stroked="false">
                <v:path arrowok="t"/>
                <v:fill type="solid"/>
              </v:shape>
            </v:group>
            <v:group style="position:absolute;left:454;top:10069;width:795;height:312" coordorigin="454,10069" coordsize="795,312">
              <v:shape style="position:absolute;left:454;top:10069;width:795;height:312" coordorigin="454,10069" coordsize="795,312" path="m454,10381l1248,10381,1248,10069,454,10069,454,10381xe" filled="true" fillcolor="#c7ebcc" stroked="false">
                <v:path arrowok="t"/>
                <v:fill type="solid"/>
              </v:shape>
            </v:group>
            <v:group style="position:absolute;left:454;top:10381;width:795;height:353" coordorigin="454,10381" coordsize="795,353">
              <v:shape style="position:absolute;left:454;top:10381;width:795;height:353" coordorigin="454,10381" coordsize="795,353" path="m454,10734l1248,10734,1248,10381,454,10381,454,10734xe" filled="true" fillcolor="#c7ebcc" stroked="false">
                <v:path arrowok="t"/>
                <v:fill type="solid"/>
              </v:shape>
            </v:group>
            <v:group style="position:absolute;left:2132;top:8780;width:840;height:1248" coordorigin="2132,8780" coordsize="840,1248">
              <v:shape style="position:absolute;left:2132;top:8780;width:840;height:1248" coordorigin="2132,8780" coordsize="840,1248" path="m2132,10028l2972,10028,2972,8780,2132,8780,2132,10028xe" filled="true" fillcolor="#c7ebcc" stroked="false">
                <v:path arrowok="t"/>
                <v:fill type="solid"/>
              </v:shape>
            </v:group>
            <v:group style="position:absolute;left:2144;top:10028;width:2;height:394" coordorigin="2144,10028" coordsize="2,394">
              <v:shape style="position:absolute;left:2144;top:10028;width:2;height:394" coordorigin="2144,10028" coordsize="0,394" path="m2144,10028l2144,10422e" filled="false" stroked="true" strokeweight="1.2pt" strokecolor="#c7ebcc">
                <v:path arrowok="t"/>
              </v:shape>
            </v:group>
            <v:group style="position:absolute;left:2961;top:10028;width:2;height:394" coordorigin="2961,10028" coordsize="2,394">
              <v:shape style="position:absolute;left:2961;top:10028;width:2;height:394" coordorigin="2961,10028" coordsize="0,394" path="m2961,10028l2961,10422e" filled="false" stroked="true" strokeweight="1.08pt" strokecolor="#c7ebcc">
                <v:path arrowok="t"/>
              </v:shape>
            </v:group>
            <v:group style="position:absolute;left:2132;top:10422;width:840;height:1248" coordorigin="2132,10422" coordsize="840,1248">
              <v:shape style="position:absolute;left:2132;top:10422;width:840;height:1248" coordorigin="2132,10422" coordsize="840,1248" path="m2132,11670l2972,11670,2972,10422,2132,10422,2132,11670xe" filled="true" fillcolor="#c7ebcc" stroked="false">
                <v:path arrowok="t"/>
                <v:fill type="solid"/>
              </v:shape>
            </v:group>
            <v:group style="position:absolute;left:2156;top:10028;width:795;height:394" coordorigin="2156,10028" coordsize="795,394">
              <v:shape style="position:absolute;left:2156;top:10028;width:795;height:394" coordorigin="2156,10028" coordsize="795,394" path="m2156,10422l2950,10422,2950,10028,2156,10028,2156,10422xe" filled="true" fillcolor="#c7ebcc" stroked="false">
                <v:path arrowok="t"/>
                <v:fill type="solid"/>
              </v:shape>
            </v:group>
            <v:group style="position:absolute;left:2993;top:8780;width:2;height:2890" coordorigin="2993,8780" coordsize="2,2890">
              <v:shape style="position:absolute;left:2993;top:8780;width:2;height:2890" coordorigin="2993,8780" coordsize="0,2890" path="m2993,8780l2993,11670e" filled="false" stroked="true" strokeweight="1.2pt" strokecolor="#c7ebcc">
                <v:path arrowok="t"/>
              </v:shape>
            </v:group>
            <v:group style="position:absolute;left:4380;top:8780;width:2;height:2890" coordorigin="4380,8780" coordsize="2,2890">
              <v:shape style="position:absolute;left:4380;top:8780;width:2;height:2890" coordorigin="4380,8780" coordsize="0,2890" path="m4380,8780l4380,11670e" filled="false" stroked="true" strokeweight="1.08pt" strokecolor="#c7ebcc">
                <v:path arrowok="t"/>
              </v:shape>
            </v:group>
            <v:group style="position:absolute;left:3005;top:8780;width:1364;height:353" coordorigin="3005,8780" coordsize="1364,353">
              <v:shape style="position:absolute;left:3005;top:8780;width:1364;height:353" coordorigin="3005,8780" coordsize="1364,353" path="m3005,9133l4369,9133,4369,8780,3005,8780,3005,9133xe" filled="true" fillcolor="#c7ebcc" stroked="false">
                <v:path arrowok="t"/>
                <v:fill type="solid"/>
              </v:shape>
            </v:group>
            <v:group style="position:absolute;left:3005;top:9133;width:1364;height:312" coordorigin="3005,9133" coordsize="1364,312">
              <v:shape style="position:absolute;left:3005;top:9133;width:1364;height:312" coordorigin="3005,9133" coordsize="1364,312" path="m3005,9445l4369,9445,4369,9133,3005,9133,3005,9445xe" filled="true" fillcolor="#c7ebcc" stroked="false">
                <v:path arrowok="t"/>
                <v:fill type="solid"/>
              </v:shape>
            </v:group>
            <v:group style="position:absolute;left:3005;top:9445;width:1364;height:312" coordorigin="3005,9445" coordsize="1364,312">
              <v:shape style="position:absolute;left:3005;top:9445;width:1364;height:312" coordorigin="3005,9445" coordsize="1364,312" path="m3005,9757l4369,9757,4369,9445,3005,9445,3005,9757xe" filled="true" fillcolor="#c7ebcc" stroked="false">
                <v:path arrowok="t"/>
                <v:fill type="solid"/>
              </v:shape>
            </v:group>
            <v:group style="position:absolute;left:3005;top:9757;width:1364;height:312" coordorigin="3005,9757" coordsize="1364,312">
              <v:shape style="position:absolute;left:3005;top:9757;width:1364;height:312" coordorigin="3005,9757" coordsize="1364,312" path="m3005,10069l4369,10069,4369,9757,3005,9757,3005,10069xe" filled="true" fillcolor="#c7ebcc" stroked="false">
                <v:path arrowok="t"/>
                <v:fill type="solid"/>
              </v:shape>
            </v:group>
            <v:group style="position:absolute;left:3005;top:10069;width:1364;height:312" coordorigin="3005,10069" coordsize="1364,312">
              <v:shape style="position:absolute;left:3005;top:10069;width:1364;height:312" coordorigin="3005,10069" coordsize="1364,312" path="m3005,10381l4369,10381,4369,10069,3005,10069,3005,10381xe" filled="true" fillcolor="#c7ebcc" stroked="false">
                <v:path arrowok="t"/>
                <v:fill type="solid"/>
              </v:shape>
            </v:group>
            <v:group style="position:absolute;left:3005;top:10381;width:1364;height:312" coordorigin="3005,10381" coordsize="1364,312">
              <v:shape style="position:absolute;left:3005;top:10381;width:1364;height:312" coordorigin="3005,10381" coordsize="1364,312" path="m3005,10693l4369,10693,4369,10381,3005,10381,3005,10693xe" filled="true" fillcolor="#c7ebcc" stroked="false">
                <v:path arrowok="t"/>
                <v:fill type="solid"/>
              </v:shape>
            </v:group>
            <v:group style="position:absolute;left:3005;top:10693;width:1364;height:312" coordorigin="3005,10693" coordsize="1364,312">
              <v:shape style="position:absolute;left:3005;top:10693;width:1364;height:312" coordorigin="3005,10693" coordsize="1364,312" path="m3005,11005l4369,11005,4369,10693,3005,10693,3005,11005xe" filled="true" fillcolor="#c7ebcc" stroked="false">
                <v:path arrowok="t"/>
                <v:fill type="solid"/>
              </v:shape>
            </v:group>
            <v:group style="position:absolute;left:3005;top:11005;width:1364;height:312" coordorigin="3005,11005" coordsize="1364,312">
              <v:shape style="position:absolute;left:3005;top:11005;width:1364;height:312" coordorigin="3005,11005" coordsize="1364,312" path="m3005,11317l4369,11317,4369,11005,3005,11005,3005,11317xe" filled="true" fillcolor="#c7ebcc" stroked="false">
                <v:path arrowok="t"/>
                <v:fill type="solid"/>
              </v:shape>
            </v:group>
            <v:group style="position:absolute;left:3005;top:11317;width:1364;height:353" coordorigin="3005,11317" coordsize="1364,353">
              <v:shape style="position:absolute;left:3005;top:11317;width:1364;height:353" coordorigin="3005,11317" coordsize="1364,353" path="m3005,11670l4369,11670,4369,11317,3005,11317,3005,11670xe" filled="true" fillcolor="#c7ebcc" stroked="false">
                <v:path arrowok="t"/>
                <v:fill type="solid"/>
              </v:shape>
            </v:group>
            <v:group style="position:absolute;left:4400;top:8780;width:840;height:1092" coordorigin="4400,8780" coordsize="840,1092">
              <v:shape style="position:absolute;left:4400;top:8780;width:840;height:1092" coordorigin="4400,8780" coordsize="840,1092" path="m4400,9872l5240,9872,5240,8780,4400,8780,4400,9872xe" filled="true" fillcolor="#c7ebcc" stroked="false">
                <v:path arrowok="t"/>
                <v:fill type="solid"/>
              </v:shape>
            </v:group>
            <v:group style="position:absolute;left:4412;top:9872;width:2;height:706" coordorigin="4412,9872" coordsize="2,706">
              <v:shape style="position:absolute;left:4412;top:9872;width:2;height:706" coordorigin="4412,9872" coordsize="0,706" path="m4412,9872l4412,10578e" filled="false" stroked="true" strokeweight="1.2pt" strokecolor="#c7ebcc">
                <v:path arrowok="t"/>
              </v:shape>
            </v:group>
            <v:group style="position:absolute;left:5229;top:9872;width:2;height:706" coordorigin="5229,9872" coordsize="2,706">
              <v:shape style="position:absolute;left:5229;top:9872;width:2;height:706" coordorigin="5229,9872" coordsize="0,706" path="m5229,9872l5229,10578e" filled="false" stroked="true" strokeweight="1.08pt" strokecolor="#c7ebcc">
                <v:path arrowok="t"/>
              </v:shape>
            </v:group>
            <v:group style="position:absolute;left:4400;top:10578;width:840;height:1092" coordorigin="4400,10578" coordsize="840,1092">
              <v:shape style="position:absolute;left:4400;top:10578;width:840;height:1092" coordorigin="4400,10578" coordsize="840,1092" path="m4400,11670l5240,11670,5240,10578,4400,10578,4400,11670xe" filled="true" fillcolor="#c7ebcc" stroked="false">
                <v:path arrowok="t"/>
                <v:fill type="solid"/>
              </v:shape>
            </v:group>
            <v:group style="position:absolute;left:4424;top:9872;width:795;height:353" coordorigin="4424,9872" coordsize="795,353">
              <v:shape style="position:absolute;left:4424;top:9872;width:795;height:353" coordorigin="4424,9872" coordsize="795,353" path="m4424,10225l5219,10225,5219,9872,4424,9872,4424,10225xe" filled="true" fillcolor="#c7ebcc" stroked="false">
                <v:path arrowok="t"/>
                <v:fill type="solid"/>
              </v:shape>
            </v:group>
            <v:group style="position:absolute;left:4424;top:10225;width:795;height:353" coordorigin="4424,10225" coordsize="795,353">
              <v:shape style="position:absolute;left:4424;top:10225;width:795;height:353" coordorigin="4424,10225" coordsize="795,353" path="m4424,10578l5219,10578,5219,10225,4424,10225,4424,10578xe" filled="true" fillcolor="#c7ebcc" stroked="false">
                <v:path arrowok="t"/>
                <v:fill type="solid"/>
              </v:shape>
            </v:group>
            <v:group style="position:absolute;left:430;top:8776;width:841;height:2" coordorigin="430,8776" coordsize="841,2">
              <v:shape style="position:absolute;left:430;top:8776;width:841;height:2" coordorigin="430,8776" coordsize="841,0" path="m430,8776l1270,8776e" filled="false" stroked="true" strokeweight=".48001pt" strokecolor="#000000">
                <v:path arrowok="t"/>
              </v:shape>
            </v:group>
            <v:group style="position:absolute;left:1280;top:8776;width:843;height:2" coordorigin="1280,8776" coordsize="843,2">
              <v:shape style="position:absolute;left:1280;top:8776;width:843;height:2" coordorigin="1280,8776" coordsize="843,0" path="m1280,8776l2122,8776e" filled="false" stroked="true" strokeweight=".48001pt" strokecolor="#000000">
                <v:path arrowok="t"/>
              </v:shape>
            </v:group>
            <v:group style="position:absolute;left:2132;top:8776;width:840;height:2" coordorigin="2132,8776" coordsize="840,2">
              <v:shape style="position:absolute;left:2132;top:8776;width:840;height:2" coordorigin="2132,8776" coordsize="840,0" path="m2132,8776l2972,8776e" filled="false" stroked="true" strokeweight=".48001pt" strokecolor="#000000">
                <v:path arrowok="t"/>
              </v:shape>
            </v:group>
            <v:group style="position:absolute;left:2981;top:8776;width:1410;height:2" coordorigin="2981,8776" coordsize="1410,2">
              <v:shape style="position:absolute;left:2981;top:8776;width:1410;height:2" coordorigin="2981,8776" coordsize="1410,0" path="m2981,8776l4390,8776e" filled="false" stroked="true" strokeweight=".48001pt" strokecolor="#000000">
                <v:path arrowok="t"/>
              </v:shape>
            </v:group>
            <v:group style="position:absolute;left:4400;top:8776;width:840;height:2" coordorigin="4400,8776" coordsize="840,2">
              <v:shape style="position:absolute;left:4400;top:8776;width:840;height:2" coordorigin="4400,8776" coordsize="840,0" path="m4400,8776l5240,8776e" filled="false" stroked="true" strokeweight=".48001pt" strokecolor="#000000">
                <v:path arrowok="t"/>
              </v:shape>
            </v:group>
            <v:group style="position:absolute;left:5250;top:8776;width:1268;height:2" coordorigin="5250,8776" coordsize="1268,2">
              <v:shape style="position:absolute;left:5250;top:8776;width:1268;height:2" coordorigin="5250,8776" coordsize="1268,0" path="m5250,8776l6517,8776e" filled="false" stroked="true" strokeweight=".48001pt" strokecolor="#000000">
                <v:path arrowok="t"/>
              </v:shape>
            </v:group>
            <v:group style="position:absolute;left:6527;top:8776;width:1265;height:2" coordorigin="6527,8776" coordsize="1265,2">
              <v:shape style="position:absolute;left:6527;top:8776;width:1265;height:2" coordorigin="6527,8776" coordsize="1265,0" path="m6527,8776l7792,8776e" filled="false" stroked="true" strokeweight=".48001pt" strokecolor="#000000">
                <v:path arrowok="t"/>
              </v:shape>
            </v:group>
            <v:group style="position:absolute;left:7801;top:8776;width:1127;height:2" coordorigin="7801,8776" coordsize="1127,2">
              <v:shape style="position:absolute;left:7801;top:8776;width:1127;height:2" coordorigin="7801,8776" coordsize="1127,0" path="m7801,8776l8927,8776e" filled="false" stroked="true" strokeweight=".48001pt" strokecolor="#000000">
                <v:path arrowok="t"/>
              </v:shape>
            </v:group>
            <v:group style="position:absolute;left:8937;top:8776;width:1124;height:2" coordorigin="8937,8776" coordsize="1124,2">
              <v:shape style="position:absolute;left:8937;top:8776;width:1124;height:2" coordorigin="8937,8776" coordsize="1124,0" path="m8937,8776l10060,8776e" filled="false" stroked="true" strokeweight=".48001pt" strokecolor="#000000">
                <v:path arrowok="t"/>
              </v:shape>
            </v:group>
            <v:group style="position:absolute;left:10070;top:8776;width:1268;height:2" coordorigin="10070,8776" coordsize="1268,2">
              <v:shape style="position:absolute;left:10070;top:8776;width:1268;height:2" coordorigin="10070,8776" coordsize="1268,0" path="m10070,8776l11337,8776e" filled="false" stroked="true" strokeweight=".48001pt" strokecolor="#000000">
                <v:path arrowok="t"/>
              </v:shape>
            </v:group>
            <v:group style="position:absolute;left:425;top:26;width:2;height:11654" coordorigin="425,26" coordsize="2,11654">
              <v:shape style="position:absolute;left:425;top:26;width:2;height:11654" coordorigin="425,26" coordsize="0,11654" path="m425,26l425,11680e" filled="false" stroked="true" strokeweight=".48pt" strokecolor="#000000">
                <v:path arrowok="t"/>
              </v:shape>
            </v:group>
            <v:group style="position:absolute;left:430;top:11675;width:841;height:2" coordorigin="430,11675" coordsize="841,2">
              <v:shape style="position:absolute;left:430;top:11675;width:841;height:2" coordorigin="430,11675" coordsize="841,0" path="m430,11675l1270,11675e" filled="false" stroked="true" strokeweight=".47998pt" strokecolor="#000000">
                <v:path arrowok="t"/>
              </v:shape>
            </v:group>
            <v:group style="position:absolute;left:1275;top:26;width:2;height:11654" coordorigin="1275,26" coordsize="2,11654">
              <v:shape style="position:absolute;left:1275;top:26;width:2;height:11654" coordorigin="1275,26" coordsize="0,11654" path="m1275,26l1275,11680e" filled="false" stroked="true" strokeweight=".48pt" strokecolor="#000000">
                <v:path arrowok="t"/>
              </v:shape>
            </v:group>
            <v:group style="position:absolute;left:1280;top:11675;width:843;height:2" coordorigin="1280,11675" coordsize="843,2">
              <v:shape style="position:absolute;left:1280;top:11675;width:843;height:2" coordorigin="1280,11675" coordsize="843,0" path="m1280,11675l2122,11675e" filled="false" stroked="true" strokeweight=".47998pt" strokecolor="#000000">
                <v:path arrowok="t"/>
              </v:shape>
            </v:group>
            <v:group style="position:absolute;left:2127;top:26;width:2;height:11654" coordorigin="2127,26" coordsize="2,11654">
              <v:shape style="position:absolute;left:2127;top:26;width:2;height:11654" coordorigin="2127,26" coordsize="0,11654" path="m2127,26l2127,11680e" filled="false" stroked="true" strokeweight=".48pt" strokecolor="#000000">
                <v:path arrowok="t"/>
              </v:shape>
            </v:group>
            <v:group style="position:absolute;left:2132;top:11675;width:840;height:2" coordorigin="2132,11675" coordsize="840,2">
              <v:shape style="position:absolute;left:2132;top:11675;width:840;height:2" coordorigin="2132,11675" coordsize="840,0" path="m2132,11675l2972,11675e" filled="false" stroked="true" strokeweight=".47998pt" strokecolor="#000000">
                <v:path arrowok="t"/>
              </v:shape>
            </v:group>
            <v:group style="position:absolute;left:2976;top:26;width:2;height:11654" coordorigin="2976,26" coordsize="2,11654">
              <v:shape style="position:absolute;left:2976;top:26;width:2;height:11654" coordorigin="2976,26" coordsize="0,11654" path="m2976,26l2976,11680e" filled="false" stroked="true" strokeweight=".48pt" strokecolor="#000000">
                <v:path arrowok="t"/>
              </v:shape>
            </v:group>
            <v:group style="position:absolute;left:2981;top:11675;width:1410;height:2" coordorigin="2981,11675" coordsize="1410,2">
              <v:shape style="position:absolute;left:2981;top:11675;width:1410;height:2" coordorigin="2981,11675" coordsize="1410,0" path="m2981,11675l4390,11675e" filled="false" stroked="true" strokeweight=".47998pt" strokecolor="#000000">
                <v:path arrowok="t"/>
              </v:shape>
            </v:group>
            <v:group style="position:absolute;left:4395;top:26;width:2;height:11654" coordorigin="4395,26" coordsize="2,11654">
              <v:shape style="position:absolute;left:4395;top:26;width:2;height:11654" coordorigin="4395,26" coordsize="0,11654" path="m4395,26l4395,11680e" filled="false" stroked="true" strokeweight=".48pt" strokecolor="#000000">
                <v:path arrowok="t"/>
              </v:shape>
            </v:group>
            <v:group style="position:absolute;left:4400;top:11675;width:840;height:2" coordorigin="4400,11675" coordsize="840,2">
              <v:shape style="position:absolute;left:4400;top:11675;width:840;height:2" coordorigin="4400,11675" coordsize="840,0" path="m4400,11675l5240,11675e" filled="false" stroked="true" strokeweight=".47998pt" strokecolor="#000000">
                <v:path arrowok="t"/>
              </v:shape>
            </v:group>
            <v:group style="position:absolute;left:5245;top:26;width:2;height:11654" coordorigin="5245,26" coordsize="2,11654">
              <v:shape style="position:absolute;left:5245;top:26;width:2;height:11654" coordorigin="5245,26" coordsize="0,11654" path="m5245,26l5245,11680e" filled="false" stroked="true" strokeweight=".48001pt" strokecolor="#000000">
                <v:path arrowok="t"/>
              </v:shape>
            </v:group>
            <v:group style="position:absolute;left:5250;top:11675;width:1268;height:2" coordorigin="5250,11675" coordsize="1268,2">
              <v:shape style="position:absolute;left:5250;top:11675;width:1268;height:2" coordorigin="5250,11675" coordsize="1268,0" path="m5250,11675l6517,11675e" filled="false" stroked="true" strokeweight=".47998pt" strokecolor="#000000">
                <v:path arrowok="t"/>
              </v:shape>
            </v:group>
            <v:group style="position:absolute;left:6522;top:26;width:2;height:11654" coordorigin="6522,26" coordsize="2,11654">
              <v:shape style="position:absolute;left:6522;top:26;width:2;height:11654" coordorigin="6522,26" coordsize="0,11654" path="m6522,26l6522,11680e" filled="false" stroked="true" strokeweight=".47998pt" strokecolor="#000000">
                <v:path arrowok="t"/>
              </v:shape>
            </v:group>
            <v:group style="position:absolute;left:6527;top:11675;width:1265;height:2" coordorigin="6527,11675" coordsize="1265,2">
              <v:shape style="position:absolute;left:6527;top:11675;width:1265;height:2" coordorigin="6527,11675" coordsize="1265,0" path="m6527,11675l7792,11675e" filled="false" stroked="true" strokeweight=".47998pt" strokecolor="#000000">
                <v:path arrowok="t"/>
              </v:shape>
            </v:group>
            <v:group style="position:absolute;left:7797;top:26;width:2;height:11654" coordorigin="7797,26" coordsize="2,11654">
              <v:shape style="position:absolute;left:7797;top:26;width:2;height:11654" coordorigin="7797,26" coordsize="0,11654" path="m7797,26l7797,11680e" filled="false" stroked="true" strokeweight=".47998pt" strokecolor="#000000">
                <v:path arrowok="t"/>
              </v:shape>
            </v:group>
            <v:group style="position:absolute;left:7801;top:11675;width:1127;height:2" coordorigin="7801,11675" coordsize="1127,2">
              <v:shape style="position:absolute;left:7801;top:11675;width:1127;height:2" coordorigin="7801,11675" coordsize="1127,0" path="m7801,11675l8927,11675e" filled="false" stroked="true" strokeweight=".47998pt" strokecolor="#000000">
                <v:path arrowok="t"/>
              </v:shape>
            </v:group>
            <v:group style="position:absolute;left:8932;top:26;width:2;height:11654" coordorigin="8932,26" coordsize="2,11654">
              <v:shape style="position:absolute;left:8932;top:26;width:2;height:11654" coordorigin="8932,26" coordsize="0,11654" path="m8932,26l8932,11680e" filled="false" stroked="true" strokeweight=".48001pt" strokecolor="#000000">
                <v:path arrowok="t"/>
              </v:shape>
            </v:group>
            <v:group style="position:absolute;left:8937;top:11675;width:1124;height:2" coordorigin="8937,11675" coordsize="1124,2">
              <v:shape style="position:absolute;left:8937;top:11675;width:1124;height:2" coordorigin="8937,11675" coordsize="1124,0" path="m8937,11675l10060,11675e" filled="false" stroked="true" strokeweight=".47998pt" strokecolor="#000000">
                <v:path arrowok="t"/>
              </v:shape>
            </v:group>
            <v:group style="position:absolute;left:10065;top:26;width:2;height:11654" coordorigin="10065,26" coordsize="2,11654">
              <v:shape style="position:absolute;left:10065;top:26;width:2;height:11654" coordorigin="10065,26" coordsize="0,11654" path="m10065,26l10065,11680e" filled="false" stroked="true" strokeweight=".48001pt" strokecolor="#000000">
                <v:path arrowok="t"/>
              </v:shape>
            </v:group>
            <v:group style="position:absolute;left:10070;top:11675;width:1268;height:2" coordorigin="10070,11675" coordsize="1268,2">
              <v:shape style="position:absolute;left:10070;top:11675;width:1268;height:2" coordorigin="10070,11675" coordsize="1268,0" path="m10070,11675l11337,11675e" filled="false" stroked="true" strokeweight=".47998pt" strokecolor="#000000">
                <v:path arrowok="t"/>
              </v:shape>
            </v:group>
            <v:group style="position:absolute;left:11342;top:26;width:2;height:11654" coordorigin="11342,26" coordsize="2,11654">
              <v:shape style="position:absolute;left:11342;top:26;width:2;height:11654" coordorigin="11342,26" coordsize="0,11654" path="m11342,26l11342,11680e" filled="false" stroked="true" strokeweight=".47998pt" strokecolor="#000000">
                <v:path arrowok="t"/>
              </v:shape>
            </v:group>
            <w10:wrap type="none"/>
          </v:group>
        </w:pict>
      </w:r>
      <w:r>
        <w:rPr/>
        <w:t>有限公司</w:t>
        <w:tab/>
      </w:r>
      <w:r>
        <w:rPr>
          <w:spacing w:val="-10"/>
        </w:rPr>
        <w:t>售自产产品，计算</w:t>
      </w:r>
      <w:r>
        <w:rPr/>
        <w:t> 机网络结构的设 </w:t>
      </w:r>
      <w:r>
        <w:rPr>
          <w:spacing w:val="-10"/>
        </w:rPr>
        <w:t>计、综合布线、维</w:t>
      </w:r>
      <w:r>
        <w:rPr/>
        <w:t> </w:t>
      </w:r>
      <w:r>
        <w:rPr>
          <w:spacing w:val="-10"/>
        </w:rPr>
        <w:t>护，计算机设备的</w:t>
      </w:r>
      <w:r>
        <w:rPr/>
        <w:t> </w:t>
      </w:r>
      <w:r>
        <w:rPr>
          <w:spacing w:val="-15"/>
        </w:rPr>
        <w:t>安装、调试、</w:t>
      </w:r>
      <w:r>
        <w:rPr/>
        <w:t> 物流设备的批发。</w:t>
      </w:r>
    </w:p>
    <w:p>
      <w:pPr>
        <w:spacing w:after="0" w:line="316" w:lineRule="auto"/>
        <w:jc w:val="left"/>
        <w:sectPr>
          <w:pgSz w:w="11910" w:h="16840"/>
          <w:pgMar w:header="745" w:footer="980" w:top="1060" w:bottom="1160" w:left="320" w:right="440"/>
        </w:sectPr>
      </w:pPr>
    </w:p>
    <w:p>
      <w:pPr>
        <w:pStyle w:val="BodyText"/>
        <w:spacing w:line="316" w:lineRule="auto" w:before="110"/>
        <w:ind w:left="133" w:right="0"/>
        <w:jc w:val="both"/>
      </w:pPr>
      <w:r>
        <w:rPr/>
        <w:t>北京青年 御银科技 有限责任 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6"/>
          <w:szCs w:val="26"/>
        </w:rPr>
      </w:pPr>
    </w:p>
    <w:p>
      <w:pPr>
        <w:pStyle w:val="BodyText"/>
        <w:tabs>
          <w:tab w:pos="941" w:val="left" w:leader="none"/>
        </w:tabs>
        <w:spacing w:line="240" w:lineRule="auto"/>
        <w:ind w:left="90" w:right="-19"/>
        <w:jc w:val="left"/>
      </w:pPr>
      <w:r>
        <w:rPr/>
        <w:t>子公司</w:t>
        <w:tab/>
        <w:t>软件业</w:t>
      </w:r>
    </w:p>
    <w:p>
      <w:pPr>
        <w:spacing w:line="240" w:lineRule="auto" w:before="4"/>
        <w:rPr>
          <w:rFonts w:ascii="宋体" w:hAnsi="宋体" w:cs="宋体" w:eastAsia="宋体" w:hint="default"/>
          <w:sz w:val="20"/>
          <w:szCs w:val="20"/>
        </w:rPr>
      </w:pPr>
      <w:r>
        <w:rPr/>
        <w:br w:type="column"/>
      </w:r>
      <w:r>
        <w:rPr>
          <w:rFonts w:ascii="宋体"/>
          <w:sz w:val="20"/>
        </w:rPr>
      </w:r>
    </w:p>
    <w:p>
      <w:pPr>
        <w:pStyle w:val="BodyText"/>
        <w:spacing w:line="240" w:lineRule="auto"/>
        <w:ind w:left="133" w:right="0"/>
        <w:jc w:val="left"/>
      </w:pPr>
      <w:r>
        <w:rPr/>
        <w:t>技术开发</w:t>
      </w:r>
      <w:r>
        <w:rPr>
          <w:spacing w:val="-80"/>
        </w:rPr>
        <w:t>、</w:t>
      </w:r>
      <w:r>
        <w:rPr/>
        <w:t>技术转</w:t>
      </w:r>
    </w:p>
    <w:p>
      <w:pPr>
        <w:pStyle w:val="BodyText"/>
        <w:tabs>
          <w:tab w:pos="2675" w:val="left" w:leader="none"/>
          <w:tab w:pos="3952" w:val="left" w:leader="none"/>
          <w:tab w:pos="5716" w:val="left" w:leader="none"/>
          <w:tab w:pos="6295" w:val="left" w:leader="none"/>
          <w:tab w:pos="7661" w:val="left" w:leader="none"/>
        </w:tabs>
        <w:spacing w:line="240" w:lineRule="auto" w:before="76"/>
        <w:ind w:left="133" w:right="0"/>
        <w:jc w:val="left"/>
        <w:rPr>
          <w:rFonts w:ascii="Times New Roman" w:hAnsi="Times New Roman" w:cs="Times New Roman" w:eastAsia="Times New Roman" w:hint="default"/>
        </w:rPr>
      </w:pPr>
      <w:r>
        <w:rPr>
          <w:spacing w:val="-10"/>
        </w:rPr>
        <w:t>让、技术咨询、技</w:t>
      </w:r>
      <w:r>
        <w:rPr>
          <w:spacing w:val="-26"/>
        </w:rPr>
        <w:t> </w:t>
      </w:r>
      <w:r>
        <w:rPr>
          <w:rFonts w:ascii="Times New Roman" w:hAnsi="Times New Roman" w:cs="Times New Roman" w:eastAsia="Times New Roman" w:hint="default"/>
          <w:spacing w:val="-1"/>
        </w:rPr>
        <w:t>2,000,000</w:t>
        <w:tab/>
        <w:t>1,500,003.96</w:t>
        <w:tab/>
        <w:t>1,490,003.96</w:t>
        <w:tab/>
        <w:t>0.00</w:t>
        <w:tab/>
        <w:t>-101,374.06</w:t>
        <w:tab/>
        <w:t>-83,463.81</w:t>
      </w:r>
    </w:p>
    <w:p>
      <w:pPr>
        <w:pStyle w:val="BodyText"/>
        <w:spacing w:line="240" w:lineRule="auto" w:before="63"/>
        <w:ind w:left="133" w:right="0"/>
        <w:jc w:val="left"/>
      </w:pPr>
      <w:r>
        <w:rPr/>
        <w:t>术服务</w:t>
      </w:r>
    </w:p>
    <w:p>
      <w:pPr>
        <w:spacing w:after="0" w:line="240" w:lineRule="auto"/>
        <w:jc w:val="left"/>
        <w:sectPr>
          <w:type w:val="continuous"/>
          <w:pgSz w:w="11910" w:h="16840"/>
          <w:pgMar w:top="1060" w:bottom="1160" w:left="320" w:right="440"/>
          <w:cols w:num="3" w:equalWidth="0">
            <w:col w:w="854" w:space="40"/>
            <w:col w:w="1482" w:space="175"/>
            <w:col w:w="8599"/>
          </w:cols>
        </w:sectPr>
      </w:pPr>
    </w:p>
    <w:p>
      <w:pPr>
        <w:spacing w:line="240" w:lineRule="auto" w:before="2"/>
        <w:rPr>
          <w:rFonts w:ascii="宋体" w:hAnsi="宋体" w:cs="宋体" w:eastAsia="宋体" w:hint="default"/>
          <w:sz w:val="20"/>
          <w:szCs w:val="20"/>
        </w:rPr>
      </w:pPr>
    </w:p>
    <w:p>
      <w:pPr>
        <w:pStyle w:val="BodyText"/>
        <w:spacing w:line="319" w:lineRule="auto"/>
        <w:ind w:left="133" w:right="0"/>
        <w:jc w:val="both"/>
      </w:pPr>
      <w:r>
        <w:rPr/>
        <w:t>广州御银 自动柜员 机科技有 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9"/>
          <w:szCs w:val="19"/>
        </w:rPr>
      </w:pPr>
    </w:p>
    <w:p>
      <w:pPr>
        <w:pStyle w:val="BodyText"/>
        <w:spacing w:line="240" w:lineRule="auto"/>
        <w:ind w:left="90" w:right="-20"/>
        <w:jc w:val="left"/>
      </w:pPr>
      <w:r>
        <w:rPr/>
        <w:t>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3"/>
        <w:rPr>
          <w:rFonts w:ascii="宋体" w:hAnsi="宋体" w:cs="宋体" w:eastAsia="宋体" w:hint="default"/>
          <w:sz w:val="25"/>
          <w:szCs w:val="25"/>
        </w:rPr>
      </w:pPr>
    </w:p>
    <w:p>
      <w:pPr>
        <w:pStyle w:val="BodyText"/>
        <w:spacing w:line="319" w:lineRule="auto"/>
        <w:ind w:left="133" w:right="-20"/>
        <w:jc w:val="left"/>
      </w:pPr>
      <w:r>
        <w:rPr/>
        <w:t>电子设备 业</w:t>
      </w:r>
    </w:p>
    <w:p>
      <w:pPr>
        <w:pStyle w:val="BodyText"/>
        <w:spacing w:line="319" w:lineRule="auto" w:before="107"/>
        <w:ind w:left="89" w:right="0"/>
        <w:jc w:val="both"/>
      </w:pPr>
      <w:r>
        <w:rPr>
          <w:spacing w:val="-10"/>
        </w:rPr>
        <w:br w:type="column"/>
      </w:r>
      <w:r>
        <w:rPr>
          <w:spacing w:val="-10"/>
        </w:rPr>
        <w:t>电子产品、通信产</w:t>
      </w:r>
      <w:r>
        <w:rPr/>
        <w:t> </w:t>
      </w:r>
      <w:r>
        <w:rPr>
          <w:spacing w:val="-10"/>
        </w:rPr>
        <w:t>品、电脑软件、机</w:t>
      </w:r>
      <w:r>
        <w:rPr>
          <w:spacing w:val="-88"/>
        </w:rPr>
        <w:t> </w:t>
      </w:r>
      <w:r>
        <w:rPr>
          <w:spacing w:val="-88"/>
        </w:rPr>
      </w:r>
      <w:r>
        <w:rPr>
          <w:spacing w:val="-10"/>
        </w:rPr>
        <w:t>电设备的研究、开</w:t>
      </w:r>
      <w:r>
        <w:rPr/>
        <w:t> </w:t>
      </w:r>
      <w:r>
        <w:rPr>
          <w:spacing w:val="-10"/>
        </w:rPr>
        <w:t>发；信息系统集成</w:t>
      </w:r>
      <w:r>
        <w:rPr/>
        <w:t> 服务</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pStyle w:val="BodyText"/>
        <w:spacing w:line="240" w:lineRule="auto" w:before="146"/>
        <w:ind w:left="15" w:right="-19"/>
        <w:jc w:val="left"/>
        <w:rPr>
          <w:rFonts w:ascii="Times New Roman" w:hAnsi="Times New Roman" w:cs="Times New Roman" w:eastAsia="Times New Roman" w:hint="default"/>
        </w:rPr>
      </w:pPr>
      <w:r>
        <w:rPr>
          <w:rFonts w:ascii="Times New Roman"/>
        </w:rPr>
        <w:t>20,000,00</w:t>
      </w:r>
    </w:p>
    <w:p>
      <w:pPr>
        <w:pStyle w:val="BodyText"/>
        <w:spacing w:line="240" w:lineRule="auto" w:before="105"/>
        <w:ind w:left="15" w:right="-19"/>
        <w:jc w:val="left"/>
        <w:rPr>
          <w:rFonts w:ascii="Times New Roman" w:hAnsi="Times New Roman" w:cs="Times New Roman" w:eastAsia="Times New Roman" w:hint="default"/>
        </w:rPr>
      </w:pPr>
      <w:r>
        <w:rPr>
          <w:rFonts w:ascii="Times New Roman"/>
        </w:rPr>
        <w:t>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tabs>
          <w:tab w:pos="1499" w:val="left" w:leader="none"/>
          <w:tab w:pos="4982" w:val="left" w:leader="none"/>
        </w:tabs>
        <w:spacing w:line="240" w:lineRule="auto" w:before="153"/>
        <w:ind w:left="133" w:right="0"/>
        <w:jc w:val="left"/>
        <w:rPr>
          <w:rFonts w:ascii="Times New Roman" w:hAnsi="Times New Roman" w:cs="Times New Roman" w:eastAsia="Times New Roman" w:hint="default"/>
        </w:rPr>
      </w:pPr>
      <w:r>
        <w:rPr>
          <w:rFonts w:ascii="Times New Roman"/>
          <w:spacing w:val="-1"/>
        </w:rPr>
        <w:t>93,898,503.72</w:t>
        <w:tab/>
        <w:t>8,453,979.99</w:t>
      </w:r>
      <w:r>
        <w:rPr>
          <w:rFonts w:ascii="Times New Roman"/>
        </w:rPr>
        <w:t>     </w:t>
      </w:r>
      <w:r>
        <w:rPr>
          <w:rFonts w:ascii="Times New Roman"/>
          <w:spacing w:val="-1"/>
        </w:rPr>
        <w:t>2,991,453.15</w:t>
      </w:r>
      <w:r>
        <w:rPr>
          <w:rFonts w:ascii="Times New Roman"/>
        </w:rPr>
        <w:t> </w:t>
      </w:r>
      <w:r>
        <w:rPr>
          <w:rFonts w:ascii="Times New Roman"/>
          <w:spacing w:val="32"/>
        </w:rPr>
        <w:t> </w:t>
      </w:r>
      <w:r>
        <w:rPr>
          <w:rFonts w:ascii="Times New Roman"/>
          <w:spacing w:val="-1"/>
        </w:rPr>
        <w:t>-2,902,218.28</w:t>
        <w:tab/>
        <w:t>-2,268,482.98</w:t>
      </w:r>
    </w:p>
    <w:p>
      <w:pPr>
        <w:spacing w:after="0" w:line="240" w:lineRule="auto"/>
        <w:jc w:val="left"/>
        <w:rPr>
          <w:rFonts w:ascii="Times New Roman" w:hAnsi="Times New Roman" w:cs="Times New Roman" w:eastAsia="Times New Roman" w:hint="default"/>
        </w:rPr>
        <w:sectPr>
          <w:type w:val="continuous"/>
          <w:pgSz w:w="11910" w:h="16840"/>
          <w:pgMar w:top="1060" w:bottom="1160" w:left="320" w:right="440"/>
          <w:cols w:num="6" w:equalWidth="0">
            <w:col w:w="854" w:space="40"/>
            <w:col w:w="631" w:space="178"/>
            <w:col w:w="854" w:space="40"/>
            <w:col w:w="1453" w:space="40"/>
            <w:col w:w="737" w:space="180"/>
            <w:col w:w="6143"/>
          </w:cols>
        </w:sect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14"/>
        <w:ind w:left="133" w:right="-20"/>
        <w:jc w:val="left"/>
      </w:pPr>
      <w:r>
        <w:rPr/>
        <w:t>广州花都</w:t>
      </w:r>
    </w:p>
    <w:p>
      <w:pPr>
        <w:pStyle w:val="BodyText"/>
        <w:spacing w:line="316" w:lineRule="auto" w:before="108"/>
        <w:ind w:left="133" w:right="7001"/>
        <w:jc w:val="left"/>
      </w:pPr>
      <w:r>
        <w:rPr/>
        <w:br w:type="column"/>
      </w:r>
      <w:r>
        <w:rPr/>
        <w:t>吸收人民币存款； 发放人民币短期、 中期和长期贷款； </w:t>
      </w:r>
      <w:r>
        <w:rPr>
          <w:spacing w:val="-10"/>
        </w:rPr>
        <w:t>办理国内结算；办</w:t>
      </w:r>
      <w:r>
        <w:rPr/>
        <w:t> 理票据承兑与贴</w:t>
      </w:r>
    </w:p>
    <w:p>
      <w:pPr>
        <w:spacing w:after="0" w:line="316" w:lineRule="auto"/>
        <w:jc w:val="left"/>
        <w:sectPr>
          <w:type w:val="continuous"/>
          <w:pgSz w:w="11910" w:h="16840"/>
          <w:pgMar w:top="1060" w:bottom="1160" w:left="320" w:right="440"/>
          <w:cols w:num="2" w:equalWidth="0">
            <w:col w:w="854" w:space="1697"/>
            <w:col w:w="8599"/>
          </w:cols>
        </w:sectPr>
      </w:pPr>
    </w:p>
    <w:p>
      <w:pPr>
        <w:pStyle w:val="BodyText"/>
        <w:spacing w:line="316" w:lineRule="auto" w:before="19"/>
        <w:ind w:left="133" w:right="-20"/>
        <w:jc w:val="left"/>
      </w:pPr>
      <w:r>
        <w:rPr/>
        <w:t>稠州村镇 银行股份</w:t>
      </w:r>
    </w:p>
    <w:p>
      <w:pPr>
        <w:spacing w:line="240" w:lineRule="auto" w:before="5"/>
        <w:rPr>
          <w:rFonts w:ascii="宋体" w:hAnsi="宋体" w:cs="宋体" w:eastAsia="宋体" w:hint="default"/>
          <w:sz w:val="13"/>
          <w:szCs w:val="13"/>
        </w:rPr>
      </w:pPr>
      <w:r>
        <w:rPr/>
        <w:br w:type="column"/>
      </w:r>
      <w:r>
        <w:rPr>
          <w:rFonts w:ascii="宋体"/>
          <w:sz w:val="13"/>
        </w:rPr>
      </w:r>
    </w:p>
    <w:p>
      <w:pPr>
        <w:pStyle w:val="BodyText"/>
        <w:spacing w:line="240" w:lineRule="auto"/>
        <w:ind w:left="90" w:right="-19"/>
        <w:jc w:val="left"/>
      </w:pPr>
      <w:r>
        <w:rPr/>
        <w:t>参股公司</w:t>
      </w:r>
      <w:r>
        <w:rPr>
          <w:spacing w:val="41"/>
        </w:rPr>
        <w:t> </w:t>
      </w:r>
      <w:r>
        <w:rPr/>
        <w:t>银行业</w:t>
      </w:r>
    </w:p>
    <w:p>
      <w:pPr>
        <w:pStyle w:val="BodyText"/>
        <w:spacing w:line="316" w:lineRule="auto" w:before="19"/>
        <w:ind w:left="133" w:right="-20"/>
        <w:jc w:val="left"/>
      </w:pPr>
      <w:r>
        <w:rPr/>
        <w:br w:type="column"/>
      </w:r>
      <w:r>
        <w:rPr/>
        <w:t>现；从事同业拆 借；从事银行卡</w:t>
      </w:r>
    </w:p>
    <w:p>
      <w:pPr>
        <w:pStyle w:val="BodyText"/>
        <w:spacing w:line="240" w:lineRule="auto" w:before="61"/>
        <w:ind w:left="118" w:right="-19"/>
        <w:jc w:val="left"/>
        <w:rPr>
          <w:rFonts w:ascii="Times New Roman" w:hAnsi="Times New Roman" w:cs="Times New Roman" w:eastAsia="Times New Roman" w:hint="default"/>
        </w:rPr>
      </w:pPr>
      <w:r>
        <w:rPr/>
        <w:br w:type="column"/>
      </w:r>
      <w:r>
        <w:rPr>
          <w:rFonts w:ascii="Times New Roman"/>
        </w:rPr>
        <w:t>250,000,0</w:t>
      </w:r>
    </w:p>
    <w:p>
      <w:pPr>
        <w:pStyle w:val="BodyText"/>
        <w:spacing w:line="240" w:lineRule="auto" w:before="105"/>
        <w:ind w:left="118" w:right="-19"/>
        <w:jc w:val="left"/>
        <w:rPr>
          <w:rFonts w:ascii="Times New Roman" w:hAnsi="Times New Roman" w:cs="Times New Roman" w:eastAsia="Times New Roman" w:hint="default"/>
        </w:rPr>
      </w:pPr>
      <w:r>
        <w:rPr>
          <w:rFonts w:ascii="Times New Roman"/>
        </w:rPr>
        <w:t>00</w:t>
      </w:r>
    </w:p>
    <w:p>
      <w:pPr>
        <w:pStyle w:val="BodyText"/>
        <w:spacing w:line="240" w:lineRule="auto" w:before="61"/>
        <w:ind w:left="0" w:right="0"/>
        <w:jc w:val="right"/>
        <w:rPr>
          <w:rFonts w:ascii="Times New Roman" w:hAnsi="Times New Roman" w:cs="Times New Roman" w:eastAsia="Times New Roman" w:hint="default"/>
        </w:rPr>
      </w:pPr>
      <w:r>
        <w:rPr>
          <w:spacing w:val="-1"/>
        </w:rPr>
        <w:br w:type="column"/>
      </w:r>
      <w:r>
        <w:rPr>
          <w:rFonts w:ascii="Times New Roman"/>
          <w:spacing w:val="-1"/>
        </w:rPr>
        <w:t>2,177,229,517.2</w:t>
      </w:r>
    </w:p>
    <w:p>
      <w:pPr>
        <w:pStyle w:val="BodyText"/>
        <w:spacing w:line="240" w:lineRule="auto" w:before="105"/>
        <w:ind w:left="0" w:right="0"/>
        <w:jc w:val="right"/>
        <w:rPr>
          <w:rFonts w:ascii="Times New Roman" w:hAnsi="Times New Roman" w:cs="Times New Roman" w:eastAsia="Times New Roman" w:hint="default"/>
        </w:rPr>
      </w:pPr>
      <w:r>
        <w:rPr>
          <w:rFonts w:ascii="Times New Roman"/>
        </w:rPr>
        <w:t>2</w:t>
      </w:r>
    </w:p>
    <w:p>
      <w:pPr>
        <w:spacing w:line="240" w:lineRule="auto" w:before="10"/>
        <w:rPr>
          <w:rFonts w:ascii="Times New Roman" w:hAnsi="Times New Roman" w:cs="Times New Roman" w:eastAsia="Times New Roman" w:hint="default"/>
          <w:sz w:val="18"/>
          <w:szCs w:val="18"/>
        </w:rPr>
      </w:pPr>
      <w:r>
        <w:rPr/>
        <w:br w:type="column"/>
      </w:r>
      <w:r>
        <w:rPr>
          <w:rFonts w:ascii="Times New Roman"/>
          <w:sz w:val="18"/>
        </w:rPr>
      </w:r>
    </w:p>
    <w:p>
      <w:pPr>
        <w:pStyle w:val="BodyText"/>
        <w:tabs>
          <w:tab w:pos="3746" w:val="left" w:leader="none"/>
        </w:tabs>
        <w:spacing w:line="240" w:lineRule="auto"/>
        <w:ind w:left="111" w:right="0"/>
        <w:jc w:val="left"/>
        <w:rPr>
          <w:rFonts w:ascii="Times New Roman" w:hAnsi="Times New Roman" w:cs="Times New Roman" w:eastAsia="Times New Roman" w:hint="default"/>
        </w:rPr>
      </w:pPr>
      <w:r>
        <w:rPr>
          <w:rFonts w:ascii="Times New Roman"/>
        </w:rPr>
        <w:t>302,100,204.81  94,100,933.83 </w:t>
      </w:r>
      <w:r>
        <w:rPr>
          <w:rFonts w:ascii="Times New Roman"/>
          <w:spacing w:val="6"/>
        </w:rPr>
        <w:t> </w:t>
      </w:r>
      <w:r>
        <w:rPr>
          <w:rFonts w:ascii="Times New Roman"/>
        </w:rPr>
        <w:t>38,068,149.41</w:t>
        <w:tab/>
        <w:t>29,552,451.19</w:t>
      </w:r>
    </w:p>
    <w:p>
      <w:pPr>
        <w:spacing w:after="0" w:line="240" w:lineRule="auto"/>
        <w:jc w:val="left"/>
        <w:rPr>
          <w:rFonts w:ascii="Times New Roman" w:hAnsi="Times New Roman" w:cs="Times New Roman" w:eastAsia="Times New Roman" w:hint="default"/>
        </w:rPr>
        <w:sectPr>
          <w:type w:val="continuous"/>
          <w:pgSz w:w="11910" w:h="16840"/>
          <w:pgMar w:top="1060" w:bottom="1160" w:left="320" w:right="440"/>
          <w:cols w:num="6" w:equalWidth="0">
            <w:col w:w="854" w:space="40"/>
            <w:col w:w="1482" w:space="175"/>
            <w:col w:w="1394" w:space="40"/>
            <w:col w:w="840" w:space="43"/>
            <w:col w:w="1305" w:space="40"/>
            <w:col w:w="4937"/>
          </w:cols>
        </w:sectPr>
      </w:pPr>
    </w:p>
    <w:p>
      <w:pPr>
        <w:pStyle w:val="BodyText"/>
        <w:spacing w:line="240" w:lineRule="auto" w:before="19"/>
        <w:ind w:left="133" w:right="-20"/>
        <w:jc w:val="left"/>
      </w:pPr>
      <w:r>
        <w:rPr/>
        <w:t>有限公司</w:t>
      </w:r>
    </w:p>
    <w:p>
      <w:pPr>
        <w:pStyle w:val="BodyText"/>
        <w:spacing w:line="319" w:lineRule="auto" w:before="19"/>
        <w:ind w:left="133" w:right="7001"/>
        <w:jc w:val="left"/>
      </w:pPr>
      <w:r>
        <w:rPr/>
        <w:br w:type="column"/>
      </w:r>
      <w:r>
        <w:rPr/>
        <w:t>（借记卡）业务； </w:t>
      </w:r>
      <w:r>
        <w:rPr>
          <w:spacing w:val="-10"/>
        </w:rPr>
        <w:t>代理发行、代理兑</w:t>
      </w:r>
      <w:r>
        <w:rPr/>
        <w:t> 付、承销政府债 </w:t>
      </w:r>
      <w:r>
        <w:rPr>
          <w:spacing w:val="-10"/>
        </w:rPr>
        <w:t>券；代理收付款项</w:t>
      </w:r>
      <w:r>
        <w:rPr/>
        <w:t> 及代理保险业务。</w:t>
      </w:r>
    </w:p>
    <w:p>
      <w:pPr>
        <w:spacing w:after="0" w:line="319" w:lineRule="auto"/>
        <w:jc w:val="left"/>
        <w:sectPr>
          <w:type w:val="continuous"/>
          <w:pgSz w:w="11910" w:h="16840"/>
          <w:pgMar w:top="1060" w:bottom="1160" w:left="320" w:right="440"/>
          <w:cols w:num="2" w:equalWidth="0">
            <w:col w:w="854" w:space="1697"/>
            <w:col w:w="8599"/>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5"/>
          <w:szCs w:val="25"/>
        </w:rPr>
      </w:pPr>
    </w:p>
    <w:p>
      <w:pPr>
        <w:pStyle w:val="BodyText"/>
        <w:spacing w:line="221" w:lineRule="exact"/>
        <w:ind w:left="133" w:right="-20"/>
        <w:jc w:val="left"/>
      </w:pPr>
      <w:r>
        <w:rPr/>
        <w:t>广州御银</w:t>
      </w:r>
    </w:p>
    <w:p>
      <w:pPr>
        <w:pStyle w:val="BodyText"/>
        <w:spacing w:line="310" w:lineRule="atLeast" w:before="31"/>
        <w:ind w:left="133" w:right="7001"/>
        <w:jc w:val="left"/>
      </w:pPr>
      <w:r>
        <w:rPr/>
        <w:br w:type="column"/>
      </w:r>
      <w:r>
        <w:rPr/>
        <w:t>地理信息加工处 </w:t>
      </w:r>
      <w:r>
        <w:rPr>
          <w:spacing w:val="-10"/>
        </w:rPr>
        <w:t>理；软件开发；信</w:t>
      </w:r>
      <w:r>
        <w:rPr>
          <w:spacing w:val="-88"/>
        </w:rPr>
        <w:t> </w:t>
      </w:r>
      <w:r>
        <w:rPr>
          <w:spacing w:val="-88"/>
        </w:rPr>
      </w:r>
      <w:r>
        <w:rPr/>
        <w:t>息系统集成服务； 信息技术咨询服</w:t>
      </w:r>
    </w:p>
    <w:p>
      <w:pPr>
        <w:spacing w:after="0" w:line="310" w:lineRule="atLeast"/>
        <w:jc w:val="left"/>
        <w:sectPr>
          <w:type w:val="continuous"/>
          <w:pgSz w:w="11910" w:h="16840"/>
          <w:pgMar w:top="1060" w:bottom="1160" w:left="320" w:right="440"/>
          <w:cols w:num="2" w:equalWidth="0">
            <w:col w:w="854" w:space="1697"/>
            <w:col w:w="8599"/>
          </w:cols>
        </w:sectPr>
      </w:pPr>
    </w:p>
    <w:p>
      <w:pPr>
        <w:pStyle w:val="BodyText"/>
        <w:spacing w:line="316" w:lineRule="auto" w:before="76"/>
        <w:ind w:left="133" w:right="-20"/>
        <w:jc w:val="left"/>
      </w:pPr>
      <w:r>
        <w:rPr/>
        <w:t>信息科技 有限公司</w:t>
      </w:r>
    </w:p>
    <w:p>
      <w:pPr>
        <w:pStyle w:val="BodyText"/>
        <w:tabs>
          <w:tab w:pos="941" w:val="left" w:leader="none"/>
        </w:tabs>
        <w:spacing w:line="240" w:lineRule="auto" w:before="76"/>
        <w:ind w:left="90" w:right="-19"/>
        <w:jc w:val="left"/>
      </w:pPr>
      <w:r>
        <w:rPr/>
        <w:br w:type="column"/>
      </w:r>
      <w:r>
        <w:rPr/>
        <w:t>子公司</w:t>
        <w:tab/>
        <w:t>软件业</w:t>
      </w:r>
    </w:p>
    <w:p>
      <w:pPr>
        <w:pStyle w:val="BodyText"/>
        <w:spacing w:line="316" w:lineRule="auto" w:before="76"/>
        <w:ind w:left="133" w:right="0"/>
        <w:jc w:val="both"/>
      </w:pPr>
      <w:r>
        <w:rPr>
          <w:spacing w:val="-10"/>
        </w:rPr>
        <w:br w:type="column"/>
      </w:r>
      <w:r>
        <w:rPr>
          <w:spacing w:val="-10"/>
        </w:rPr>
        <w:t>务；数据处理和储</w:t>
      </w:r>
      <w:r>
        <w:rPr/>
        <w:t> </w:t>
      </w:r>
      <w:r>
        <w:rPr>
          <w:spacing w:val="-10"/>
        </w:rPr>
        <w:t>存服务；集成电路</w:t>
      </w:r>
      <w:r>
        <w:rPr/>
        <w:t> </w:t>
      </w:r>
      <w:r>
        <w:rPr>
          <w:spacing w:val="-10"/>
        </w:rPr>
        <w:t>设计；数字动漫制</w:t>
      </w:r>
      <w:r>
        <w:rPr/>
        <w:t> </w:t>
      </w:r>
      <w:r>
        <w:rPr>
          <w:spacing w:val="-10"/>
        </w:rPr>
        <w:t>作；游戏软件设计</w:t>
      </w:r>
      <w:r>
        <w:rPr/>
        <w:t> 制作；</w:t>
      </w:r>
    </w:p>
    <w:p>
      <w:pPr>
        <w:pStyle w:val="BodyText"/>
        <w:spacing w:line="170" w:lineRule="exact"/>
        <w:ind w:left="18" w:right="-11"/>
        <w:jc w:val="left"/>
        <w:rPr>
          <w:rFonts w:ascii="Times New Roman" w:hAnsi="Times New Roman" w:cs="Times New Roman" w:eastAsia="Times New Roman" w:hint="default"/>
        </w:rPr>
      </w:pPr>
      <w:r>
        <w:rPr>
          <w:spacing w:val="-1"/>
        </w:rPr>
        <w:br w:type="column"/>
      </w:r>
      <w:r>
        <w:rPr>
          <w:rFonts w:ascii="Times New Roman"/>
          <w:spacing w:val="-1"/>
        </w:rPr>
        <w:t>30,000,00</w:t>
      </w:r>
    </w:p>
    <w:p>
      <w:pPr>
        <w:pStyle w:val="BodyText"/>
        <w:spacing w:line="240" w:lineRule="auto" w:before="105"/>
        <w:ind w:left="18" w:right="-11"/>
        <w:jc w:val="left"/>
        <w:rPr>
          <w:rFonts w:ascii="Times New Roman" w:hAnsi="Times New Roman" w:cs="Times New Roman" w:eastAsia="Times New Roman" w:hint="default"/>
        </w:rPr>
      </w:pPr>
      <w:r>
        <w:rPr>
          <w:rFonts w:ascii="Times New Roman"/>
        </w:rPr>
        <w:t>0</w:t>
      </w:r>
    </w:p>
    <w:p>
      <w:pPr>
        <w:pStyle w:val="BodyText"/>
        <w:tabs>
          <w:tab w:pos="1410" w:val="left" w:leader="none"/>
          <w:tab w:pos="3263" w:val="left" w:leader="none"/>
          <w:tab w:pos="3842" w:val="left" w:leader="none"/>
          <w:tab w:pos="5116" w:val="left" w:leader="none"/>
        </w:tabs>
        <w:spacing w:line="240" w:lineRule="auto" w:before="118"/>
        <w:ind w:left="133" w:right="0"/>
        <w:jc w:val="left"/>
        <w:rPr>
          <w:rFonts w:ascii="Times New Roman" w:hAnsi="Times New Roman" w:cs="Times New Roman" w:eastAsia="Times New Roman" w:hint="default"/>
        </w:rPr>
      </w:pPr>
      <w:r>
        <w:rPr>
          <w:spacing w:val="-1"/>
        </w:rPr>
        <w:br w:type="column"/>
      </w:r>
      <w:r>
        <w:rPr>
          <w:rFonts w:ascii="Times New Roman"/>
          <w:spacing w:val="-1"/>
        </w:rPr>
        <w:t>14,438,212.17</w:t>
        <w:tab/>
        <w:t>14,423,212.17</w:t>
        <w:tab/>
        <w:t>0.00</w:t>
        <w:tab/>
        <w:t>-763,622.76</w:t>
        <w:tab/>
        <w:t>-576,787.83</w:t>
      </w:r>
    </w:p>
    <w:p>
      <w:pPr>
        <w:spacing w:after="0" w:line="240" w:lineRule="auto"/>
        <w:jc w:val="left"/>
        <w:rPr>
          <w:rFonts w:ascii="Times New Roman" w:hAnsi="Times New Roman" w:cs="Times New Roman" w:eastAsia="Times New Roman" w:hint="default"/>
        </w:rPr>
        <w:sectPr>
          <w:type w:val="continuous"/>
          <w:pgSz w:w="11910" w:h="16840"/>
          <w:pgMar w:top="1060" w:bottom="1160" w:left="320" w:right="440"/>
          <w:cols w:num="5" w:equalWidth="0">
            <w:col w:w="854" w:space="40"/>
            <w:col w:w="1482" w:space="175"/>
            <w:col w:w="1495" w:space="40"/>
            <w:col w:w="739" w:space="180"/>
            <w:col w:w="6145"/>
          </w:cols>
        </w:sectPr>
      </w:pPr>
    </w:p>
    <w:p>
      <w:pPr>
        <w:pStyle w:val="BodyText"/>
        <w:spacing w:line="240" w:lineRule="auto" w:before="110"/>
        <w:ind w:left="812" w:right="7019"/>
        <w:jc w:val="left"/>
      </w:pPr>
      <w:r>
        <w:rPr/>
        <w:t>主要子公司、参股公司情况说明</w:t>
      </w:r>
    </w:p>
    <w:p>
      <w:pPr>
        <w:pStyle w:val="BodyText"/>
        <w:spacing w:line="309" w:lineRule="auto" w:before="115"/>
        <w:ind w:left="812" w:right="594" w:firstLine="360"/>
        <w:jc w:val="left"/>
      </w:pPr>
      <w:r>
        <w:rPr/>
        <w:t>（</w:t>
      </w:r>
      <w:r>
        <w:rPr>
          <w:rFonts w:ascii="Times New Roman" w:hAnsi="Times New Roman" w:cs="Times New Roman" w:eastAsia="Times New Roman" w:hint="default"/>
        </w:rPr>
        <w:t>1</w:t>
      </w:r>
      <w:r>
        <w:rPr/>
        <w:t>）子公司广州御银自动柜员机技术有限公司</w:t>
      </w:r>
      <w:r>
        <w:rPr>
          <w:rFonts w:ascii="Times New Roman" w:hAnsi="Times New Roman" w:cs="Times New Roman" w:eastAsia="Times New Roman" w:hint="default"/>
        </w:rPr>
        <w:t>2014</w:t>
      </w:r>
      <w:r>
        <w:rPr/>
        <w:t>年列报净利润为</w:t>
      </w:r>
      <w:r>
        <w:rPr>
          <w:rFonts w:ascii="Times New Roman" w:hAnsi="Times New Roman" w:cs="Times New Roman" w:eastAsia="Times New Roman" w:hint="default"/>
        </w:rPr>
        <w:t>-24,935,864.01</w:t>
      </w:r>
      <w:r>
        <w:rPr/>
        <w:t>元，较上年同期减少</w:t>
      </w:r>
      <w:r>
        <w:rPr>
          <w:rFonts w:ascii="Times New Roman" w:hAnsi="Times New Roman" w:cs="Times New Roman" w:eastAsia="Times New Roman" w:hint="default"/>
        </w:rPr>
        <w:t>196.09%</w:t>
      </w:r>
      <w:r>
        <w:rPr/>
        <w:t>，主要 </w:t>
      </w:r>
      <w:r>
        <w:rPr>
          <w:spacing w:val="-2"/>
        </w:rPr>
        <w:t>原因是该子公司按照会计政策对集团内部应收债权项目计提坏账准备所致，内部应收债权债务及相关坏账准备已在合并列报</w:t>
      </w:r>
      <w:r>
        <w:rPr>
          <w:spacing w:val="-64"/>
        </w:rPr>
        <w:t> </w:t>
      </w:r>
      <w:r>
        <w:rPr>
          <w:spacing w:val="-64"/>
        </w:rPr>
      </w:r>
      <w:r>
        <w:rPr/>
        <w:t>时抵消，未对合并经营业绩造成重大影响；</w:t>
      </w:r>
    </w:p>
    <w:p>
      <w:pPr>
        <w:pStyle w:val="BodyText"/>
        <w:spacing w:line="309" w:lineRule="auto" w:before="24"/>
        <w:ind w:left="812" w:right="594" w:firstLine="360"/>
        <w:jc w:val="left"/>
      </w:pPr>
      <w:r>
        <w:rPr/>
        <w:t>（</w:t>
      </w:r>
      <w:r>
        <w:rPr>
          <w:rFonts w:ascii="Times New Roman" w:hAnsi="Times New Roman" w:cs="Times New Roman" w:eastAsia="Times New Roman" w:hint="default"/>
        </w:rPr>
        <w:t>2</w:t>
      </w:r>
      <w:r>
        <w:rPr/>
        <w:t>）子公司广州御银金融服务有限公司</w:t>
      </w:r>
      <w:r>
        <w:rPr>
          <w:rFonts w:ascii="Times New Roman" w:hAnsi="Times New Roman" w:cs="Times New Roman" w:eastAsia="Times New Roman" w:hint="default"/>
        </w:rPr>
        <w:t>2014</w:t>
      </w:r>
      <w:r>
        <w:rPr/>
        <w:t>年列报净利润为</w:t>
      </w:r>
      <w:r>
        <w:rPr>
          <w:rFonts w:ascii="Times New Roman" w:hAnsi="Times New Roman" w:cs="Times New Roman" w:eastAsia="Times New Roman" w:hint="default"/>
        </w:rPr>
        <w:t>-14,133,</w:t>
      </w:r>
      <w:r>
        <w:rPr>
          <w:rFonts w:ascii="Times New Roman" w:hAnsi="Times New Roman" w:cs="Times New Roman" w:eastAsia="Times New Roman" w:hint="default"/>
          <w:spacing w:val="-15"/>
        </w:rPr>
        <w:t> </w:t>
      </w:r>
      <w:r>
        <w:rPr>
          <w:rFonts w:ascii="Times New Roman" w:hAnsi="Times New Roman" w:cs="Times New Roman" w:eastAsia="Times New Roman" w:hint="default"/>
        </w:rPr>
        <w:t>664.15</w:t>
      </w:r>
      <w:r>
        <w:rPr/>
        <w:t>元，较上年同期减少</w:t>
      </w:r>
      <w:r>
        <w:rPr>
          <w:rFonts w:ascii="Times New Roman" w:hAnsi="Times New Roman" w:cs="Times New Roman" w:eastAsia="Times New Roman" w:hint="default"/>
        </w:rPr>
        <w:t>536.56%,</w:t>
      </w:r>
      <w:r>
        <w:rPr/>
        <w:t>主要原因是该 子公司按照会计政策对集团内部应收债权项目计提坏账准备所致，内部应收债权债务及相关坏账准备已在合并列报时抵消， 未对合并经营业绩造成重大影响；</w:t>
      </w:r>
    </w:p>
    <w:p>
      <w:pPr>
        <w:spacing w:after="0" w:line="309" w:lineRule="auto"/>
        <w:jc w:val="left"/>
        <w:sectPr>
          <w:type w:val="continuous"/>
          <w:pgSz w:w="11910" w:h="16840"/>
          <w:pgMar w:top="1060" w:bottom="1160" w:left="320" w:right="440"/>
        </w:sectPr>
      </w:pPr>
    </w:p>
    <w:p>
      <w:pPr>
        <w:spacing w:line="240" w:lineRule="auto" w:before="9"/>
        <w:rPr>
          <w:rFonts w:ascii="宋体" w:hAnsi="宋体" w:cs="宋体" w:eastAsia="宋体" w:hint="default"/>
          <w:sz w:val="25"/>
          <w:szCs w:val="25"/>
        </w:rPr>
      </w:pPr>
    </w:p>
    <w:p>
      <w:pPr>
        <w:pStyle w:val="BodyText"/>
        <w:spacing w:line="300" w:lineRule="auto" w:before="44"/>
        <w:ind w:left="812" w:right="754" w:firstLine="360"/>
        <w:jc w:val="left"/>
      </w:pPr>
      <w:r>
        <w:rPr/>
        <w:t>（</w:t>
      </w:r>
      <w:r>
        <w:rPr>
          <w:rFonts w:ascii="Times New Roman" w:hAnsi="Times New Roman" w:cs="Times New Roman" w:eastAsia="Times New Roman" w:hint="default"/>
        </w:rPr>
        <w:t>3</w:t>
      </w:r>
      <w:r>
        <w:rPr/>
        <w:t>）子公司广州御银自动柜员机科技有限公司</w:t>
      </w:r>
      <w:r>
        <w:rPr>
          <w:rFonts w:ascii="Times New Roman" w:hAnsi="Times New Roman" w:cs="Times New Roman" w:eastAsia="Times New Roman" w:hint="default"/>
        </w:rPr>
        <w:t>2014</w:t>
      </w:r>
      <w:r>
        <w:rPr/>
        <w:t>年列报营业收入为</w:t>
      </w:r>
      <w:r>
        <w:rPr>
          <w:rFonts w:ascii="Times New Roman" w:hAnsi="Times New Roman" w:cs="Times New Roman" w:eastAsia="Times New Roman" w:hint="default"/>
        </w:rPr>
        <w:t>2,991,453.15</w:t>
      </w:r>
      <w:r>
        <w:rPr/>
        <w:t>元、净利润</w:t>
      </w:r>
      <w:r>
        <w:rPr>
          <w:rFonts w:ascii="Times New Roman" w:hAnsi="Times New Roman" w:cs="Times New Roman" w:eastAsia="Times New Roman" w:hint="default"/>
        </w:rPr>
        <w:t>-2,268,482.98</w:t>
      </w:r>
      <w:r>
        <w:rPr/>
        <w:t>元，</w:t>
      </w:r>
      <w:r>
        <w:rPr>
          <w:rFonts w:ascii="Times New Roman" w:hAnsi="Times New Roman" w:cs="Times New Roman" w:eastAsia="Times New Roman" w:hint="default"/>
        </w:rPr>
        <w:t>2014</w:t>
      </w:r>
      <w:r>
        <w:rPr/>
        <w:t>年 报告期内分别较上年同期增长</w:t>
      </w:r>
      <w:r>
        <w:rPr>
          <w:rFonts w:ascii="Times New Roman" w:hAnsi="Times New Roman" w:cs="Times New Roman" w:eastAsia="Times New Roman" w:hint="default"/>
        </w:rPr>
        <w:t>1722.92%</w:t>
      </w:r>
      <w:r>
        <w:rPr/>
        <w:t>和</w:t>
      </w:r>
      <w:r>
        <w:rPr>
          <w:rFonts w:ascii="Times New Roman" w:hAnsi="Times New Roman" w:cs="Times New Roman" w:eastAsia="Times New Roman" w:hint="default"/>
        </w:rPr>
        <w:t>53.04%</w:t>
      </w:r>
      <w:r>
        <w:rPr/>
        <w:t>，主要原因是本报告期内该子公司销售自行研发的软件产品所致。</w:t>
      </w:r>
    </w:p>
    <w:p>
      <w:pPr>
        <w:pStyle w:val="BodyText"/>
        <w:spacing w:line="240" w:lineRule="auto" w:before="53"/>
        <w:ind w:left="1173" w:right="754"/>
        <w:jc w:val="left"/>
      </w:pPr>
      <w:r>
        <w:rPr/>
        <w:t>报告期内取得和处置子公司的情况</w:t>
      </w:r>
    </w:p>
    <w:p>
      <w:pPr>
        <w:pStyle w:val="BodyText"/>
        <w:spacing w:line="240" w:lineRule="auto" w:before="115"/>
        <w:ind w:left="812" w:right="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524" w:type="dxa"/>
        <w:tblLayout w:type="fixed"/>
        <w:tblCellMar>
          <w:top w:w="0" w:type="dxa"/>
          <w:left w:w="0" w:type="dxa"/>
          <w:bottom w:w="0" w:type="dxa"/>
          <w:right w:w="0" w:type="dxa"/>
        </w:tblCellMar>
        <w:tblLook w:val="01E0"/>
      </w:tblPr>
      <w:tblGrid>
        <w:gridCol w:w="2268"/>
        <w:gridCol w:w="2800"/>
        <w:gridCol w:w="2872"/>
        <w:gridCol w:w="2114"/>
      </w:tblGrid>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报告期内取得和处置子公司目的</w:t>
            </w:r>
          </w:p>
        </w:tc>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2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广州御银信息科技有限公司</w:t>
            </w:r>
          </w:p>
        </w:tc>
        <w:tc>
          <w:tcPr>
            <w:tcW w:w="280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推进公司互联网金融业务发展</w:t>
            </w:r>
          </w:p>
        </w:tc>
        <w:tc>
          <w:tcPr>
            <w:tcW w:w="2872"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以自有资产投资设立的全资子公司</w:t>
            </w:r>
          </w:p>
        </w:tc>
        <w:tc>
          <w:tcPr>
            <w:tcW w:w="211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0"/>
              <w:ind w:left="18" w:right="0"/>
              <w:jc w:val="center"/>
              <w:rPr>
                <w:rFonts w:ascii="宋体" w:hAnsi="宋体" w:cs="宋体" w:eastAsia="宋体" w:hint="default"/>
                <w:sz w:val="18"/>
                <w:szCs w:val="18"/>
              </w:rPr>
            </w:pPr>
            <w:r>
              <w:rPr>
                <w:rFonts w:ascii="宋体" w:hAnsi="宋体" w:cs="宋体" w:eastAsia="宋体" w:hint="default"/>
                <w:sz w:val="18"/>
                <w:szCs w:val="18"/>
              </w:rPr>
              <w:t>净利润</w:t>
            </w:r>
            <w:r>
              <w:rPr>
                <w:rFonts w:ascii="Times New Roman" w:hAnsi="Times New Roman" w:cs="Times New Roman" w:eastAsia="Times New Roman" w:hint="default"/>
                <w:sz w:val="18"/>
                <w:szCs w:val="18"/>
              </w:rPr>
              <w:t>-576,787.83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bl>
    <w:p>
      <w:pPr>
        <w:spacing w:line="240" w:lineRule="auto" w:before="3"/>
        <w:rPr>
          <w:rFonts w:ascii="宋体" w:hAnsi="宋体" w:cs="宋体" w:eastAsia="宋体" w:hint="default"/>
          <w:sz w:val="19"/>
          <w:szCs w:val="19"/>
        </w:rPr>
      </w:pPr>
    </w:p>
    <w:p>
      <w:pPr>
        <w:pStyle w:val="Heading3"/>
        <w:spacing w:line="240" w:lineRule="auto" w:before="36"/>
        <w:ind w:left="812" w:right="754"/>
        <w:jc w:val="left"/>
        <w:rPr>
          <w:b w:val="0"/>
          <w:bCs w:val="0"/>
        </w:rPr>
      </w:pPr>
      <w:r>
        <w:rPr>
          <w:rFonts w:ascii="Times New Roman" w:hAnsi="Times New Roman" w:cs="Times New Roman" w:eastAsia="Times New Roman" w:hint="default"/>
        </w:rPr>
        <w:t>4</w:t>
      </w:r>
      <w:r>
        <w:rPr/>
        <w:t>、非募集资金投资的重大项目情况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812" w:right="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731"/>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BodyText"/>
        <w:spacing w:line="240" w:lineRule="auto" w:before="44"/>
        <w:ind w:left="0" w:right="100"/>
        <w:jc w:val="right"/>
      </w:pPr>
      <w:r>
        <w:rPr/>
        <w:pict>
          <v:shape style="position:absolute;margin-left:21pt;margin-top:-114.398277pt;width:546pt;height:154.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0"/>
                    <w:gridCol w:w="710"/>
                    <w:gridCol w:w="850"/>
                    <w:gridCol w:w="1419"/>
                    <w:gridCol w:w="850"/>
                    <w:gridCol w:w="1275"/>
                    <w:gridCol w:w="1572"/>
                    <w:gridCol w:w="3380"/>
                  </w:tblGrid>
                  <w:tr>
                    <w:trPr>
                      <w:trHeight w:val="711"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9" w:right="79"/>
                          <w:jc w:val="left"/>
                          <w:rPr>
                            <w:rFonts w:ascii="宋体" w:hAnsi="宋体" w:cs="宋体" w:eastAsia="宋体" w:hint="default"/>
                            <w:sz w:val="18"/>
                            <w:szCs w:val="18"/>
                          </w:rPr>
                        </w:pPr>
                        <w:r>
                          <w:rPr>
                            <w:rFonts w:ascii="宋体" w:hAnsi="宋体" w:cs="宋体" w:eastAsia="宋体" w:hint="default"/>
                            <w:sz w:val="18"/>
                            <w:szCs w:val="18"/>
                          </w:rPr>
                          <w:t>计划投 资总额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9" w:right="59"/>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4" w:right="74"/>
                          <w:jc w:val="left"/>
                          <w:rPr>
                            <w:rFonts w:ascii="宋体" w:hAnsi="宋体" w:cs="宋体" w:eastAsia="宋体" w:hint="default"/>
                            <w:sz w:val="18"/>
                            <w:szCs w:val="18"/>
                          </w:rPr>
                        </w:pPr>
                        <w:r>
                          <w:rPr>
                            <w:rFonts w:ascii="宋体" w:hAnsi="宋体" w:cs="宋体" w:eastAsia="宋体" w:hint="default"/>
                            <w:sz w:val="18"/>
                            <w:szCs w:val="18"/>
                          </w:rPr>
                          <w:t>截至报告期末累 计实际投入金额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项目进度</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项目收益情况</w:t>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披露日期（如有）</w:t>
                        </w:r>
                      </w:p>
                    </w:tc>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披露索引（如有）</w:t>
                        </w:r>
                      </w:p>
                    </w:tc>
                  </w:tr>
                  <w:tr>
                    <w:trPr>
                      <w:trHeight w:val="1966" w:hRule="exact"/>
                    </w:trPr>
                    <w:tc>
                      <w:tcPr>
                        <w:tcW w:w="85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3" w:right="94"/>
                          <w:jc w:val="both"/>
                          <w:rPr>
                            <w:rFonts w:ascii="宋体" w:hAnsi="宋体" w:cs="宋体" w:eastAsia="宋体" w:hint="default"/>
                            <w:sz w:val="18"/>
                            <w:szCs w:val="18"/>
                          </w:rPr>
                        </w:pPr>
                        <w:r>
                          <w:rPr>
                            <w:rFonts w:ascii="宋体" w:hAnsi="宋体" w:cs="宋体" w:eastAsia="宋体" w:hint="default"/>
                            <w:sz w:val="18"/>
                            <w:szCs w:val="18"/>
                          </w:rPr>
                          <w:t>御银科技 园区投资 项目</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19,871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11,596.17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16,129.62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79.58%</w:t>
                        </w:r>
                      </w:p>
                    </w:tc>
                    <w:tc>
                      <w:tcPr>
                        <w:tcW w:w="1275"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 w:right="159"/>
                          <w:jc w:val="left"/>
                          <w:rPr>
                            <w:rFonts w:ascii="宋体" w:hAnsi="宋体" w:cs="宋体" w:eastAsia="宋体" w:hint="default"/>
                            <w:sz w:val="18"/>
                            <w:szCs w:val="18"/>
                          </w:rPr>
                        </w:pPr>
                        <w:r>
                          <w:rPr>
                            <w:rFonts w:ascii="宋体" w:hAnsi="宋体" w:cs="宋体" w:eastAsia="宋体" w:hint="default"/>
                            <w:sz w:val="18"/>
                            <w:szCs w:val="18"/>
                          </w:rPr>
                          <w:t>未达到可使用 状态</w:t>
                        </w:r>
                      </w:p>
                    </w:tc>
                    <w:tc>
                      <w:tcPr>
                        <w:tcW w:w="1572" w:type="dxa"/>
                        <w:tcBorders>
                          <w:top w:val="single" w:sz="4" w:space="0" w:color="000000"/>
                          <w:left w:val="single" w:sz="4" w:space="0" w:color="000000"/>
                          <w:bottom w:val="single" w:sz="4" w:space="0" w:color="000000"/>
                          <w:right w:val="single" w:sz="13" w:space="0" w:color="C7EBCC"/>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338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07" w:lineRule="auto" w:before="53"/>
                          <w:ind w:left="11" w:right="9"/>
                          <w:jc w:val="left"/>
                          <w:rPr>
                            <w:rFonts w:ascii="Times New Roman" w:hAnsi="Times New Roman" w:cs="Times New Roman" w:eastAsia="Times New Roman" w:hint="default"/>
                            <w:sz w:val="18"/>
                            <w:szCs w:val="18"/>
                          </w:rPr>
                        </w:pPr>
                        <w:r>
                          <w:rPr>
                            <w:rFonts w:ascii="宋体" w:hAnsi="宋体" w:cs="宋体" w:eastAsia="宋体" w:hint="default"/>
                            <w:sz w:val="18"/>
                            <w:szCs w:val="18"/>
                          </w:rPr>
                          <w:t>具体内容详见巨潮资讯网 </w:t>
                        </w:r>
                        <w:hyperlink r:id="rId13">
                          <w:r>
                            <w:rPr>
                              <w:rFonts w:ascii="Times New Roman" w:hAnsi="Times New Roman" w:cs="Times New Roman" w:eastAsia="Times New Roman" w:hint="default"/>
                              <w:sz w:val="18"/>
                              <w:szCs w:val="18"/>
                            </w:rPr>
                            <w:t>(htt</w:t>
                          </w:r>
                        </w:hyperlink>
                        <w:r>
                          <w:rPr>
                            <w:rFonts w:ascii="Times New Roman" w:hAnsi="Times New Roman" w:cs="Times New Roman" w:eastAsia="Times New Roman" w:hint="default"/>
                            <w:sz w:val="18"/>
                            <w:szCs w:val="18"/>
                          </w:rPr>
                          <w:t>p</w:t>
                        </w:r>
                        <w:hyperlink r:id="rId13">
                          <w:r>
                            <w:rPr>
                              <w:rFonts w:ascii="Times New Roman" w:hAnsi="Times New Roman" w:cs="Times New Roman" w:eastAsia="Times New Roman" w:hint="default"/>
                              <w:sz w:val="18"/>
                              <w:szCs w:val="18"/>
                            </w:rPr>
                            <w:t>://www.cninfo.com.cn/)</w:t>
                          </w:r>
                          <w:r>
                            <w:rPr>
                              <w:rFonts w:ascii="宋体" w:hAnsi="宋体" w:cs="宋体" w:eastAsia="宋体" w:hint="default"/>
                              <w:sz w:val="18"/>
                              <w:szCs w:val="18"/>
                            </w:rPr>
                            <w:t>的《关于调整控</w:t>
                          </w:r>
                        </w:hyperlink>
                        <w:r>
                          <w:rPr>
                            <w:rFonts w:ascii="宋体" w:hAnsi="宋体" w:cs="宋体" w:eastAsia="宋体" w:hint="default"/>
                            <w:sz w:val="18"/>
                            <w:szCs w:val="18"/>
                          </w:rPr>
                          <w:t> 股子公司广州御银自动柜员机技术有限公 司</w:t>
                        </w:r>
                        <w:r>
                          <w:rPr>
                            <w:rFonts w:ascii="宋体" w:hAnsi="宋体" w:cs="宋体" w:eastAsia="宋体" w:hint="default"/>
                            <w:spacing w:val="-43"/>
                            <w:sz w:val="18"/>
                            <w:szCs w:val="18"/>
                          </w:rPr>
                          <w:t> </w:t>
                        </w:r>
                        <w:r>
                          <w:rPr>
                            <w:rFonts w:ascii="Times New Roman" w:hAnsi="Times New Roman" w:cs="Times New Roman" w:eastAsia="Times New Roman" w:hint="default"/>
                            <w:spacing w:val="-8"/>
                            <w:w w:val="99"/>
                            <w:sz w:val="18"/>
                            <w:szCs w:val="18"/>
                          </w:rPr>
                          <w:t>ATM</w:t>
                        </w:r>
                        <w:r>
                          <w:rPr>
                            <w:rFonts w:ascii="Times New Roman" w:hAnsi="Times New Roman" w:cs="Times New Roman" w:eastAsia="Times New Roman" w:hint="default"/>
                            <w:spacing w:val="3"/>
                            <w:w w:val="99"/>
                            <w:sz w:val="18"/>
                            <w:szCs w:val="18"/>
                          </w:rPr>
                          <w:t> </w:t>
                        </w:r>
                        <w:r>
                          <w:rPr>
                            <w:rFonts w:ascii="宋体" w:hAnsi="宋体" w:cs="宋体" w:eastAsia="宋体" w:hint="default"/>
                            <w:spacing w:val="-12"/>
                            <w:sz w:val="18"/>
                            <w:szCs w:val="18"/>
                          </w:rPr>
                          <w:t>设备产能项目投资总额的公告（》公</w:t>
                        </w:r>
                        <w:r>
                          <w:rPr>
                            <w:rFonts w:ascii="宋体" w:hAnsi="宋体" w:cs="宋体" w:eastAsia="宋体" w:hint="default"/>
                            <w:sz w:val="18"/>
                            <w:szCs w:val="18"/>
                          </w:rPr>
                          <w:t> 告编号</w:t>
                        </w:r>
                        <w:r>
                          <w:rPr>
                            <w:rFonts w:ascii="宋体" w:hAnsi="宋体" w:cs="宋体" w:eastAsia="宋体" w:hint="default"/>
                            <w:spacing w:val="-40"/>
                            <w:sz w:val="18"/>
                            <w:szCs w:val="18"/>
                          </w:rPr>
                          <w:t> </w:t>
                        </w:r>
                        <w:r>
                          <w:rPr>
                            <w:rFonts w:ascii="Times New Roman" w:hAnsi="Times New Roman" w:cs="Times New Roman" w:eastAsia="Times New Roman" w:hint="default"/>
                            <w:spacing w:val="-5"/>
                            <w:sz w:val="18"/>
                            <w:szCs w:val="18"/>
                          </w:rPr>
                          <w:t>2013-003</w:t>
                        </w:r>
                        <w:r>
                          <w:rPr>
                            <w:rFonts w:ascii="宋体" w:hAnsi="宋体" w:cs="宋体" w:eastAsia="宋体" w:hint="default"/>
                            <w:spacing w:val="-5"/>
                            <w:sz w:val="18"/>
                            <w:szCs w:val="18"/>
                          </w:rPr>
                          <w:t>）及《关于建设御银科技园</w:t>
                        </w:r>
                        <w:r>
                          <w:rPr>
                            <w:rFonts w:ascii="宋体" w:hAnsi="宋体" w:cs="宋体" w:eastAsia="宋体" w:hint="default"/>
                            <w:sz w:val="18"/>
                            <w:szCs w:val="18"/>
                          </w:rPr>
                          <w:t> 区投资项目的公告 </w:t>
                        </w:r>
                        <w:r>
                          <w:rPr>
                            <w:rFonts w:ascii="宋体" w:hAnsi="宋体" w:cs="宋体" w:eastAsia="宋体" w:hint="default"/>
                            <w:spacing w:val="-16"/>
                            <w:sz w:val="18"/>
                            <w:szCs w:val="18"/>
                          </w:rPr>
                          <w:t>》（公告编号</w:t>
                        </w:r>
                        <w:r>
                          <w:rPr>
                            <w:rFonts w:ascii="宋体" w:hAnsi="宋体" w:cs="宋体" w:eastAsia="宋体" w:hint="default"/>
                            <w:spacing w:val="-35"/>
                            <w:sz w:val="18"/>
                            <w:szCs w:val="18"/>
                          </w:rPr>
                          <w:t> </w:t>
                        </w:r>
                        <w:r>
                          <w:rPr>
                            <w:rFonts w:ascii="Times New Roman" w:hAnsi="Times New Roman" w:cs="Times New Roman" w:eastAsia="Times New Roman" w:hint="default"/>
                            <w:spacing w:val="-1"/>
                            <w:sz w:val="18"/>
                            <w:szCs w:val="18"/>
                          </w:rPr>
                          <w:t>2013-004</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19,871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11,596.17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16,129.62</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2"/>
        <w:spacing w:line="240" w:lineRule="auto" w:before="26"/>
        <w:ind w:left="812" w:right="0"/>
        <w:jc w:val="both"/>
        <w:rPr>
          <w:b w:val="0"/>
          <w:bCs w:val="0"/>
        </w:rPr>
      </w:pPr>
      <w:r>
        <w:rPr/>
        <w:t>七、公司控制的特殊目的主体情况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812"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812" w:right="0"/>
        <w:jc w:val="both"/>
        <w:rPr>
          <w:b w:val="0"/>
          <w:bCs w:val="0"/>
        </w:rPr>
      </w:pPr>
      <w:r>
        <w:rPr/>
        <w:t>八、公司未来发展的展望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1173" w:right="0"/>
        <w:jc w:val="left"/>
      </w:pPr>
      <w:r>
        <w:rPr>
          <w:rFonts w:ascii="宋体" w:hAnsi="宋体" w:cs="宋体" w:eastAsia="宋体" w:hint="default"/>
          <w:b/>
          <w:bCs/>
        </w:rPr>
        <w:t>（一）行业的发展趋势</w:t>
      </w:r>
      <w:r>
        <w:rPr>
          <w:rFonts w:ascii="宋体" w:hAnsi="宋体" w:cs="宋体" w:eastAsia="宋体" w:hint="default"/>
          <w:b/>
          <w:bCs/>
          <w:w w:val="99"/>
        </w:rPr>
        <w:t> </w:t>
      </w:r>
      <w:r>
        <w:rPr>
          <w:spacing w:val="-2"/>
        </w:rPr>
        <w:t>金融行业形势已然发生较大变化，行业整体经营态势平稳向好，银行自助设备市场继续保持高速发展，同时互联网技术</w:t>
      </w:r>
    </w:p>
    <w:p>
      <w:pPr>
        <w:pStyle w:val="BodyText"/>
        <w:spacing w:line="316" w:lineRule="auto" w:before="19"/>
        <w:ind w:left="812" w:right="642"/>
        <w:jc w:val="both"/>
      </w:pPr>
      <w:r>
        <w:rPr>
          <w:spacing w:val="-2"/>
        </w:rPr>
        <w:t>的不断创新颠覆人们对传统银行的认知，互联网金融、云计算等技术手段突飞猛进，丰富了银行业的服务方式，同时国外银</w:t>
      </w:r>
      <w:r>
        <w:rPr>
          <w:spacing w:val="-63"/>
        </w:rPr>
        <w:t> </w:t>
      </w:r>
      <w:r>
        <w:rPr>
          <w:spacing w:val="-63"/>
        </w:rPr>
      </w:r>
      <w:r>
        <w:rPr>
          <w:spacing w:val="-2"/>
        </w:rPr>
        <w:t>行、民营银行和互联网银行的成长，促进了整个银行业不断创新变革和转型升级。银行网点对公业务和对私业务的流程需要</w:t>
      </w:r>
      <w:r>
        <w:rPr>
          <w:spacing w:val="-63"/>
        </w:rPr>
        <w:t> </w:t>
      </w:r>
      <w:r>
        <w:rPr>
          <w:spacing w:val="-63"/>
        </w:rPr>
      </w:r>
      <w:r>
        <w:rPr>
          <w:spacing w:val="-4"/>
        </w:rPr>
        <w:t>不断优化和调整，智慧银行、社区银行多种业态不断繁荣，为公司的发展提供了更广阔的空间。</w:t>
      </w:r>
      <w:r>
        <w:rPr>
          <w:rFonts w:ascii="Times New Roman" w:hAnsi="Times New Roman" w:cs="Times New Roman" w:eastAsia="Times New Roman" w:hint="default"/>
          <w:spacing w:val="-4"/>
        </w:rPr>
        <w:t>2014</w:t>
      </w:r>
      <w:r>
        <w:rPr>
          <w:spacing w:val="-4"/>
        </w:rPr>
        <w:t>年行业的发展动态如下：</w:t>
      </w:r>
    </w:p>
    <w:p>
      <w:pPr>
        <w:pStyle w:val="BodyText"/>
        <w:spacing w:line="300" w:lineRule="auto"/>
        <w:ind w:left="1173" w:right="0"/>
        <w:jc w:val="left"/>
      </w:pPr>
      <w:r>
        <w:rPr>
          <w:rFonts w:ascii="Times New Roman" w:hAnsi="Times New Roman" w:cs="Times New Roman" w:eastAsia="Times New Roman" w:hint="default"/>
        </w:rPr>
        <w:t>1</w:t>
      </w:r>
      <w:r>
        <w:rPr/>
        <w:t>、互联网金融生态逐步建立，从混乱走向有序。 </w:t>
      </w:r>
      <w:r>
        <w:rPr>
          <w:spacing w:val="-4"/>
        </w:rPr>
        <w:t>根据国家十二五发展规划布局，未来几年我国将加强金融基础设施建设、有序拓展金融服务业、全面提升金融服务水平；</w:t>
      </w:r>
    </w:p>
    <w:p>
      <w:pPr>
        <w:pStyle w:val="BodyText"/>
        <w:spacing w:line="307" w:lineRule="auto" w:before="31"/>
        <w:ind w:left="812" w:right="728"/>
        <w:jc w:val="both"/>
      </w:pPr>
      <w:r>
        <w:rPr>
          <w:spacing w:val="-2"/>
        </w:rPr>
        <w:t>同时，作为金融信息服务业的基础，下一代信息基础设施也将在十二五期间统筹布局，推动信息化和工业化深度融合，推进</w:t>
      </w:r>
      <w:r>
        <w:rPr>
          <w:spacing w:val="-63"/>
        </w:rPr>
        <w:t> </w:t>
      </w:r>
      <w:r>
        <w:rPr>
          <w:spacing w:val="-63"/>
        </w:rPr>
      </w:r>
      <w:r>
        <w:rPr>
          <w:spacing w:val="-2"/>
        </w:rPr>
        <w:t>经济社会各领域信息化。《征信业管理条例》的出台解决了征信业发展中无法可依的问题，互联网企业、第三方征信机构基</w:t>
      </w:r>
      <w:r>
        <w:rPr>
          <w:spacing w:val="-67"/>
        </w:rPr>
        <w:t> </w:t>
      </w:r>
      <w:r>
        <w:rPr>
          <w:spacing w:val="-67"/>
        </w:rPr>
      </w:r>
      <w:r>
        <w:rPr>
          <w:spacing w:val="-4"/>
        </w:rPr>
        <w:t>于交易数据、小额贷款记录、</w:t>
      </w:r>
      <w:r>
        <w:rPr>
          <w:rFonts w:ascii="Times New Roman" w:hAnsi="Times New Roman" w:cs="Times New Roman" w:eastAsia="Times New Roman" w:hint="default"/>
          <w:spacing w:val="-4"/>
        </w:rPr>
        <w:t>P2P</w:t>
      </w:r>
      <w:r>
        <w:rPr>
          <w:rFonts w:ascii="Times New Roman" w:hAnsi="Times New Roman" w:cs="Times New Roman" w:eastAsia="Times New Roman" w:hint="default"/>
          <w:spacing w:val="7"/>
        </w:rPr>
        <w:t> </w:t>
      </w:r>
      <w:r>
        <w:rPr/>
        <w:t>信用记录等大数据建立起的征信体系将逐步与银行征信系统对接，为互联网金融的发展提 </w:t>
      </w:r>
      <w:r>
        <w:rPr>
          <w:spacing w:val="-2"/>
        </w:rPr>
        <w:t>供了良好的信用环境基础。此外，国家政策的支持也为互联网金融的发展提供了保障，</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5</w:t>
      </w:r>
      <w:r>
        <w:rPr>
          <w:spacing w:val="-2"/>
        </w:rPr>
        <w:t>日，政府工作报告中提出</w:t>
      </w:r>
      <w:r>
        <w:rPr>
          <w:spacing w:val="-58"/>
        </w:rPr>
        <w:t> </w:t>
      </w:r>
      <w:r>
        <w:rPr>
          <w:spacing w:val="-58"/>
        </w:rPr>
      </w:r>
      <w:r>
        <w:rPr/>
        <w:t>制定“互联网</w:t>
      </w:r>
      <w:r>
        <w:rPr>
          <w:rFonts w:ascii="Times New Roman" w:hAnsi="Times New Roman" w:cs="Times New Roman" w:eastAsia="Times New Roman" w:hint="default"/>
        </w:rPr>
        <w:t>+</w:t>
      </w:r>
      <w:r>
        <w:rPr/>
        <w:t>”行动计划，推动移动互联网、云计算、大数据、物联网等与现代制造业结合，促进电子商务、工业互联网 </w:t>
      </w:r>
      <w:r>
        <w:rPr>
          <w:spacing w:val="-2"/>
        </w:rPr>
        <w:t>和互联网金融健康发展，引导互联网企业拓展国际市场。上述一系列产业政策的推出，给金融信息服务行业发展带来新的机</w:t>
      </w:r>
      <w:r>
        <w:rPr>
          <w:spacing w:val="-62"/>
        </w:rPr>
        <w:t> </w:t>
      </w:r>
      <w:r>
        <w:rPr>
          <w:spacing w:val="-62"/>
        </w:rPr>
      </w:r>
      <w:r>
        <w:rPr>
          <w:spacing w:val="-2"/>
        </w:rPr>
        <w:t>遇。</w:t>
      </w:r>
      <w:r>
        <w:rPr>
          <w:rFonts w:ascii="Times New Roman" w:hAnsi="Times New Roman" w:cs="Times New Roman" w:eastAsia="Times New Roman" w:hint="default"/>
          <w:spacing w:val="-2"/>
        </w:rPr>
        <w:t>2015</w:t>
      </w:r>
      <w:r>
        <w:rPr>
          <w:spacing w:val="-2"/>
        </w:rPr>
        <w:t>年两会的政府工作报告更是把“促进互联网金融健康发展”放在“深化金融体制改革”部分，放在报告的“调整产</w:t>
      </w:r>
      <w:r>
        <w:rPr>
          <w:spacing w:val="-65"/>
        </w:rPr>
        <w:t> </w:t>
      </w:r>
      <w:r>
        <w:rPr>
          <w:spacing w:val="-65"/>
        </w:rPr>
      </w:r>
      <w:r>
        <w:rPr>
          <w:spacing w:val="-2"/>
        </w:rPr>
        <w:t>业结构，培育新增长点、新业态”部分，互联网金融将迎来更大的发展周期。未来伴随互联网金融的进一步发展，以互联网</w:t>
      </w:r>
    </w:p>
    <w:p>
      <w:pPr>
        <w:spacing w:after="0" w:line="307" w:lineRule="auto"/>
        <w:jc w:val="both"/>
        <w:sectPr>
          <w:pgSz w:w="11910" w:h="16840"/>
          <w:pgMar w:header="745" w:footer="980" w:top="1060" w:bottom="1160" w:left="320" w:right="400"/>
        </w:sectPr>
      </w:pPr>
    </w:p>
    <w:p>
      <w:pPr>
        <w:spacing w:line="240" w:lineRule="auto" w:before="9"/>
        <w:rPr>
          <w:rFonts w:ascii="宋体" w:hAnsi="宋体" w:cs="宋体" w:eastAsia="宋体" w:hint="default"/>
          <w:sz w:val="25"/>
          <w:szCs w:val="25"/>
        </w:rPr>
      </w:pPr>
    </w:p>
    <w:p>
      <w:pPr>
        <w:pStyle w:val="BodyText"/>
        <w:spacing w:line="300" w:lineRule="auto" w:before="44"/>
        <w:ind w:left="513" w:right="114" w:hanging="361"/>
        <w:jc w:val="left"/>
      </w:pPr>
      <w:r>
        <w:rPr/>
        <w:t>金融消费者、金融机构、电商平台、互联网企业、金融</w:t>
      </w:r>
      <w:r>
        <w:rPr>
          <w:rFonts w:ascii="Times New Roman" w:hAnsi="Times New Roman" w:cs="Times New Roman" w:eastAsia="Times New Roman" w:hint="default"/>
        </w:rPr>
        <w:t>IT</w:t>
      </w:r>
      <w:r>
        <w:rPr/>
        <w:t>企业、监管机构等为主体的生态将逐步建立。 </w:t>
      </w:r>
      <w:r>
        <w:rPr>
          <w:rFonts w:ascii="Times New Roman" w:hAnsi="Times New Roman" w:cs="Times New Roman" w:eastAsia="Times New Roman" w:hint="default"/>
        </w:rPr>
        <w:t>2</w:t>
      </w:r>
      <w:r>
        <w:rPr/>
        <w:t>、</w:t>
      </w:r>
      <w:r>
        <w:rPr>
          <w:rFonts w:ascii="Times New Roman" w:hAnsi="Times New Roman" w:cs="Times New Roman" w:eastAsia="Times New Roman" w:hint="default"/>
        </w:rPr>
        <w:t>ATM</w:t>
      </w:r>
      <w:r>
        <w:rPr/>
        <w:t>市场稳中有进，人均保有量显著提升 </w:t>
      </w:r>
      <w:r>
        <w:rPr>
          <w:spacing w:val="-2"/>
        </w:rPr>
        <w:t>根据中国人民银行发布的《</w:t>
      </w:r>
      <w:r>
        <w:rPr>
          <w:rFonts w:ascii="Times New Roman" w:hAnsi="Times New Roman" w:cs="Times New Roman" w:eastAsia="Times New Roman" w:hint="default"/>
          <w:spacing w:val="-2"/>
        </w:rPr>
        <w:t>2014</w:t>
      </w:r>
      <w:r>
        <w:rPr>
          <w:spacing w:val="-2"/>
        </w:rPr>
        <w:t>年全年支付体系运行总体情况》报告，截至</w:t>
      </w:r>
      <w:r>
        <w:rPr>
          <w:rFonts w:ascii="Times New Roman" w:hAnsi="Times New Roman" w:cs="Times New Roman" w:eastAsia="Times New Roman" w:hint="default"/>
          <w:spacing w:val="-2"/>
        </w:rPr>
        <w:t>2014</w:t>
      </w:r>
      <w:r>
        <w:rPr>
          <w:spacing w:val="-2"/>
        </w:rPr>
        <w:t>年底，全国联网</w:t>
      </w:r>
      <w:r>
        <w:rPr>
          <w:rFonts w:ascii="Times New Roman" w:hAnsi="Times New Roman" w:cs="Times New Roman" w:eastAsia="Times New Roman" w:hint="default"/>
          <w:spacing w:val="-2"/>
        </w:rPr>
        <w:t>ATM</w:t>
      </w:r>
      <w:r>
        <w:rPr>
          <w:spacing w:val="-2"/>
        </w:rPr>
        <w:t>数量为</w:t>
      </w:r>
      <w:r>
        <w:rPr>
          <w:rFonts w:ascii="Times New Roman" w:hAnsi="Times New Roman" w:cs="Times New Roman" w:eastAsia="Times New Roman" w:hint="default"/>
          <w:spacing w:val="-2"/>
        </w:rPr>
        <w:t>61.49</w:t>
      </w:r>
      <w:r>
        <w:rPr>
          <w:spacing w:val="-2"/>
        </w:rPr>
        <w:t>万台，</w:t>
      </w:r>
    </w:p>
    <w:p>
      <w:pPr>
        <w:pStyle w:val="BodyText"/>
        <w:spacing w:line="300" w:lineRule="auto" w:before="13"/>
        <w:ind w:right="114"/>
        <w:jc w:val="left"/>
      </w:pPr>
      <w:r>
        <w:rPr/>
        <w:t>较</w:t>
      </w:r>
      <w:r>
        <w:rPr>
          <w:rFonts w:ascii="Times New Roman" w:hAnsi="Times New Roman" w:cs="Times New Roman" w:eastAsia="Times New Roman" w:hint="default"/>
        </w:rPr>
        <w:t>2013</w:t>
      </w:r>
      <w:r>
        <w:rPr/>
        <w:t>年新增</w:t>
      </w:r>
      <w:r>
        <w:rPr>
          <w:rFonts w:ascii="Times New Roman" w:hAnsi="Times New Roman" w:cs="Times New Roman" w:eastAsia="Times New Roman" w:hint="default"/>
        </w:rPr>
        <w:t>9.49</w:t>
      </w:r>
      <w:r>
        <w:rPr/>
        <w:t>万台，增长率达到了</w:t>
      </w:r>
      <w:r>
        <w:rPr>
          <w:rFonts w:ascii="Times New Roman" w:hAnsi="Times New Roman" w:cs="Times New Roman" w:eastAsia="Times New Roman" w:hint="default"/>
        </w:rPr>
        <w:t>18.25%</w:t>
      </w:r>
      <w:r>
        <w:rPr/>
        <w:t>。虽然</w:t>
      </w:r>
      <w:r>
        <w:rPr>
          <w:rFonts w:ascii="Times New Roman" w:hAnsi="Times New Roman" w:cs="Times New Roman" w:eastAsia="Times New Roman" w:hint="default"/>
        </w:rPr>
        <w:t>ATM</w:t>
      </w:r>
      <w:r>
        <w:rPr/>
        <w:t>设备总保有量持续增加，按</w:t>
      </w:r>
      <w:r>
        <w:rPr>
          <w:rFonts w:ascii="Times New Roman" w:hAnsi="Times New Roman" w:cs="Times New Roman" w:eastAsia="Times New Roman" w:hint="default"/>
        </w:rPr>
        <w:t>2013</w:t>
      </w:r>
      <w:r>
        <w:rPr/>
        <w:t>年官方发布的全国总人口</w:t>
      </w:r>
      <w:r>
        <w:rPr>
          <w:rFonts w:ascii="Times New Roman" w:hAnsi="Times New Roman" w:cs="Times New Roman" w:eastAsia="Times New Roman" w:hint="default"/>
        </w:rPr>
        <w:t>13.61</w:t>
      </w:r>
      <w:r>
        <w:rPr/>
        <w:t>亿</w:t>
      </w:r>
      <w:r>
        <w:rPr>
          <w:spacing w:val="-54"/>
        </w:rPr>
        <w:t> </w:t>
      </w:r>
      <w:r>
        <w:rPr/>
        <w:t>人计算，</w:t>
      </w:r>
      <w:r>
        <w:rPr>
          <w:rFonts w:ascii="Times New Roman" w:hAnsi="Times New Roman" w:cs="Times New Roman" w:eastAsia="Times New Roman" w:hint="default"/>
        </w:rPr>
        <w:t>2014</w:t>
      </w:r>
      <w:r>
        <w:rPr/>
        <w:t>年我国每百万人均</w:t>
      </w:r>
      <w:r>
        <w:rPr>
          <w:rFonts w:ascii="Times New Roman" w:hAnsi="Times New Roman" w:cs="Times New Roman" w:eastAsia="Times New Roman" w:hint="default"/>
        </w:rPr>
        <w:t>ATM</w:t>
      </w:r>
      <w:r>
        <w:rPr/>
        <w:t>保有量约为</w:t>
      </w:r>
      <w:r>
        <w:rPr>
          <w:rFonts w:ascii="Times New Roman" w:hAnsi="Times New Roman" w:cs="Times New Roman" w:eastAsia="Times New Roman" w:hint="default"/>
        </w:rPr>
        <w:t>452</w:t>
      </w:r>
      <w:r>
        <w:rPr/>
        <w:t>台，较</w:t>
      </w:r>
      <w:r>
        <w:rPr>
          <w:rFonts w:ascii="Times New Roman" w:hAnsi="Times New Roman" w:cs="Times New Roman" w:eastAsia="Times New Roman" w:hint="default"/>
        </w:rPr>
        <w:t>2013</w:t>
      </w:r>
      <w:r>
        <w:rPr/>
        <w:t>年的约</w:t>
      </w:r>
      <w:r>
        <w:rPr>
          <w:rFonts w:ascii="Times New Roman" w:hAnsi="Times New Roman" w:cs="Times New Roman" w:eastAsia="Times New Roman" w:hint="default"/>
        </w:rPr>
        <w:t>384</w:t>
      </w:r>
      <w:r>
        <w:rPr/>
        <w:t>台有显著增长，我国</w:t>
      </w:r>
      <w:r>
        <w:rPr>
          <w:rFonts w:ascii="Times New Roman" w:hAnsi="Times New Roman" w:cs="Times New Roman" w:eastAsia="Times New Roman" w:hint="default"/>
        </w:rPr>
        <w:t>ATM</w:t>
      </w:r>
      <w:r>
        <w:rPr/>
        <w:t>市场需求依然旺盛。</w:t>
      </w:r>
    </w:p>
    <w:p>
      <w:pPr>
        <w:pStyle w:val="BodyText"/>
        <w:spacing w:line="300" w:lineRule="auto" w:before="13"/>
        <w:ind w:right="209" w:firstLine="360"/>
        <w:jc w:val="both"/>
      </w:pPr>
      <w:r>
        <w:rPr/>
        <w:t>纵观</w:t>
      </w:r>
      <w:r>
        <w:rPr>
          <w:rFonts w:ascii="Times New Roman" w:hAnsi="Times New Roman" w:cs="Times New Roman" w:eastAsia="Times New Roman" w:hint="default"/>
        </w:rPr>
        <w:t>2002</w:t>
      </w:r>
      <w:r>
        <w:rPr/>
        <w:t>到</w:t>
      </w:r>
      <w:r>
        <w:rPr>
          <w:rFonts w:ascii="Times New Roman" w:hAnsi="Times New Roman" w:cs="Times New Roman" w:eastAsia="Times New Roman" w:hint="default"/>
        </w:rPr>
        <w:t>2014</w:t>
      </w:r>
      <w:r>
        <w:rPr/>
        <w:t>年央行统计报告，中国市场</w:t>
      </w:r>
      <w:r>
        <w:rPr>
          <w:rFonts w:ascii="Times New Roman" w:hAnsi="Times New Roman" w:cs="Times New Roman" w:eastAsia="Times New Roman" w:hint="default"/>
        </w:rPr>
        <w:t>ATM</w:t>
      </w:r>
      <w:r>
        <w:rPr/>
        <w:t>设备保有量一直处于稳定上升区间。在经历过</w:t>
      </w:r>
      <w:r>
        <w:rPr>
          <w:rFonts w:ascii="Times New Roman" w:hAnsi="Times New Roman" w:cs="Times New Roman" w:eastAsia="Times New Roman" w:hint="default"/>
        </w:rPr>
        <w:t>2008</w:t>
      </w:r>
      <w:r>
        <w:rPr/>
        <w:t>年左右的爆发性增 长后，目前中国</w:t>
      </w:r>
      <w:r>
        <w:rPr>
          <w:rFonts w:ascii="Times New Roman" w:hAnsi="Times New Roman" w:cs="Times New Roman" w:eastAsia="Times New Roman" w:hint="default"/>
        </w:rPr>
        <w:t>ATM</w:t>
      </w:r>
      <w:r>
        <w:rPr/>
        <w:t>市场已经进入旧机换新的稳定增长期，总体变动曲线与中国的宏观经济走势和银行业发展趋势基本一</w:t>
      </w:r>
      <w:r>
        <w:rPr>
          <w:spacing w:val="-44"/>
        </w:rPr>
        <w:t> </w:t>
      </w:r>
      <w:r>
        <w:rPr>
          <w:spacing w:val="-44"/>
        </w:rPr>
      </w:r>
      <w:r>
        <w:rPr/>
        <w:t>致。</w:t>
      </w:r>
    </w:p>
    <w:p>
      <w:pPr>
        <w:pStyle w:val="BodyText"/>
        <w:spacing w:line="300" w:lineRule="auto" w:before="31"/>
        <w:ind w:right="213" w:firstLine="360"/>
        <w:jc w:val="both"/>
      </w:pPr>
      <w:r>
        <w:rPr/>
        <w:t>根据英国零售银行研究和咨询公司</w:t>
      </w:r>
      <w:r>
        <w:rPr>
          <w:rFonts w:ascii="Times New Roman" w:hAnsi="Times New Roman" w:cs="Times New Roman" w:eastAsia="Times New Roman" w:hint="default"/>
        </w:rPr>
        <w:t>RBR</w:t>
      </w:r>
      <w:r>
        <w:rPr/>
        <w:t>发布的《</w:t>
      </w:r>
      <w:r>
        <w:rPr>
          <w:rFonts w:ascii="Times New Roman" w:hAnsi="Times New Roman" w:cs="Times New Roman" w:eastAsia="Times New Roman" w:hint="default"/>
        </w:rPr>
        <w:t>2019</w:t>
      </w:r>
      <w:r>
        <w:rPr/>
        <w:t>全球</w:t>
      </w:r>
      <w:r>
        <w:rPr>
          <w:rFonts w:ascii="Times New Roman" w:hAnsi="Times New Roman" w:cs="Times New Roman" w:eastAsia="Times New Roman" w:hint="default"/>
        </w:rPr>
        <w:t>ATM</w:t>
      </w:r>
      <w:r>
        <w:rPr/>
        <w:t>市场及预测报告》显示，预计</w:t>
      </w:r>
      <w:r>
        <w:rPr>
          <w:rFonts w:ascii="Times New Roman" w:hAnsi="Times New Roman" w:cs="Times New Roman" w:eastAsia="Times New Roman" w:hint="default"/>
        </w:rPr>
        <w:t>2019</w:t>
      </w:r>
      <w:r>
        <w:rPr/>
        <w:t>年全球</w:t>
      </w:r>
      <w:r>
        <w:rPr>
          <w:rFonts w:ascii="Times New Roman" w:hAnsi="Times New Roman" w:cs="Times New Roman" w:eastAsia="Times New Roman" w:hint="default"/>
        </w:rPr>
        <w:t>ATM</w:t>
      </w:r>
      <w:r>
        <w:rPr/>
        <w:t>保有量将 达到</w:t>
      </w:r>
      <w:r>
        <w:rPr>
          <w:rFonts w:ascii="Times New Roman" w:hAnsi="Times New Roman" w:cs="Times New Roman" w:eastAsia="Times New Roman" w:hint="default"/>
        </w:rPr>
        <w:t>400</w:t>
      </w:r>
      <w:r>
        <w:rPr/>
        <w:t>万台，亚太区将是最大的、增长最快的区域。中国作为全球新安装量最大的国家，预计在接下来的几年仍将主导全</w:t>
      </w:r>
      <w:r>
        <w:rPr>
          <w:spacing w:val="-85"/>
        </w:rPr>
        <w:t> </w:t>
      </w:r>
      <w:r>
        <w:rPr>
          <w:spacing w:val="-85"/>
        </w:rPr>
      </w:r>
      <w:r>
        <w:rPr/>
        <w:t>球</w:t>
      </w:r>
      <w:r>
        <w:rPr>
          <w:rFonts w:ascii="Times New Roman" w:hAnsi="Times New Roman" w:cs="Times New Roman" w:eastAsia="Times New Roman" w:hint="default"/>
        </w:rPr>
        <w:t>ATM</w:t>
      </w:r>
      <w:r>
        <w:rPr/>
        <w:t>市场的持续扩张。</w:t>
      </w:r>
    </w:p>
    <w:p>
      <w:pPr>
        <w:pStyle w:val="BodyText"/>
        <w:spacing w:line="300" w:lineRule="auto" w:before="13"/>
        <w:ind w:left="513" w:right="114"/>
        <w:jc w:val="left"/>
      </w:pPr>
      <w:r>
        <w:rPr>
          <w:rFonts w:ascii="Times New Roman" w:hAnsi="Times New Roman" w:cs="Times New Roman" w:eastAsia="Times New Roman" w:hint="default"/>
        </w:rPr>
        <w:t>3</w:t>
      </w:r>
      <w:r>
        <w:rPr/>
        <w:t>、存取款一体机增长稳定，将成发展主流 随着社会经济的发展，现金的使用量有增无减，人们不再满足于仅仅从</w:t>
      </w:r>
      <w:r>
        <w:rPr>
          <w:rFonts w:ascii="Times New Roman" w:hAnsi="Times New Roman" w:cs="Times New Roman" w:eastAsia="Times New Roman" w:hint="default"/>
        </w:rPr>
        <w:t>ATM</w:t>
      </w:r>
      <w:r>
        <w:rPr/>
        <w:t>上取钱，很多时候还希望能方便的进行现</w:t>
      </w:r>
    </w:p>
    <w:p>
      <w:pPr>
        <w:pStyle w:val="BodyText"/>
        <w:spacing w:line="309" w:lineRule="auto" w:before="13"/>
        <w:ind w:right="214"/>
        <w:jc w:val="both"/>
      </w:pPr>
      <w:r>
        <w:rPr/>
        <w:t>金存款。特别是近年来信用卡使用量的快速增长，很多信用卡持卡人都希望能够方便的通过</w:t>
      </w:r>
      <w:r>
        <w:rPr>
          <w:rFonts w:ascii="Times New Roman" w:hAnsi="Times New Roman" w:cs="Times New Roman" w:eastAsia="Times New Roman" w:hint="default"/>
        </w:rPr>
        <w:t>ATM</w:t>
      </w:r>
      <w:r>
        <w:rPr/>
        <w:t>进行还款，这就需要银行</w:t>
      </w:r>
      <w:r>
        <w:rPr>
          <w:spacing w:val="-39"/>
        </w:rPr>
        <w:t> </w:t>
      </w:r>
      <w:r>
        <w:rPr>
          <w:spacing w:val="-39"/>
        </w:rPr>
      </w:r>
      <w:r>
        <w:rPr>
          <w:spacing w:val="-2"/>
        </w:rPr>
        <w:t>布放更多的存取款一体机。另一方面，银行基于节省人力成本、提高工作效率、增加营业网点、扩展存款业务办理时间等原</w:t>
      </w:r>
      <w:r>
        <w:rPr>
          <w:spacing w:val="-67"/>
        </w:rPr>
        <w:t> </w:t>
      </w:r>
      <w:r>
        <w:rPr>
          <w:spacing w:val="-67"/>
        </w:rPr>
      </w:r>
      <w:r>
        <w:rPr/>
        <w:t>因，对存取款一体机的需求也越来越大。</w:t>
      </w:r>
    </w:p>
    <w:p>
      <w:pPr>
        <w:pStyle w:val="BodyText"/>
        <w:spacing w:line="300" w:lineRule="auto" w:before="24"/>
        <w:ind w:right="206" w:firstLine="360"/>
        <w:jc w:val="both"/>
      </w:pPr>
      <w:r>
        <w:rPr>
          <w:spacing w:val="-1"/>
        </w:rPr>
        <w:t>根据中国人民银行发布的《</w:t>
      </w:r>
      <w:r>
        <w:rPr>
          <w:rFonts w:ascii="Times New Roman" w:hAnsi="Times New Roman" w:cs="Times New Roman" w:eastAsia="Times New Roman" w:hint="default"/>
          <w:spacing w:val="-1"/>
        </w:rPr>
        <w:t>2014</w:t>
      </w:r>
      <w:r>
        <w:rPr>
          <w:spacing w:val="-1"/>
        </w:rPr>
        <w:t>年全年支付体系运行总体情况》报告，截至</w:t>
      </w:r>
      <w:r>
        <w:rPr>
          <w:rFonts w:ascii="Times New Roman" w:hAnsi="Times New Roman" w:cs="Times New Roman" w:eastAsia="Times New Roman" w:hint="default"/>
          <w:spacing w:val="-1"/>
        </w:rPr>
        <w:t>2014</w:t>
      </w:r>
      <w:r>
        <w:rPr>
          <w:spacing w:val="-1"/>
        </w:rPr>
        <w:t>年末，发生银行卡业务</w:t>
      </w:r>
      <w:r>
        <w:rPr>
          <w:rFonts w:ascii="Times New Roman" w:hAnsi="Times New Roman" w:cs="Times New Roman" w:eastAsia="Times New Roman" w:hint="default"/>
          <w:spacing w:val="-1"/>
        </w:rPr>
        <w:t>595.73</w:t>
      </w:r>
      <w:r>
        <w:rPr>
          <w:spacing w:val="-1"/>
        </w:rPr>
        <w:t>亿笔，较</w:t>
      </w:r>
      <w:r>
        <w:rPr/>
        <w:t> 上年增长</w:t>
      </w:r>
      <w:r>
        <w:rPr>
          <w:rFonts w:ascii="Times New Roman" w:hAnsi="Times New Roman" w:cs="Times New Roman" w:eastAsia="Times New Roman" w:hint="default"/>
        </w:rPr>
        <w:t>25.16%</w:t>
      </w:r>
      <w:r>
        <w:rPr/>
        <w:t>，增速加快</w:t>
      </w:r>
      <w:r>
        <w:rPr>
          <w:rFonts w:ascii="Times New Roman" w:hAnsi="Times New Roman" w:cs="Times New Roman" w:eastAsia="Times New Roman" w:hint="default"/>
        </w:rPr>
        <w:t>2.85</w:t>
      </w:r>
      <w:r>
        <w:rPr/>
        <w:t>个百分点；业务金额</w:t>
      </w:r>
      <w:r>
        <w:rPr>
          <w:rFonts w:ascii="Times New Roman" w:hAnsi="Times New Roman" w:cs="Times New Roman" w:eastAsia="Times New Roman" w:hint="default"/>
        </w:rPr>
        <w:t>449.90</w:t>
      </w:r>
      <w:r>
        <w:rPr/>
        <w:t>万亿元，较上年增长</w:t>
      </w:r>
      <w:r>
        <w:rPr>
          <w:rFonts w:ascii="Times New Roman" w:hAnsi="Times New Roman" w:cs="Times New Roman" w:eastAsia="Times New Roman" w:hint="default"/>
        </w:rPr>
        <w:t>6.27%</w:t>
      </w:r>
      <w:r>
        <w:rPr/>
        <w:t>。其中，银行卡存现</w:t>
      </w:r>
      <w:r>
        <w:rPr>
          <w:rFonts w:ascii="Times New Roman" w:hAnsi="Times New Roman" w:cs="Times New Roman" w:eastAsia="Times New Roman" w:hint="default"/>
        </w:rPr>
        <w:t>87.90</w:t>
      </w:r>
      <w:r>
        <w:rPr/>
        <w:t>亿笔，金额</w:t>
      </w:r>
      <w:r>
        <w:rPr>
          <w:spacing w:val="-78"/>
        </w:rPr>
        <w:t> </w:t>
      </w:r>
      <w:r>
        <w:rPr>
          <w:rFonts w:ascii="Times New Roman" w:hAnsi="Times New Roman" w:cs="Times New Roman" w:eastAsia="Times New Roman" w:hint="default"/>
        </w:rPr>
        <w:t>70.64</w:t>
      </w:r>
      <w:r>
        <w:rPr/>
        <w:t>万亿元，较上年分别增长</w:t>
      </w:r>
      <w:r>
        <w:rPr>
          <w:rFonts w:ascii="Times New Roman" w:hAnsi="Times New Roman" w:cs="Times New Roman" w:eastAsia="Times New Roman" w:hint="default"/>
        </w:rPr>
        <w:t>10.68%</w:t>
      </w:r>
      <w:r>
        <w:rPr/>
        <w:t>和</w:t>
      </w:r>
      <w:r>
        <w:rPr>
          <w:rFonts w:ascii="Times New Roman" w:hAnsi="Times New Roman" w:cs="Times New Roman" w:eastAsia="Times New Roman" w:hint="default"/>
        </w:rPr>
        <w:t>6.05%</w:t>
      </w:r>
      <w:r>
        <w:rPr/>
        <w:t>；取现</w:t>
      </w:r>
      <w:r>
        <w:rPr>
          <w:rFonts w:ascii="Times New Roman" w:hAnsi="Times New Roman" w:cs="Times New Roman" w:eastAsia="Times New Roman" w:hint="default"/>
        </w:rPr>
        <w:t>199.11</w:t>
      </w:r>
      <w:r>
        <w:rPr/>
        <w:t>亿笔，金额</w:t>
      </w:r>
      <w:r>
        <w:rPr>
          <w:rFonts w:ascii="Times New Roman" w:hAnsi="Times New Roman" w:cs="Times New Roman" w:eastAsia="Times New Roman" w:hint="default"/>
        </w:rPr>
        <w:t>74.41</w:t>
      </w:r>
      <w:r>
        <w:rPr/>
        <w:t>万亿元，同比分别增长</w:t>
      </w:r>
      <w:r>
        <w:rPr>
          <w:rFonts w:ascii="Times New Roman" w:hAnsi="Times New Roman" w:cs="Times New Roman" w:eastAsia="Times New Roman" w:hint="default"/>
        </w:rPr>
        <w:t>9.90%</w:t>
      </w:r>
      <w:r>
        <w:rPr/>
        <w:t>和</w:t>
      </w:r>
      <w:r>
        <w:rPr>
          <w:rFonts w:ascii="Times New Roman" w:hAnsi="Times New Roman" w:cs="Times New Roman" w:eastAsia="Times New Roman" w:hint="default"/>
        </w:rPr>
        <w:t>5.10%</w:t>
      </w:r>
      <w:r>
        <w:rPr/>
        <w:t>。随着银</w:t>
      </w:r>
      <w:r>
        <w:rPr>
          <w:spacing w:val="-19"/>
        </w:rPr>
        <w:t> </w:t>
      </w:r>
      <w:r>
        <w:rPr/>
        <w:t>行卡存取现业务持续增长，</w:t>
      </w:r>
      <w:r>
        <w:rPr>
          <w:rFonts w:ascii="Times New Roman" w:hAnsi="Times New Roman" w:cs="Times New Roman" w:eastAsia="Times New Roman" w:hint="default"/>
        </w:rPr>
        <w:t>ATM</w:t>
      </w:r>
      <w:r>
        <w:rPr/>
        <w:t>存取款一体机的市场需求日益增强。</w:t>
      </w:r>
    </w:p>
    <w:p>
      <w:pPr>
        <w:pStyle w:val="BodyText"/>
        <w:spacing w:line="300" w:lineRule="auto" w:before="13"/>
        <w:ind w:left="513" w:right="114"/>
        <w:jc w:val="left"/>
      </w:pPr>
      <w:r>
        <w:rPr>
          <w:rFonts w:ascii="Times New Roman" w:hAnsi="Times New Roman" w:cs="Times New Roman" w:eastAsia="Times New Roman" w:hint="default"/>
        </w:rPr>
        <w:t>4</w:t>
      </w:r>
      <w:r>
        <w:rPr/>
        <w:t>、金融安全的发展，使得</w:t>
      </w:r>
      <w:r>
        <w:rPr>
          <w:rFonts w:ascii="Times New Roman" w:hAnsi="Times New Roman" w:cs="Times New Roman" w:eastAsia="Times New Roman" w:hint="default"/>
        </w:rPr>
        <w:t>ATM</w:t>
      </w:r>
      <w:r>
        <w:rPr/>
        <w:t>国产化趋势进一步凸显 </w:t>
      </w:r>
      <w:r>
        <w:rPr>
          <w:spacing w:val="-2"/>
        </w:rPr>
        <w:t>在金融信息系统日益发展，信息集中化及规模化扩大的趋势下，金融业对信息化处理的依赖性不断增加，金融信息化系</w:t>
      </w:r>
    </w:p>
    <w:p>
      <w:pPr>
        <w:pStyle w:val="BodyText"/>
        <w:spacing w:line="304" w:lineRule="auto" w:before="31"/>
        <w:ind w:right="114"/>
        <w:jc w:val="left"/>
      </w:pPr>
      <w:r>
        <w:rPr/>
        <w:t>统安全的重要性更加凸显。</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月，银监会发布加强银行业网络安全和信息化建设的</w:t>
      </w:r>
      <w:r>
        <w:rPr>
          <w:rFonts w:ascii="Times New Roman" w:hAnsi="Times New Roman" w:cs="Times New Roman" w:eastAsia="Times New Roman" w:hint="default"/>
        </w:rPr>
        <w:t>39</w:t>
      </w:r>
      <w:r>
        <w:rPr/>
        <w:t>号文件，明确要求到</w:t>
      </w:r>
      <w:r>
        <w:rPr>
          <w:rFonts w:ascii="Times New Roman" w:hAnsi="Times New Roman" w:cs="Times New Roman" w:eastAsia="Times New Roman" w:hint="default"/>
        </w:rPr>
        <w:t>2019</w:t>
      </w:r>
      <w:r>
        <w:rPr/>
        <w:t>年银行</w:t>
      </w:r>
      <w:r>
        <w:rPr>
          <w:spacing w:val="-85"/>
        </w:rPr>
        <w:t> </w:t>
      </w:r>
      <w:r>
        <w:rPr>
          <w:spacing w:val="-85"/>
        </w:rPr>
      </w:r>
      <w:r>
        <w:rPr/>
        <w:t>业金融机构对安全可控信息技术的应用不低于</w:t>
      </w:r>
      <w:r>
        <w:rPr>
          <w:rFonts w:ascii="Times New Roman" w:hAnsi="Times New Roman" w:cs="Times New Roman" w:eastAsia="Times New Roman" w:hint="default"/>
        </w:rPr>
        <w:t>75%</w:t>
      </w:r>
      <w:r>
        <w:rPr/>
        <w:t>的总体占比。</w:t>
      </w:r>
      <w:r>
        <w:rPr>
          <w:rFonts w:ascii="Times New Roman" w:hAnsi="Times New Roman" w:cs="Times New Roman" w:eastAsia="Times New Roman" w:hint="default"/>
        </w:rPr>
        <w:t>2014</w:t>
      </w:r>
      <w:r>
        <w:rPr/>
        <w:t>年，银监会还发布了银行业应用安全可控信息技术推进 </w:t>
      </w:r>
      <w:r>
        <w:rPr>
          <w:spacing w:val="-2"/>
        </w:rPr>
        <w:t>指南的</w:t>
      </w:r>
      <w:r>
        <w:rPr>
          <w:rFonts w:ascii="Times New Roman" w:hAnsi="Times New Roman" w:cs="Times New Roman" w:eastAsia="Times New Roman" w:hint="default"/>
          <w:spacing w:val="-2"/>
        </w:rPr>
        <w:t>317</w:t>
      </w:r>
      <w:r>
        <w:rPr>
          <w:spacing w:val="-2"/>
        </w:rPr>
        <w:t>号文。信息安全成为金融行业市场发展的硬指标。国产品牌在</w:t>
      </w:r>
      <w:r>
        <w:rPr>
          <w:rFonts w:ascii="Times New Roman" w:hAnsi="Times New Roman" w:cs="Times New Roman" w:eastAsia="Times New Roman" w:hint="default"/>
          <w:spacing w:val="-2"/>
        </w:rPr>
        <w:t>2014</w:t>
      </w:r>
      <w:r>
        <w:rPr>
          <w:spacing w:val="-2"/>
        </w:rPr>
        <w:t>年发展迅速，相比</w:t>
      </w:r>
      <w:r>
        <w:rPr>
          <w:rFonts w:ascii="Times New Roman" w:hAnsi="Times New Roman" w:cs="Times New Roman" w:eastAsia="Times New Roman" w:hint="default"/>
          <w:spacing w:val="-2"/>
        </w:rPr>
        <w:t>2013</w:t>
      </w:r>
      <w:r>
        <w:rPr>
          <w:spacing w:val="-2"/>
        </w:rPr>
        <w:t>年都有较为明显的增幅。</w:t>
      </w:r>
      <w:r>
        <w:rPr>
          <w:spacing w:val="-56"/>
        </w:rPr>
        <w:t> </w:t>
      </w:r>
      <w:r>
        <w:rPr>
          <w:spacing w:val="-56"/>
        </w:rPr>
      </w:r>
      <w:r>
        <w:rPr>
          <w:spacing w:val="-2"/>
        </w:rPr>
        <w:t>预计在国家逐渐重视金融信息安全，相关政策陆续出台的环境下，国产化替代进一步扩大，本土金融企业未来有望迎来批量</w:t>
      </w:r>
      <w:r>
        <w:rPr>
          <w:spacing w:val="-63"/>
        </w:rPr>
        <w:t> </w:t>
      </w:r>
      <w:r>
        <w:rPr>
          <w:spacing w:val="-63"/>
        </w:rPr>
      </w:r>
      <w:r>
        <w:rPr/>
        <w:t>爆发增长。</w:t>
      </w:r>
    </w:p>
    <w:p>
      <w:pPr>
        <w:pStyle w:val="BodyText"/>
        <w:spacing w:line="300" w:lineRule="auto" w:before="28"/>
        <w:ind w:left="513" w:right="205"/>
        <w:jc w:val="left"/>
      </w:pPr>
      <w:r>
        <w:rPr>
          <w:rFonts w:ascii="Times New Roman" w:hAnsi="Times New Roman" w:cs="Times New Roman" w:eastAsia="Times New Roman" w:hint="default"/>
        </w:rPr>
        <w:t>5</w:t>
      </w:r>
      <w:r>
        <w:rPr/>
        <w:t>、农村自助设备采购快速增长，村镇</w:t>
      </w:r>
      <w:r>
        <w:rPr>
          <w:rFonts w:ascii="Times New Roman" w:hAnsi="Times New Roman" w:cs="Times New Roman" w:eastAsia="Times New Roman" w:hint="default"/>
        </w:rPr>
        <w:t>ATM</w:t>
      </w:r>
      <w:r>
        <w:rPr/>
        <w:t>蓝海市场显现 根据中国银行业协会在京发布《</w:t>
      </w:r>
      <w:r>
        <w:rPr>
          <w:rFonts w:ascii="Times New Roman" w:hAnsi="Times New Roman" w:cs="Times New Roman" w:eastAsia="Times New Roman" w:hint="default"/>
        </w:rPr>
        <w:t>2014</w:t>
      </w:r>
      <w:r>
        <w:rPr/>
        <w:t>年度中国银行业服务改进情况报告》显示，截至</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年末，我国银行业金融机构</w:t>
      </w:r>
    </w:p>
    <w:p>
      <w:pPr>
        <w:pStyle w:val="BodyText"/>
        <w:spacing w:line="302" w:lineRule="auto" w:before="13"/>
        <w:ind w:right="208"/>
        <w:jc w:val="both"/>
      </w:pPr>
      <w:r>
        <w:rPr/>
        <w:t>网点总数达到 </w:t>
      </w:r>
      <w:r>
        <w:rPr>
          <w:rFonts w:ascii="Times New Roman" w:hAnsi="Times New Roman" w:cs="Times New Roman" w:eastAsia="Times New Roman" w:hint="default"/>
        </w:rPr>
        <w:t>21.71 </w:t>
      </w:r>
      <w:r>
        <w:rPr>
          <w:spacing w:val="-3"/>
        </w:rPr>
        <w:t>万个，新增营业网点 </w:t>
      </w:r>
      <w:r>
        <w:rPr>
          <w:rFonts w:ascii="Times New Roman" w:hAnsi="Times New Roman" w:cs="Times New Roman" w:eastAsia="Times New Roman" w:hint="default"/>
        </w:rPr>
        <w:t>6800 </w:t>
      </w:r>
      <w:r>
        <w:rPr>
          <w:spacing w:val="-4"/>
        </w:rPr>
        <w:t>多个，在全国</w:t>
      </w:r>
      <w:r>
        <w:rPr>
          <w:rFonts w:ascii="Times New Roman" w:hAnsi="Times New Roman" w:cs="Times New Roman" w:eastAsia="Times New Roman" w:hint="default"/>
          <w:spacing w:val="-4"/>
        </w:rPr>
        <w:t>49 </w:t>
      </w:r>
      <w:r>
        <w:rPr/>
        <w:t>个金融机构空白乡镇、</w:t>
      </w:r>
      <w:r>
        <w:rPr>
          <w:rFonts w:ascii="Times New Roman" w:hAnsi="Times New Roman" w:cs="Times New Roman" w:eastAsia="Times New Roman" w:hint="default"/>
        </w:rPr>
        <w:t>2308 </w:t>
      </w:r>
      <w:r>
        <w:rPr/>
        <w:t>个城镇社区和 </w:t>
      </w:r>
      <w:r>
        <w:rPr>
          <w:rFonts w:ascii="Times New Roman" w:hAnsi="Times New Roman" w:cs="Times New Roman" w:eastAsia="Times New Roman" w:hint="default"/>
        </w:rPr>
        <w:t>318</w:t>
      </w:r>
      <w:r>
        <w:rPr>
          <w:rFonts w:ascii="Times New Roman" w:hAnsi="Times New Roman" w:cs="Times New Roman" w:eastAsia="Times New Roman" w:hint="default"/>
          <w:spacing w:val="28"/>
        </w:rPr>
        <w:t> </w:t>
      </w:r>
      <w:r>
        <w:rPr/>
        <w:t>个小微企业 </w:t>
      </w:r>
      <w:r>
        <w:rPr>
          <w:spacing w:val="-2"/>
        </w:rPr>
        <w:t>集中地区均增设了银行网点。</w:t>
      </w:r>
      <w:r>
        <w:rPr>
          <w:rFonts w:ascii="Times New Roman" w:hAnsi="Times New Roman" w:cs="Times New Roman" w:eastAsia="Times New Roman" w:hint="default"/>
          <w:spacing w:val="-2"/>
        </w:rPr>
        <w:t>50</w:t>
      </w:r>
      <w:r>
        <w:rPr>
          <w:spacing w:val="-2"/>
        </w:rPr>
        <w:t>多万个行政村实现了基础金融服务全覆盖，有效形成覆盖城乡、服务多元、方便快捷的网点</w:t>
      </w:r>
      <w:r>
        <w:rPr>
          <w:spacing w:val="-62"/>
        </w:rPr>
        <w:t> </w:t>
      </w:r>
      <w:r>
        <w:rPr>
          <w:spacing w:val="-62"/>
        </w:rPr>
      </w:r>
      <w:r>
        <w:rPr>
          <w:spacing w:val="-2"/>
        </w:rPr>
        <w:t>布局体系。随着村镇及社区银行网点规模的不断扩大，受理网络加速向中小城市、中小商户和广大农村地区延伸，根据《金</w:t>
      </w:r>
      <w:r>
        <w:rPr>
          <w:spacing w:val="-67"/>
        </w:rPr>
        <w:t> </w:t>
      </w:r>
      <w:r>
        <w:rPr>
          <w:spacing w:val="-67"/>
        </w:rPr>
      </w:r>
      <w:r>
        <w:rPr/>
        <w:t>融时报》发布的《稳健发展</w:t>
      </w:r>
      <w:r>
        <w:rPr>
          <w:rFonts w:ascii="Times New Roman" w:hAnsi="Times New Roman" w:cs="Times New Roman" w:eastAsia="Times New Roman" w:hint="default"/>
        </w:rPr>
        <w:t>•</w:t>
      </w:r>
      <w:r>
        <w:rPr/>
        <w:t>转型加快</w:t>
      </w:r>
      <w:r>
        <w:rPr>
          <w:rFonts w:ascii="Times New Roman" w:hAnsi="Times New Roman" w:cs="Times New Roman" w:eastAsia="Times New Roman" w:hint="default"/>
        </w:rPr>
        <w:t>——</w:t>
      </w:r>
      <w:r>
        <w:rPr>
          <w:rFonts w:ascii="Times New Roman" w:hAnsi="Times New Roman" w:cs="Times New Roman" w:eastAsia="Times New Roman" w:hint="default"/>
        </w:rPr>
        <w:t>2014</w:t>
      </w:r>
      <w:r>
        <w:rPr/>
        <w:t>年中国</w:t>
      </w:r>
      <w:r>
        <w:rPr>
          <w:rFonts w:ascii="Times New Roman" w:hAnsi="Times New Roman" w:cs="Times New Roman" w:eastAsia="Times New Roman" w:hint="default"/>
        </w:rPr>
        <w:t>ATM</w:t>
      </w:r>
      <w:r>
        <w:rPr/>
        <w:t>市场述评》</w:t>
      </w:r>
      <w:r>
        <w:rPr>
          <w:spacing w:val="-35"/>
        </w:rPr>
        <w:t> </w:t>
      </w:r>
      <w:r>
        <w:rPr>
          <w:spacing w:val="-3"/>
        </w:rPr>
        <w:t>显示：各大国有银行、股份制银行、城商行、农商农</w:t>
      </w:r>
      <w:r>
        <w:rPr/>
        <w:t> </w:t>
      </w:r>
      <w:r>
        <w:rPr>
          <w:spacing w:val="-1"/>
        </w:rPr>
        <w:t>信等金融机构购买</w:t>
      </w:r>
      <w:r>
        <w:rPr>
          <w:rFonts w:ascii="Times New Roman" w:hAnsi="Times New Roman" w:cs="Times New Roman" w:eastAsia="Times New Roman" w:hint="default"/>
          <w:spacing w:val="-1"/>
        </w:rPr>
        <w:t>ATM</w:t>
      </w:r>
      <w:r>
        <w:rPr>
          <w:spacing w:val="-1"/>
        </w:rPr>
        <w:t>设备共约</w:t>
      </w:r>
      <w:r>
        <w:rPr>
          <w:rFonts w:ascii="Times New Roman" w:hAnsi="Times New Roman" w:cs="Times New Roman" w:eastAsia="Times New Roman" w:hint="default"/>
          <w:spacing w:val="-1"/>
        </w:rPr>
        <w:t>9.72</w:t>
      </w:r>
      <w:r>
        <w:rPr>
          <w:spacing w:val="-1"/>
        </w:rPr>
        <w:t>万台，较</w:t>
      </w:r>
      <w:r>
        <w:rPr>
          <w:rFonts w:ascii="Times New Roman" w:hAnsi="Times New Roman" w:cs="Times New Roman" w:eastAsia="Times New Roman" w:hint="default"/>
          <w:spacing w:val="-1"/>
        </w:rPr>
        <w:t>2013</w:t>
      </w:r>
      <w:r>
        <w:rPr>
          <w:spacing w:val="-1"/>
        </w:rPr>
        <w:t>年的约</w:t>
      </w:r>
      <w:r>
        <w:rPr>
          <w:rFonts w:ascii="Times New Roman" w:hAnsi="Times New Roman" w:cs="Times New Roman" w:eastAsia="Times New Roman" w:hint="default"/>
          <w:spacing w:val="-1"/>
        </w:rPr>
        <w:t>8.56</w:t>
      </w:r>
      <w:r>
        <w:rPr>
          <w:spacing w:val="-1"/>
        </w:rPr>
        <w:t>万台增加了约</w:t>
      </w:r>
      <w:r>
        <w:rPr>
          <w:rFonts w:ascii="Times New Roman" w:hAnsi="Times New Roman" w:cs="Times New Roman" w:eastAsia="Times New Roman" w:hint="default"/>
          <w:spacing w:val="-1"/>
        </w:rPr>
        <w:t>13.45%</w:t>
      </w:r>
      <w:r>
        <w:rPr>
          <w:spacing w:val="-1"/>
        </w:rPr>
        <w:t>，其中：农信农商系统、邮储等泛农金融</w:t>
      </w:r>
      <w:r>
        <w:rPr>
          <w:spacing w:val="-80"/>
        </w:rPr>
        <w:t> </w:t>
      </w:r>
      <w:r>
        <w:rPr>
          <w:spacing w:val="-80"/>
        </w:rPr>
      </w:r>
      <w:r>
        <w:rPr>
          <w:spacing w:val="-2"/>
        </w:rPr>
        <w:t>机构在自助渠道建设上则继续保持了高速增长的态势，各大农信及农商银行以约</w:t>
      </w:r>
      <w:r>
        <w:rPr>
          <w:rFonts w:ascii="Times New Roman" w:hAnsi="Times New Roman" w:cs="Times New Roman" w:eastAsia="Times New Roman" w:hint="default"/>
          <w:spacing w:val="-2"/>
        </w:rPr>
        <w:t>22,680</w:t>
      </w:r>
      <w:r>
        <w:rPr>
          <w:spacing w:val="-2"/>
        </w:rPr>
        <w:t>台的采购量，占据</w:t>
      </w:r>
      <w:r>
        <w:rPr>
          <w:rFonts w:ascii="Times New Roman" w:hAnsi="Times New Roman" w:cs="Times New Roman" w:eastAsia="Times New Roman" w:hint="default"/>
          <w:spacing w:val="-2"/>
        </w:rPr>
        <w:t>2014</w:t>
      </w:r>
      <w:r>
        <w:rPr>
          <w:spacing w:val="-2"/>
        </w:rPr>
        <w:t>年中国</w:t>
      </w:r>
      <w:r>
        <w:rPr>
          <w:rFonts w:ascii="Times New Roman" w:hAnsi="Times New Roman" w:cs="Times New Roman" w:eastAsia="Times New Roman" w:hint="default"/>
          <w:spacing w:val="-2"/>
        </w:rPr>
        <w:t>ATM</w:t>
      </w:r>
      <w:r>
        <w:rPr>
          <w:spacing w:val="-2"/>
        </w:rPr>
        <w:t>市</w:t>
      </w:r>
      <w:r>
        <w:rPr>
          <w:spacing w:val="-52"/>
        </w:rPr>
        <w:t> </w:t>
      </w:r>
      <w:r>
        <w:rPr>
          <w:spacing w:val="-1"/>
        </w:rPr>
        <w:t>场约</w:t>
      </w:r>
      <w:r>
        <w:rPr>
          <w:rFonts w:ascii="Times New Roman" w:hAnsi="Times New Roman" w:cs="Times New Roman" w:eastAsia="Times New Roman" w:hint="default"/>
          <w:spacing w:val="-1"/>
        </w:rPr>
        <w:t>23.35%</w:t>
      </w:r>
      <w:r>
        <w:rPr>
          <w:spacing w:val="-1"/>
        </w:rPr>
        <w:t>的采购份额；邮储银行约</w:t>
      </w:r>
      <w:r>
        <w:rPr>
          <w:rFonts w:ascii="Times New Roman" w:hAnsi="Times New Roman" w:cs="Times New Roman" w:eastAsia="Times New Roman" w:hint="default"/>
          <w:spacing w:val="-1"/>
        </w:rPr>
        <w:t>10.09%</w:t>
      </w:r>
      <w:r>
        <w:rPr>
          <w:spacing w:val="-1"/>
        </w:rPr>
        <w:t>的采购占比，比</w:t>
      </w:r>
      <w:r>
        <w:rPr>
          <w:rFonts w:ascii="Times New Roman" w:hAnsi="Times New Roman" w:cs="Times New Roman" w:eastAsia="Times New Roman" w:hint="default"/>
          <w:spacing w:val="-1"/>
        </w:rPr>
        <w:t>2013</w:t>
      </w:r>
      <w:r>
        <w:rPr>
          <w:spacing w:val="-1"/>
        </w:rPr>
        <w:t>年约</w:t>
      </w:r>
      <w:r>
        <w:rPr>
          <w:rFonts w:ascii="Times New Roman" w:hAnsi="Times New Roman" w:cs="Times New Roman" w:eastAsia="Times New Roman" w:hint="default"/>
          <w:spacing w:val="-1"/>
        </w:rPr>
        <w:t>4.64%</w:t>
      </w:r>
      <w:r>
        <w:rPr>
          <w:spacing w:val="-1"/>
        </w:rPr>
        <w:t>翻了一倍以上。随着国家政策的推动和普惠金融</w:t>
      </w:r>
      <w:r>
        <w:rPr>
          <w:spacing w:val="-69"/>
        </w:rPr>
        <w:t> </w:t>
      </w:r>
      <w:r>
        <w:rPr>
          <w:spacing w:val="-69"/>
        </w:rPr>
      </w:r>
      <w:r>
        <w:rPr/>
        <w:t>的发展，未来几年农村市场在自助设备的投入将会不断加大，设备占比同时也会不断增大。</w:t>
      </w:r>
    </w:p>
    <w:p>
      <w:pPr>
        <w:pStyle w:val="BodyText"/>
        <w:spacing w:line="240" w:lineRule="auto" w:before="30"/>
        <w:ind w:left="513" w:right="114"/>
        <w:jc w:val="left"/>
      </w:pPr>
      <w:r>
        <w:rPr>
          <w:rFonts w:ascii="Times New Roman" w:hAnsi="Times New Roman" w:cs="Times New Roman" w:eastAsia="Times New Roman" w:hint="default"/>
        </w:rPr>
        <w:t>6</w:t>
      </w:r>
      <w:r>
        <w:rPr/>
        <w:t>、清分机、</w:t>
      </w:r>
      <w:r>
        <w:rPr>
          <w:rFonts w:ascii="Times New Roman" w:hAnsi="Times New Roman" w:cs="Times New Roman" w:eastAsia="Times New Roman" w:hint="default"/>
        </w:rPr>
        <w:t>VTM</w:t>
      </w:r>
      <w:r>
        <w:rPr/>
        <w:t>机的市场发展趋势</w:t>
      </w:r>
    </w:p>
    <w:p>
      <w:pPr>
        <w:pStyle w:val="BodyText"/>
        <w:spacing w:line="307" w:lineRule="auto" w:before="63"/>
        <w:ind w:right="114" w:firstLine="360"/>
        <w:jc w:val="left"/>
      </w:pPr>
      <w:r>
        <w:rPr/>
        <w:t>（</w:t>
      </w:r>
      <w:r>
        <w:rPr>
          <w:rFonts w:ascii="Times New Roman" w:hAnsi="Times New Roman" w:cs="Times New Roman" w:eastAsia="Times New Roman" w:hint="default"/>
        </w:rPr>
        <w:t>1</w:t>
      </w:r>
      <w:r>
        <w:rPr/>
        <w:t>）清分机：国家为提高人民币形象，促进与国际货币接轨，中国人民银行越来越重视对流通中人民币票面整洁标准 </w:t>
      </w:r>
      <w:r>
        <w:rPr>
          <w:spacing w:val="-2"/>
        </w:rPr>
        <w:t>的要求，加上近年来人民币假钞猖獗，人行要求</w:t>
      </w:r>
      <w:r>
        <w:rPr>
          <w:rFonts w:ascii="Times New Roman" w:hAnsi="Times New Roman" w:cs="Times New Roman" w:eastAsia="Times New Roman" w:hint="default"/>
          <w:spacing w:val="-2"/>
        </w:rPr>
        <w:t>2015</w:t>
      </w:r>
      <w:r>
        <w:rPr>
          <w:spacing w:val="-2"/>
        </w:rPr>
        <w:t>年底前各商业银行要实现现金全额清分，并实现</w:t>
      </w:r>
      <w:r>
        <w:rPr>
          <w:rFonts w:ascii="Times New Roman" w:hAnsi="Times New Roman" w:cs="Times New Roman" w:eastAsia="Times New Roman" w:hint="default"/>
          <w:spacing w:val="-2"/>
        </w:rPr>
        <w:t>50</w:t>
      </w:r>
      <w:r>
        <w:rPr>
          <w:spacing w:val="-2"/>
        </w:rPr>
        <w:t>元及以上面额钞票冠</w:t>
      </w:r>
      <w:r>
        <w:rPr>
          <w:spacing w:val="-58"/>
        </w:rPr>
        <w:t> </w:t>
      </w:r>
      <w:r>
        <w:rPr>
          <w:spacing w:val="-58"/>
        </w:rPr>
      </w:r>
      <w:r>
        <w:rPr/>
        <w:t>字号全记录，这样不仅要求所有商业银行在后台配备钞票处理用清分机，在前台也需要配置用于面向客户的小型清分设备。 从而推动了现金清分机在中国市场的广大前景。</w:t>
      </w:r>
    </w:p>
    <w:p>
      <w:pPr>
        <w:pStyle w:val="BodyText"/>
        <w:spacing w:line="300" w:lineRule="auto" w:before="26"/>
        <w:ind w:right="214" w:firstLine="360"/>
        <w:jc w:val="both"/>
      </w:pPr>
      <w:r>
        <w:rPr>
          <w:spacing w:val="-1"/>
        </w:rPr>
        <w:t>（</w:t>
      </w: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VTM</w:t>
      </w:r>
      <w:r>
        <w:rPr>
          <w:spacing w:val="-1"/>
        </w:rPr>
        <w:t>机：</w:t>
      </w:r>
      <w:r>
        <w:rPr>
          <w:rFonts w:ascii="Times New Roman" w:hAnsi="Times New Roman" w:cs="Times New Roman" w:eastAsia="Times New Roman" w:hint="default"/>
          <w:spacing w:val="-1"/>
        </w:rPr>
        <w:t>2014</w:t>
      </w:r>
      <w:r>
        <w:rPr>
          <w:spacing w:val="-1"/>
        </w:rPr>
        <w:t>年智慧银行出现井喷式的发展，各大银行纷纷推出符合自身特色的智慧银行。其中，国有大型银行</w:t>
      </w:r>
      <w:r>
        <w:rPr/>
        <w:t> </w:t>
      </w:r>
      <w:r>
        <w:rPr>
          <w:spacing w:val="-2"/>
        </w:rPr>
        <w:t>在</w:t>
      </w:r>
      <w:r>
        <w:rPr>
          <w:rFonts w:ascii="Times New Roman" w:hAnsi="Times New Roman" w:cs="Times New Roman" w:eastAsia="Times New Roman" w:hint="default"/>
          <w:spacing w:val="-2"/>
        </w:rPr>
        <w:t>2014</w:t>
      </w:r>
      <w:r>
        <w:rPr>
          <w:spacing w:val="-2"/>
        </w:rPr>
        <w:t>年先后完成了智慧银行的布局，主要以旗舰店的模式为主，提升客户体验，彰显大行地位；股份制商业银行，在智慧</w:t>
      </w:r>
    </w:p>
    <w:p>
      <w:pPr>
        <w:spacing w:after="0" w:line="300" w:lineRule="auto"/>
        <w:jc w:val="both"/>
        <w:sectPr>
          <w:pgSz w:w="11910" w:h="16840"/>
          <w:pgMar w:header="745" w:footer="980" w:top="1060" w:bottom="1160" w:left="980" w:right="920"/>
        </w:sectPr>
      </w:pPr>
    </w:p>
    <w:p>
      <w:pPr>
        <w:spacing w:line="240" w:lineRule="auto" w:before="9"/>
        <w:rPr>
          <w:rFonts w:ascii="宋体" w:hAnsi="宋体" w:cs="宋体" w:eastAsia="宋体" w:hint="default"/>
          <w:sz w:val="25"/>
          <w:szCs w:val="25"/>
        </w:rPr>
      </w:pPr>
    </w:p>
    <w:p>
      <w:pPr>
        <w:pStyle w:val="BodyText"/>
        <w:spacing w:line="319" w:lineRule="auto" w:before="44"/>
        <w:ind w:right="191"/>
        <w:jc w:val="both"/>
      </w:pPr>
      <w:r>
        <w:rPr>
          <w:spacing w:val="-2"/>
        </w:rPr>
        <w:t>银行的建设上主要通过智能化设备的应用，提供个性化和多元化金融社区服务；对于区域性银行、城商行及农商行，则更多</w:t>
      </w:r>
      <w:r>
        <w:rPr>
          <w:spacing w:val="-64"/>
        </w:rPr>
        <w:t> </w:t>
      </w:r>
      <w:r>
        <w:rPr>
          <w:spacing w:val="-64"/>
        </w:rPr>
      </w:r>
      <w:r>
        <w:rPr/>
        <w:t>通过智慧银行的设立增加客户忠诚度。预计</w:t>
      </w:r>
      <w:r>
        <w:rPr>
          <w:rFonts w:ascii="Times New Roman" w:hAnsi="Times New Roman" w:cs="Times New Roman" w:eastAsia="Times New Roman" w:hint="default"/>
        </w:rPr>
        <w:t>2015</w:t>
      </w:r>
      <w:r>
        <w:rPr/>
        <w:t>年我国</w:t>
      </w:r>
      <w:r>
        <w:rPr>
          <w:rFonts w:ascii="Times New Roman" w:hAnsi="Times New Roman" w:cs="Times New Roman" w:eastAsia="Times New Roman" w:hint="default"/>
        </w:rPr>
        <w:t>VTM</w:t>
      </w:r>
      <w:r>
        <w:rPr/>
        <w:t>市场将进一步高速发展，继续推动银行的智慧转型和升级。</w:t>
      </w:r>
    </w:p>
    <w:p>
      <w:pPr>
        <w:spacing w:line="240" w:lineRule="auto" w:before="8"/>
        <w:rPr>
          <w:rFonts w:ascii="宋体" w:hAnsi="宋体" w:cs="宋体" w:eastAsia="宋体" w:hint="default"/>
          <w:sz w:val="23"/>
          <w:szCs w:val="23"/>
        </w:rPr>
      </w:pPr>
    </w:p>
    <w:p>
      <w:pPr>
        <w:pStyle w:val="BodyText"/>
        <w:spacing w:line="300" w:lineRule="auto"/>
        <w:ind w:left="513" w:right="94"/>
        <w:jc w:val="left"/>
      </w:pPr>
      <w:r>
        <w:rPr>
          <w:rFonts w:ascii="宋体" w:hAnsi="宋体" w:cs="宋体" w:eastAsia="宋体" w:hint="default"/>
          <w:b/>
          <w:bCs/>
        </w:rPr>
        <w:t>（二）</w:t>
      </w:r>
      <w:r>
        <w:rPr>
          <w:rFonts w:ascii="Times New Roman" w:hAnsi="Times New Roman" w:cs="Times New Roman" w:eastAsia="Times New Roman" w:hint="default"/>
          <w:b/>
          <w:bCs/>
        </w:rPr>
        <w:t>ATM</w:t>
      </w:r>
      <w:r>
        <w:rPr>
          <w:rFonts w:ascii="宋体" w:hAnsi="宋体" w:cs="宋体" w:eastAsia="宋体" w:hint="default"/>
          <w:b/>
          <w:bCs/>
        </w:rPr>
        <w:t>行业竞争格局</w:t>
      </w:r>
      <w:r>
        <w:rPr>
          <w:rFonts w:ascii="宋体" w:hAnsi="宋体" w:cs="宋体" w:eastAsia="宋体" w:hint="default"/>
          <w:b/>
          <w:bCs/>
          <w:w w:val="99"/>
        </w:rPr>
        <w:t> </w:t>
      </w:r>
      <w:r>
        <w:rPr>
          <w:spacing w:val="-1"/>
        </w:rPr>
        <w:t>由于银行对</w:t>
      </w:r>
      <w:r>
        <w:rPr>
          <w:rFonts w:ascii="Times New Roman" w:hAnsi="Times New Roman" w:cs="Times New Roman" w:eastAsia="Times New Roman" w:hint="default"/>
          <w:spacing w:val="-1"/>
        </w:rPr>
        <w:t>ATM</w:t>
      </w:r>
      <w:r>
        <w:rPr>
          <w:spacing w:val="-1"/>
        </w:rPr>
        <w:t>的安全性、稳定性和品牌有着十分严格的要求，使得</w:t>
      </w:r>
      <w:r>
        <w:rPr>
          <w:rFonts w:ascii="Times New Roman" w:hAnsi="Times New Roman" w:cs="Times New Roman" w:eastAsia="Times New Roman" w:hint="default"/>
          <w:spacing w:val="-1"/>
        </w:rPr>
        <w:t>ATM</w:t>
      </w:r>
      <w:r>
        <w:rPr>
          <w:spacing w:val="-1"/>
        </w:rPr>
        <w:t>市场进入壁垒较高。近年来，中国</w:t>
      </w:r>
      <w:r>
        <w:rPr>
          <w:rFonts w:ascii="Times New Roman" w:hAnsi="Times New Roman" w:cs="Times New Roman" w:eastAsia="Times New Roman" w:hint="default"/>
          <w:spacing w:val="-1"/>
        </w:rPr>
        <w:t>ATM</w:t>
      </w:r>
      <w:r>
        <w:rPr>
          <w:spacing w:val="-1"/>
        </w:rPr>
        <w:t>行业</w:t>
      </w:r>
    </w:p>
    <w:p>
      <w:pPr>
        <w:pStyle w:val="BodyText"/>
        <w:spacing w:line="300" w:lineRule="auto" w:before="13"/>
        <w:ind w:right="189"/>
        <w:jc w:val="both"/>
      </w:pPr>
      <w:r>
        <w:rPr/>
        <w:t>的竞争格局基本稳定，</w:t>
      </w:r>
      <w:r>
        <w:rPr>
          <w:spacing w:val="40"/>
        </w:rPr>
        <w:t> </w:t>
      </w:r>
      <w:r>
        <w:rPr>
          <w:rFonts w:ascii="Times New Roman" w:hAnsi="Times New Roman" w:cs="Times New Roman" w:eastAsia="Times New Roman" w:hint="default"/>
        </w:rPr>
        <w:t>ATM</w:t>
      </w:r>
      <w:r>
        <w:rPr/>
        <w:t>市场仍然由进口品牌与国产品牌所分据。国外</w:t>
      </w:r>
      <w:r>
        <w:rPr>
          <w:rFonts w:ascii="Times New Roman" w:hAnsi="Times New Roman" w:cs="Times New Roman" w:eastAsia="Times New Roman" w:hint="default"/>
        </w:rPr>
        <w:t>ATM</w:t>
      </w:r>
      <w:r>
        <w:rPr/>
        <w:t>供应商主要有：美国</w:t>
      </w:r>
      <w:r>
        <w:rPr>
          <w:rFonts w:ascii="Times New Roman" w:hAnsi="Times New Roman" w:cs="Times New Roman" w:eastAsia="Times New Roman" w:hint="default"/>
        </w:rPr>
        <w:t>NCR</w:t>
      </w:r>
      <w:r>
        <w:rPr/>
        <w:t>、</w:t>
      </w:r>
      <w:r>
        <w:rPr>
          <w:rFonts w:ascii="Times New Roman" w:hAnsi="Times New Roman" w:cs="Times New Roman" w:eastAsia="Times New Roman" w:hint="default"/>
        </w:rPr>
        <w:t>Diebold</w:t>
      </w:r>
      <w:r>
        <w:rPr/>
        <w:t>，德国</w:t>
      </w:r>
      <w:r>
        <w:rPr>
          <w:spacing w:val="-79"/>
        </w:rPr>
        <w:t> </w:t>
      </w:r>
      <w:r>
        <w:rPr>
          <w:spacing w:val="-79"/>
        </w:rPr>
      </w:r>
      <w:r>
        <w:rPr>
          <w:rFonts w:ascii="Times New Roman" w:hAnsi="Times New Roman" w:cs="Times New Roman" w:eastAsia="Times New Roman" w:hint="default"/>
        </w:rPr>
        <w:t>Wincor Nixdorf</w:t>
      </w:r>
      <w:r>
        <w:rPr/>
        <w:t>、日本</w:t>
      </w:r>
      <w:r>
        <w:rPr>
          <w:rFonts w:ascii="Times New Roman" w:hAnsi="Times New Roman" w:cs="Times New Roman" w:eastAsia="Times New Roman" w:hint="default"/>
        </w:rPr>
        <w:t>Hitachi</w:t>
      </w:r>
      <w:r>
        <w:rPr/>
        <w:t>、</w:t>
      </w:r>
      <w:r>
        <w:rPr>
          <w:rFonts w:ascii="Times New Roman" w:hAnsi="Times New Roman" w:cs="Times New Roman" w:eastAsia="Times New Roman" w:hint="default"/>
        </w:rPr>
        <w:t>OKI</w:t>
      </w:r>
      <w:r>
        <w:rPr/>
        <w:t>，韩国</w:t>
      </w:r>
      <w:r>
        <w:rPr>
          <w:rFonts w:ascii="Times New Roman" w:hAnsi="Times New Roman" w:cs="Times New Roman" w:eastAsia="Times New Roman" w:hint="default"/>
        </w:rPr>
        <w:t>Nautilus</w:t>
      </w:r>
      <w:r>
        <w:rPr>
          <w:rFonts w:ascii="Times New Roman" w:hAnsi="Times New Roman" w:cs="Times New Roman" w:eastAsia="Times New Roman" w:hint="default"/>
          <w:spacing w:val="-18"/>
        </w:rPr>
        <w:t> </w:t>
      </w:r>
      <w:r>
        <w:rPr>
          <w:rFonts w:ascii="Times New Roman" w:hAnsi="Times New Roman" w:cs="Times New Roman" w:eastAsia="Times New Roman" w:hint="default"/>
        </w:rPr>
        <w:t>Hyosung</w:t>
      </w:r>
      <w:r>
        <w:rPr/>
        <w:t>等；国内</w:t>
      </w:r>
      <w:r>
        <w:rPr>
          <w:rFonts w:ascii="Times New Roman" w:hAnsi="Times New Roman" w:cs="Times New Roman" w:eastAsia="Times New Roman" w:hint="default"/>
        </w:rPr>
        <w:t>ATM</w:t>
      </w:r>
      <w:r>
        <w:rPr/>
        <w:t>供应商主要有：本公司、广电运通、深圳怡化、东 方通信、恒银科技、中钞科堡、新达通等。随着国内</w:t>
      </w:r>
      <w:r>
        <w:rPr>
          <w:rFonts w:ascii="Times New Roman" w:hAnsi="Times New Roman" w:cs="Times New Roman" w:eastAsia="Times New Roman" w:hint="default"/>
        </w:rPr>
        <w:t>ATM</w:t>
      </w:r>
      <w:r>
        <w:rPr/>
        <w:t>行业的逐渐成熟，国家对自主创新及产业化扶持力度加强，以及</w:t>
      </w:r>
      <w:r>
        <w:rPr>
          <w:spacing w:val="-43"/>
        </w:rPr>
        <w:t> </w:t>
      </w:r>
      <w:r>
        <w:rPr>
          <w:spacing w:val="-43"/>
        </w:rPr>
      </w:r>
      <w:r>
        <w:rPr/>
        <w:t>国产品牌的本土化优势，使得国产</w:t>
      </w:r>
      <w:r>
        <w:rPr>
          <w:rFonts w:ascii="Times New Roman" w:hAnsi="Times New Roman" w:cs="Times New Roman" w:eastAsia="Times New Roman" w:hint="default"/>
        </w:rPr>
        <w:t>ATM</w:t>
      </w:r>
      <w:r>
        <w:rPr/>
        <w:t>品牌获得了更好的发展，其增长速度已远远高于外国厂商。</w:t>
      </w:r>
    </w:p>
    <w:p>
      <w:pPr>
        <w:spacing w:line="240" w:lineRule="auto" w:before="11"/>
        <w:rPr>
          <w:rFonts w:ascii="宋体" w:hAnsi="宋体" w:cs="宋体" w:eastAsia="宋体" w:hint="default"/>
          <w:sz w:val="24"/>
          <w:szCs w:val="24"/>
        </w:rPr>
      </w:pPr>
    </w:p>
    <w:p>
      <w:pPr>
        <w:pStyle w:val="Heading4"/>
        <w:spacing w:line="240" w:lineRule="auto"/>
        <w:ind w:right="94"/>
        <w:jc w:val="left"/>
        <w:rPr>
          <w:b w:val="0"/>
          <w:bCs w:val="0"/>
        </w:rPr>
      </w:pPr>
      <w:r>
        <w:rPr/>
        <w:t>（三）公司发展战略及年度经营计划</w:t>
      </w:r>
      <w:r>
        <w:rPr>
          <w:b w:val="0"/>
          <w:bCs w:val="0"/>
        </w:rPr>
      </w:r>
    </w:p>
    <w:p>
      <w:pPr>
        <w:pStyle w:val="BodyText"/>
        <w:spacing w:line="300" w:lineRule="auto" w:before="76"/>
        <w:ind w:left="513" w:right="94"/>
        <w:jc w:val="left"/>
      </w:pPr>
      <w:r>
        <w:rPr>
          <w:rFonts w:ascii="Times New Roman" w:hAnsi="Times New Roman" w:cs="Times New Roman" w:eastAsia="Times New Roman" w:hint="default"/>
        </w:rPr>
        <w:t>1</w:t>
      </w:r>
      <w:r>
        <w:rPr/>
        <w:t>、公司发展战略 </w:t>
      </w:r>
      <w:r>
        <w:rPr>
          <w:spacing w:val="-2"/>
        </w:rPr>
        <w:t>公司将继续按照国家产业政策为导向，抓住我国国民经济快速发展的有利时机，秉承“以专注的精神，持续的投入，精</w:t>
      </w:r>
    </w:p>
    <w:p>
      <w:pPr>
        <w:pStyle w:val="BodyText"/>
        <w:spacing w:line="316" w:lineRule="auto" w:before="32"/>
        <w:ind w:right="190"/>
        <w:jc w:val="both"/>
      </w:pPr>
      <w:r>
        <w:rPr>
          <w:spacing w:val="-2"/>
        </w:rPr>
        <w:t>益求精的态度”的理念，充分利用登陆资本市场的优势，深入挖掘银行业务需求，通过自主发展和资本并购手段并举，逐步</w:t>
      </w:r>
      <w:r>
        <w:rPr>
          <w:spacing w:val="-67"/>
        </w:rPr>
        <w:t> </w:t>
      </w:r>
      <w:r>
        <w:rPr>
          <w:spacing w:val="-67"/>
        </w:rPr>
      </w:r>
      <w:r>
        <w:rPr>
          <w:spacing w:val="-2"/>
        </w:rPr>
        <w:t>打造公司成为提供银行自助产品世界级研发生产基地；公司坚持技术领先战略、质量保障战略、市场扩张战略、互联网金融</w:t>
      </w:r>
      <w:r>
        <w:rPr>
          <w:spacing w:val="-63"/>
        </w:rPr>
        <w:t> </w:t>
      </w:r>
      <w:r>
        <w:rPr>
          <w:spacing w:val="-63"/>
        </w:rPr>
      </w:r>
      <w:r>
        <w:rPr/>
        <w:t>的战略指导思想，从而实现“国内一流企业、国际知名品牌”长期战略目标，树立全球性的强势品牌。</w:t>
      </w:r>
    </w:p>
    <w:p>
      <w:pPr>
        <w:pStyle w:val="BodyText"/>
        <w:spacing w:line="240" w:lineRule="auto" w:before="19"/>
        <w:ind w:left="513" w:right="94"/>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年度经营计划</w:t>
      </w:r>
    </w:p>
    <w:p>
      <w:pPr>
        <w:pStyle w:val="BodyText"/>
        <w:spacing w:line="312" w:lineRule="auto" w:before="63"/>
        <w:ind w:right="94" w:firstLine="360"/>
        <w:jc w:val="left"/>
      </w:pPr>
      <w:r>
        <w:rPr>
          <w:rFonts w:ascii="Times New Roman" w:hAnsi="Times New Roman" w:cs="Times New Roman" w:eastAsia="Times New Roman" w:hint="default"/>
          <w:spacing w:val="-2"/>
        </w:rPr>
        <w:t>2015</w:t>
      </w:r>
      <w:r>
        <w:rPr>
          <w:spacing w:val="-2"/>
        </w:rPr>
        <w:t>年，公司将紧紧围绕发展愿景及中长期战略发展规划，坚持以市场需求为导向，以技术创新为驱动，深入调整业务</w:t>
      </w:r>
      <w:r>
        <w:rPr/>
        <w:t> 结构及市场结构，立足于公司目前已有的业务布局基础，着力推动已投资项目的落地，同时发挥在各投资领域的整合优势， </w:t>
      </w:r>
      <w:r>
        <w:rPr>
          <w:spacing w:val="-2"/>
        </w:rPr>
        <w:t>扎实推进公司互联网金融产业发展战略，逐步构建互联网金融的产业生态圈，推动公司整体业绩提升，为股东创造更大的价</w:t>
      </w:r>
      <w:r>
        <w:rPr>
          <w:spacing w:val="-63"/>
        </w:rPr>
        <w:t> </w:t>
      </w:r>
      <w:r>
        <w:rPr>
          <w:spacing w:val="-63"/>
        </w:rPr>
      </w:r>
      <w:r>
        <w:rPr/>
        <w:t>值。为实现</w:t>
      </w:r>
      <w:r>
        <w:rPr>
          <w:rFonts w:ascii="Times New Roman" w:hAnsi="Times New Roman" w:cs="Times New Roman" w:eastAsia="Times New Roman" w:hint="default"/>
        </w:rPr>
        <w:t>2015</w:t>
      </w:r>
      <w:r>
        <w:rPr/>
        <w:t>年的经营目标，公司将围绕以下重点，抓好各项经营管理工作：</w:t>
      </w:r>
    </w:p>
    <w:p>
      <w:pPr>
        <w:pStyle w:val="BodyText"/>
        <w:spacing w:line="300" w:lineRule="auto" w:before="3"/>
        <w:ind w:left="513" w:right="94"/>
        <w:jc w:val="left"/>
      </w:pPr>
      <w:r>
        <w:rPr/>
        <w:t>（</w:t>
      </w:r>
      <w:r>
        <w:rPr>
          <w:rFonts w:ascii="Times New Roman" w:hAnsi="Times New Roman" w:cs="Times New Roman" w:eastAsia="Times New Roman" w:hint="default"/>
        </w:rPr>
        <w:t>1</w:t>
      </w:r>
      <w:r>
        <w:rPr/>
        <w:t>）积极探索公司在行业内纵深与横向的布局，谋求与互联网的紧密结合。 </w:t>
      </w:r>
      <w:r>
        <w:rPr>
          <w:spacing w:val="-2"/>
        </w:rPr>
        <w:t>积极探索互联网金融对行业的变革，推进公司业务向互联网金融领域延伸发展。积极布局互联网金融、金融租赁等多方</w:t>
      </w:r>
    </w:p>
    <w:p>
      <w:pPr>
        <w:pStyle w:val="BodyText"/>
        <w:spacing w:line="319" w:lineRule="auto" w:before="31"/>
        <w:ind w:right="190"/>
        <w:jc w:val="both"/>
      </w:pPr>
      <w:r>
        <w:rPr>
          <w:spacing w:val="-2"/>
        </w:rPr>
        <w:t>位的发展创新，建立公司立体金融服务生态体系，根据公司所服务客户的不同需求，有针对性的提供多种渠道的金融配套服</w:t>
      </w:r>
      <w:r>
        <w:rPr>
          <w:spacing w:val="-63"/>
        </w:rPr>
        <w:t> </w:t>
      </w:r>
      <w:r>
        <w:rPr>
          <w:spacing w:val="-63"/>
        </w:rPr>
      </w:r>
      <w:r>
        <w:rPr>
          <w:spacing w:val="-2"/>
        </w:rPr>
        <w:t>务。通过整合公司自身优势及资源，推动金融资本与实业资本融合发展，延伸市场的价值链，形成新的利润增长点，保证公</w:t>
      </w:r>
      <w:r>
        <w:rPr>
          <w:spacing w:val="-67"/>
        </w:rPr>
        <w:t> </w:t>
      </w:r>
      <w:r>
        <w:rPr>
          <w:spacing w:val="-67"/>
        </w:rPr>
      </w:r>
      <w:r>
        <w:rPr/>
        <w:t>司发展战略规划的实现。</w:t>
      </w:r>
    </w:p>
    <w:p>
      <w:pPr>
        <w:pStyle w:val="BodyText"/>
        <w:spacing w:line="300" w:lineRule="auto" w:before="17"/>
        <w:ind w:left="513" w:right="94"/>
        <w:jc w:val="left"/>
      </w:pPr>
      <w:r>
        <w:rPr/>
        <w:t>（</w:t>
      </w:r>
      <w:r>
        <w:rPr>
          <w:rFonts w:ascii="Times New Roman" w:hAnsi="Times New Roman" w:cs="Times New Roman" w:eastAsia="Times New Roman" w:hint="default"/>
        </w:rPr>
        <w:t>2</w:t>
      </w:r>
      <w:r>
        <w:rPr/>
        <w:t>）加强研发投入，提升核心竞争力 </w:t>
      </w:r>
      <w:r>
        <w:rPr>
          <w:spacing w:val="-2"/>
        </w:rPr>
        <w:t>公司将继续大力提升设备功能品质，同时将集中资源向细分市场展开业务，以金融设备为中心不断开拓，针对柜员自动</w:t>
      </w:r>
    </w:p>
    <w:p>
      <w:pPr>
        <w:pStyle w:val="BodyText"/>
        <w:spacing w:line="309" w:lineRule="auto" w:before="31"/>
        <w:ind w:right="191"/>
        <w:jc w:val="both"/>
      </w:pPr>
      <w:r>
        <w:rPr>
          <w:spacing w:val="-2"/>
        </w:rPr>
        <w:t>化、渠道运营、移动应用等领域进行深入研究，坚持客户需求为导向，着力打造安全、便捷、智能的金融服务体系，满足客</w:t>
      </w:r>
      <w:r>
        <w:rPr>
          <w:spacing w:val="-73"/>
        </w:rPr>
        <w:t> </w:t>
      </w:r>
      <w:r>
        <w:rPr>
          <w:spacing w:val="-73"/>
        </w:rPr>
      </w:r>
      <w:r>
        <w:rPr/>
        <w:t>户各方面的产品需求。并计划在原有基础上，改良工艺，加大新一代</w:t>
      </w:r>
      <w:r>
        <w:rPr>
          <w:rFonts w:ascii="Times New Roman" w:hAnsi="Times New Roman" w:cs="Times New Roman" w:eastAsia="Times New Roman" w:hint="default"/>
        </w:rPr>
        <w:t>ATM</w:t>
      </w:r>
      <w:r>
        <w:rPr/>
        <w:t>自动取款机和</w:t>
      </w:r>
      <w:r>
        <w:rPr>
          <w:rFonts w:ascii="Times New Roman" w:hAnsi="Times New Roman" w:cs="Times New Roman" w:eastAsia="Times New Roman" w:hint="default"/>
        </w:rPr>
        <w:t>CRS</w:t>
      </w:r>
      <w:r>
        <w:rPr/>
        <w:t>存取款一体机生产能力；扩大</w:t>
      </w:r>
      <w:r>
        <w:rPr>
          <w:spacing w:val="-18"/>
        </w:rPr>
        <w:t> </w:t>
      </w:r>
      <w:r>
        <w:rPr>
          <w:spacing w:val="-18"/>
        </w:rPr>
      </w:r>
      <w:r>
        <w:rPr>
          <w:rFonts w:ascii="Times New Roman" w:hAnsi="Times New Roman" w:cs="Times New Roman" w:eastAsia="Times New Roman" w:hint="default"/>
        </w:rPr>
        <w:t>VTM</w:t>
      </w:r>
      <w:r>
        <w:rPr/>
        <w:t>产品线，满足银行客户的多元化需求，加大产能以满足银行客户供货需求；大力推广柜员自动化设备，提高业务办理</w:t>
      </w:r>
      <w:r>
        <w:rPr>
          <w:spacing w:val="-45"/>
        </w:rPr>
        <w:t> </w:t>
      </w:r>
      <w:r>
        <w:rPr>
          <w:spacing w:val="-45"/>
        </w:rPr>
      </w:r>
      <w:r>
        <w:rPr>
          <w:spacing w:val="-2"/>
        </w:rPr>
        <w:t>效率；加强智慧银行项目资源投入，拓宽银行运营渠道；同时将继续在生物识别技术、系统云安全方面投入研发力量，并大</w:t>
      </w:r>
      <w:r>
        <w:rPr>
          <w:spacing w:val="-66"/>
        </w:rPr>
        <w:t> </w:t>
      </w:r>
      <w:r>
        <w:rPr>
          <w:spacing w:val="-66"/>
        </w:rPr>
      </w:r>
      <w:r>
        <w:rPr/>
        <w:t>力推广生物识别技术在金融自助设备上的应用，为银行提供一整套信息安全解决方案。</w:t>
      </w:r>
    </w:p>
    <w:p>
      <w:pPr>
        <w:pStyle w:val="BodyText"/>
        <w:spacing w:line="240" w:lineRule="auto" w:before="24"/>
        <w:ind w:left="513" w:right="94"/>
        <w:jc w:val="left"/>
      </w:pPr>
      <w:r>
        <w:rPr/>
        <w:t>（</w:t>
      </w:r>
      <w:r>
        <w:rPr>
          <w:rFonts w:ascii="Times New Roman" w:hAnsi="Times New Roman" w:cs="Times New Roman" w:eastAsia="Times New Roman" w:hint="default"/>
        </w:rPr>
        <w:t>3</w:t>
      </w:r>
      <w:r>
        <w:rPr/>
        <w:t>）市场开发与营销网络建设</w:t>
      </w:r>
    </w:p>
    <w:p>
      <w:pPr>
        <w:pStyle w:val="BodyText"/>
        <w:spacing w:line="316" w:lineRule="auto" w:before="63"/>
        <w:ind w:right="94" w:firstLine="360"/>
        <w:jc w:val="left"/>
      </w:pPr>
      <w:r>
        <w:rPr>
          <w:spacing w:val="-4"/>
        </w:rPr>
        <w:t>①首先，公司将充分利用在建设银行、工行、邮政总局、农信社、城商行、农商行等银行的在位优势，进一步加强合作，</w:t>
      </w:r>
      <w:r>
        <w:rPr/>
        <w:t> 努力提升采购份额，巩固公司在</w:t>
      </w:r>
      <w:r>
        <w:rPr>
          <w:rFonts w:ascii="Times New Roman" w:hAnsi="Times New Roman" w:cs="Times New Roman" w:eastAsia="Times New Roman" w:hint="default"/>
        </w:rPr>
        <w:t>ATM</w:t>
      </w:r>
      <w:r>
        <w:rPr/>
        <w:t>行业的品牌地位；</w:t>
      </w:r>
    </w:p>
    <w:p>
      <w:pPr>
        <w:pStyle w:val="BodyText"/>
        <w:spacing w:line="319" w:lineRule="auto"/>
        <w:ind w:right="94" w:firstLine="360"/>
        <w:jc w:val="left"/>
      </w:pPr>
      <w:r>
        <w:rPr>
          <w:spacing w:val="-2"/>
        </w:rPr>
        <w:t>②拓展金融服务外包业务，积极探索金融服务外包扩张模式，加深与银行的合作关系，以服务带动市场，培养新的利润</w:t>
      </w:r>
      <w:r>
        <w:rPr/>
        <w:t> 增长点，促进公司</w:t>
      </w:r>
      <w:r>
        <w:rPr>
          <w:rFonts w:ascii="Times New Roman" w:hAnsi="Times New Roman" w:cs="Times New Roman" w:eastAsia="Times New Roman" w:hint="default"/>
        </w:rPr>
        <w:t>ATM</w:t>
      </w:r>
      <w:r>
        <w:rPr/>
        <w:t>销售及营运业务的整体发展。</w:t>
      </w:r>
    </w:p>
    <w:p>
      <w:pPr>
        <w:pStyle w:val="BodyText"/>
        <w:spacing w:line="300" w:lineRule="auto"/>
        <w:ind w:right="94" w:firstLine="360"/>
        <w:jc w:val="left"/>
      </w:pPr>
      <w:r>
        <w:rPr/>
        <w:t>③提高公司生产规模，丰富公司主要产品线，在保证</w:t>
      </w:r>
      <w:r>
        <w:rPr>
          <w:rFonts w:ascii="Times New Roman" w:hAnsi="Times New Roman" w:cs="Times New Roman" w:eastAsia="Times New Roman" w:hint="default"/>
        </w:rPr>
        <w:t>ATM</w:t>
      </w:r>
      <w:r>
        <w:rPr/>
        <w:t>业务稳步发展的同时，促进清分机、</w:t>
      </w:r>
      <w:r>
        <w:rPr>
          <w:rFonts w:ascii="Times New Roman" w:hAnsi="Times New Roman" w:cs="Times New Roman" w:eastAsia="Times New Roman" w:hint="default"/>
        </w:rPr>
        <w:t>VTM</w:t>
      </w:r>
      <w:r>
        <w:rPr/>
        <w:t>机、出纳机等新业 务的快速发展，成为公司新的利润增长点，提高市场占有率。</w:t>
      </w:r>
    </w:p>
    <w:p>
      <w:pPr>
        <w:pStyle w:val="BodyText"/>
        <w:spacing w:line="300" w:lineRule="auto" w:before="31"/>
        <w:ind w:left="513" w:right="94"/>
        <w:jc w:val="left"/>
      </w:pPr>
      <w:r>
        <w:rPr/>
        <w:t>（</w:t>
      </w:r>
      <w:r>
        <w:rPr>
          <w:rFonts w:ascii="Times New Roman" w:hAnsi="Times New Roman" w:cs="Times New Roman" w:eastAsia="Times New Roman" w:hint="default"/>
        </w:rPr>
        <w:t>4</w:t>
      </w:r>
      <w:r>
        <w:rPr/>
        <w:t>）加强后台服务系统建设，提升维护服务管理 </w:t>
      </w:r>
      <w:r>
        <w:rPr>
          <w:spacing w:val="-2"/>
        </w:rPr>
        <w:t>推动客户服务云平台业务应用全面覆盖移动终端设备，全面提高服务质量，着力解决影响和制约服务质量的“瓶颈”问</w:t>
      </w:r>
    </w:p>
    <w:p>
      <w:pPr>
        <w:pStyle w:val="BodyText"/>
        <w:spacing w:line="316" w:lineRule="auto" w:before="31"/>
        <w:ind w:right="111"/>
        <w:jc w:val="both"/>
      </w:pPr>
      <w:r>
        <w:rPr/>
        <w:t>题。加强服务创新、技术创新，不断提高员工的服务水平，进一步为客户提供全方位、高智能、灵活高效的监控运维服务。 </w:t>
      </w:r>
      <w:r>
        <w:rPr>
          <w:spacing w:val="-2"/>
        </w:rPr>
        <w:t>提升客服竞争优势，降低客服服务成本。随着公司销售机器的不断增长，已过免费维护期的销售机器不断的增加，维护收入</w:t>
      </w:r>
    </w:p>
    <w:p>
      <w:pPr>
        <w:spacing w:after="0" w:line="316"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00" w:lineRule="auto" w:before="44"/>
        <w:ind w:right="189"/>
        <w:jc w:val="both"/>
      </w:pPr>
      <w:r>
        <w:rPr>
          <w:spacing w:val="-2"/>
        </w:rPr>
        <w:t>的规模化效益明显增强。为此，公司在</w:t>
      </w:r>
      <w:r>
        <w:rPr>
          <w:rFonts w:ascii="Times New Roman" w:hAnsi="Times New Roman" w:cs="Times New Roman" w:eastAsia="Times New Roman" w:hint="default"/>
          <w:spacing w:val="-2"/>
        </w:rPr>
        <w:t>2014</w:t>
      </w:r>
      <w:r>
        <w:rPr>
          <w:spacing w:val="-2"/>
        </w:rPr>
        <w:t>年的基础上进一步对其进行全面的梳理，加强对已过免费维护期机器的维护服务</w:t>
      </w:r>
      <w:r>
        <w:rPr>
          <w:spacing w:val="-60"/>
        </w:rPr>
        <w:t> </w:t>
      </w:r>
      <w:r>
        <w:rPr>
          <w:spacing w:val="-60"/>
        </w:rPr>
      </w:r>
      <w:r>
        <w:rPr/>
        <w:t>管理，收取合理的维护费用，提升公司的维护服务收入。</w:t>
      </w:r>
    </w:p>
    <w:p>
      <w:pPr>
        <w:pStyle w:val="BodyText"/>
        <w:spacing w:line="300" w:lineRule="auto" w:before="31"/>
        <w:ind w:left="513" w:right="94"/>
        <w:jc w:val="left"/>
      </w:pPr>
      <w:r>
        <w:rPr/>
        <w:t>（</w:t>
      </w:r>
      <w:r>
        <w:rPr>
          <w:rFonts w:ascii="Times New Roman" w:hAnsi="Times New Roman" w:cs="Times New Roman" w:eastAsia="Times New Roman" w:hint="default"/>
        </w:rPr>
        <w:t>5</w:t>
      </w:r>
      <w:r>
        <w:rPr/>
        <w:t>）进一步整合供应链，优化成本 </w:t>
      </w:r>
      <w:r>
        <w:rPr>
          <w:spacing w:val="-2"/>
        </w:rPr>
        <w:t>面对日益激烈的市场竞争环境，公司将进一步整合供应链，优化成本，对主要部件供应企业可颁发生产配套许可证，加</w:t>
      </w:r>
    </w:p>
    <w:p>
      <w:pPr>
        <w:pStyle w:val="BodyText"/>
        <w:spacing w:line="316" w:lineRule="auto" w:before="31"/>
        <w:ind w:right="190"/>
        <w:jc w:val="both"/>
      </w:pPr>
      <w:r>
        <w:rPr>
          <w:spacing w:val="-2"/>
        </w:rPr>
        <w:t>强供应商合作的信心，通过签订长期战略合作协议，激发供应商的优势以及能提供的配套服务，加强供应商与御银保持长期</w:t>
      </w:r>
      <w:r>
        <w:rPr>
          <w:spacing w:val="-63"/>
        </w:rPr>
        <w:t> </w:t>
      </w:r>
      <w:r>
        <w:rPr>
          <w:spacing w:val="-63"/>
        </w:rPr>
      </w:r>
      <w:r>
        <w:rPr/>
        <w:t>合作，稳定投入的决心，充分利用供应商的优势来达到强强结合，互惠共赢的目的。</w:t>
      </w:r>
    </w:p>
    <w:p>
      <w:pPr>
        <w:pStyle w:val="BodyText"/>
        <w:spacing w:line="300" w:lineRule="auto" w:before="19"/>
        <w:ind w:left="513" w:right="94"/>
        <w:jc w:val="left"/>
      </w:pPr>
      <w:r>
        <w:rPr/>
        <w:t>（</w:t>
      </w:r>
      <w:r>
        <w:rPr>
          <w:rFonts w:ascii="Times New Roman" w:hAnsi="Times New Roman" w:cs="Times New Roman" w:eastAsia="Times New Roman" w:hint="default"/>
        </w:rPr>
        <w:t>6</w:t>
      </w:r>
      <w:r>
        <w:rPr/>
        <w:t>）加强财务管理 </w:t>
      </w:r>
      <w:r>
        <w:rPr>
          <w:spacing w:val="-2"/>
        </w:rPr>
        <w:t>建立资金和信用风险控制机制，加强库存和回款管理；完善财务预决算管理；完善分级财务核算体系，监督子公司的财</w:t>
      </w:r>
    </w:p>
    <w:p>
      <w:pPr>
        <w:pStyle w:val="BodyText"/>
        <w:spacing w:line="316" w:lineRule="auto" w:before="31"/>
        <w:ind w:right="195"/>
        <w:jc w:val="both"/>
      </w:pPr>
      <w:r>
        <w:rPr>
          <w:spacing w:val="-2"/>
        </w:rPr>
        <w:t>务运营，保障其业务的有效开展。加强财务分析，为经营决策提供准确的财务数据和分析；优化资金管理，加强资金管理和</w:t>
      </w:r>
      <w:r>
        <w:rPr>
          <w:spacing w:val="-67"/>
        </w:rPr>
        <w:t> </w:t>
      </w:r>
      <w:r>
        <w:rPr>
          <w:spacing w:val="-67"/>
        </w:rPr>
      </w:r>
      <w:r>
        <w:rPr/>
        <w:t>融资管理能力。</w:t>
      </w:r>
    </w:p>
    <w:p>
      <w:pPr>
        <w:pStyle w:val="BodyText"/>
        <w:spacing w:line="300" w:lineRule="auto" w:before="19"/>
        <w:ind w:left="513" w:right="94"/>
        <w:jc w:val="left"/>
      </w:pPr>
      <w:r>
        <w:rPr/>
        <w:t>（</w:t>
      </w:r>
      <w:r>
        <w:rPr>
          <w:rFonts w:ascii="Times New Roman" w:hAnsi="Times New Roman" w:cs="Times New Roman" w:eastAsia="Times New Roman" w:hint="default"/>
        </w:rPr>
        <w:t>7</w:t>
      </w:r>
      <w:r>
        <w:rPr/>
        <w:t>）加强绩效管理，完善激励机制，稳定人才队伍 </w:t>
      </w:r>
      <w:r>
        <w:rPr>
          <w:spacing w:val="-2"/>
        </w:rPr>
        <w:t>公司将进一步加强和完善以市场为导向的绩效管理制度和激励机制，充分调动员工的积极性和主观能动性，强化业务发</w:t>
      </w:r>
    </w:p>
    <w:p>
      <w:pPr>
        <w:pStyle w:val="BodyText"/>
        <w:spacing w:line="319" w:lineRule="auto" w:before="31"/>
        <w:ind w:right="193"/>
        <w:jc w:val="both"/>
      </w:pPr>
      <w:r>
        <w:rPr>
          <w:spacing w:val="-2"/>
        </w:rPr>
        <w:t>展意识与公司战略目标相结合。同时，实施人才培养计划，加强公司骨干人员的锻炼和培养，稳定公司人才队伍及吸引外部</w:t>
      </w:r>
      <w:r>
        <w:rPr>
          <w:spacing w:val="-66"/>
        </w:rPr>
        <w:t> </w:t>
      </w:r>
      <w:r>
        <w:rPr>
          <w:spacing w:val="-66"/>
        </w:rPr>
      </w:r>
      <w:r>
        <w:rPr/>
        <w:t>优秀人才，为公司的发展储备更多优良人才。</w:t>
      </w:r>
    </w:p>
    <w:p>
      <w:pPr>
        <w:pStyle w:val="BodyText"/>
        <w:spacing w:line="316" w:lineRule="auto" w:before="17"/>
        <w:ind w:right="94" w:firstLine="360"/>
        <w:jc w:val="left"/>
      </w:pPr>
      <w:r>
        <w:rPr>
          <w:rFonts w:ascii="宋体" w:hAnsi="宋体" w:cs="宋体" w:eastAsia="宋体" w:hint="default"/>
          <w:b/>
          <w:bCs/>
          <w:spacing w:val="-4"/>
        </w:rPr>
        <w:t>特别提示：</w:t>
      </w:r>
      <w:r>
        <w:rPr>
          <w:spacing w:val="-4"/>
        </w:rPr>
        <w:t>公司的未来发展计划，不代表公司盈利预测，能否实现取决于宏观经济环境、行业发展状况、市场竞争加剧，</w:t>
      </w:r>
      <w:r>
        <w:rPr/>
        <w:t> </w:t>
      </w:r>
      <w:r>
        <w:rPr>
          <w:spacing w:val="-2"/>
        </w:rPr>
        <w:t>核心人才流失等多种因素（详见本节第五点对公司未来发展战略和经营目标的实现产生不利影响的风险因素），存在很大的</w:t>
      </w:r>
      <w:r>
        <w:rPr>
          <w:spacing w:val="-66"/>
        </w:rPr>
        <w:t> </w:t>
      </w:r>
      <w:r>
        <w:rPr>
          <w:spacing w:val="-66"/>
        </w:rPr>
      </w:r>
      <w:r>
        <w:rPr/>
        <w:t>不确定性，请投资者特别注意。</w:t>
      </w:r>
    </w:p>
    <w:p>
      <w:pPr>
        <w:spacing w:line="240" w:lineRule="auto" w:before="4"/>
        <w:rPr>
          <w:rFonts w:ascii="宋体" w:hAnsi="宋体" w:cs="宋体" w:eastAsia="宋体" w:hint="default"/>
          <w:sz w:val="25"/>
          <w:szCs w:val="25"/>
        </w:rPr>
      </w:pPr>
    </w:p>
    <w:p>
      <w:pPr>
        <w:spacing w:line="316" w:lineRule="auto" w:before="0"/>
        <w:ind w:left="513" w:right="94" w:firstLine="0"/>
        <w:jc w:val="left"/>
        <w:rPr>
          <w:rFonts w:ascii="宋体" w:hAnsi="宋体" w:cs="宋体" w:eastAsia="宋体" w:hint="default"/>
          <w:sz w:val="18"/>
          <w:szCs w:val="18"/>
        </w:rPr>
      </w:pPr>
      <w:r>
        <w:rPr>
          <w:rFonts w:ascii="宋体" w:hAnsi="宋体" w:cs="宋体" w:eastAsia="宋体" w:hint="default"/>
          <w:b/>
          <w:bCs/>
          <w:sz w:val="18"/>
          <w:szCs w:val="18"/>
        </w:rPr>
        <w:t>（四）为实现未来发展战略所需求的资金、使用计划及资金来源情况</w:t>
      </w:r>
      <w:r>
        <w:rPr>
          <w:rFonts w:ascii="宋体" w:hAnsi="宋体" w:cs="宋体" w:eastAsia="宋体" w:hint="default"/>
          <w:b/>
          <w:bCs/>
          <w:w w:val="99"/>
          <w:sz w:val="18"/>
          <w:szCs w:val="18"/>
        </w:rPr>
        <w:t> </w:t>
      </w:r>
      <w:r>
        <w:rPr>
          <w:rFonts w:ascii="宋体" w:hAnsi="宋体" w:cs="宋体" w:eastAsia="宋体" w:hint="default"/>
          <w:spacing w:val="-2"/>
          <w:sz w:val="18"/>
          <w:szCs w:val="18"/>
        </w:rPr>
        <w:t>公司经营活动现金流入稳健增长，可以满足为实现未来发展战略所需的大部分资金。与此同时，公司实施稳健的财务政</w:t>
      </w:r>
    </w:p>
    <w:p>
      <w:pPr>
        <w:pStyle w:val="BodyText"/>
        <w:spacing w:line="316" w:lineRule="auto" w:before="19"/>
        <w:ind w:right="194"/>
        <w:jc w:val="both"/>
      </w:pPr>
      <w:r>
        <w:rPr>
          <w:spacing w:val="-2"/>
        </w:rPr>
        <w:t>策，公司主要客户均为国内外知名企业，信誉良好，公司财务管理制度健全，资金回笼较好，日常生产经营所需的流动资金</w:t>
      </w:r>
      <w:r>
        <w:rPr>
          <w:spacing w:val="-67"/>
        </w:rPr>
        <w:t> </w:t>
      </w:r>
      <w:r>
        <w:rPr>
          <w:spacing w:val="-67"/>
        </w:rPr>
      </w:r>
      <w:r>
        <w:rPr>
          <w:spacing w:val="-2"/>
        </w:rPr>
        <w:t>有保障。公司资产结构稳健、偿债能力较强、银行信贷信誉良好、融资渠道畅通，公司及各子公司发展的资金来源有充足的</w:t>
      </w:r>
      <w:r>
        <w:rPr>
          <w:spacing w:val="-67"/>
        </w:rPr>
        <w:t> </w:t>
      </w:r>
      <w:r>
        <w:rPr>
          <w:spacing w:val="-67"/>
        </w:rPr>
      </w:r>
      <w:r>
        <w:rPr/>
        <w:t>保障。</w:t>
      </w:r>
    </w:p>
    <w:p>
      <w:pPr>
        <w:spacing w:line="240" w:lineRule="auto" w:before="4"/>
        <w:rPr>
          <w:rFonts w:ascii="宋体" w:hAnsi="宋体" w:cs="宋体" w:eastAsia="宋体" w:hint="default"/>
          <w:sz w:val="25"/>
          <w:szCs w:val="25"/>
        </w:rPr>
      </w:pPr>
    </w:p>
    <w:p>
      <w:pPr>
        <w:pStyle w:val="Heading4"/>
        <w:spacing w:line="240" w:lineRule="auto"/>
        <w:ind w:right="94"/>
        <w:jc w:val="left"/>
        <w:rPr>
          <w:b w:val="0"/>
          <w:bCs w:val="0"/>
        </w:rPr>
      </w:pPr>
      <w:r>
        <w:rPr/>
        <w:t>（五）对公司未来发展战略和经营目标的实现产生不利影响的风险因素</w:t>
      </w:r>
      <w:r>
        <w:rPr>
          <w:b w:val="0"/>
          <w:bCs w:val="0"/>
        </w:rPr>
      </w:r>
    </w:p>
    <w:p>
      <w:pPr>
        <w:pStyle w:val="BodyText"/>
        <w:spacing w:line="300" w:lineRule="auto" w:before="77"/>
        <w:ind w:left="513" w:right="94"/>
        <w:jc w:val="left"/>
      </w:pPr>
      <w:r>
        <w:rPr>
          <w:rFonts w:ascii="Times New Roman" w:hAnsi="Times New Roman" w:cs="Times New Roman" w:eastAsia="Times New Roman" w:hint="default"/>
        </w:rPr>
        <w:t>1</w:t>
      </w:r>
      <w:r>
        <w:rPr/>
        <w:t>、政策风险 </w:t>
      </w:r>
      <w:r>
        <w:rPr>
          <w:spacing w:val="-2"/>
        </w:rPr>
        <w:t>目前，互联网金融还处于发展初期，随着互联网金融发展的进一步深入，将会面临过去不曾遇到过的法律及监管等方面</w:t>
      </w:r>
    </w:p>
    <w:p>
      <w:pPr>
        <w:pStyle w:val="BodyText"/>
        <w:spacing w:line="316" w:lineRule="auto" w:before="31"/>
        <w:ind w:right="191"/>
        <w:jc w:val="both"/>
      </w:pPr>
      <w:r>
        <w:rPr>
          <w:spacing w:val="-2"/>
        </w:rPr>
        <w:t>的问题，虽然目前有《银行法》、《证券法》、《保险法》等法律及相应的监管措施，但这些法律和监管措施主要针对传统</w:t>
      </w:r>
      <w:r>
        <w:rPr>
          <w:spacing w:val="-71"/>
        </w:rPr>
        <w:t> </w:t>
      </w:r>
      <w:r>
        <w:rPr>
          <w:spacing w:val="-71"/>
        </w:rPr>
      </w:r>
      <w:r>
        <w:rPr>
          <w:spacing w:val="-2"/>
        </w:rPr>
        <w:t>金融业。随着金融领域创新层出不穷，对于政策及法律尚未明确的领域，或将面临潜在的政策法律风险。对此，公司将积极</w:t>
      </w:r>
      <w:r>
        <w:rPr>
          <w:spacing w:val="-67"/>
        </w:rPr>
        <w:t> </w:t>
      </w:r>
      <w:r>
        <w:rPr>
          <w:spacing w:val="-67"/>
        </w:rPr>
      </w:r>
      <w:r>
        <w:rPr>
          <w:spacing w:val="-2"/>
        </w:rPr>
        <w:t>跟踪和研究行业相关政策及变化，严格按照法律法规开展公司业务，同时，也积极把握新的机遇，努力实现公司一站式金融</w:t>
      </w:r>
      <w:r>
        <w:rPr>
          <w:spacing w:val="-64"/>
        </w:rPr>
        <w:t> </w:t>
      </w:r>
      <w:r>
        <w:rPr>
          <w:spacing w:val="-64"/>
        </w:rPr>
      </w:r>
      <w:r>
        <w:rPr/>
        <w:t>服务的战略目标。</w:t>
      </w:r>
    </w:p>
    <w:p>
      <w:pPr>
        <w:pStyle w:val="BodyText"/>
        <w:spacing w:line="300" w:lineRule="auto" w:before="19"/>
        <w:ind w:left="513" w:right="94"/>
        <w:jc w:val="left"/>
      </w:pPr>
      <w:r>
        <w:rPr>
          <w:rFonts w:ascii="Times New Roman" w:hAnsi="Times New Roman" w:cs="Times New Roman" w:eastAsia="Times New Roman" w:hint="default"/>
        </w:rPr>
        <w:t>2</w:t>
      </w:r>
      <w:r>
        <w:rPr/>
        <w:t>、市场风险 </w:t>
      </w:r>
      <w:r>
        <w:rPr>
          <w:spacing w:val="-2"/>
        </w:rPr>
        <w:t>公司所处行业易受到宏观经济环境的影响，如公司所处市场行业环境发生大幅波动，可能造成公司收入的大幅波动。同</w:t>
      </w:r>
    </w:p>
    <w:p>
      <w:pPr>
        <w:pStyle w:val="BodyText"/>
        <w:spacing w:line="316" w:lineRule="auto" w:before="31"/>
        <w:ind w:right="195"/>
        <w:jc w:val="both"/>
      </w:pPr>
      <w:r>
        <w:rPr>
          <w:spacing w:val="-2"/>
        </w:rPr>
        <w:t>时，市场竞争的进一步加剧，将使行业毛利率继续下滑，从而导致公司利润率的下降。为此，公司采取差异化市场策略，加</w:t>
      </w:r>
      <w:r>
        <w:rPr>
          <w:spacing w:val="-70"/>
        </w:rPr>
        <w:t> </w:t>
      </w:r>
      <w:r>
        <w:rPr>
          <w:spacing w:val="-70"/>
        </w:rPr>
      </w:r>
      <w:r>
        <w:rPr>
          <w:spacing w:val="-2"/>
        </w:rPr>
        <w:t>强产品研发力度，加大新市场和新领域的市场开拓，并从内部挖潜不断提高效率、降低生产成本，以提高竞争优势，适应市</w:t>
      </w:r>
      <w:r>
        <w:rPr>
          <w:spacing w:val="-67"/>
        </w:rPr>
        <w:t> </w:t>
      </w:r>
      <w:r>
        <w:rPr>
          <w:spacing w:val="-67"/>
        </w:rPr>
      </w:r>
      <w:r>
        <w:rPr/>
        <w:t>场变化，扩大市场占有率，降低市场风险。</w:t>
      </w:r>
    </w:p>
    <w:p>
      <w:pPr>
        <w:pStyle w:val="BodyText"/>
        <w:spacing w:line="300" w:lineRule="auto" w:before="19"/>
        <w:ind w:left="513" w:right="94"/>
        <w:jc w:val="left"/>
      </w:pPr>
      <w:r>
        <w:rPr>
          <w:rFonts w:ascii="Times New Roman" w:hAnsi="Times New Roman" w:cs="Times New Roman" w:eastAsia="Times New Roman" w:hint="default"/>
        </w:rPr>
        <w:t>3</w:t>
      </w:r>
      <w:r>
        <w:rPr/>
        <w:t>、核心技术人员及核心技术流失的风险 </w:t>
      </w:r>
      <w:r>
        <w:rPr>
          <w:spacing w:val="-2"/>
        </w:rPr>
        <w:t>持续的技术创新能力是公司的核心竞争力，因而对研发实力、技术人员的技术水平和工作经验有着较高的要求，并能够</w:t>
      </w:r>
    </w:p>
    <w:p>
      <w:pPr>
        <w:pStyle w:val="BodyText"/>
        <w:spacing w:line="316" w:lineRule="auto" w:before="31"/>
        <w:ind w:right="94"/>
        <w:jc w:val="left"/>
      </w:pPr>
      <w:r>
        <w:rPr>
          <w:spacing w:val="-4"/>
        </w:rPr>
        <w:t>对市场中的其他竞争对手形成技术壁垒。如果发生技术研发队伍整体流失或技术泄密现象，将对公司持续发展带来不利影响。</w:t>
      </w:r>
      <w:r>
        <w:rPr>
          <w:spacing w:val="-44"/>
        </w:rPr>
        <w:t> </w:t>
      </w:r>
      <w:r>
        <w:rPr>
          <w:spacing w:val="-44"/>
        </w:rPr>
      </w:r>
      <w:r>
        <w:rPr>
          <w:spacing w:val="-2"/>
        </w:rPr>
        <w:t>为此，公司建立和完善了核心技术管理体系，建立健全了内部保密制度，防止核心技术外泄，并采取了一系列激励措施，保</w:t>
      </w:r>
      <w:r>
        <w:rPr>
          <w:spacing w:val="-67"/>
        </w:rPr>
        <w:t> </w:t>
      </w:r>
      <w:r>
        <w:rPr>
          <w:spacing w:val="-67"/>
        </w:rPr>
      </w:r>
      <w:r>
        <w:rPr/>
        <w:t>证了多年来技术研发队伍的稳定。</w:t>
      </w:r>
    </w:p>
    <w:p>
      <w:pPr>
        <w:pStyle w:val="BodyText"/>
        <w:spacing w:line="300" w:lineRule="auto" w:before="19"/>
        <w:ind w:left="513" w:right="94"/>
        <w:jc w:val="left"/>
      </w:pPr>
      <w:r>
        <w:rPr>
          <w:rFonts w:ascii="Times New Roman" w:hAnsi="Times New Roman" w:cs="Times New Roman" w:eastAsia="Times New Roman" w:hint="default"/>
        </w:rPr>
        <w:t>4</w:t>
      </w:r>
      <w:r>
        <w:rPr/>
        <w:t>、竞争加剧带来的毛利率降低风险 </w:t>
      </w:r>
      <w:r>
        <w:rPr>
          <w:spacing w:val="-2"/>
        </w:rPr>
        <w:t>随着市场化程度的进一步提高，竞争也会加剧。如果公司在技术创新和新产品开发方面不能保持领先优势，在竞争加剧</w:t>
      </w:r>
    </w:p>
    <w:p>
      <w:pPr>
        <w:pStyle w:val="BodyText"/>
        <w:spacing w:line="240" w:lineRule="auto" w:before="31"/>
        <w:ind w:right="0"/>
        <w:jc w:val="both"/>
      </w:pPr>
      <w:r>
        <w:rPr/>
        <w:t>的市场环境下，公司产品可能面临毛利率下降的风险。对此，公司一方面通过发挥自身的研发优势，不断提高技术水平，使</w:t>
      </w:r>
    </w:p>
    <w:p>
      <w:pPr>
        <w:spacing w:after="0" w:line="240"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46"/>
        <w:jc w:val="left"/>
      </w:pPr>
      <w:r>
        <w:rPr>
          <w:spacing w:val="-2"/>
        </w:rPr>
        <w:t>得自主研发的产品具有技术领先优势，另一方面，做好公司预算分析，强化预算管控，控制费用支出，努力降低各项采购成</w:t>
      </w:r>
      <w:r>
        <w:rPr>
          <w:spacing w:val="-67"/>
        </w:rPr>
        <w:t> </w:t>
      </w:r>
      <w:r>
        <w:rPr>
          <w:spacing w:val="-67"/>
        </w:rPr>
      </w:r>
      <w:r>
        <w:rPr/>
        <w:t>本和生产成本，提升公司整体毛利水平。</w:t>
      </w:r>
    </w:p>
    <w:p>
      <w:pPr>
        <w:pStyle w:val="BodyText"/>
        <w:spacing w:line="340" w:lineRule="auto" w:before="17"/>
        <w:ind w:left="513" w:right="146"/>
        <w:jc w:val="left"/>
      </w:pPr>
      <w:r>
        <w:rPr>
          <w:rFonts w:ascii="Times New Roman" w:hAnsi="Times New Roman" w:cs="Times New Roman" w:eastAsia="Times New Roman" w:hint="default"/>
        </w:rPr>
        <w:t>5</w:t>
      </w:r>
      <w:r>
        <w:rPr/>
        <w:t>、人力资源风险 </w:t>
      </w:r>
      <w:r>
        <w:rPr>
          <w:spacing w:val="-2"/>
        </w:rPr>
        <w:t>随着公司的发展，高素质人才越来越具有举足轻重的地位。伴随着行业技术的不断更新和市场竞争的日益加剧，相关技</w:t>
      </w:r>
    </w:p>
    <w:p>
      <w:pPr>
        <w:pStyle w:val="BodyText"/>
        <w:spacing w:line="316" w:lineRule="auto" w:before="1"/>
        <w:ind w:right="150"/>
        <w:jc w:val="both"/>
      </w:pPr>
      <w:r>
        <w:rPr>
          <w:spacing w:val="-2"/>
        </w:rPr>
        <w:t>术人才和管理人才的竞争也日趋激烈。如果公司没有完善的人才管理和激励机制，组织结构、管理模式等不能适应内外部环</w:t>
      </w:r>
      <w:r>
        <w:rPr>
          <w:spacing w:val="-63"/>
        </w:rPr>
        <w:t> </w:t>
      </w:r>
      <w:r>
        <w:rPr>
          <w:spacing w:val="-63"/>
        </w:rPr>
      </w:r>
      <w:r>
        <w:rPr/>
        <w:t>境的变化及公司发展的需要，就难以吸引人才，留住人才。 对此，公司一方面完善薪酬激励机制，加强企业文化建设，提</w:t>
      </w:r>
      <w:r>
        <w:rPr>
          <w:spacing w:val="-84"/>
        </w:rPr>
        <w:t> </w:t>
      </w:r>
      <w:r>
        <w:rPr>
          <w:spacing w:val="-84"/>
        </w:rPr>
      </w:r>
      <w:r>
        <w:rPr>
          <w:spacing w:val="-2"/>
        </w:rPr>
        <w:t>高员工的向心力；另一方面，完善公司治理结构，从外部吸引高端技术人才和管理人才加入，壮大公司的人才队伍，降低人</w:t>
      </w:r>
      <w:r>
        <w:rPr>
          <w:spacing w:val="-67"/>
        </w:rPr>
        <w:t> </w:t>
      </w:r>
      <w:r>
        <w:rPr>
          <w:spacing w:val="-67"/>
        </w:rPr>
      </w:r>
      <w:r>
        <w:rPr/>
        <w:t>力资源风险。</w:t>
      </w:r>
    </w:p>
    <w:p>
      <w:pPr>
        <w:spacing w:line="240" w:lineRule="auto" w:before="9"/>
        <w:rPr>
          <w:rFonts w:ascii="宋体" w:hAnsi="宋体" w:cs="宋体" w:eastAsia="宋体" w:hint="default"/>
          <w:sz w:val="20"/>
          <w:szCs w:val="20"/>
        </w:rPr>
      </w:pPr>
    </w:p>
    <w:p>
      <w:pPr>
        <w:pStyle w:val="Heading2"/>
        <w:spacing w:line="240" w:lineRule="auto"/>
        <w:ind w:right="0"/>
        <w:jc w:val="both"/>
        <w:rPr>
          <w:b w:val="0"/>
          <w:bCs w:val="0"/>
        </w:rPr>
      </w:pPr>
      <w:r>
        <w:rPr/>
        <w:t>九、董事会、监事会对会计师事务所本报告期“非标准审计报告”的说明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十、与上年度财务报告相比，会计政策、会计估计和核算方法发生变化的情况说明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513" w:right="146"/>
        <w:jc w:val="left"/>
      </w:pPr>
      <w:r>
        <w:rPr>
          <w:rFonts w:ascii="Times New Roman" w:hAnsi="Times New Roman" w:cs="Times New Roman" w:eastAsia="Times New Roman" w:hint="default"/>
        </w:rPr>
        <w:t>1</w:t>
      </w:r>
      <w:r>
        <w:rPr/>
        <w:t>、重要会计政策变更</w:t>
      </w:r>
    </w:p>
    <w:p>
      <w:pPr>
        <w:pStyle w:val="BodyText"/>
        <w:spacing w:line="300" w:lineRule="auto" w:before="63"/>
        <w:ind w:left="513" w:right="3833"/>
        <w:jc w:val="left"/>
      </w:pPr>
      <w:r>
        <w:rPr/>
        <w:t>（</w:t>
      </w:r>
      <w:r>
        <w:rPr>
          <w:rFonts w:ascii="Times New Roman" w:hAnsi="Times New Roman" w:cs="Times New Roman" w:eastAsia="Times New Roman" w:hint="default"/>
        </w:rPr>
        <w:t>1</w:t>
      </w:r>
      <w:r>
        <w:rPr/>
        <w:t>）执行财政部于</w:t>
      </w:r>
      <w:r>
        <w:rPr>
          <w:rFonts w:ascii="Times New Roman" w:hAnsi="Times New Roman" w:cs="Times New Roman" w:eastAsia="Times New Roman" w:hint="default"/>
        </w:rPr>
        <w:t>2014</w:t>
      </w:r>
      <w:r>
        <w:rPr/>
        <w:t>年修订及新颁布的准则 本公司已执行财政部于</w:t>
      </w:r>
      <w:r>
        <w:rPr>
          <w:rFonts w:ascii="Times New Roman" w:hAnsi="Times New Roman" w:cs="Times New Roman" w:eastAsia="Times New Roman" w:hint="default"/>
        </w:rPr>
        <w:t>2014</w:t>
      </w:r>
      <w:r>
        <w:rPr/>
        <w:t>年颁布的下列新的及修订的企业会计准则：</w:t>
      </w:r>
    </w:p>
    <w:p>
      <w:pPr>
        <w:pStyle w:val="BodyText"/>
        <w:spacing w:line="240" w:lineRule="auto" w:before="13"/>
        <w:ind w:left="513" w:right="146"/>
        <w:jc w:val="left"/>
      </w:pPr>
      <w:r>
        <w:rPr/>
        <w:t>《企业会计准则</w:t>
      </w:r>
      <w:r>
        <w:rPr>
          <w:rFonts w:ascii="Times New Roman" w:hAnsi="Times New Roman" w:cs="Times New Roman" w:eastAsia="Times New Roman" w:hint="default"/>
        </w:rPr>
        <w:t>—</w:t>
      </w:r>
      <w:r>
        <w:rPr/>
        <w:t>基本准则》（修订）、</w:t>
      </w:r>
    </w:p>
    <w:p>
      <w:pPr>
        <w:pStyle w:val="BodyText"/>
        <w:spacing w:line="240" w:lineRule="auto" w:before="63"/>
        <w:ind w:left="513" w:right="146"/>
        <w:jc w:val="left"/>
      </w:pPr>
      <w:r>
        <w:rPr/>
        <w:t>《企业会计准则第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长期股权投资》（修订）、</w:t>
      </w:r>
    </w:p>
    <w:p>
      <w:pPr>
        <w:pStyle w:val="BodyText"/>
        <w:spacing w:line="240" w:lineRule="auto" w:before="63"/>
        <w:ind w:left="513" w:right="146"/>
        <w:jc w:val="left"/>
      </w:pPr>
      <w:r>
        <w:rPr/>
        <w:t>《企业会计准则第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职工薪酬》（修订）、</w:t>
      </w:r>
    </w:p>
    <w:p>
      <w:pPr>
        <w:pStyle w:val="BodyText"/>
        <w:spacing w:line="240" w:lineRule="auto" w:before="63"/>
        <w:ind w:left="513" w:right="146"/>
        <w:jc w:val="left"/>
      </w:pPr>
      <w:r>
        <w:rPr/>
        <w:t>《企业会计准则第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财务报表列报》（修订）、</w:t>
      </w:r>
    </w:p>
    <w:p>
      <w:pPr>
        <w:pStyle w:val="BodyText"/>
        <w:spacing w:line="240" w:lineRule="auto" w:before="63"/>
        <w:ind w:left="513" w:right="146"/>
        <w:jc w:val="left"/>
      </w:pPr>
      <w:r>
        <w:rPr/>
        <w:t>《企业会计准则第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合并财务报表》（修订）、</w:t>
      </w:r>
    </w:p>
    <w:p>
      <w:pPr>
        <w:pStyle w:val="BodyText"/>
        <w:spacing w:line="240" w:lineRule="auto" w:before="63"/>
        <w:ind w:left="513" w:right="146"/>
        <w:jc w:val="left"/>
      </w:pPr>
      <w:r>
        <w:rPr/>
        <w:t>《企业会计准则第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金融工具列报》（修订）、</w:t>
      </w:r>
    </w:p>
    <w:p>
      <w:pPr>
        <w:pStyle w:val="BodyText"/>
        <w:spacing w:line="240" w:lineRule="auto" w:before="63"/>
        <w:ind w:left="513" w:right="146"/>
        <w:jc w:val="left"/>
      </w:pPr>
      <w:r>
        <w:rPr/>
        <w:t>《企业会计准则第</w:t>
      </w:r>
      <w:r>
        <w:rPr>
          <w:rFonts w:ascii="Times New Roman" w:hAnsi="Times New Roman" w:cs="Times New Roman" w:eastAsia="Times New Roman" w:hint="default"/>
        </w:rPr>
        <w:t>39</w:t>
      </w:r>
      <w:r>
        <w:rPr/>
        <w:t>号</w:t>
      </w:r>
      <w:r>
        <w:rPr>
          <w:rFonts w:ascii="Times New Roman" w:hAnsi="Times New Roman" w:cs="Times New Roman" w:eastAsia="Times New Roman" w:hint="default"/>
        </w:rPr>
        <w:t>——</w:t>
      </w:r>
      <w:r>
        <w:rPr/>
        <w:t>公允价值计量》、</w:t>
      </w:r>
    </w:p>
    <w:p>
      <w:pPr>
        <w:pStyle w:val="BodyText"/>
        <w:spacing w:line="240" w:lineRule="auto" w:before="63"/>
        <w:ind w:left="513" w:right="146"/>
        <w:jc w:val="left"/>
      </w:pPr>
      <w:r>
        <w:rPr/>
        <w:t>《企业会计准则第</w:t>
      </w:r>
      <w:r>
        <w:rPr>
          <w:rFonts w:ascii="Times New Roman" w:hAnsi="Times New Roman" w:cs="Times New Roman" w:eastAsia="Times New Roman" w:hint="default"/>
        </w:rPr>
        <w:t>40</w:t>
      </w:r>
      <w:r>
        <w:rPr/>
        <w:t>号</w:t>
      </w:r>
      <w:r>
        <w:rPr>
          <w:rFonts w:ascii="Times New Roman" w:hAnsi="Times New Roman" w:cs="Times New Roman" w:eastAsia="Times New Roman" w:hint="default"/>
        </w:rPr>
        <w:t>——</w:t>
      </w:r>
      <w:r>
        <w:rPr/>
        <w:t>合营安排》、</w:t>
      </w:r>
    </w:p>
    <w:p>
      <w:pPr>
        <w:pStyle w:val="BodyText"/>
        <w:spacing w:line="240" w:lineRule="auto" w:before="63"/>
        <w:ind w:left="513" w:right="146"/>
        <w:jc w:val="left"/>
      </w:pPr>
      <w:r>
        <w:rPr/>
        <w:t>《企业会计准则第</w:t>
      </w:r>
      <w:r>
        <w:rPr>
          <w:rFonts w:ascii="Times New Roman" w:hAnsi="Times New Roman" w:cs="Times New Roman" w:eastAsia="Times New Roman" w:hint="default"/>
        </w:rPr>
        <w:t>41</w:t>
      </w:r>
      <w:r>
        <w:rPr/>
        <w:t>号</w:t>
      </w:r>
      <w:r>
        <w:rPr>
          <w:rFonts w:ascii="Times New Roman" w:hAnsi="Times New Roman" w:cs="Times New Roman" w:eastAsia="Times New Roman" w:hint="default"/>
        </w:rPr>
        <w:t>——</w:t>
      </w:r>
      <w:r>
        <w:rPr/>
        <w:t>在其他主体中权益的披露》。</w:t>
      </w:r>
    </w:p>
    <w:p>
      <w:pPr>
        <w:pStyle w:val="BodyText"/>
        <w:spacing w:line="309" w:lineRule="auto" w:before="63"/>
        <w:ind w:right="151" w:firstLine="360"/>
        <w:jc w:val="both"/>
      </w:pPr>
      <w:r>
        <w:rPr/>
        <w:t>本公司董事会决定本公司自</w:t>
      </w:r>
      <w:r>
        <w:rPr>
          <w:spacing w:val="-40"/>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spacing w:val="-42"/>
        </w:rPr>
        <w:t> </w:t>
      </w:r>
      <w:r>
        <w:rPr>
          <w:rFonts w:ascii="Times New Roman" w:hAnsi="Times New Roman" w:cs="Times New Roman" w:eastAsia="Times New Roman" w:hint="default"/>
        </w:rPr>
        <w:t>1</w:t>
      </w:r>
      <w:r>
        <w:rPr/>
        <w:t>日起执行上述新制定或修订后的企业会计准则。新制定或修订的会计准则的变 </w:t>
      </w:r>
      <w:r>
        <w:rPr>
          <w:spacing w:val="-2"/>
        </w:rPr>
        <w:t>化，导致本公司相应会计政策变化，并已按照相关衔接规定进行了处理，对于需要对比较数据进行追溯调整的，本公司已进</w:t>
      </w:r>
      <w:r>
        <w:rPr>
          <w:spacing w:val="-65"/>
        </w:rPr>
        <w:t> </w:t>
      </w:r>
      <w:r>
        <w:rPr>
          <w:spacing w:val="-65"/>
        </w:rPr>
      </w:r>
      <w:r>
        <w:rPr/>
        <w:t>行了相应追溯调整。本公司追溯调整的主要事项有：</w:t>
      </w:r>
    </w:p>
    <w:p>
      <w:pPr>
        <w:pStyle w:val="BodyText"/>
        <w:spacing w:line="309" w:lineRule="auto" w:before="24"/>
        <w:ind w:right="150" w:firstLine="360"/>
        <w:jc w:val="both"/>
      </w:pPr>
      <w:r>
        <w:rPr/>
        <w:t>①根据修订后的《企业会计准则第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长期股权投资》的规定，对不具有控制、共同控制或重大影响，并且在活跃 </w:t>
      </w:r>
      <w:r>
        <w:rPr>
          <w:spacing w:val="-2"/>
        </w:rPr>
        <w:t>市场中没有报价、公允价值不能可靠计量的权益工具投资，由长期股权投资科目列报，改为以成本计量的可供出售金融资产</w:t>
      </w:r>
      <w:r>
        <w:rPr>
          <w:spacing w:val="-63"/>
        </w:rPr>
        <w:t> </w:t>
      </w:r>
      <w:r>
        <w:rPr>
          <w:spacing w:val="-63"/>
        </w:rPr>
      </w:r>
      <w:r>
        <w:rPr/>
        <w:t>列报。</w:t>
      </w:r>
    </w:p>
    <w:p>
      <w:pPr>
        <w:pStyle w:val="BodyText"/>
        <w:spacing w:line="240" w:lineRule="auto" w:before="24"/>
        <w:ind w:left="513" w:right="146"/>
        <w:jc w:val="left"/>
      </w:pPr>
      <w:r>
        <w:rPr/>
        <w:t>②根据修订后的《企业会计准则第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财务报表列报》及其应用指南的规定，对报表列报科目作为以下重分类：</w:t>
      </w:r>
    </w:p>
    <w:p>
      <w:pPr>
        <w:pStyle w:val="BodyText"/>
        <w:spacing w:line="300" w:lineRule="auto" w:before="63"/>
        <w:ind w:right="146" w:firstLine="360"/>
        <w:jc w:val="left"/>
      </w:pPr>
      <w:r>
        <w:rPr>
          <w:rFonts w:ascii="Times New Roman" w:hAnsi="Times New Roman" w:cs="Times New Roman" w:eastAsia="Times New Roman" w:hint="default"/>
          <w:spacing w:val="-1"/>
        </w:rPr>
        <w:t>a.</w:t>
      </w:r>
      <w:r>
        <w:rPr>
          <w:spacing w:val="-1"/>
        </w:rPr>
        <w:t>并资产负债表及资产负债表的“以公允价值计量且其变动计入当期损益的金融资产”、“以公允价值计量且其变动计</w:t>
      </w:r>
      <w:r>
        <w:rPr/>
        <w:t> 入当期损益的金融负债”科目取代了原“交易性金融资产”、“交易性金融负债”科目；</w:t>
      </w:r>
    </w:p>
    <w:p>
      <w:pPr>
        <w:pStyle w:val="BodyText"/>
        <w:spacing w:line="300" w:lineRule="auto" w:before="32"/>
        <w:ind w:left="513" w:right="146"/>
        <w:jc w:val="left"/>
      </w:pPr>
      <w:r>
        <w:rPr>
          <w:rFonts w:ascii="Times New Roman" w:hAnsi="Times New Roman" w:cs="Times New Roman" w:eastAsia="Times New Roman" w:hint="default"/>
        </w:rPr>
        <w:t>b.</w:t>
      </w:r>
      <w:r>
        <w:rPr/>
        <w:t>原列报于合并资产负债表及资产负债表的“外币报表折算差额”科目的项目，改为列报于“其他综合收益”科目； </w:t>
      </w:r>
      <w:r>
        <w:rPr>
          <w:rFonts w:ascii="Times New Roman" w:hAnsi="Times New Roman" w:cs="Times New Roman" w:eastAsia="Times New Roman" w:hint="default"/>
        </w:rPr>
        <w:t>c.</w:t>
      </w:r>
      <w:r>
        <w:rPr/>
        <w:t>可供出售金融资产公允价值变动原列报于“资本公积”科目的项目，改为列报于“其他综合收益”科目； </w:t>
      </w:r>
      <w:r>
        <w:rPr>
          <w:rFonts w:ascii="Times New Roman" w:hAnsi="Times New Roman" w:cs="Times New Roman" w:eastAsia="Times New Roman" w:hint="default"/>
          <w:spacing w:val="-1"/>
        </w:rPr>
        <w:t>d.</w:t>
      </w:r>
      <w:r>
        <w:rPr>
          <w:spacing w:val="-1"/>
        </w:rPr>
        <w:t>相应地，合并所有者权益变动表与所有者权益变动表按照《企业会计准则第</w:t>
      </w:r>
      <w:r>
        <w:rPr>
          <w:rFonts w:ascii="Times New Roman" w:hAnsi="Times New Roman" w:cs="Times New Roman" w:eastAsia="Times New Roman" w:hint="default"/>
          <w:spacing w:val="-1"/>
        </w:rPr>
        <w:t>30</w:t>
      </w:r>
      <w:r>
        <w:rPr>
          <w:spacing w:val="-1"/>
        </w:rPr>
        <w:t>号</w:t>
      </w:r>
      <w:r>
        <w:rPr>
          <w:rFonts w:ascii="Times New Roman" w:hAnsi="Times New Roman" w:cs="Times New Roman" w:eastAsia="Times New Roman" w:hint="default"/>
          <w:spacing w:val="-1"/>
        </w:rPr>
        <w:t>——</w:t>
      </w:r>
      <w:r>
        <w:rPr>
          <w:spacing w:val="-1"/>
        </w:rPr>
        <w:t>财务报表列报》应用指南规定的</w:t>
      </w:r>
    </w:p>
    <w:p>
      <w:pPr>
        <w:pStyle w:val="BodyText"/>
        <w:spacing w:line="316" w:lineRule="auto" w:before="13"/>
        <w:ind w:left="513" w:right="6533" w:hanging="361"/>
        <w:jc w:val="left"/>
      </w:pPr>
      <w:r>
        <w:rPr/>
        <w:t>格式重新列报。 其对上期合并报表的具体影响如下：</w:t>
      </w:r>
    </w:p>
    <w:tbl>
      <w:tblPr>
        <w:tblW w:w="0" w:type="auto"/>
        <w:jc w:val="left"/>
        <w:tblInd w:w="714" w:type="dxa"/>
        <w:tblLayout w:type="fixed"/>
        <w:tblCellMar>
          <w:top w:w="0" w:type="dxa"/>
          <w:left w:w="0" w:type="dxa"/>
          <w:bottom w:w="0" w:type="dxa"/>
          <w:right w:w="0" w:type="dxa"/>
        </w:tblCellMar>
        <w:tblLook w:val="01E0"/>
      </w:tblPr>
      <w:tblGrid>
        <w:gridCol w:w="4112"/>
        <w:gridCol w:w="1378"/>
        <w:gridCol w:w="2371"/>
      </w:tblGrid>
      <w:tr>
        <w:trPr>
          <w:trHeight w:val="346" w:hRule="exact"/>
        </w:trPr>
        <w:tc>
          <w:tcPr>
            <w:tcW w:w="4112" w:type="dxa"/>
            <w:vMerge w:val="restart"/>
            <w:tcBorders>
              <w:top w:val="single" w:sz="4" w:space="0" w:color="000000"/>
              <w:left w:val="single" w:sz="4"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auto" w:before="20"/>
              <w:ind w:left="7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r>
      <w:tr>
        <w:trPr>
          <w:trHeight w:val="338" w:hRule="exact"/>
        </w:trPr>
        <w:tc>
          <w:tcPr>
            <w:tcW w:w="4112" w:type="dxa"/>
            <w:vMerge/>
            <w:tcBorders>
              <w:left w:val="single" w:sz="4"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1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2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hAnsi="宋体" w:cs="宋体" w:eastAsia="宋体" w:hint="default"/>
                <w:sz w:val="18"/>
                <w:szCs w:val="18"/>
              </w:rPr>
              <w:t>调整后</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2"/>
        <w:rPr>
          <w:rFonts w:ascii="宋体" w:hAnsi="宋体" w:cs="宋体" w:eastAsia="宋体" w:hint="default"/>
          <w:sz w:val="28"/>
          <w:szCs w:val="28"/>
        </w:rPr>
      </w:pPr>
    </w:p>
    <w:tbl>
      <w:tblPr>
        <w:tblW w:w="0" w:type="auto"/>
        <w:jc w:val="left"/>
        <w:tblInd w:w="954" w:type="dxa"/>
        <w:tblLayout w:type="fixed"/>
        <w:tblCellMar>
          <w:top w:w="0" w:type="dxa"/>
          <w:left w:w="0" w:type="dxa"/>
          <w:bottom w:w="0" w:type="dxa"/>
          <w:right w:w="0" w:type="dxa"/>
        </w:tblCellMar>
        <w:tblLook w:val="01E0"/>
      </w:tblPr>
      <w:tblGrid>
        <w:gridCol w:w="4112"/>
        <w:gridCol w:w="1378"/>
        <w:gridCol w:w="2367"/>
      </w:tblGrid>
      <w:tr>
        <w:trPr>
          <w:trHeight w:val="338" w:hRule="exact"/>
        </w:trPr>
        <w:tc>
          <w:tcPr>
            <w:tcW w:w="4112" w:type="dxa"/>
            <w:tcBorders>
              <w:top w:val="nil" w:sz="6" w:space="0" w:color="auto"/>
              <w:left w:val="single" w:sz="4" w:space="0" w:color="000000"/>
              <w:bottom w:val="single" w:sz="6" w:space="0" w:color="000000"/>
              <w:right w:val="single" w:sz="6"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37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236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33,000,750.00</w:t>
            </w:r>
          </w:p>
        </w:tc>
      </w:tr>
      <w:tr>
        <w:trPr>
          <w:trHeight w:val="339" w:hRule="exact"/>
        </w:trPr>
        <w:tc>
          <w:tcPr>
            <w:tcW w:w="411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pacing w:val="-1"/>
                <w:sz w:val="18"/>
              </w:rPr>
              <w:t>33,000,750.00</w:t>
            </w:r>
          </w:p>
        </w:tc>
        <w:tc>
          <w:tcPr>
            <w:tcW w:w="2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36" w:hRule="exact"/>
        </w:trPr>
        <w:tc>
          <w:tcPr>
            <w:tcW w:w="411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left="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58,503,236.40</w:t>
            </w:r>
          </w:p>
        </w:tc>
        <w:tc>
          <w:tcPr>
            <w:tcW w:w="2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93,363,236.40</w:t>
            </w:r>
          </w:p>
        </w:tc>
      </w:tr>
      <w:tr>
        <w:trPr>
          <w:trHeight w:val="338" w:hRule="exact"/>
        </w:trPr>
        <w:tc>
          <w:tcPr>
            <w:tcW w:w="411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left="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34,860,000.00</w:t>
            </w:r>
          </w:p>
        </w:tc>
        <w:tc>
          <w:tcPr>
            <w:tcW w:w="2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36" w:hRule="exact"/>
        </w:trPr>
        <w:tc>
          <w:tcPr>
            <w:tcW w:w="411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left="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46,212,401.94</w:t>
            </w:r>
          </w:p>
        </w:tc>
        <w:tc>
          <w:tcPr>
            <w:tcW w:w="2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28,651,129.28</w:t>
            </w:r>
          </w:p>
        </w:tc>
      </w:tr>
      <w:tr>
        <w:trPr>
          <w:trHeight w:val="336" w:hRule="exact"/>
        </w:trPr>
        <w:tc>
          <w:tcPr>
            <w:tcW w:w="411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left="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2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17,543,598.68</w:t>
            </w:r>
          </w:p>
        </w:tc>
      </w:tr>
      <w:tr>
        <w:trPr>
          <w:trHeight w:val="338" w:hRule="exact"/>
        </w:trPr>
        <w:tc>
          <w:tcPr>
            <w:tcW w:w="411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left="7"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-17,673.98</w:t>
            </w:r>
          </w:p>
        </w:tc>
        <w:tc>
          <w:tcPr>
            <w:tcW w:w="2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8"/>
        <w:ind w:left="753" w:right="0"/>
        <w:jc w:val="left"/>
      </w:pPr>
      <w:r>
        <w:rPr/>
        <w:t>上述会计政策变更对上期母公司报表的具体影响如下：</w:t>
      </w:r>
    </w:p>
    <w:p>
      <w:pPr>
        <w:spacing w:line="240" w:lineRule="auto" w:before="3"/>
        <w:rPr>
          <w:rFonts w:ascii="宋体" w:hAnsi="宋体" w:cs="宋体" w:eastAsia="宋体" w:hint="default"/>
          <w:sz w:val="5"/>
          <w:szCs w:val="5"/>
        </w:rPr>
      </w:pPr>
    </w:p>
    <w:tbl>
      <w:tblPr>
        <w:tblW w:w="0" w:type="auto"/>
        <w:jc w:val="left"/>
        <w:tblInd w:w="954" w:type="dxa"/>
        <w:tblLayout w:type="fixed"/>
        <w:tblCellMar>
          <w:top w:w="0" w:type="dxa"/>
          <w:left w:w="0" w:type="dxa"/>
          <w:bottom w:w="0" w:type="dxa"/>
          <w:right w:w="0" w:type="dxa"/>
        </w:tblCellMar>
        <w:tblLook w:val="01E0"/>
      </w:tblPr>
      <w:tblGrid>
        <w:gridCol w:w="3121"/>
        <w:gridCol w:w="2369"/>
        <w:gridCol w:w="2367"/>
      </w:tblGrid>
      <w:tr>
        <w:trPr>
          <w:trHeight w:val="346" w:hRule="exact"/>
        </w:trPr>
        <w:tc>
          <w:tcPr>
            <w:tcW w:w="3121" w:type="dxa"/>
            <w:vMerge w:val="restart"/>
            <w:tcBorders>
              <w:top w:val="single" w:sz="4" w:space="0" w:color="000000"/>
              <w:left w:val="single" w:sz="4"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36"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auto" w:before="17"/>
              <w:ind w:left="7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r>
      <w:tr>
        <w:trPr>
          <w:trHeight w:val="341" w:hRule="exact"/>
        </w:trPr>
        <w:tc>
          <w:tcPr>
            <w:tcW w:w="3121" w:type="dxa"/>
            <w:vMerge/>
            <w:tcBorders>
              <w:left w:val="single" w:sz="4" w:space="0" w:color="000000"/>
              <w:bottom w:val="single" w:sz="6" w:space="0" w:color="000000"/>
              <w:right w:val="single" w:sz="6" w:space="0" w:color="000000"/>
            </w:tcBorders>
          </w:tcPr>
          <w:p>
            <w:pP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2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338" w:hRule="exact"/>
        </w:trPr>
        <w:tc>
          <w:tcPr>
            <w:tcW w:w="312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left="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2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25,060,000.00</w:t>
            </w:r>
          </w:p>
        </w:tc>
      </w:tr>
      <w:tr>
        <w:trPr>
          <w:trHeight w:val="336" w:hRule="exact"/>
        </w:trPr>
        <w:tc>
          <w:tcPr>
            <w:tcW w:w="312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left="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78,722,718.86</w:t>
            </w:r>
          </w:p>
        </w:tc>
        <w:tc>
          <w:tcPr>
            <w:tcW w:w="2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53,662,718.86</w:t>
            </w:r>
          </w:p>
        </w:tc>
      </w:tr>
    </w:tbl>
    <w:p>
      <w:pPr>
        <w:pStyle w:val="BodyText"/>
        <w:spacing w:line="307" w:lineRule="auto" w:before="8"/>
        <w:ind w:left="753" w:right="5813"/>
        <w:jc w:val="left"/>
      </w:pPr>
      <w:r>
        <w:rPr/>
        <w:t>（</w:t>
      </w:r>
      <w:r>
        <w:rPr>
          <w:rFonts w:ascii="Times New Roman" w:hAnsi="Times New Roman" w:cs="Times New Roman" w:eastAsia="Times New Roman" w:hint="default"/>
        </w:rPr>
        <w:t>2</w:t>
      </w:r>
      <w:r>
        <w:rPr/>
        <w:t>）其他重要会计政策变更 本报告期公司未发生其他重要会计政策变更。 </w:t>
      </w:r>
      <w:r>
        <w:rPr>
          <w:rFonts w:ascii="Times New Roman" w:hAnsi="Times New Roman" w:cs="Times New Roman" w:eastAsia="Times New Roman" w:hint="default"/>
        </w:rPr>
        <w:t>2</w:t>
      </w:r>
      <w:r>
        <w:rPr/>
        <w:t>、重要会计估计变更 本报告期公司未发生重要会计估计变更。</w:t>
      </w:r>
    </w:p>
    <w:p>
      <w:pPr>
        <w:spacing w:line="240" w:lineRule="auto" w:before="5"/>
        <w:rPr>
          <w:rFonts w:ascii="宋体" w:hAnsi="宋体" w:cs="宋体" w:eastAsia="宋体" w:hint="default"/>
          <w:sz w:val="21"/>
          <w:szCs w:val="21"/>
        </w:rPr>
      </w:pPr>
    </w:p>
    <w:p>
      <w:pPr>
        <w:pStyle w:val="Heading2"/>
        <w:spacing w:line="240" w:lineRule="auto"/>
        <w:ind w:left="392" w:right="0"/>
        <w:jc w:val="left"/>
        <w:rPr>
          <w:b w:val="0"/>
          <w:bCs w:val="0"/>
        </w:rPr>
      </w:pPr>
      <w:r>
        <w:rPr/>
        <w:t>十一、报告期内发生重大会计差错更正需追溯重述的情况说明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392"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公司报告期无重大会计差错更正需追溯重述的情况。</w:t>
      </w:r>
    </w:p>
    <w:p>
      <w:pPr>
        <w:spacing w:line="240" w:lineRule="auto" w:before="8"/>
        <w:rPr>
          <w:rFonts w:ascii="宋体" w:hAnsi="宋体" w:cs="宋体" w:eastAsia="宋体" w:hint="default"/>
          <w:sz w:val="19"/>
          <w:szCs w:val="19"/>
        </w:rPr>
      </w:pPr>
    </w:p>
    <w:p>
      <w:pPr>
        <w:pStyle w:val="Heading2"/>
        <w:spacing w:line="240" w:lineRule="auto"/>
        <w:ind w:left="392" w:right="0"/>
        <w:jc w:val="left"/>
        <w:rPr>
          <w:b w:val="0"/>
          <w:bCs w:val="0"/>
        </w:rPr>
      </w:pPr>
      <w:r>
        <w:rPr/>
        <w:t>十二、与上年度财务报告相比，合并报表范围发生变化的情况说明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left="753" w:right="0"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报告期内，为推进公司互联网金融业务发展，抓住互联网金融产业蓬勃发展的机遇，公司于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w:t>
      </w:r>
      <w:r>
        <w:rPr>
          <w:spacing w:val="-2"/>
        </w:rPr>
        <w:t>日召开了第四届</w:t>
      </w:r>
    </w:p>
    <w:p>
      <w:pPr>
        <w:pStyle w:val="BodyText"/>
        <w:spacing w:line="215" w:lineRule="exact"/>
        <w:ind w:left="392" w:right="0"/>
        <w:jc w:val="left"/>
      </w:pPr>
      <w:r>
        <w:rPr/>
        <w:t>董事会第十六次会议审议通过了公司以自有资金设立全资子公司广州御银信息科技有限公司，专注于互联网金融领域。从成</w:t>
      </w:r>
    </w:p>
    <w:p>
      <w:pPr>
        <w:pStyle w:val="BodyText"/>
        <w:spacing w:line="240" w:lineRule="auto" w:before="76"/>
        <w:ind w:left="392" w:right="0"/>
        <w:jc w:val="left"/>
      </w:pPr>
      <w:r>
        <w:rPr/>
        <w:t>立之日起，广州御银信息科技有限公司纳入合并报表范围。</w:t>
      </w:r>
    </w:p>
    <w:p>
      <w:pPr>
        <w:spacing w:line="240" w:lineRule="auto" w:before="3"/>
        <w:rPr>
          <w:rFonts w:ascii="宋体" w:hAnsi="宋体" w:cs="宋体" w:eastAsia="宋体" w:hint="default"/>
          <w:sz w:val="25"/>
          <w:szCs w:val="25"/>
        </w:rPr>
      </w:pPr>
    </w:p>
    <w:p>
      <w:pPr>
        <w:pStyle w:val="Heading2"/>
        <w:spacing w:line="240" w:lineRule="auto"/>
        <w:ind w:left="392" w:right="0"/>
        <w:jc w:val="left"/>
        <w:rPr>
          <w:b w:val="0"/>
          <w:bCs w:val="0"/>
        </w:rPr>
      </w:pPr>
      <w:r>
        <w:rPr/>
        <w:t>十三、公司利润分配及分红派息情况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392" w:right="0"/>
        <w:jc w:val="left"/>
      </w:pPr>
      <w:r>
        <w:rPr/>
        <w:t>报告期内利润分配政策的制定、执行或调整情况</w:t>
      </w:r>
    </w:p>
    <w:p>
      <w:pPr>
        <w:pStyle w:val="BodyText"/>
        <w:spacing w:line="338" w:lineRule="auto" w:before="117"/>
        <w:ind w:left="392" w:right="18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报告期内公司利润分配政策特别是现金分红政策未有调整，相关利润分配的实施严格按照政策执行。</w:t>
      </w:r>
    </w:p>
    <w:tbl>
      <w:tblPr>
        <w:tblW w:w="0" w:type="auto"/>
        <w:jc w:val="left"/>
        <w:tblInd w:w="116" w:type="dxa"/>
        <w:tblLayout w:type="fixed"/>
        <w:tblCellMar>
          <w:top w:w="0" w:type="dxa"/>
          <w:left w:w="0" w:type="dxa"/>
          <w:bottom w:w="0" w:type="dxa"/>
          <w:right w:w="0" w:type="dxa"/>
        </w:tblCellMar>
        <w:tblLook w:val="01E0"/>
      </w:tblPr>
      <w:tblGrid>
        <w:gridCol w:w="6216"/>
        <w:gridCol w:w="3614"/>
      </w:tblGrid>
      <w:tr>
        <w:trPr>
          <w:trHeight w:val="402" w:hRule="exact"/>
        </w:trPr>
        <w:tc>
          <w:tcPr>
            <w:tcW w:w="9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3" w:hRule="exact"/>
        </w:trPr>
        <w:tc>
          <w:tcPr>
            <w:tcW w:w="6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3614" w:type="dxa"/>
            <w:tcBorders>
              <w:top w:val="single" w:sz="4" w:space="0" w:color="000000"/>
              <w:left w:val="single" w:sz="12" w:space="0" w:color="D2D2D2"/>
              <w:bottom w:val="single" w:sz="4" w:space="0" w:color="000000"/>
              <w:right w:val="single" w:sz="4" w:space="0" w:color="000000"/>
            </w:tcBorders>
            <w:shd w:val="clear" w:color="auto" w:fill="C7EBCC"/>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3614" w:type="dxa"/>
            <w:tcBorders>
              <w:top w:val="single" w:sz="4" w:space="0" w:color="000000"/>
              <w:left w:val="single" w:sz="12" w:space="0" w:color="D2D2D2"/>
              <w:bottom w:val="single" w:sz="4" w:space="0" w:color="000000"/>
              <w:right w:val="single" w:sz="4" w:space="0" w:color="000000"/>
            </w:tcBorders>
            <w:shd w:val="clear" w:color="auto" w:fill="C7EBCC"/>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3614" w:type="dxa"/>
            <w:tcBorders>
              <w:top w:val="single" w:sz="4" w:space="0" w:color="000000"/>
              <w:left w:val="single" w:sz="12" w:space="0" w:color="D2D2D2"/>
              <w:bottom w:val="single" w:sz="4" w:space="0" w:color="000000"/>
              <w:right w:val="single" w:sz="4" w:space="0" w:color="000000"/>
            </w:tcBorders>
            <w:shd w:val="clear" w:color="auto" w:fill="C7EBCC"/>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3614" w:type="dxa"/>
            <w:tcBorders>
              <w:top w:val="single" w:sz="4" w:space="0" w:color="000000"/>
              <w:left w:val="single" w:sz="12" w:space="0" w:color="D2D2D2"/>
              <w:bottom w:val="single" w:sz="4" w:space="0" w:color="000000"/>
              <w:right w:val="single" w:sz="4" w:space="0" w:color="000000"/>
            </w:tcBorders>
            <w:shd w:val="clear" w:color="auto" w:fill="C7EBCC"/>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45"/>
              <w:jc w:val="left"/>
              <w:rPr>
                <w:rFonts w:ascii="宋体" w:hAnsi="宋体" w:cs="宋体" w:eastAsia="宋体" w:hint="default"/>
                <w:sz w:val="18"/>
                <w:szCs w:val="18"/>
              </w:rPr>
            </w:pPr>
            <w:r>
              <w:rPr>
                <w:rFonts w:ascii="宋体" w:hAnsi="宋体" w:cs="宋体" w:eastAsia="宋体" w:hint="default"/>
                <w:spacing w:val="-2"/>
                <w:sz w:val="18"/>
                <w:szCs w:val="18"/>
              </w:rPr>
              <w:t>中小股东是否有充分表达意见和诉求的机会，其合法权益是否得到了充分保护：</w:t>
            </w:r>
            <w:r>
              <w:rPr>
                <w:rFonts w:ascii="宋体" w:hAnsi="宋体" w:cs="宋体" w:eastAsia="宋体" w:hint="default"/>
                <w:sz w:val="18"/>
                <w:szCs w:val="18"/>
              </w:rPr>
            </w:r>
          </w:p>
        </w:tc>
        <w:tc>
          <w:tcPr>
            <w:tcW w:w="3614" w:type="dxa"/>
            <w:tcBorders>
              <w:top w:val="single" w:sz="4" w:space="0" w:color="000000"/>
              <w:left w:val="single" w:sz="12" w:space="0" w:color="D2D2D2"/>
              <w:bottom w:val="single" w:sz="4" w:space="0" w:color="000000"/>
              <w:right w:val="single" w:sz="4" w:space="0" w:color="000000"/>
            </w:tcBorders>
            <w:shd w:val="clear" w:color="auto" w:fill="C7EBCC"/>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2"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3614" w:type="dxa"/>
            <w:tcBorders>
              <w:top w:val="single" w:sz="4" w:space="0" w:color="000000"/>
              <w:left w:val="single" w:sz="12" w:space="0" w:color="D2D2D2"/>
              <w:bottom w:val="single" w:sz="4" w:space="0" w:color="000000"/>
              <w:right w:val="single" w:sz="4" w:space="0" w:color="000000"/>
            </w:tcBorders>
            <w:shd w:val="clear" w:color="auto" w:fill="C7EBCC"/>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pacing w:val="-3"/>
                <w:sz w:val="18"/>
                <w:szCs w:val="18"/>
              </w:rPr>
              <w:t>本报告期，未对现金分红政策进行调整或变更</w:t>
            </w:r>
          </w:p>
        </w:tc>
      </w:tr>
    </w:tbl>
    <w:p>
      <w:pPr>
        <w:spacing w:after="0" w:line="240" w:lineRule="auto"/>
        <w:jc w:val="left"/>
        <w:rPr>
          <w:rFonts w:ascii="宋体" w:hAnsi="宋体" w:cs="宋体" w:eastAsia="宋体" w:hint="default"/>
          <w:sz w:val="18"/>
          <w:szCs w:val="18"/>
        </w:rPr>
        <w:sectPr>
          <w:pgSz w:w="11910" w:h="16840"/>
          <w:pgMar w:header="745" w:footer="980" w:top="1060" w:bottom="1160" w:left="740" w:right="980"/>
        </w:sectPr>
      </w:pPr>
    </w:p>
    <w:p>
      <w:pPr>
        <w:spacing w:line="240" w:lineRule="auto" w:before="9"/>
        <w:rPr>
          <w:rFonts w:ascii="宋体" w:hAnsi="宋体" w:cs="宋体" w:eastAsia="宋体" w:hint="default"/>
          <w:sz w:val="25"/>
          <w:szCs w:val="25"/>
        </w:rPr>
      </w:pPr>
    </w:p>
    <w:p>
      <w:pPr>
        <w:pStyle w:val="BodyText"/>
        <w:spacing w:line="240" w:lineRule="auto" w:before="44"/>
        <w:ind w:right="94"/>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年（含报告期）的利润分配预案或方案及资本公积金转增股本预案或方案情况</w:t>
      </w:r>
    </w:p>
    <w:p>
      <w:pPr>
        <w:pStyle w:val="BodyText"/>
        <w:spacing w:line="240" w:lineRule="auto" w:before="104"/>
        <w:ind w:left="513" w:right="94"/>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年度利润分配及资本公积金转增股本预案</w:t>
      </w:r>
    </w:p>
    <w:p>
      <w:pPr>
        <w:pStyle w:val="BodyText"/>
        <w:spacing w:line="300" w:lineRule="auto" w:before="63"/>
        <w:ind w:right="188" w:firstLine="360"/>
        <w:jc w:val="both"/>
      </w:pPr>
      <w:r>
        <w:rPr>
          <w:rFonts w:ascii="Times New Roman" w:hAnsi="Times New Roman" w:cs="Times New Roman" w:eastAsia="Times New Roman" w:hint="default"/>
        </w:rPr>
        <w:t>2014</w:t>
      </w:r>
      <w:r>
        <w:rPr/>
        <w:t>年度经营情况经立信会计师事务所（特殊普通合伙）有限公司审计，母公司</w:t>
      </w:r>
      <w:r>
        <w:rPr>
          <w:rFonts w:ascii="Times New Roman" w:hAnsi="Times New Roman" w:cs="Times New Roman" w:eastAsia="Times New Roman" w:hint="default"/>
        </w:rPr>
        <w:t>2014</w:t>
      </w:r>
      <w:r>
        <w:rPr/>
        <w:t>年度实现净利润</w:t>
      </w:r>
      <w:r>
        <w:rPr>
          <w:rFonts w:ascii="Times New Roman" w:hAnsi="Times New Roman" w:cs="Times New Roman" w:eastAsia="Times New Roman" w:hint="default"/>
        </w:rPr>
        <w:t>3,628.24</w:t>
      </w:r>
      <w:r>
        <w:rPr/>
        <w:t>万元，按 母公司净利润的</w:t>
      </w:r>
      <w:r>
        <w:rPr>
          <w:rFonts w:ascii="Times New Roman" w:hAnsi="Times New Roman" w:cs="Times New Roman" w:eastAsia="Times New Roman" w:hint="default"/>
        </w:rPr>
        <w:t>10%</w:t>
      </w:r>
      <w:r>
        <w:rPr/>
        <w:t>提取法定盈余公积</w:t>
      </w:r>
      <w:r>
        <w:rPr>
          <w:rFonts w:ascii="Times New Roman" w:hAnsi="Times New Roman" w:cs="Times New Roman" w:eastAsia="Times New Roman" w:hint="default"/>
        </w:rPr>
        <w:t>362.82</w:t>
      </w:r>
      <w:r>
        <w:rPr/>
        <w:t>万元，加年初未分配利润</w:t>
      </w:r>
      <w:r>
        <w:rPr>
          <w:rFonts w:ascii="Times New Roman" w:hAnsi="Times New Roman" w:cs="Times New Roman" w:eastAsia="Times New Roman" w:hint="default"/>
        </w:rPr>
        <w:t>23,239.82</w:t>
      </w:r>
      <w:r>
        <w:rPr/>
        <w:t>万元，减去</w:t>
      </w:r>
      <w:r>
        <w:rPr>
          <w:rFonts w:ascii="Times New Roman" w:hAnsi="Times New Roman" w:cs="Times New Roman" w:eastAsia="Times New Roman" w:hint="default"/>
        </w:rPr>
        <w:t>2013</w:t>
      </w:r>
      <w:r>
        <w:rPr/>
        <w:t>年度现金分红</w:t>
      </w:r>
      <w:r>
        <w:rPr>
          <w:rFonts w:ascii="Times New Roman" w:hAnsi="Times New Roman" w:cs="Times New Roman" w:eastAsia="Times New Roman" w:hint="default"/>
        </w:rPr>
        <w:t>761.19</w:t>
      </w:r>
      <w:r>
        <w:rPr/>
        <w:t>万元，</w:t>
      </w:r>
      <w:r>
        <w:rPr>
          <w:spacing w:val="-62"/>
        </w:rPr>
        <w:t> </w:t>
      </w:r>
      <w:r>
        <w:rPr>
          <w:spacing w:val="-62"/>
        </w:rPr>
      </w:r>
      <w:r>
        <w:rPr/>
        <w:t>可供股东分配的利润为</w:t>
      </w:r>
      <w:r>
        <w:rPr>
          <w:rFonts w:ascii="Times New Roman" w:hAnsi="Times New Roman" w:cs="Times New Roman" w:eastAsia="Times New Roman" w:hint="default"/>
        </w:rPr>
        <w:t>25,744.05</w:t>
      </w:r>
      <w:r>
        <w:rPr/>
        <w:t>万元。</w:t>
      </w:r>
      <w:r>
        <w:rPr>
          <w:rFonts w:ascii="Times New Roman" w:hAnsi="Times New Roman" w:cs="Times New Roman" w:eastAsia="Times New Roman" w:hint="default"/>
        </w:rPr>
        <w:t>2014</w:t>
      </w:r>
      <w:r>
        <w:rPr/>
        <w:t>年度利润分配及资本公积金转增预案如下：</w:t>
      </w:r>
    </w:p>
    <w:p>
      <w:pPr>
        <w:pStyle w:val="BodyText"/>
        <w:spacing w:line="300" w:lineRule="auto" w:before="13"/>
        <w:ind w:right="183" w:firstLine="360"/>
        <w:jc w:val="left"/>
      </w:pPr>
      <w:r>
        <w:rPr/>
        <w:t>（</w:t>
      </w:r>
      <w:r>
        <w:rPr>
          <w:rFonts w:ascii="Times New Roman" w:hAnsi="Times New Roman" w:cs="Times New Roman" w:eastAsia="Times New Roman" w:hint="default"/>
        </w:rPr>
        <w:t>1</w:t>
      </w:r>
      <w:r>
        <w:rPr/>
        <w:t>）利润分配预案：以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761,</w:t>
      </w:r>
      <w:r>
        <w:rPr>
          <w:rFonts w:ascii="Times New Roman" w:hAnsi="Times New Roman" w:cs="Times New Roman" w:eastAsia="Times New Roman" w:hint="default"/>
          <w:spacing w:val="1"/>
        </w:rPr>
        <w:t> </w:t>
      </w:r>
      <w:r>
        <w:rPr>
          <w:rFonts w:ascii="Times New Roman" w:hAnsi="Times New Roman" w:cs="Times New Roman" w:eastAsia="Times New Roman" w:hint="default"/>
        </w:rPr>
        <w:t>191,294</w:t>
      </w:r>
      <w:r>
        <w:rPr/>
        <w:t>股为基数，拟按每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0.33</w:t>
      </w:r>
      <w:r>
        <w:rPr/>
        <w:t>元（含税），共 计</w:t>
      </w:r>
      <w:r>
        <w:rPr>
          <w:rFonts w:ascii="Times New Roman" w:hAnsi="Times New Roman" w:cs="Times New Roman" w:eastAsia="Times New Roman" w:hint="default"/>
        </w:rPr>
        <w:t>25,119,312.70</w:t>
      </w:r>
      <w:r>
        <w:rPr/>
        <w:t>元；</w:t>
      </w:r>
    </w:p>
    <w:p>
      <w:pPr>
        <w:pStyle w:val="BodyText"/>
        <w:spacing w:line="240" w:lineRule="auto" w:before="13"/>
        <w:ind w:left="513" w:right="94"/>
        <w:jc w:val="left"/>
      </w:pPr>
      <w:r>
        <w:rPr/>
        <w:t>（</w:t>
      </w:r>
      <w:r>
        <w:rPr>
          <w:rFonts w:ascii="Times New Roman" w:hAnsi="Times New Roman" w:cs="Times New Roman" w:eastAsia="Times New Roman" w:hint="default"/>
        </w:rPr>
        <w:t>2</w:t>
      </w:r>
      <w:r>
        <w:rPr/>
        <w:t>）资本公积金转增股本预案：不送股，不进行资本公积转增股本。</w:t>
      </w:r>
    </w:p>
    <w:p>
      <w:pPr>
        <w:pStyle w:val="BodyText"/>
        <w:spacing w:line="240" w:lineRule="auto" w:before="63"/>
        <w:ind w:left="513" w:right="94"/>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2013</w:t>
      </w:r>
      <w:r>
        <w:rPr/>
        <w:t>年度利润分配及资本公积金转增股本预案</w:t>
      </w:r>
    </w:p>
    <w:p>
      <w:pPr>
        <w:pStyle w:val="BodyText"/>
        <w:spacing w:line="300" w:lineRule="auto" w:before="63"/>
        <w:ind w:right="188" w:firstLine="360"/>
        <w:jc w:val="both"/>
      </w:pPr>
      <w:r>
        <w:rPr>
          <w:rFonts w:ascii="Times New Roman" w:hAnsi="Times New Roman" w:cs="Times New Roman" w:eastAsia="Times New Roman" w:hint="default"/>
        </w:rPr>
        <w:t>2013</w:t>
      </w:r>
      <w:r>
        <w:rPr/>
        <w:t>年度经营情况经立信会计师事务所（特殊普通合伙）有限公司审计，母公司</w:t>
      </w:r>
      <w:r>
        <w:rPr>
          <w:rFonts w:ascii="Times New Roman" w:hAnsi="Times New Roman" w:cs="Times New Roman" w:eastAsia="Times New Roman" w:hint="default"/>
        </w:rPr>
        <w:t>2013</w:t>
      </w:r>
      <w:r>
        <w:rPr/>
        <w:t>年度实现净利润</w:t>
      </w:r>
      <w:r>
        <w:rPr>
          <w:rFonts w:ascii="Times New Roman" w:hAnsi="Times New Roman" w:cs="Times New Roman" w:eastAsia="Times New Roman" w:hint="default"/>
        </w:rPr>
        <w:t>2,585.77</w:t>
      </w:r>
      <w:r>
        <w:rPr/>
        <w:t>万元，按 母公司净利润的</w:t>
      </w:r>
      <w:r>
        <w:rPr>
          <w:rFonts w:ascii="Times New Roman" w:hAnsi="Times New Roman" w:cs="Times New Roman" w:eastAsia="Times New Roman" w:hint="default"/>
        </w:rPr>
        <w:t>10%</w:t>
      </w:r>
      <w:r>
        <w:rPr/>
        <w:t>提取法定盈余公积</w:t>
      </w:r>
      <w:r>
        <w:rPr>
          <w:rFonts w:ascii="Times New Roman" w:hAnsi="Times New Roman" w:cs="Times New Roman" w:eastAsia="Times New Roman" w:hint="default"/>
        </w:rPr>
        <w:t>258.58</w:t>
      </w:r>
      <w:r>
        <w:rPr/>
        <w:t>万元，加年初未分配利润</w:t>
      </w:r>
      <w:r>
        <w:rPr>
          <w:rFonts w:ascii="Times New Roman" w:hAnsi="Times New Roman" w:cs="Times New Roman" w:eastAsia="Times New Roman" w:hint="default"/>
        </w:rPr>
        <w:t>21,498.16</w:t>
      </w:r>
      <w:r>
        <w:rPr/>
        <w:t>万元，减去</w:t>
      </w:r>
      <w:r>
        <w:rPr>
          <w:rFonts w:ascii="Times New Roman" w:hAnsi="Times New Roman" w:cs="Times New Roman" w:eastAsia="Times New Roman" w:hint="default"/>
        </w:rPr>
        <w:t>2012</w:t>
      </w:r>
      <w:r>
        <w:rPr/>
        <w:t>年度现金分红</w:t>
      </w:r>
      <w:r>
        <w:rPr>
          <w:rFonts w:ascii="Times New Roman" w:hAnsi="Times New Roman" w:cs="Times New Roman" w:eastAsia="Times New Roman" w:hint="default"/>
        </w:rPr>
        <w:t>585.53</w:t>
      </w:r>
      <w:r>
        <w:rPr/>
        <w:t>万元，</w:t>
      </w:r>
      <w:r>
        <w:rPr>
          <w:spacing w:val="-62"/>
        </w:rPr>
        <w:t> </w:t>
      </w:r>
      <w:r>
        <w:rPr>
          <w:spacing w:val="-62"/>
        </w:rPr>
      </w:r>
      <w:r>
        <w:rPr/>
        <w:t>可供股东分配的利润为</w:t>
      </w:r>
      <w:r>
        <w:rPr>
          <w:rFonts w:ascii="Times New Roman" w:hAnsi="Times New Roman" w:cs="Times New Roman" w:eastAsia="Times New Roman" w:hint="default"/>
        </w:rPr>
        <w:t>23,239.82</w:t>
      </w:r>
      <w:r>
        <w:rPr/>
        <w:t>万元。</w:t>
      </w:r>
      <w:r>
        <w:rPr>
          <w:rFonts w:ascii="Times New Roman" w:hAnsi="Times New Roman" w:cs="Times New Roman" w:eastAsia="Times New Roman" w:hint="default"/>
        </w:rPr>
        <w:t>2013</w:t>
      </w:r>
      <w:r>
        <w:rPr/>
        <w:t>年度利润分配及资本公积金转增预案如下：</w:t>
      </w:r>
    </w:p>
    <w:p>
      <w:pPr>
        <w:pStyle w:val="BodyText"/>
        <w:spacing w:line="300" w:lineRule="auto" w:before="13"/>
        <w:ind w:right="183" w:firstLine="360"/>
        <w:jc w:val="left"/>
      </w:pPr>
      <w:r>
        <w:rPr/>
        <w:t>（</w:t>
      </w:r>
      <w:r>
        <w:rPr>
          <w:rFonts w:ascii="Times New Roman" w:hAnsi="Times New Roman" w:cs="Times New Roman" w:eastAsia="Times New Roman" w:hint="default"/>
        </w:rPr>
        <w:t>1</w:t>
      </w:r>
      <w:r>
        <w:rPr/>
        <w:t>）利润分配预案：以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761,</w:t>
      </w:r>
      <w:r>
        <w:rPr>
          <w:rFonts w:ascii="Times New Roman" w:hAnsi="Times New Roman" w:cs="Times New Roman" w:eastAsia="Times New Roman" w:hint="default"/>
          <w:spacing w:val="1"/>
        </w:rPr>
        <w:t> </w:t>
      </w:r>
      <w:r>
        <w:rPr>
          <w:rFonts w:ascii="Times New Roman" w:hAnsi="Times New Roman" w:cs="Times New Roman" w:eastAsia="Times New Roman" w:hint="default"/>
        </w:rPr>
        <w:t>191,294</w:t>
      </w:r>
      <w:r>
        <w:rPr/>
        <w:t>股为基数，拟按每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0.10</w:t>
      </w:r>
      <w:r>
        <w:rPr/>
        <w:t>元（含税），共 计</w:t>
      </w:r>
      <w:r>
        <w:rPr>
          <w:rFonts w:ascii="Times New Roman" w:hAnsi="Times New Roman" w:cs="Times New Roman" w:eastAsia="Times New Roman" w:hint="default"/>
        </w:rPr>
        <w:t>7,611,912.94</w:t>
      </w:r>
      <w:r>
        <w:rPr/>
        <w:t>元；</w:t>
      </w:r>
    </w:p>
    <w:p>
      <w:pPr>
        <w:pStyle w:val="BodyText"/>
        <w:spacing w:line="240" w:lineRule="auto" w:before="13"/>
        <w:ind w:left="513" w:right="94"/>
        <w:jc w:val="left"/>
      </w:pPr>
      <w:r>
        <w:rPr/>
        <w:t>（</w:t>
      </w:r>
      <w:r>
        <w:rPr>
          <w:rFonts w:ascii="Times New Roman" w:hAnsi="Times New Roman" w:cs="Times New Roman" w:eastAsia="Times New Roman" w:hint="default"/>
        </w:rPr>
        <w:t>2</w:t>
      </w:r>
      <w:r>
        <w:rPr/>
        <w:t>）资本公积金转增股本预案：不送股，不进行资本公积转增股本。</w:t>
      </w:r>
    </w:p>
    <w:p>
      <w:pPr>
        <w:pStyle w:val="BodyText"/>
        <w:spacing w:line="240" w:lineRule="auto" w:before="63"/>
        <w:ind w:left="513" w:right="94"/>
        <w:jc w:val="left"/>
      </w:pPr>
      <w:r>
        <w:rPr>
          <w:rFonts w:ascii="Times New Roman" w:hAnsi="Times New Roman" w:cs="Times New Roman" w:eastAsia="Times New Roman" w:hint="default"/>
        </w:rPr>
        <w:t>2013</w:t>
      </w:r>
      <w:r>
        <w:rPr/>
        <w:t>年度利润分配及资本公积金转增股本预案须提请公司</w:t>
      </w:r>
      <w:r>
        <w:rPr>
          <w:rFonts w:ascii="Times New Roman" w:hAnsi="Times New Roman" w:cs="Times New Roman" w:eastAsia="Times New Roman" w:hint="default"/>
        </w:rPr>
        <w:t>2013</w:t>
      </w:r>
      <w:r>
        <w:rPr/>
        <w:t>年度股东大会审议批准后实施。</w:t>
      </w:r>
    </w:p>
    <w:p>
      <w:pPr>
        <w:pStyle w:val="BodyText"/>
        <w:spacing w:line="240" w:lineRule="auto" w:before="63"/>
        <w:ind w:left="513" w:right="94"/>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2012</w:t>
      </w:r>
      <w:r>
        <w:rPr/>
        <w:t>年度利润分配及资本公积金转增股本预案</w:t>
      </w:r>
    </w:p>
    <w:p>
      <w:pPr>
        <w:pStyle w:val="BodyText"/>
        <w:spacing w:line="300" w:lineRule="auto" w:before="63"/>
        <w:ind w:right="94" w:firstLine="360"/>
        <w:jc w:val="left"/>
      </w:pPr>
      <w:r>
        <w:rPr>
          <w:rFonts w:ascii="Times New Roman" w:hAnsi="Times New Roman" w:cs="Times New Roman" w:eastAsia="Times New Roman" w:hint="default"/>
        </w:rPr>
        <w:t>2012</w:t>
      </w:r>
      <w:r>
        <w:rPr/>
        <w:t>年度经营情况经立信会计师事务所（特殊普通合伙）有限公司审计，母公司</w:t>
      </w:r>
      <w:r>
        <w:rPr>
          <w:rFonts w:ascii="Times New Roman" w:hAnsi="Times New Roman" w:cs="Times New Roman" w:eastAsia="Times New Roman" w:hint="default"/>
        </w:rPr>
        <w:t>2012</w:t>
      </w:r>
      <w:r>
        <w:rPr/>
        <w:t>年度实现净利润</w:t>
      </w:r>
      <w:r>
        <w:rPr>
          <w:rFonts w:ascii="Times New Roman" w:hAnsi="Times New Roman" w:cs="Times New Roman" w:eastAsia="Times New Roman" w:hint="default"/>
        </w:rPr>
        <w:t>1,942.87</w:t>
      </w:r>
      <w:r>
        <w:rPr/>
        <w:t>万元，按 </w:t>
      </w:r>
      <w:r>
        <w:rPr>
          <w:spacing w:val="-1"/>
        </w:rPr>
        <w:t>母公司净利润的</w:t>
      </w:r>
      <w:r>
        <w:rPr>
          <w:rFonts w:ascii="Times New Roman" w:hAnsi="Times New Roman" w:cs="Times New Roman" w:eastAsia="Times New Roman" w:hint="default"/>
          <w:spacing w:val="-1"/>
        </w:rPr>
        <w:t>10%</w:t>
      </w:r>
      <w:r>
        <w:rPr>
          <w:spacing w:val="-1"/>
        </w:rPr>
        <w:t>提取法定盈余公积</w:t>
      </w:r>
      <w:r>
        <w:rPr>
          <w:rFonts w:ascii="Times New Roman" w:hAnsi="Times New Roman" w:cs="Times New Roman" w:eastAsia="Times New Roman" w:hint="default"/>
          <w:spacing w:val="-1"/>
        </w:rPr>
        <w:t>194.29</w:t>
      </w:r>
      <w:r>
        <w:rPr>
          <w:spacing w:val="-1"/>
        </w:rPr>
        <w:t>万元，加年初未分配利润</w:t>
      </w:r>
      <w:r>
        <w:rPr>
          <w:rFonts w:ascii="Times New Roman" w:hAnsi="Times New Roman" w:cs="Times New Roman" w:eastAsia="Times New Roman" w:hint="default"/>
          <w:spacing w:val="-1"/>
        </w:rPr>
        <w:t>21,471.73</w:t>
      </w:r>
      <w:r>
        <w:rPr>
          <w:spacing w:val="-1"/>
        </w:rPr>
        <w:t>万元，减去</w:t>
      </w:r>
      <w:r>
        <w:rPr>
          <w:rFonts w:ascii="Times New Roman" w:hAnsi="Times New Roman" w:cs="Times New Roman" w:eastAsia="Times New Roman" w:hint="default"/>
          <w:spacing w:val="-1"/>
        </w:rPr>
        <w:t>2011</w:t>
      </w:r>
      <w:r>
        <w:rPr>
          <w:spacing w:val="-1"/>
        </w:rPr>
        <w:t>年度现金分红</w:t>
      </w:r>
      <w:r>
        <w:rPr>
          <w:rFonts w:ascii="Times New Roman" w:hAnsi="Times New Roman" w:cs="Times New Roman" w:eastAsia="Times New Roman" w:hint="default"/>
          <w:spacing w:val="-1"/>
        </w:rPr>
        <w:t>1,722.15</w:t>
      </w:r>
      <w:r>
        <w:rPr>
          <w:spacing w:val="-1"/>
        </w:rPr>
        <w:t>万元，</w:t>
      </w:r>
      <w:r>
        <w:rPr>
          <w:spacing w:val="-44"/>
        </w:rPr>
        <w:t> </w:t>
      </w:r>
      <w:r>
        <w:rPr/>
        <w:t>可供股东分配的利润为</w:t>
      </w:r>
      <w:r>
        <w:rPr>
          <w:rFonts w:ascii="Times New Roman" w:hAnsi="Times New Roman" w:cs="Times New Roman" w:eastAsia="Times New Roman" w:hint="default"/>
        </w:rPr>
        <w:t>21,498.16</w:t>
      </w:r>
      <w:r>
        <w:rPr/>
        <w:t>万元。</w:t>
      </w:r>
      <w:r>
        <w:rPr>
          <w:rFonts w:ascii="Times New Roman" w:hAnsi="Times New Roman" w:cs="Times New Roman" w:eastAsia="Times New Roman" w:hint="default"/>
        </w:rPr>
        <w:t>2012</w:t>
      </w:r>
      <w:r>
        <w:rPr/>
        <w:t>年度利润分配及资本公积金转增预案如下：</w:t>
      </w:r>
    </w:p>
    <w:p>
      <w:pPr>
        <w:pStyle w:val="BodyText"/>
        <w:spacing w:line="300" w:lineRule="auto" w:before="13"/>
        <w:ind w:right="94" w:firstLine="360"/>
        <w:jc w:val="left"/>
      </w:pPr>
      <w:r>
        <w:rPr/>
        <w:t>（</w:t>
      </w:r>
      <w:r>
        <w:rPr>
          <w:rFonts w:ascii="Times New Roman" w:hAnsi="Times New Roman" w:cs="Times New Roman" w:eastAsia="Times New Roman" w:hint="default"/>
        </w:rPr>
        <w:t>1</w:t>
      </w:r>
      <w:r>
        <w:rPr/>
        <w:t>）利润分配预案：以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585,531,765</w:t>
      </w:r>
      <w:r>
        <w:rPr/>
        <w:t>股为基数，拟按每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0.10</w:t>
      </w:r>
      <w:r>
        <w:rPr/>
        <w:t>元（含税），共 计</w:t>
      </w:r>
      <w:r>
        <w:rPr>
          <w:rFonts w:ascii="Times New Roman" w:hAnsi="Times New Roman" w:cs="Times New Roman" w:eastAsia="Times New Roman" w:hint="default"/>
        </w:rPr>
        <w:t>5,855,317.65</w:t>
      </w:r>
      <w:r>
        <w:rPr/>
        <w:t>元；</w:t>
      </w:r>
    </w:p>
    <w:p>
      <w:pPr>
        <w:pStyle w:val="BodyText"/>
        <w:spacing w:line="240" w:lineRule="auto" w:before="53"/>
        <w:ind w:left="513" w:right="94"/>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）资本公积金转增股本预案：以</w:t>
      </w:r>
      <w:r>
        <w:rPr>
          <w:rFonts w:ascii="Times New Roman" w:hAnsi="Times New Roman" w:cs="Times New Roman" w:eastAsia="Times New Roman" w:hint="default"/>
        </w:rPr>
        <w:t>2012</w:t>
      </w:r>
      <w:r>
        <w:rPr/>
        <w:t>年年末总股本</w:t>
      </w:r>
      <w:r>
        <w:rPr>
          <w:rFonts w:ascii="Times New Roman" w:hAnsi="Times New Roman" w:cs="Times New Roman" w:eastAsia="Times New Roman" w:hint="default"/>
        </w:rPr>
        <w:t>585,531,765</w:t>
      </w:r>
      <w:r>
        <w:rPr/>
        <w:t>股为基数，拟以资本公积金向全体股东每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p>
    <w:p>
      <w:pPr>
        <w:spacing w:after="0" w:line="240" w:lineRule="auto"/>
        <w:jc w:val="left"/>
        <w:rPr>
          <w:rFonts w:ascii="Times New Roman" w:hAnsi="Times New Roman" w:cs="Times New Roman" w:eastAsia="Times New Roman" w:hint="default"/>
        </w:rPr>
        <w:sectPr>
          <w:pgSz w:w="11910" w:h="16840"/>
          <w:pgMar w:header="745" w:footer="980" w:top="1060" w:bottom="1160" w:left="980" w:right="940"/>
        </w:sectPr>
      </w:pPr>
    </w:p>
    <w:p>
      <w:pPr>
        <w:pStyle w:val="BodyText"/>
        <w:spacing w:line="360" w:lineRule="auto" w:before="60"/>
        <w:ind w:right="-19"/>
        <w:jc w:val="left"/>
      </w:pPr>
      <w:r>
        <w:rPr/>
        <w:t>股。 公司近三年现金分红情况表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2"/>
          <w:szCs w:val="22"/>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40"/>
          <w:cols w:num="2" w:equalWidth="0">
            <w:col w:w="2314" w:space="6607"/>
            <w:col w:w="1069"/>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61" w:hRule="exact"/>
        </w:trPr>
        <w:tc>
          <w:tcPr>
            <w:tcW w:w="1596" w:type="dxa"/>
            <w:vMerge w:val="restart"/>
            <w:tcBorders>
              <w:top w:val="single" w:sz="4" w:space="0" w:color="000000"/>
              <w:left w:val="single" w:sz="4" w:space="0" w:color="000000"/>
              <w:right w:val="single" w:sz="4" w:space="0" w:color="FFFFFF"/>
            </w:tcBorders>
            <w:shd w:val="clear" w:color="auto" w:fill="D2D2D2"/>
          </w:tcPr>
          <w:p>
            <w:pPr/>
          </w:p>
        </w:tc>
        <w:tc>
          <w:tcPr>
            <w:tcW w:w="1594" w:type="dxa"/>
            <w:tcBorders>
              <w:top w:val="single" w:sz="4" w:space="0" w:color="000000"/>
              <w:left w:val="single" w:sz="4" w:space="0" w:color="FFFFFF"/>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1"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股东的净利润</w:t>
            </w: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1" w:right="72"/>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于上市公司股东的 净利润的比率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1" w:right="70"/>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2" w:right="71"/>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金分红的比例</w:t>
            </w:r>
          </w:p>
        </w:tc>
      </w:tr>
      <w:tr>
        <w:trPr>
          <w:trHeight w:val="156" w:hRule="exact"/>
        </w:trPr>
        <w:tc>
          <w:tcPr>
            <w:tcW w:w="1596" w:type="dxa"/>
            <w:vMerge/>
            <w:tcBorders>
              <w:left w:val="single" w:sz="4" w:space="0" w:color="000000"/>
              <w:bottom w:val="nil" w:sz="6" w:space="0" w:color="auto"/>
              <w:right w:val="single" w:sz="4" w:space="0" w:color="FFFFFF"/>
            </w:tcBorders>
            <w:shd w:val="clear" w:color="auto" w:fill="D2D2D2"/>
          </w:tcPr>
          <w:p>
            <w:pPr/>
          </w:p>
        </w:tc>
        <w:tc>
          <w:tcPr>
            <w:tcW w:w="1594"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49"/>
              <w:ind w:left="612"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394" w:hRule="exact"/>
        </w:trPr>
        <w:tc>
          <w:tcPr>
            <w:tcW w:w="1596" w:type="dxa"/>
            <w:tcBorders>
              <w:top w:val="nil" w:sz="6" w:space="0" w:color="auto"/>
              <w:left w:val="single" w:sz="4" w:space="0" w:color="000000"/>
              <w:bottom w:val="nil" w:sz="6" w:space="0" w:color="auto"/>
              <w:right w:val="single" w:sz="4" w:space="0" w:color="FFFFFF"/>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FFFFFF"/>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FFFFFF"/>
            </w:tcBorders>
            <w:shd w:val="clear" w:color="auto" w:fill="D2D2D2"/>
          </w:tcPr>
          <w:p>
            <w:pPr/>
          </w:p>
        </w:tc>
        <w:tc>
          <w:tcPr>
            <w:tcW w:w="1594" w:type="dxa"/>
            <w:vMerge/>
            <w:tcBorders>
              <w:left w:val="single" w:sz="4" w:space="0" w:color="FFFFFF"/>
              <w:bottom w:val="nil" w:sz="6" w:space="0" w:color="auto"/>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161" w:hRule="exact"/>
        </w:trPr>
        <w:tc>
          <w:tcPr>
            <w:tcW w:w="1596" w:type="dxa"/>
            <w:vMerge/>
            <w:tcBorders>
              <w:left w:val="single" w:sz="4" w:space="0" w:color="000000"/>
              <w:bottom w:val="single" w:sz="4" w:space="0" w:color="000000"/>
              <w:right w:val="single" w:sz="4" w:space="0" w:color="FFFFFF"/>
            </w:tcBorders>
            <w:shd w:val="clear" w:color="auto" w:fill="D2D2D2"/>
          </w:tcPr>
          <w:p>
            <w:pPr/>
          </w:p>
        </w:tc>
        <w:tc>
          <w:tcPr>
            <w:tcW w:w="1594" w:type="dxa"/>
            <w:tcBorders>
              <w:top w:val="nil" w:sz="6" w:space="0" w:color="auto"/>
              <w:left w:val="single" w:sz="4" w:space="0" w:color="FFFFFF"/>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49"/>
              <w:ind w:left="5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25,119,312.70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132,007,798.40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96"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49"/>
              <w:ind w:left="5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7,611,912.94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124,382,450.37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596"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49"/>
              <w:ind w:left="5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5,855,317.65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124,053,846.73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94"/>
        <w:jc w:val="left"/>
      </w:pPr>
      <w:r>
        <w:rPr/>
        <w:t>公司报告期内盈利且母公司未分配利润为正但未提出现金红利分配预案</w:t>
      </w:r>
    </w:p>
    <w:p>
      <w:pPr>
        <w:pStyle w:val="BodyText"/>
        <w:spacing w:line="240" w:lineRule="auto" w:before="117"/>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right="94"/>
        <w:jc w:val="left"/>
        <w:rPr>
          <w:b w:val="0"/>
          <w:bCs w:val="0"/>
        </w:rPr>
      </w:pPr>
      <w:r>
        <w:rPr/>
        <w:t>十四、本报告期利润分配及资本公积金转增股本预案</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15"/>
        <w:gridCol w:w="5855"/>
      </w:tblGrid>
      <w:tr>
        <w:trPr>
          <w:trHeight w:val="402" w:hRule="exact"/>
        </w:trPr>
        <w:tc>
          <w:tcPr>
            <w:tcW w:w="3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0.33</w:t>
            </w:r>
          </w:p>
        </w:tc>
      </w:tr>
      <w:tr>
        <w:trPr>
          <w:trHeight w:val="403" w:hRule="exact"/>
        </w:trPr>
        <w:tc>
          <w:tcPr>
            <w:tcW w:w="3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40"/>
        </w:sectPr>
      </w:pPr>
    </w:p>
    <w:p>
      <w:pPr>
        <w:spacing w:line="240" w:lineRule="auto" w:before="6"/>
        <w:rPr>
          <w:rFonts w:ascii="宋体" w:hAnsi="宋体" w:cs="宋体" w:eastAsia="宋体" w:hint="default"/>
          <w:sz w:val="28"/>
          <w:szCs w:val="28"/>
        </w:rPr>
      </w:pPr>
    </w:p>
    <w:tbl>
      <w:tblPr>
        <w:tblW w:w="0" w:type="auto"/>
        <w:jc w:val="left"/>
        <w:tblInd w:w="808" w:type="dxa"/>
        <w:tblLayout w:type="fixed"/>
        <w:tblCellMar>
          <w:top w:w="0" w:type="dxa"/>
          <w:left w:w="0" w:type="dxa"/>
          <w:bottom w:w="0" w:type="dxa"/>
          <w:right w:w="0" w:type="dxa"/>
        </w:tblCellMar>
        <w:tblLook w:val="01E0"/>
      </w:tblPr>
      <w:tblGrid>
        <w:gridCol w:w="3705"/>
        <w:gridCol w:w="5865"/>
      </w:tblGrid>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761,191,294</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25,119,312.70</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257,440,500.97</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公司发展阶段属成熟期且无重大资金支出安排的，进行利润分配时，现金分红在本次利润分配中所占比例最低应达到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80</w:t>
            </w:r>
            <w:r>
              <w:rPr>
                <w:rFonts w:ascii="宋体" w:hAnsi="宋体" w:cs="宋体" w:eastAsia="宋体" w:hint="default"/>
                <w:spacing w:val="-1"/>
                <w:sz w:val="18"/>
                <w:szCs w:val="18"/>
              </w:rPr>
              <w:t>％</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65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年度经营情况经立信会计师事务所（特殊普通合伙）有限公司审计，母公司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年度实现净利润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3,628.24 </w:t>
            </w:r>
            <w:r>
              <w:rPr>
                <w:rFonts w:ascii="宋体" w:hAnsi="宋体" w:cs="宋体" w:eastAsia="宋体" w:hint="default"/>
                <w:sz w:val="18"/>
                <w:szCs w:val="18"/>
              </w:rPr>
              <w:t>万元，按</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母公司净利润的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提取法定盈余公积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362.82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万元，加年初未分配利润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23,239.82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万元，减除</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年度现金分红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761.19</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万元，可供股东分配的利润为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25,744.05</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年度利润分配及资本公积金转增预案如下：</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、利润分配预案：以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p>
          <w:p>
            <w:pPr>
              <w:pStyle w:val="TableParagraph"/>
              <w:spacing w:line="300" w:lineRule="auto" w:before="63"/>
              <w:ind w:left="24" w:right="47"/>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日的总股本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761,</w:t>
            </w:r>
            <w:r>
              <w:rPr>
                <w:rFonts w:ascii="Times New Roman" w:hAnsi="Times New Roman" w:cs="Times New Roman" w:eastAsia="Times New Roman" w:hint="default"/>
                <w:spacing w:val="-1"/>
                <w:sz w:val="18"/>
                <w:szCs w:val="18"/>
              </w:rPr>
              <w:t> 191,294</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股为基数，拟按每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股派发现金股利</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0.33</w:t>
            </w:r>
            <w:r>
              <w:rPr>
                <w:rFonts w:ascii="Times New Roman" w:hAnsi="Times New Roman" w:cs="Times New Roman" w:eastAsia="Times New Roman" w:hint="default"/>
                <w:spacing w:val="3"/>
                <w:sz w:val="18"/>
                <w:szCs w:val="18"/>
              </w:rPr>
              <w:t> </w:t>
            </w:r>
            <w:r>
              <w:rPr>
                <w:rFonts w:ascii="宋体" w:hAnsi="宋体" w:cs="宋体" w:eastAsia="宋体" w:hint="default"/>
                <w:spacing w:val="-12"/>
                <w:sz w:val="18"/>
                <w:szCs w:val="18"/>
              </w:rPr>
              <w:t>元（含税），共计</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25,119,312.70</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元；</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、资</w:t>
            </w:r>
            <w:r>
              <w:rPr>
                <w:rFonts w:ascii="宋体" w:hAnsi="宋体" w:cs="宋体" w:eastAsia="宋体" w:hint="default"/>
                <w:spacing w:val="-3"/>
                <w:sz w:val="18"/>
                <w:szCs w:val="18"/>
              </w:rPr>
              <w:t> </w:t>
            </w:r>
            <w:r>
              <w:rPr>
                <w:rFonts w:ascii="宋体" w:hAnsi="宋体" w:cs="宋体" w:eastAsia="宋体" w:hint="default"/>
                <w:sz w:val="18"/>
                <w:szCs w:val="18"/>
              </w:rPr>
              <w:t>本公积金转增股本预案：不送股，不进行资本公积转增股本。</w:t>
            </w:r>
          </w:p>
        </w:tc>
      </w:tr>
    </w:tbl>
    <w:p>
      <w:pPr>
        <w:spacing w:line="240" w:lineRule="auto" w:before="1"/>
        <w:rPr>
          <w:rFonts w:ascii="宋体" w:hAnsi="宋体" w:cs="宋体" w:eastAsia="宋体" w:hint="default"/>
          <w:sz w:val="18"/>
          <w:szCs w:val="18"/>
        </w:rPr>
      </w:pPr>
    </w:p>
    <w:p>
      <w:pPr>
        <w:pStyle w:val="Heading2"/>
        <w:spacing w:line="240" w:lineRule="auto" w:before="26"/>
        <w:ind w:left="812" w:right="0"/>
        <w:jc w:val="left"/>
        <w:rPr>
          <w:b w:val="0"/>
          <w:bCs w:val="0"/>
        </w:rPr>
      </w:pPr>
      <w:r>
        <w:rPr/>
        <w:t>十五、报告期内接待调研、沟通、采访等活动登记表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81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1560"/>
        <w:gridCol w:w="991"/>
        <w:gridCol w:w="853"/>
        <w:gridCol w:w="1274"/>
        <w:gridCol w:w="3401"/>
        <w:gridCol w:w="2979"/>
      </w:tblGrid>
      <w:tr>
        <w:trPr>
          <w:trHeight w:val="397"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27"/>
              <w:jc w:val="right"/>
              <w:rPr>
                <w:rFonts w:ascii="宋体" w:hAnsi="宋体" w:cs="宋体" w:eastAsia="宋体" w:hint="default"/>
                <w:sz w:val="18"/>
                <w:szCs w:val="18"/>
              </w:rPr>
            </w:pPr>
            <w:r>
              <w:rPr>
                <w:rFonts w:ascii="宋体" w:hAnsi="宋体" w:cs="宋体" w:eastAsia="宋体" w:hint="default"/>
                <w:sz w:val="18"/>
                <w:szCs w:val="18"/>
              </w:rPr>
              <w:t>接待地点</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4" w:right="0"/>
              <w:jc w:val="left"/>
              <w:rPr>
                <w:rFonts w:ascii="宋体" w:hAnsi="宋体" w:cs="宋体" w:eastAsia="宋体" w:hint="default"/>
                <w:sz w:val="18"/>
                <w:szCs w:val="18"/>
              </w:rPr>
            </w:pPr>
            <w:r>
              <w:rPr>
                <w:rFonts w:ascii="宋体" w:hAnsi="宋体" w:cs="宋体" w:eastAsia="宋体" w:hint="default"/>
                <w:sz w:val="18"/>
                <w:szCs w:val="18"/>
              </w:rPr>
              <w:t>谈论的主要内容及提供的资料</w:t>
            </w:r>
          </w:p>
        </w:tc>
      </w:tr>
      <w:tr>
        <w:trPr>
          <w:trHeight w:val="103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55"/>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74"/>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40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53"/>
              <w:ind w:left="23" w:right="17"/>
              <w:jc w:val="both"/>
              <w:rPr>
                <w:rFonts w:ascii="宋体" w:hAnsi="宋体" w:cs="宋体" w:eastAsia="宋体" w:hint="default"/>
                <w:sz w:val="18"/>
                <w:szCs w:val="18"/>
              </w:rPr>
            </w:pPr>
            <w:r>
              <w:rPr>
                <w:rFonts w:ascii="宋体" w:hAnsi="宋体" w:cs="宋体" w:eastAsia="宋体" w:hint="default"/>
                <w:spacing w:val="-4"/>
                <w:sz w:val="18"/>
                <w:szCs w:val="18"/>
              </w:rPr>
              <w:t>长信基金管理有限责任公司；兴业证券股份</w:t>
            </w:r>
            <w:r>
              <w:rPr>
                <w:rFonts w:ascii="宋体" w:hAnsi="宋体" w:cs="宋体" w:eastAsia="宋体" w:hint="default"/>
                <w:sz w:val="18"/>
                <w:szCs w:val="18"/>
              </w:rPr>
              <w:t> </w:t>
            </w:r>
            <w:r>
              <w:rPr>
                <w:rFonts w:ascii="宋体" w:hAnsi="宋体" w:cs="宋体" w:eastAsia="宋体" w:hint="default"/>
                <w:spacing w:val="-4"/>
                <w:sz w:val="18"/>
                <w:szCs w:val="18"/>
              </w:rPr>
              <w:t>有限公司；中信建投证券有限责任公司；民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生证券股份有限公司</w:t>
            </w:r>
          </w:p>
        </w:tc>
        <w:tc>
          <w:tcPr>
            <w:tcW w:w="297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63"/>
              <w:jc w:val="right"/>
              <w:rPr>
                <w:rFonts w:ascii="宋体" w:hAnsi="宋体" w:cs="宋体" w:eastAsia="宋体" w:hint="default"/>
                <w:sz w:val="18"/>
                <w:szCs w:val="18"/>
              </w:rPr>
            </w:pPr>
            <w:r>
              <w:rPr>
                <w:rFonts w:ascii="宋体" w:hAnsi="宋体" w:cs="宋体" w:eastAsia="宋体" w:hint="default"/>
                <w:sz w:val="18"/>
                <w:szCs w:val="18"/>
              </w:rPr>
              <w:t>公司生产经营情况、行业发展趋势等</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40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pacing w:val="-4"/>
                <w:sz w:val="18"/>
                <w:szCs w:val="18"/>
              </w:rPr>
              <w:t>广东锦洋投资管理有限公司；汇添富基金管</w:t>
            </w:r>
            <w:r>
              <w:rPr>
                <w:rFonts w:ascii="宋体" w:hAnsi="宋体" w:cs="宋体" w:eastAsia="宋体" w:hint="default"/>
                <w:sz w:val="18"/>
                <w:szCs w:val="18"/>
              </w:rPr>
              <w:t> 理有限公司</w:t>
            </w:r>
          </w:p>
        </w:tc>
        <w:tc>
          <w:tcPr>
            <w:tcW w:w="297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3"/>
              <w:jc w:val="right"/>
              <w:rPr>
                <w:rFonts w:ascii="宋体" w:hAnsi="宋体" w:cs="宋体" w:eastAsia="宋体" w:hint="default"/>
                <w:sz w:val="18"/>
                <w:szCs w:val="18"/>
              </w:rPr>
            </w:pPr>
            <w:r>
              <w:rPr>
                <w:rFonts w:ascii="宋体" w:hAnsi="宋体" w:cs="宋体" w:eastAsia="宋体" w:hint="default"/>
                <w:sz w:val="18"/>
                <w:szCs w:val="18"/>
              </w:rPr>
              <w:t>公司生产经营情况、行业发展趋势等</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40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4"/>
                <w:sz w:val="18"/>
                <w:szCs w:val="18"/>
              </w:rPr>
              <w:t>广发证券股份有限公司；平安证券有限责任</w:t>
            </w:r>
            <w:r>
              <w:rPr>
                <w:rFonts w:ascii="宋体" w:hAnsi="宋体" w:cs="宋体" w:eastAsia="宋体" w:hint="default"/>
                <w:sz w:val="18"/>
                <w:szCs w:val="18"/>
              </w:rPr>
              <w:t> 公司</w:t>
            </w:r>
          </w:p>
        </w:tc>
        <w:tc>
          <w:tcPr>
            <w:tcW w:w="297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3"/>
              <w:jc w:val="right"/>
              <w:rPr>
                <w:rFonts w:ascii="宋体" w:hAnsi="宋体" w:cs="宋体" w:eastAsia="宋体" w:hint="default"/>
                <w:sz w:val="18"/>
                <w:szCs w:val="18"/>
              </w:rPr>
            </w:pPr>
            <w:r>
              <w:rPr>
                <w:rFonts w:ascii="宋体" w:hAnsi="宋体" w:cs="宋体" w:eastAsia="宋体" w:hint="default"/>
                <w:sz w:val="18"/>
                <w:szCs w:val="18"/>
              </w:rPr>
              <w:t>公司生产经营情况、行业发展趋势等</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1"/>
              <w:ind w:right="55"/>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4"/>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40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海通证券股份有限公司</w:t>
            </w:r>
          </w:p>
        </w:tc>
        <w:tc>
          <w:tcPr>
            <w:tcW w:w="297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1"/>
              <w:ind w:right="63"/>
              <w:jc w:val="right"/>
              <w:rPr>
                <w:rFonts w:ascii="宋体" w:hAnsi="宋体" w:cs="宋体" w:eastAsia="宋体" w:hint="default"/>
                <w:sz w:val="18"/>
                <w:szCs w:val="18"/>
              </w:rPr>
            </w:pPr>
            <w:r>
              <w:rPr>
                <w:rFonts w:ascii="宋体" w:hAnsi="宋体" w:cs="宋体" w:eastAsia="宋体" w:hint="default"/>
                <w:sz w:val="18"/>
                <w:szCs w:val="18"/>
              </w:rPr>
              <w:t>公司生产经营情况、行业发展趋势等</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40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4"/>
                <w:sz w:val="18"/>
                <w:szCs w:val="18"/>
              </w:rPr>
              <w:t>平安证券有限责任公司；深圳前海黑天鹅资</w:t>
            </w:r>
            <w:r>
              <w:rPr>
                <w:rFonts w:ascii="宋体" w:hAnsi="宋体" w:cs="宋体" w:eastAsia="宋体" w:hint="default"/>
                <w:sz w:val="18"/>
                <w:szCs w:val="18"/>
              </w:rPr>
              <w:t> 产管理有限公司；金鹰基金管理有限公司</w:t>
            </w:r>
          </w:p>
        </w:tc>
        <w:tc>
          <w:tcPr>
            <w:tcW w:w="297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3"/>
              <w:jc w:val="right"/>
              <w:rPr>
                <w:rFonts w:ascii="宋体" w:hAnsi="宋体" w:cs="宋体" w:eastAsia="宋体" w:hint="default"/>
                <w:sz w:val="18"/>
                <w:szCs w:val="18"/>
              </w:rPr>
            </w:pPr>
            <w:r>
              <w:rPr>
                <w:rFonts w:ascii="宋体" w:hAnsi="宋体" w:cs="宋体" w:eastAsia="宋体" w:hint="default"/>
                <w:sz w:val="18"/>
                <w:szCs w:val="18"/>
              </w:rPr>
              <w:t>公司生产经营情况、行业发展趋势等</w:t>
            </w:r>
          </w:p>
        </w:tc>
      </w:tr>
      <w:tr>
        <w:trPr>
          <w:trHeight w:val="102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5"/>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74"/>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40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pacing w:val="-4"/>
                <w:sz w:val="18"/>
                <w:szCs w:val="18"/>
              </w:rPr>
              <w:t>广发证券股份有限公司；中银基金管理有限</w:t>
            </w:r>
            <w:r>
              <w:rPr>
                <w:rFonts w:ascii="宋体" w:hAnsi="宋体" w:cs="宋体" w:eastAsia="宋体" w:hint="default"/>
                <w:sz w:val="18"/>
                <w:szCs w:val="18"/>
              </w:rPr>
              <w:t> 公司；上海申银万国证券研究所有限公司 申万菱信基金管理有限公司</w:t>
            </w:r>
          </w:p>
        </w:tc>
        <w:tc>
          <w:tcPr>
            <w:tcW w:w="297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8" w:right="63"/>
              <w:jc w:val="right"/>
              <w:rPr>
                <w:rFonts w:ascii="宋体" w:hAnsi="宋体" w:cs="宋体" w:eastAsia="宋体" w:hint="default"/>
                <w:sz w:val="18"/>
                <w:szCs w:val="18"/>
              </w:rPr>
            </w:pPr>
            <w:r>
              <w:rPr>
                <w:rFonts w:ascii="宋体" w:hAnsi="宋体" w:cs="宋体" w:eastAsia="宋体" w:hint="default"/>
                <w:spacing w:val="-2"/>
                <w:sz w:val="18"/>
                <w:szCs w:val="18"/>
              </w:rPr>
              <w:t>；公司生产经营情况、行业发展趋势等</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40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4"/>
                <w:sz w:val="18"/>
                <w:szCs w:val="18"/>
              </w:rPr>
              <w:t>光大证券股份有限公司；银泰证券有限责任</w:t>
            </w:r>
            <w:r>
              <w:rPr>
                <w:rFonts w:ascii="宋体" w:hAnsi="宋体" w:cs="宋体" w:eastAsia="宋体" w:hint="default"/>
                <w:sz w:val="18"/>
                <w:szCs w:val="18"/>
              </w:rPr>
              <w:t> 公司</w:t>
            </w:r>
          </w:p>
        </w:tc>
        <w:tc>
          <w:tcPr>
            <w:tcW w:w="297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3"/>
              <w:jc w:val="right"/>
              <w:rPr>
                <w:rFonts w:ascii="宋体" w:hAnsi="宋体" w:cs="宋体" w:eastAsia="宋体" w:hint="default"/>
                <w:sz w:val="18"/>
                <w:szCs w:val="18"/>
              </w:rPr>
            </w:pPr>
            <w:r>
              <w:rPr>
                <w:rFonts w:ascii="宋体" w:hAnsi="宋体" w:cs="宋体" w:eastAsia="宋体" w:hint="default"/>
                <w:sz w:val="18"/>
                <w:szCs w:val="18"/>
              </w:rPr>
              <w:t>公司生产经营情况、行业发展趋势等</w:t>
            </w:r>
          </w:p>
        </w:tc>
      </w:tr>
      <w:tr>
        <w:trPr>
          <w:trHeight w:val="40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1"/>
              <w:ind w:right="55"/>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4"/>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40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安信证券股份有限公司</w:t>
            </w:r>
          </w:p>
        </w:tc>
        <w:tc>
          <w:tcPr>
            <w:tcW w:w="297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1"/>
              <w:ind w:right="63"/>
              <w:jc w:val="right"/>
              <w:rPr>
                <w:rFonts w:ascii="宋体" w:hAnsi="宋体" w:cs="宋体" w:eastAsia="宋体" w:hint="default"/>
                <w:sz w:val="18"/>
                <w:szCs w:val="18"/>
              </w:rPr>
            </w:pPr>
            <w:r>
              <w:rPr>
                <w:rFonts w:ascii="宋体" w:hAnsi="宋体" w:cs="宋体" w:eastAsia="宋体" w:hint="default"/>
                <w:sz w:val="18"/>
                <w:szCs w:val="18"/>
              </w:rPr>
              <w:t>公司生产经营情况、行业发展趋势等</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40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4"/>
                <w:sz w:val="18"/>
                <w:szCs w:val="18"/>
              </w:rPr>
              <w:t>融通基金管理有限公司；诺安基金管理有限</w:t>
            </w:r>
            <w:r>
              <w:rPr>
                <w:rFonts w:ascii="宋体" w:hAnsi="宋体" w:cs="宋体" w:eastAsia="宋体" w:hint="default"/>
                <w:sz w:val="18"/>
                <w:szCs w:val="18"/>
              </w:rPr>
              <w:t> 公司；</w:t>
            </w:r>
          </w:p>
        </w:tc>
        <w:tc>
          <w:tcPr>
            <w:tcW w:w="297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3"/>
              <w:jc w:val="right"/>
              <w:rPr>
                <w:rFonts w:ascii="宋体" w:hAnsi="宋体" w:cs="宋体" w:eastAsia="宋体" w:hint="default"/>
                <w:sz w:val="18"/>
                <w:szCs w:val="18"/>
              </w:rPr>
            </w:pPr>
            <w:r>
              <w:rPr>
                <w:rFonts w:ascii="宋体" w:hAnsi="宋体" w:cs="宋体" w:eastAsia="宋体" w:hint="default"/>
                <w:sz w:val="18"/>
                <w:szCs w:val="18"/>
              </w:rPr>
              <w:t>公司生产经营情况、行业发展趋势等</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40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pacing w:val="-4"/>
                <w:sz w:val="18"/>
                <w:szCs w:val="18"/>
              </w:rPr>
              <w:t>民生证券股份有限公司；摩根士丹利华鑫基</w:t>
            </w:r>
            <w:r>
              <w:rPr>
                <w:rFonts w:ascii="宋体" w:hAnsi="宋体" w:cs="宋体" w:eastAsia="宋体" w:hint="default"/>
                <w:sz w:val="18"/>
                <w:szCs w:val="18"/>
              </w:rPr>
              <w:t> 金管理有限公司</w:t>
            </w:r>
          </w:p>
        </w:tc>
        <w:tc>
          <w:tcPr>
            <w:tcW w:w="297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3"/>
              <w:jc w:val="right"/>
              <w:rPr>
                <w:rFonts w:ascii="宋体" w:hAnsi="宋体" w:cs="宋体" w:eastAsia="宋体" w:hint="default"/>
                <w:sz w:val="18"/>
                <w:szCs w:val="18"/>
              </w:rPr>
            </w:pPr>
            <w:r>
              <w:rPr>
                <w:rFonts w:ascii="宋体" w:hAnsi="宋体" w:cs="宋体" w:eastAsia="宋体" w:hint="default"/>
                <w:sz w:val="18"/>
                <w:szCs w:val="18"/>
              </w:rPr>
              <w:t>公司生产经营情况、行业发展趋势等</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right="55"/>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4"/>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40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瑞银证券有限责任公司</w:t>
            </w:r>
          </w:p>
        </w:tc>
        <w:tc>
          <w:tcPr>
            <w:tcW w:w="297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right="63"/>
              <w:jc w:val="right"/>
              <w:rPr>
                <w:rFonts w:ascii="宋体" w:hAnsi="宋体" w:cs="宋体" w:eastAsia="宋体" w:hint="default"/>
                <w:sz w:val="18"/>
                <w:szCs w:val="18"/>
              </w:rPr>
            </w:pPr>
            <w:r>
              <w:rPr>
                <w:rFonts w:ascii="宋体" w:hAnsi="宋体" w:cs="宋体" w:eastAsia="宋体" w:hint="default"/>
                <w:sz w:val="18"/>
                <w:szCs w:val="18"/>
              </w:rPr>
              <w:t>公司生产经营情况、行业发展趋势等</w:t>
            </w:r>
          </w:p>
        </w:tc>
      </w:tr>
    </w:tbl>
    <w:p>
      <w:pPr>
        <w:spacing w:after="0" w:line="240" w:lineRule="auto"/>
        <w:jc w:val="right"/>
        <w:rPr>
          <w:rFonts w:ascii="宋体" w:hAnsi="宋体" w:cs="宋体" w:eastAsia="宋体" w:hint="default"/>
          <w:sz w:val="18"/>
          <w:szCs w:val="18"/>
        </w:rPr>
        <w:sectPr>
          <w:pgSz w:w="11910" w:h="16840"/>
          <w:pgMar w:header="745" w:footer="980" w:top="1060" w:bottom="1160" w:left="320" w:right="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 w:right="0"/>
        <w:jc w:val="center"/>
        <w:rPr>
          <w:b w:val="0"/>
          <w:bCs w:val="0"/>
        </w:rPr>
      </w:pPr>
      <w:bookmarkStart w:name="_TOC_250007" w:id="5"/>
      <w:r>
        <w:rPr/>
        <w:t>第五节</w:t>
      </w:r>
      <w:r>
        <w:rPr>
          <w:spacing w:val="-2"/>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46"/>
        <w:jc w:val="left"/>
        <w:rPr>
          <w:b w:val="0"/>
          <w:bCs w:val="0"/>
        </w:rPr>
      </w:pPr>
      <w:r>
        <w:rPr/>
        <w:t>一、重大诉讼仲裁事项</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本报告期公司无重大诉讼、仲裁事项。</w:t>
      </w:r>
    </w:p>
    <w:p>
      <w:pPr>
        <w:spacing w:line="240" w:lineRule="auto" w:before="4"/>
        <w:rPr>
          <w:rFonts w:ascii="宋体" w:hAnsi="宋体" w:cs="宋体" w:eastAsia="宋体" w:hint="default"/>
          <w:sz w:val="19"/>
          <w:szCs w:val="19"/>
        </w:rPr>
      </w:pPr>
    </w:p>
    <w:p>
      <w:pPr>
        <w:pStyle w:val="Heading2"/>
        <w:spacing w:line="240" w:lineRule="auto"/>
        <w:ind w:right="146"/>
        <w:jc w:val="left"/>
        <w:rPr>
          <w:b w:val="0"/>
          <w:bCs w:val="0"/>
        </w:rPr>
      </w:pPr>
      <w:r>
        <w:rPr/>
        <w:t>二、媒体质疑情况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8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本报告期公司无媒体普遍质疑事项。</w:t>
      </w:r>
    </w:p>
    <w:p>
      <w:pPr>
        <w:spacing w:line="240" w:lineRule="auto" w:before="7"/>
        <w:rPr>
          <w:rFonts w:ascii="宋体" w:hAnsi="宋体" w:cs="宋体" w:eastAsia="宋体" w:hint="default"/>
          <w:sz w:val="19"/>
          <w:szCs w:val="19"/>
        </w:rPr>
      </w:pPr>
    </w:p>
    <w:p>
      <w:pPr>
        <w:pStyle w:val="Heading2"/>
        <w:spacing w:line="240" w:lineRule="auto"/>
        <w:ind w:right="146"/>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40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146"/>
        <w:jc w:val="left"/>
        <w:rPr>
          <w:b w:val="0"/>
          <w:bCs w:val="0"/>
        </w:rPr>
      </w:pPr>
      <w:r>
        <w:rPr/>
        <w:t>四、破产重整相关事项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8"/>
        <w:rPr>
          <w:rFonts w:ascii="宋体" w:hAnsi="宋体" w:cs="宋体" w:eastAsia="宋体" w:hint="default"/>
          <w:sz w:val="19"/>
          <w:szCs w:val="19"/>
        </w:rPr>
      </w:pPr>
    </w:p>
    <w:p>
      <w:pPr>
        <w:pStyle w:val="Heading2"/>
        <w:spacing w:line="240" w:lineRule="auto"/>
        <w:ind w:right="146"/>
        <w:jc w:val="left"/>
        <w:rPr>
          <w:b w:val="0"/>
          <w:bCs w:val="0"/>
        </w:rPr>
      </w:pPr>
      <w:r>
        <w:rPr/>
        <w:t>五、资产交易事项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6"/>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公司报告期未收购资产。</w:t>
      </w:r>
    </w:p>
    <w:p>
      <w:pPr>
        <w:spacing w:line="240" w:lineRule="auto" w:before="5"/>
        <w:rPr>
          <w:rFonts w:ascii="宋体" w:hAnsi="宋体" w:cs="宋体" w:eastAsia="宋体" w:hint="default"/>
          <w:sz w:val="21"/>
          <w:szCs w:val="21"/>
        </w:rPr>
      </w:pPr>
    </w:p>
    <w:p>
      <w:pPr>
        <w:pStyle w:val="Heading3"/>
        <w:spacing w:line="240" w:lineRule="auto"/>
        <w:ind w:right="146"/>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公司报告期未出售资产。</w:t>
      </w:r>
    </w:p>
    <w:p>
      <w:pPr>
        <w:spacing w:line="240" w:lineRule="auto" w:before="7"/>
        <w:rPr>
          <w:rFonts w:ascii="宋体" w:hAnsi="宋体" w:cs="宋体" w:eastAsia="宋体" w:hint="default"/>
          <w:sz w:val="21"/>
          <w:szCs w:val="21"/>
        </w:rPr>
      </w:pPr>
    </w:p>
    <w:p>
      <w:pPr>
        <w:pStyle w:val="Heading3"/>
        <w:spacing w:line="240" w:lineRule="auto"/>
        <w:ind w:right="146"/>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公司报告期未发生企业合并情况。</w:t>
      </w:r>
    </w:p>
    <w:p>
      <w:pPr>
        <w:spacing w:line="240" w:lineRule="auto" w:before="4"/>
        <w:rPr>
          <w:rFonts w:ascii="宋体" w:hAnsi="宋体" w:cs="宋体" w:eastAsia="宋体" w:hint="default"/>
          <w:sz w:val="19"/>
          <w:szCs w:val="19"/>
        </w:rPr>
      </w:pPr>
    </w:p>
    <w:p>
      <w:pPr>
        <w:pStyle w:val="Heading2"/>
        <w:spacing w:line="240" w:lineRule="auto"/>
        <w:ind w:right="146"/>
        <w:jc w:val="left"/>
        <w:rPr>
          <w:b w:val="0"/>
          <w:bCs w:val="0"/>
        </w:rPr>
      </w:pPr>
      <w:r>
        <w:rPr/>
        <w:t>六、公司股权激励的实施情况及其影响</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4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00" w:lineRule="auto" w:before="44"/>
        <w:ind w:left="672" w:right="691" w:firstLine="36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12</w:t>
      </w:r>
      <w:r>
        <w:rPr>
          <w:spacing w:val="-2"/>
        </w:rPr>
        <w:t>日，御银股份第四届董事会第十四次会议审议通过了《关于对首期股票期权激励计划进行调整及注销部</w:t>
      </w:r>
      <w:r>
        <w:rPr/>
        <w:t> </w:t>
      </w:r>
      <w:r>
        <w:rPr>
          <w:spacing w:val="-2"/>
        </w:rPr>
        <w:t>分已授予股票期权的议案》，经本次调整及注销后，首期股票期权激励计划的激励对象人数由</w:t>
      </w:r>
      <w:r>
        <w:rPr>
          <w:rFonts w:ascii="Times New Roman" w:hAnsi="Times New Roman" w:cs="Times New Roman" w:eastAsia="Times New Roman" w:hint="default"/>
          <w:spacing w:val="-2"/>
        </w:rPr>
        <w:t>20</w:t>
      </w:r>
      <w:r>
        <w:rPr>
          <w:spacing w:val="-2"/>
        </w:rPr>
        <w:t>人减少至</w:t>
      </w:r>
      <w:r>
        <w:rPr>
          <w:rFonts w:ascii="Times New Roman" w:hAnsi="Times New Roman" w:cs="Times New Roman" w:eastAsia="Times New Roman" w:hint="default"/>
          <w:spacing w:val="-2"/>
        </w:rPr>
        <w:t>17</w:t>
      </w:r>
      <w:r>
        <w:rPr>
          <w:spacing w:val="-2"/>
        </w:rPr>
        <w:t>人，其中：首次</w:t>
      </w:r>
      <w:r>
        <w:rPr>
          <w:spacing w:val="-64"/>
        </w:rPr>
        <w:t> </w:t>
      </w:r>
      <w:r>
        <w:rPr>
          <w:spacing w:val="-64"/>
        </w:rPr>
      </w:r>
      <w:r>
        <w:rPr>
          <w:spacing w:val="-1"/>
        </w:rPr>
        <w:t>授予股票期权的激励对象</w:t>
      </w:r>
      <w:r>
        <w:rPr>
          <w:rFonts w:ascii="Times New Roman" w:hAnsi="Times New Roman" w:cs="Times New Roman" w:eastAsia="Times New Roman" w:hint="default"/>
          <w:spacing w:val="-1"/>
        </w:rPr>
        <w:t>17</w:t>
      </w:r>
      <w:r>
        <w:rPr>
          <w:spacing w:val="-1"/>
        </w:rPr>
        <w:t>人，预留股票期权的激励对象人数</w:t>
      </w:r>
      <w:r>
        <w:rPr>
          <w:rFonts w:ascii="Times New Roman" w:hAnsi="Times New Roman" w:cs="Times New Roman" w:eastAsia="Times New Roman" w:hint="default"/>
          <w:spacing w:val="-1"/>
        </w:rPr>
        <w:t>0</w:t>
      </w:r>
      <w:r>
        <w:rPr>
          <w:spacing w:val="-1"/>
        </w:rPr>
        <w:t>人。首次已授予股票期权数量调整为</w:t>
      </w:r>
      <w:r>
        <w:rPr>
          <w:rFonts w:ascii="Times New Roman" w:hAnsi="Times New Roman" w:cs="Times New Roman" w:eastAsia="Times New Roman" w:hint="default"/>
          <w:spacing w:val="-1"/>
        </w:rPr>
        <w:t>149.396</w:t>
      </w:r>
      <w:r>
        <w:rPr>
          <w:spacing w:val="-1"/>
        </w:rPr>
        <w:t>万份，行权价格</w:t>
      </w:r>
      <w:r>
        <w:rPr>
          <w:spacing w:val="-75"/>
        </w:rPr>
        <w:t> </w:t>
      </w:r>
      <w:r>
        <w:rPr>
          <w:spacing w:val="-75"/>
        </w:rPr>
      </w:r>
      <w:r>
        <w:rPr/>
        <w:t>调整为</w:t>
      </w:r>
      <w:r>
        <w:rPr>
          <w:rFonts w:ascii="Times New Roman" w:hAnsi="Times New Roman" w:cs="Times New Roman" w:eastAsia="Times New Roman" w:hint="default"/>
        </w:rPr>
        <w:t>5.32</w:t>
      </w:r>
      <w:r>
        <w:rPr/>
        <w:t>元；预留部分股票期权数量调整为</w:t>
      </w:r>
      <w:r>
        <w:rPr>
          <w:rFonts w:ascii="Times New Roman" w:hAnsi="Times New Roman" w:cs="Times New Roman" w:eastAsia="Times New Roman" w:hint="default"/>
        </w:rPr>
        <w:t>0</w:t>
      </w:r>
      <w:r>
        <w:rPr/>
        <w:t>万份。独立董事对该事项发表了同意的独立意见。</w:t>
      </w:r>
    </w:p>
    <w:p>
      <w:pPr>
        <w:pStyle w:val="BodyText"/>
        <w:spacing w:line="309" w:lineRule="auto" w:before="53"/>
        <w:ind w:left="672" w:right="692" w:firstLine="36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12</w:t>
      </w:r>
      <w:r>
        <w:rPr>
          <w:spacing w:val="-2"/>
        </w:rPr>
        <w:t>日，御银股份第四届监事会第九次会议审议通过了《关于对首期股票期权激励计划进行调整及注销部分已</w:t>
      </w:r>
      <w:r>
        <w:rPr/>
        <w:t> </w:t>
      </w:r>
      <w:r>
        <w:rPr>
          <w:spacing w:val="-2"/>
        </w:rPr>
        <w:t>授予股票期权的议案》及《关于核实公司股票期权激励计划激励对象名单的议案》，同意按相关规定对首期股票期权激励计</w:t>
      </w:r>
      <w:r>
        <w:rPr>
          <w:spacing w:val="-66"/>
        </w:rPr>
        <w:t> </w:t>
      </w:r>
      <w:r>
        <w:rPr>
          <w:spacing w:val="-66"/>
        </w:rPr>
      </w:r>
      <w:r>
        <w:rPr/>
        <w:t>划进行调整及注销部分已授予股票期权，并核实了股票期权激励计划激励对象名单。</w:t>
      </w:r>
    </w:p>
    <w:p>
      <w:pPr>
        <w:pStyle w:val="BodyText"/>
        <w:spacing w:line="240" w:lineRule="auto" w:before="62"/>
        <w:ind w:left="1033" w:right="0"/>
        <w:jc w:val="left"/>
      </w:pPr>
      <w:r>
        <w:rPr/>
        <w:t>内容详见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日在《证券时报》、《中国证券报》、《上海证券报》及巨潮资讯</w:t>
      </w:r>
      <w:hyperlink r:id="rId14">
        <w:r>
          <w:rPr>
            <w:rFonts w:ascii="Times New Roman" w:hAnsi="Times New Roman" w:cs="Times New Roman" w:eastAsia="Times New Roman" w:hint="default"/>
          </w:rPr>
          <w:t>http://www.cninfo.com.cn</w:t>
        </w:r>
        <w:r>
          <w:rPr/>
          <w:t>刊登的</w:t>
        </w:r>
      </w:hyperlink>
    </w:p>
    <w:p>
      <w:pPr>
        <w:pStyle w:val="BodyText"/>
        <w:spacing w:line="240" w:lineRule="auto" w:before="63"/>
        <w:ind w:left="672" w:right="0"/>
        <w:jc w:val="left"/>
      </w:pPr>
      <w:r>
        <w:rPr/>
        <w:t>《关于对首期股票期权激励计划进行调整及注销部分已授予股票期权的公告》（</w:t>
      </w:r>
      <w:r>
        <w:rPr>
          <w:rFonts w:ascii="Times New Roman" w:hAnsi="Times New Roman" w:cs="Times New Roman" w:eastAsia="Times New Roman" w:hint="default"/>
        </w:rPr>
        <w:t>2014-023</w:t>
      </w:r>
      <w:r>
        <w:rPr/>
        <w:t>）。</w:t>
      </w:r>
    </w:p>
    <w:p>
      <w:pPr>
        <w:pStyle w:val="BodyText"/>
        <w:spacing w:line="300" w:lineRule="auto" w:before="103"/>
        <w:ind w:left="672" w:right="691" w:firstLine="360"/>
        <w:jc w:val="both"/>
      </w:pPr>
      <w:r>
        <w:rPr>
          <w:rFonts w:ascii="Times New Roman" w:hAnsi="Times New Roman" w:cs="Times New Roman" w:eastAsia="Times New Roman" w:hint="default"/>
          <w:spacing w:val="-2"/>
        </w:rPr>
        <w:t>2</w:t>
      </w:r>
      <w:r>
        <w:rPr>
          <w:spacing w:val="-2"/>
        </w:rPr>
        <w:t>、经中国证券登记结算有限责任公司深圳分公司审核确认，公司于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27</w:t>
      </w:r>
      <w:r>
        <w:rPr>
          <w:spacing w:val="-2"/>
        </w:rPr>
        <w:t>日完成上述调整剂注销部分已授予股票</w:t>
      </w:r>
      <w:r>
        <w:rPr/>
        <w:t> 期权的事宜。</w:t>
      </w:r>
    </w:p>
    <w:p>
      <w:pPr>
        <w:pStyle w:val="BodyText"/>
        <w:spacing w:line="240" w:lineRule="auto" w:before="72"/>
        <w:ind w:left="1033" w:right="0"/>
        <w:jc w:val="left"/>
      </w:pPr>
      <w:r>
        <w:rPr/>
        <w:t>内容详见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日在《证券时报》、《中国证券报》、《上海证券报》及巨潮资讯</w:t>
      </w:r>
      <w:hyperlink r:id="rId14">
        <w:r>
          <w:rPr>
            <w:rFonts w:ascii="Times New Roman" w:hAnsi="Times New Roman" w:cs="Times New Roman" w:eastAsia="Times New Roman" w:hint="default"/>
          </w:rPr>
          <w:t>http://www.cninfo.com.cn</w:t>
        </w:r>
        <w:r>
          <w:rPr/>
          <w:t>刊登的</w:t>
        </w:r>
      </w:hyperlink>
    </w:p>
    <w:p>
      <w:pPr>
        <w:pStyle w:val="BodyText"/>
        <w:spacing w:line="240" w:lineRule="auto" w:before="63"/>
        <w:ind w:left="672" w:right="0"/>
        <w:jc w:val="left"/>
      </w:pPr>
      <w:r>
        <w:rPr/>
        <w:t>《关于首期股票期权激励计划部分已授予股票期权注销完成公告》（</w:t>
      </w:r>
      <w:r>
        <w:rPr>
          <w:rFonts w:ascii="Times New Roman" w:hAnsi="Times New Roman" w:cs="Times New Roman" w:eastAsia="Times New Roman" w:hint="default"/>
        </w:rPr>
        <w:t>2014-026</w:t>
      </w:r>
      <w:r>
        <w:rPr/>
        <w:t>）。</w:t>
      </w:r>
    </w:p>
    <w:p>
      <w:pPr>
        <w:pStyle w:val="BodyText"/>
        <w:spacing w:line="300" w:lineRule="auto" w:before="102"/>
        <w:ind w:left="672" w:right="686" w:firstLine="36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21</w:t>
      </w:r>
      <w:r>
        <w:rPr/>
        <w:t>日，公司第四届董事会第十五次会议审议通过了《关于终止实施</w:t>
      </w:r>
      <w:r>
        <w:rPr>
          <w:rFonts w:ascii="Times New Roman" w:hAnsi="Times New Roman" w:cs="Times New Roman" w:eastAsia="Times New Roman" w:hint="default"/>
        </w:rPr>
        <w:t>&lt;</w:t>
      </w:r>
      <w:r>
        <w:rPr/>
        <w:t>广州御银科技股份有限公司股票期权 激励计划（草案）修订稿</w:t>
      </w:r>
      <w:r>
        <w:rPr>
          <w:rFonts w:ascii="Times New Roman" w:hAnsi="Times New Roman" w:cs="Times New Roman" w:eastAsia="Times New Roman" w:hint="default"/>
        </w:rPr>
        <w:t>&gt;</w:t>
      </w:r>
      <w:r>
        <w:rPr/>
        <w:t>并注销已授予股票期权的议案》，根据股东大会关于股权激励计划的授权，董事会经审慎研究决 </w:t>
      </w:r>
      <w:r>
        <w:rPr>
          <w:spacing w:val="3"/>
        </w:rPr>
        <w:t>定同意终止正在实施的股票期权激励计划并注销首次授予股票期权的激励对象</w:t>
      </w:r>
      <w:r>
        <w:rPr>
          <w:rFonts w:ascii="Times New Roman" w:hAnsi="Times New Roman" w:cs="Times New Roman" w:eastAsia="Times New Roman" w:hint="default"/>
          <w:spacing w:val="3"/>
        </w:rPr>
        <w:t>17</w:t>
      </w:r>
      <w:r>
        <w:rPr>
          <w:spacing w:val="3"/>
        </w:rPr>
        <w:t>人的已授予但未行权股票期权</w:t>
      </w:r>
      <w:r>
        <w:rPr>
          <w:rFonts w:ascii="Times New Roman" w:hAnsi="Times New Roman" w:cs="Times New Roman" w:eastAsia="Times New Roman" w:hint="default"/>
          <w:spacing w:val="3"/>
        </w:rPr>
        <w:t>149.396</w:t>
      </w:r>
      <w:r>
        <w:rPr>
          <w:spacing w:val="3"/>
        </w:rPr>
        <w:t>万</w:t>
      </w:r>
      <w:r>
        <w:rPr>
          <w:spacing w:val="-60"/>
        </w:rPr>
        <w:t> </w:t>
      </w:r>
      <w:r>
        <w:rPr>
          <w:spacing w:val="-1"/>
        </w:rPr>
        <w:t>份。本次公司股票期权激励计划的终止，预计影响公司</w:t>
      </w:r>
      <w:r>
        <w:rPr>
          <w:rFonts w:ascii="Times New Roman" w:hAnsi="Times New Roman" w:cs="Times New Roman" w:eastAsia="Times New Roman" w:hint="default"/>
          <w:spacing w:val="-1"/>
        </w:rPr>
        <w:t>2014</w:t>
      </w:r>
      <w:r>
        <w:rPr>
          <w:spacing w:val="-1"/>
        </w:rPr>
        <w:t>年度损益约</w:t>
      </w:r>
      <w:r>
        <w:rPr>
          <w:rFonts w:ascii="Times New Roman" w:hAnsi="Times New Roman" w:cs="Times New Roman" w:eastAsia="Times New Roman" w:hint="default"/>
          <w:spacing w:val="-1"/>
        </w:rPr>
        <w:t>109.25</w:t>
      </w:r>
      <w:r>
        <w:rPr>
          <w:spacing w:val="-1"/>
        </w:rPr>
        <w:t>万元。独立董事对该事项发表了同意的独立意</w:t>
      </w:r>
      <w:r>
        <w:rPr>
          <w:spacing w:val="-74"/>
        </w:rPr>
        <w:t> </w:t>
      </w:r>
      <w:r>
        <w:rPr>
          <w:spacing w:val="-74"/>
        </w:rPr>
      </w:r>
      <w:r>
        <w:rPr/>
        <w:t>见。</w:t>
      </w:r>
    </w:p>
    <w:p>
      <w:pPr>
        <w:pStyle w:val="BodyText"/>
        <w:spacing w:line="300" w:lineRule="auto" w:before="72"/>
        <w:ind w:left="672" w:right="691"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21</w:t>
      </w:r>
      <w:r>
        <w:rPr/>
        <w:t>日，公司第四届监事会第十次会议审议通过了《关于终止实施</w:t>
      </w:r>
      <w:r>
        <w:rPr>
          <w:rFonts w:ascii="Times New Roman" w:hAnsi="Times New Roman" w:cs="Times New Roman" w:eastAsia="Times New Roman" w:hint="default"/>
        </w:rPr>
        <w:t>&lt;</w:t>
      </w:r>
      <w:r>
        <w:rPr/>
        <w:t>广州御银科技股份有限公司股票期权激励 计划（草案）修订稿</w:t>
      </w:r>
      <w:r>
        <w:rPr>
          <w:rFonts w:ascii="Times New Roman" w:hAnsi="Times New Roman" w:cs="Times New Roman" w:eastAsia="Times New Roman" w:hint="default"/>
        </w:rPr>
        <w:t>&gt;</w:t>
      </w:r>
      <w:r>
        <w:rPr/>
        <w:t>并注销已授予股票期权的议案》，同意公司根据相关规定终止正在实施的股票期权激励计划并注销已 授予未行权的股票期权。</w:t>
      </w:r>
    </w:p>
    <w:p>
      <w:pPr>
        <w:pStyle w:val="BodyText"/>
        <w:spacing w:line="240" w:lineRule="auto" w:before="72"/>
        <w:ind w:left="1033" w:right="0"/>
        <w:jc w:val="left"/>
      </w:pPr>
      <w:r>
        <w:rPr/>
        <w:t>内容详见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23</w:t>
      </w:r>
      <w:r>
        <w:rPr/>
        <w:t>日在《证券时报》、《中国证券报》、《上海证券报》及巨潮资讯</w:t>
      </w:r>
      <w:hyperlink r:id="rId14">
        <w:r>
          <w:rPr>
            <w:rFonts w:ascii="Times New Roman" w:hAnsi="Times New Roman" w:cs="Times New Roman" w:eastAsia="Times New Roman" w:hint="default"/>
          </w:rPr>
          <w:t>http://www.cninfo.com.cn</w:t>
        </w:r>
        <w:r>
          <w:rPr/>
          <w:t>刊登的</w:t>
        </w:r>
      </w:hyperlink>
    </w:p>
    <w:p>
      <w:pPr>
        <w:pStyle w:val="BodyText"/>
        <w:spacing w:line="338" w:lineRule="auto" w:before="63"/>
        <w:ind w:left="1033" w:right="0" w:hanging="361"/>
        <w:jc w:val="left"/>
      </w:pPr>
      <w:r>
        <w:rPr>
          <w:spacing w:val="-7"/>
        </w:rPr>
        <w:t>《关于终止实施</w:t>
      </w:r>
      <w:r>
        <w:rPr>
          <w:rFonts w:ascii="Times New Roman" w:hAnsi="Times New Roman" w:cs="Times New Roman" w:eastAsia="Times New Roman" w:hint="default"/>
          <w:spacing w:val="-7"/>
        </w:rPr>
        <w:t>&lt;</w:t>
      </w:r>
      <w:r>
        <w:rPr>
          <w:spacing w:val="-7"/>
        </w:rPr>
        <w:t>广州御银科技股份有限公司股票期权激励计划（草案）修订稿</w:t>
      </w:r>
      <w:r>
        <w:rPr>
          <w:rFonts w:ascii="Times New Roman" w:hAnsi="Times New Roman" w:cs="Times New Roman" w:eastAsia="Times New Roman" w:hint="default"/>
          <w:spacing w:val="-7"/>
        </w:rPr>
        <w:t>&gt;</w:t>
      </w:r>
      <w:r>
        <w:rPr>
          <w:spacing w:val="-7"/>
        </w:rPr>
        <w:t>并注销已授予股票期权的公告》（</w:t>
      </w:r>
      <w:r>
        <w:rPr>
          <w:rFonts w:ascii="Times New Roman" w:hAnsi="Times New Roman" w:cs="Times New Roman" w:eastAsia="Times New Roman" w:hint="default"/>
          <w:spacing w:val="-7"/>
        </w:rPr>
        <w:t>2014-030</w:t>
      </w:r>
      <w:r>
        <w:rPr>
          <w:spacing w:val="-7"/>
        </w:rPr>
        <w:t>）。</w:t>
      </w:r>
      <w:r>
        <w:rPr>
          <w:spacing w:val="-84"/>
        </w:rPr>
        <w:t> </w:t>
      </w:r>
      <w:r>
        <w:rPr>
          <w:rFonts w:ascii="Times New Roman" w:hAnsi="Times New Roman" w:cs="Times New Roman" w:eastAsia="Times New Roman" w:hint="default"/>
          <w:spacing w:val="-4"/>
        </w:rPr>
        <w:t>4</w:t>
      </w:r>
      <w:r>
        <w:rPr>
          <w:spacing w:val="-4"/>
        </w:rPr>
        <w:t>、经中国证券登记结算有限责任公司深圳分公司审核确认，公司于</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25</w:t>
      </w:r>
      <w:r>
        <w:rPr>
          <w:spacing w:val="-4"/>
        </w:rPr>
        <w:t>日完成全部已授予股票期权的注销事宜。</w:t>
      </w:r>
      <w:r>
        <w:rPr/>
        <w:t> </w:t>
      </w:r>
      <w:r>
        <w:rPr>
          <w:spacing w:val="-2"/>
        </w:rPr>
        <w:t>内容详见</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29</w:t>
      </w:r>
      <w:r>
        <w:rPr>
          <w:spacing w:val="-2"/>
        </w:rPr>
        <w:t>日在《证券时报》、《中国证券报》、《上海证券报》及巨潮资讯</w:t>
      </w:r>
      <w:hyperlink r:id="rId14">
        <w:r>
          <w:rPr>
            <w:rFonts w:ascii="Times New Roman" w:hAnsi="Times New Roman" w:cs="Times New Roman" w:eastAsia="Times New Roman" w:hint="default"/>
            <w:spacing w:val="-2"/>
          </w:rPr>
          <w:t>http://www.cninfo.com.cn</w:t>
        </w:r>
        <w:r>
          <w:rPr>
            <w:spacing w:val="-2"/>
          </w:rPr>
          <w:t>刊登的</w:t>
        </w:r>
      </w:hyperlink>
    </w:p>
    <w:p>
      <w:pPr>
        <w:pStyle w:val="BodyText"/>
        <w:spacing w:line="230" w:lineRule="exact"/>
        <w:ind w:left="672" w:right="0"/>
        <w:jc w:val="left"/>
      </w:pPr>
      <w:r>
        <w:rPr/>
        <w:t>《关于首期股票期权激励计划已授予股票期权全部注销完成的公告》（</w:t>
      </w:r>
      <w:r>
        <w:rPr>
          <w:rFonts w:ascii="Times New Roman" w:hAnsi="Times New Roman" w:cs="Times New Roman" w:eastAsia="Times New Roman" w:hint="default"/>
        </w:rPr>
        <w:t>2014-031</w:t>
      </w:r>
      <w:r>
        <w:rPr/>
        <w:t>）。</w:t>
      </w:r>
    </w:p>
    <w:p>
      <w:pPr>
        <w:spacing w:line="240" w:lineRule="auto" w:before="3"/>
        <w:rPr>
          <w:rFonts w:ascii="宋体" w:hAnsi="宋体" w:cs="宋体" w:eastAsia="宋体" w:hint="default"/>
          <w:sz w:val="24"/>
          <w:szCs w:val="24"/>
        </w:rPr>
      </w:pPr>
    </w:p>
    <w:p>
      <w:pPr>
        <w:pStyle w:val="Heading2"/>
        <w:spacing w:line="240" w:lineRule="auto"/>
        <w:ind w:left="672" w:right="0"/>
        <w:jc w:val="left"/>
        <w:rPr>
          <w:b w:val="0"/>
          <w:bCs w:val="0"/>
        </w:rPr>
      </w:pPr>
      <w:r>
        <w:rPr/>
        <w:t>七、重大关联交易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672"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67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850"/>
        <w:gridCol w:w="852"/>
        <w:gridCol w:w="708"/>
        <w:gridCol w:w="708"/>
        <w:gridCol w:w="853"/>
        <w:gridCol w:w="708"/>
        <w:gridCol w:w="991"/>
        <w:gridCol w:w="995"/>
        <w:gridCol w:w="848"/>
        <w:gridCol w:w="1040"/>
        <w:gridCol w:w="794"/>
        <w:gridCol w:w="1428"/>
      </w:tblGrid>
      <w:tr>
        <w:trPr>
          <w:trHeight w:val="713"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1" w:right="58" w:hanging="272"/>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 w:right="62"/>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 w:right="38"/>
              <w:jc w:val="left"/>
              <w:rPr>
                <w:rFonts w:ascii="宋体" w:hAnsi="宋体" w:cs="宋体" w:eastAsia="宋体" w:hint="default"/>
                <w:sz w:val="18"/>
                <w:szCs w:val="18"/>
              </w:rPr>
            </w:pPr>
            <w:r>
              <w:rPr>
                <w:rFonts w:ascii="宋体" w:hAnsi="宋体" w:cs="宋体" w:eastAsia="宋体" w:hint="default"/>
                <w:sz w:val="18"/>
                <w:szCs w:val="18"/>
              </w:rPr>
              <w:t>关联交易金 额（万元）</w:t>
            </w:r>
          </w:p>
        </w:tc>
        <w:tc>
          <w:tcPr>
            <w:tcW w:w="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 w:right="42"/>
              <w:jc w:val="left"/>
              <w:rPr>
                <w:rFonts w:ascii="宋体" w:hAnsi="宋体" w:cs="宋体" w:eastAsia="宋体" w:hint="default"/>
                <w:sz w:val="18"/>
                <w:szCs w:val="18"/>
              </w:rPr>
            </w:pPr>
            <w:r>
              <w:rPr>
                <w:rFonts w:ascii="宋体" w:hAnsi="宋体" w:cs="宋体" w:eastAsia="宋体" w:hint="default"/>
                <w:sz w:val="18"/>
                <w:szCs w:val="18"/>
              </w:rPr>
              <w:t>占同类交易 金额的比例</w:t>
            </w:r>
          </w:p>
        </w:tc>
        <w:tc>
          <w:tcPr>
            <w:tcW w:w="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 w:right="59"/>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4" w:right="63"/>
              <w:jc w:val="left"/>
              <w:rPr>
                <w:rFonts w:ascii="宋体" w:hAnsi="宋体" w:cs="宋体" w:eastAsia="宋体" w:hint="default"/>
                <w:sz w:val="18"/>
                <w:szCs w:val="18"/>
              </w:rPr>
            </w:pPr>
            <w:r>
              <w:rPr>
                <w:rFonts w:ascii="宋体" w:hAnsi="宋体" w:cs="宋体" w:eastAsia="宋体" w:hint="default"/>
                <w:sz w:val="18"/>
                <w:szCs w:val="18"/>
              </w:rPr>
              <w:t>可获得的同 类交易市价</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6" w:hRule="exact"/>
        </w:trPr>
        <w:tc>
          <w:tcPr>
            <w:tcW w:w="85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94"/>
              <w:jc w:val="both"/>
              <w:rPr>
                <w:rFonts w:ascii="宋体" w:hAnsi="宋体" w:cs="宋体" w:eastAsia="宋体" w:hint="default"/>
                <w:sz w:val="18"/>
                <w:szCs w:val="18"/>
              </w:rPr>
            </w:pPr>
            <w:r>
              <w:rPr>
                <w:rFonts w:ascii="宋体" w:hAnsi="宋体" w:cs="宋体" w:eastAsia="宋体" w:hint="default"/>
                <w:sz w:val="18"/>
                <w:szCs w:val="18"/>
              </w:rPr>
              <w:t>广州基准 机械电子 科技有限 公司</w:t>
            </w:r>
          </w:p>
        </w:tc>
        <w:tc>
          <w:tcPr>
            <w:tcW w:w="852"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96"/>
              <w:jc w:val="both"/>
              <w:rPr>
                <w:rFonts w:ascii="宋体" w:hAnsi="宋体" w:cs="宋体" w:eastAsia="宋体" w:hint="default"/>
                <w:sz w:val="18"/>
                <w:szCs w:val="18"/>
              </w:rPr>
            </w:pPr>
            <w:r>
              <w:rPr>
                <w:rFonts w:ascii="宋体" w:hAnsi="宋体" w:cs="宋体" w:eastAsia="宋体" w:hint="default"/>
                <w:sz w:val="18"/>
                <w:szCs w:val="18"/>
              </w:rPr>
              <w:t>本公司控 股股东亲 属控制的 企业</w:t>
            </w:r>
          </w:p>
        </w:tc>
        <w:tc>
          <w:tcPr>
            <w:tcW w:w="70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70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电</w:t>
            </w:r>
          </w:p>
          <w:p>
            <w:pPr>
              <w:pStyle w:val="TableParagraph"/>
              <w:spacing w:line="316" w:lineRule="auto" w:before="63"/>
              <w:ind w:left="23" w:right="132"/>
              <w:jc w:val="left"/>
              <w:rPr>
                <w:rFonts w:ascii="宋体" w:hAnsi="宋体" w:cs="宋体" w:eastAsia="宋体" w:hint="default"/>
                <w:sz w:val="18"/>
                <w:szCs w:val="18"/>
              </w:rPr>
            </w:pPr>
            <w:r>
              <w:rPr>
                <w:rFonts w:ascii="宋体" w:hAnsi="宋体" w:cs="宋体" w:eastAsia="宋体" w:hint="default"/>
                <w:sz w:val="18"/>
                <w:szCs w:val="18"/>
              </w:rPr>
              <w:t>子柜加 工采购</w:t>
            </w:r>
          </w:p>
        </w:tc>
        <w:tc>
          <w:tcPr>
            <w:tcW w:w="85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98"/>
              <w:jc w:val="both"/>
              <w:rPr>
                <w:rFonts w:ascii="宋体" w:hAnsi="宋体" w:cs="宋体" w:eastAsia="宋体" w:hint="default"/>
                <w:sz w:val="18"/>
                <w:szCs w:val="18"/>
              </w:rPr>
            </w:pPr>
            <w:r>
              <w:rPr>
                <w:rFonts w:ascii="宋体" w:hAnsi="宋体" w:cs="宋体" w:eastAsia="宋体" w:hint="default"/>
                <w:sz w:val="18"/>
                <w:szCs w:val="18"/>
              </w:rPr>
              <w:t>依市场公 允价格定 价</w:t>
            </w:r>
          </w:p>
        </w:tc>
        <w:tc>
          <w:tcPr>
            <w:tcW w:w="70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2,544.55</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35.21%</w:t>
            </w:r>
          </w:p>
        </w:tc>
        <w:tc>
          <w:tcPr>
            <w:tcW w:w="84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457"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104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2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23" w:right="83"/>
              <w:jc w:val="both"/>
              <w:rPr>
                <w:rFonts w:ascii="宋体" w:hAnsi="宋体" w:cs="宋体" w:eastAsia="宋体" w:hint="default"/>
                <w:sz w:val="18"/>
                <w:szCs w:val="18"/>
              </w:rPr>
            </w:pPr>
            <w:r>
              <w:rPr>
                <w:rFonts w:ascii="宋体" w:hAnsi="宋体" w:cs="宋体" w:eastAsia="宋体" w:hint="default"/>
                <w:sz w:val="18"/>
                <w:szCs w:val="18"/>
              </w:rPr>
              <w:t>具体内容详见巨 潮资讯网</w:t>
            </w:r>
          </w:p>
          <w:p>
            <w:pPr>
              <w:pStyle w:val="TableParagraph"/>
              <w:spacing w:line="312" w:lineRule="auto" w:before="61"/>
              <w:ind w:left="23" w:right="43"/>
              <w:jc w:val="both"/>
              <w:rPr>
                <w:rFonts w:ascii="宋体" w:hAnsi="宋体" w:cs="宋体" w:eastAsia="宋体" w:hint="default"/>
                <w:sz w:val="18"/>
                <w:szCs w:val="18"/>
              </w:rPr>
            </w:pPr>
            <w:r>
              <w:rPr>
                <w:rFonts w:ascii="Times New Roman" w:hAnsi="Times New Roman" w:cs="Times New Roman" w:eastAsia="Times New Roman" w:hint="default"/>
                <w:sz w:val="18"/>
                <w:szCs w:val="18"/>
              </w:rPr>
              <w:t>(http://www.cninf o.com.cn/)</w:t>
            </w:r>
            <w:r>
              <w:rPr>
                <w:rFonts w:ascii="宋体" w:hAnsi="宋体" w:cs="宋体" w:eastAsia="宋体" w:hint="default"/>
                <w:sz w:val="18"/>
                <w:szCs w:val="18"/>
              </w:rPr>
              <w:t>的《日 常关联交易预计 </w:t>
            </w:r>
            <w:r>
              <w:rPr>
                <w:rFonts w:ascii="宋体" w:hAnsi="宋体" w:cs="宋体" w:eastAsia="宋体" w:hint="default"/>
                <w:spacing w:val="-12"/>
                <w:sz w:val="18"/>
                <w:szCs w:val="18"/>
              </w:rPr>
              <w:t>公告》（公告编号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2014-013</w:t>
            </w:r>
            <w:r>
              <w:rPr>
                <w:rFonts w:ascii="宋体" w:hAnsi="宋体" w:cs="宋体" w:eastAsia="宋体" w:hint="default"/>
                <w:sz w:val="18"/>
                <w:szCs w:val="18"/>
              </w:rPr>
              <w:t>）</w:t>
            </w:r>
          </w:p>
        </w:tc>
      </w:tr>
      <w:tr>
        <w:trPr>
          <w:trHeight w:val="401" w:hRule="exact"/>
        </w:trPr>
        <w:tc>
          <w:tcPr>
            <w:tcW w:w="311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2,544.55</w:t>
            </w:r>
          </w:p>
        </w:tc>
        <w:tc>
          <w:tcPr>
            <w:tcW w:w="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w:t>
            </w:r>
          </w:p>
        </w:tc>
        <w:tc>
          <w:tcPr>
            <w:tcW w:w="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460" w:right="440"/>
        </w:sectPr>
      </w:pPr>
    </w:p>
    <w:p>
      <w:pPr>
        <w:spacing w:line="240" w:lineRule="auto" w:before="6"/>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3119"/>
        <w:gridCol w:w="7656"/>
      </w:tblGrid>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7656"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23"/>
              <w:jc w:val="both"/>
              <w:rPr>
                <w:rFonts w:ascii="宋体" w:hAnsi="宋体" w:cs="宋体" w:eastAsia="宋体" w:hint="default"/>
                <w:sz w:val="18"/>
                <w:szCs w:val="18"/>
              </w:rPr>
            </w:pPr>
            <w:r>
              <w:rPr>
                <w:rFonts w:ascii="宋体" w:hAnsi="宋体" w:cs="宋体" w:eastAsia="宋体" w:hint="default"/>
                <w:sz w:val="18"/>
                <w:szCs w:val="18"/>
              </w:rPr>
              <w:t>关联交易的必要性、持续性、选择与关 联方（而非市场其他交易方）进行交易 的原因</w:t>
            </w:r>
          </w:p>
        </w:tc>
        <w:tc>
          <w:tcPr>
            <w:tcW w:w="7656"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因经营所需</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关联交易对上市公司独立性的影响</w:t>
            </w:r>
          </w:p>
        </w:tc>
        <w:tc>
          <w:tcPr>
            <w:tcW w:w="7656"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22" w:right="63"/>
              <w:jc w:val="left"/>
              <w:rPr>
                <w:rFonts w:ascii="宋体" w:hAnsi="宋体" w:cs="宋体" w:eastAsia="宋体" w:hint="default"/>
                <w:sz w:val="18"/>
                <w:szCs w:val="18"/>
              </w:rPr>
            </w:pPr>
            <w:r>
              <w:rPr>
                <w:rFonts w:ascii="宋体" w:hAnsi="宋体" w:cs="宋体" w:eastAsia="宋体" w:hint="default"/>
                <w:sz w:val="18"/>
                <w:szCs w:val="18"/>
              </w:rPr>
              <w:t>关联交易均未损害公司及非关联股东的合法权益，对公司无重大不利影响，对公司本期及未来的 财务状况和经营成果亦无重大影响。</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3" w:right="23"/>
              <w:jc w:val="left"/>
              <w:rPr>
                <w:rFonts w:ascii="宋体" w:hAnsi="宋体" w:cs="宋体" w:eastAsia="宋体" w:hint="default"/>
                <w:sz w:val="18"/>
                <w:szCs w:val="18"/>
              </w:rPr>
            </w:pPr>
            <w:r>
              <w:rPr>
                <w:rFonts w:ascii="宋体" w:hAnsi="宋体" w:cs="宋体" w:eastAsia="宋体" w:hint="default"/>
                <w:sz w:val="18"/>
                <w:szCs w:val="18"/>
              </w:rPr>
              <w:t>公司对关联方的依赖程度，以及相关解 决措施（如有）</w:t>
            </w:r>
          </w:p>
        </w:tc>
        <w:tc>
          <w:tcPr>
            <w:tcW w:w="7656"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关联交易金额及比例较低，不会产生依赖</w:t>
            </w:r>
          </w:p>
        </w:tc>
      </w:tr>
      <w:tr>
        <w:trPr>
          <w:trHeight w:val="1026"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按类别对本期将发生的日常关联交易进 行总金额预计的，在报告期内的实际履 行情况（如有）</w:t>
            </w:r>
          </w:p>
        </w:tc>
        <w:tc>
          <w:tcPr>
            <w:tcW w:w="7656"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报告期内，公司与以上关联方发生的日常关联交易总额在预计范围内</w:t>
            </w:r>
          </w:p>
        </w:tc>
      </w:tr>
      <w:tr>
        <w:trPr>
          <w:trHeight w:val="715"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23"/>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 因（如适用）</w:t>
            </w:r>
          </w:p>
        </w:tc>
        <w:tc>
          <w:tcPr>
            <w:tcW w:w="7656"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3"/>
        <w:spacing w:line="240" w:lineRule="auto" w:before="36"/>
        <w:ind w:left="672" w:right="0"/>
        <w:jc w:val="left"/>
        <w:rPr>
          <w:b w:val="0"/>
          <w:bCs w:val="0"/>
        </w:rPr>
      </w:pPr>
      <w:r>
        <w:rPr>
          <w:rFonts w:ascii="Times New Roman" w:hAnsi="Times New Roman" w:cs="Times New Roman" w:eastAsia="Times New Roman" w:hint="default"/>
        </w:rPr>
        <w:t>2</w:t>
      </w:r>
      <w:r>
        <w:rPr/>
        <w:t>、资产收购、出售发生的关联交易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left="672" w:right="65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公司报告期未发生资产收购、出售的关联交易。</w:t>
      </w:r>
    </w:p>
    <w:p>
      <w:pPr>
        <w:spacing w:line="240" w:lineRule="auto" w:before="7"/>
        <w:rPr>
          <w:rFonts w:ascii="宋体" w:hAnsi="宋体" w:cs="宋体" w:eastAsia="宋体" w:hint="default"/>
          <w:sz w:val="21"/>
          <w:szCs w:val="21"/>
        </w:rPr>
      </w:pPr>
    </w:p>
    <w:p>
      <w:pPr>
        <w:pStyle w:val="Heading3"/>
        <w:spacing w:line="240" w:lineRule="auto"/>
        <w:ind w:left="672"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672"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3"/>
        <w:rPr>
          <w:rFonts w:ascii="宋体" w:hAnsi="宋体" w:cs="宋体" w:eastAsia="宋体" w:hint="default"/>
          <w:sz w:val="21"/>
          <w:szCs w:val="21"/>
        </w:rPr>
      </w:pPr>
    </w:p>
    <w:p>
      <w:pPr>
        <w:pStyle w:val="Heading3"/>
        <w:spacing w:line="240" w:lineRule="auto"/>
        <w:ind w:left="672"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672"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是否存在非经营性关联债权债务往来</w:t>
      </w:r>
    </w:p>
    <w:p>
      <w:pPr>
        <w:pStyle w:val="BodyText"/>
        <w:spacing w:line="240" w:lineRule="auto" w:before="39"/>
        <w:ind w:left="672"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ind w:left="0" w:right="1053"/>
        <w:jc w:val="right"/>
      </w:pPr>
      <w:r>
        <w:rPr/>
        <w:pict>
          <v:shape style="position:absolute;margin-left:35.700001pt;margin-top:-18.528259pt;width:524.8pt;height:188.1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50"/>
                    <w:gridCol w:w="1973"/>
                    <w:gridCol w:w="1855"/>
                    <w:gridCol w:w="1275"/>
                    <w:gridCol w:w="1274"/>
                    <w:gridCol w:w="853"/>
                    <w:gridCol w:w="850"/>
                    <w:gridCol w:w="64"/>
                    <w:gridCol w:w="788"/>
                  </w:tblGrid>
                  <w:tr>
                    <w:trPr>
                      <w:trHeight w:val="710" w:hRule="exact"/>
                    </w:trPr>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9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8"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sz w:val="18"/>
                            <w:szCs w:val="18"/>
                          </w:rPr>
                          <w:t>债权债务类型</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89"/>
                          <w:jc w:val="left"/>
                          <w:rPr>
                            <w:rFonts w:ascii="宋体" w:hAnsi="宋体" w:cs="宋体" w:eastAsia="宋体" w:hint="default"/>
                            <w:sz w:val="18"/>
                            <w:szCs w:val="18"/>
                          </w:rPr>
                        </w:pPr>
                        <w:r>
                          <w:rPr>
                            <w:rFonts w:ascii="宋体" w:hAnsi="宋体" w:cs="宋体" w:eastAsia="宋体" w:hint="default"/>
                            <w:sz w:val="18"/>
                            <w:szCs w:val="18"/>
                          </w:rPr>
                          <w:t>是否存在非经 营性资金占用</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6"/>
                          <w:ind w:left="6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9" w:firstLine="36"/>
                          <w:jc w:val="left"/>
                          <w:rPr>
                            <w:rFonts w:ascii="宋体" w:hAnsi="宋体" w:cs="宋体" w:eastAsia="宋体" w:hint="default"/>
                            <w:sz w:val="18"/>
                            <w:szCs w:val="18"/>
                          </w:rPr>
                        </w:pPr>
                        <w:r>
                          <w:rPr>
                            <w:rFonts w:ascii="宋体" w:hAnsi="宋体" w:cs="宋体" w:eastAsia="宋体" w:hint="default"/>
                            <w:sz w:val="18"/>
                            <w:szCs w:val="18"/>
                          </w:rPr>
                          <w:t>本期发生 </w:t>
                        </w:r>
                        <w:r>
                          <w:rPr>
                            <w:rFonts w:ascii="宋体" w:hAnsi="宋体" w:cs="宋体" w:eastAsia="宋体" w:hint="default"/>
                            <w:spacing w:val="-5"/>
                            <w:sz w:val="18"/>
                            <w:szCs w:val="18"/>
                          </w:rPr>
                          <w:t>额（万元</w:t>
                        </w:r>
                      </w:p>
                    </w:tc>
                    <w:tc>
                      <w:tcPr>
                        <w:tcW w:w="64" w:type="dxa"/>
                        <w:tcBorders>
                          <w:top w:val="single" w:sz="4" w:space="0" w:color="000000"/>
                          <w:left w:val="single" w:sz="4" w:space="0" w:color="000000"/>
                          <w:bottom w:val="single" w:sz="4" w:space="0" w:color="000000"/>
                          <w:right w:val="nil" w:sz="6" w:space="0" w:color="auto"/>
                        </w:tcBorders>
                        <w:shd w:val="clear" w:color="auto" w:fill="D2D2D2"/>
                      </w:tcPr>
                      <w:p>
                        <w:pPr/>
                      </w:p>
                    </w:tc>
                    <w:tc>
                      <w:tcPr>
                        <w:tcW w:w="7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49"/>
                          <w:ind w:left="1"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76"/>
                          <w:ind w:left="1"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166" w:hRule="exact"/>
                    </w:trPr>
                    <w:tc>
                      <w:tcPr>
                        <w:tcW w:w="1550" w:type="dxa"/>
                        <w:vMerge w:val="restart"/>
                        <w:tcBorders>
                          <w:top w:val="single" w:sz="4" w:space="0" w:color="000000"/>
                          <w:left w:val="single" w:sz="4" w:space="0" w:color="000000"/>
                          <w:right w:val="single" w:sz="4" w:space="0" w:color="000000"/>
                        </w:tcBorders>
                        <w:shd w:val="clear" w:color="auto" w:fill="C7EBCC"/>
                      </w:tcPr>
                      <w:p>
                        <w:pPr>
                          <w:pStyle w:val="TableParagraph"/>
                          <w:spacing w:line="314" w:lineRule="auto" w:before="53"/>
                          <w:ind w:left="13" w:right="84"/>
                          <w:jc w:val="left"/>
                          <w:rPr>
                            <w:rFonts w:ascii="宋体" w:hAnsi="宋体" w:cs="宋体" w:eastAsia="宋体" w:hint="default"/>
                            <w:sz w:val="18"/>
                            <w:szCs w:val="18"/>
                          </w:rPr>
                        </w:pPr>
                        <w:r>
                          <w:rPr>
                            <w:rFonts w:ascii="宋体" w:hAnsi="宋体" w:cs="宋体" w:eastAsia="宋体" w:hint="default"/>
                            <w:sz w:val="18"/>
                            <w:szCs w:val="18"/>
                          </w:rPr>
                          <w:t>广州基准机械电子 科技有限公司</w:t>
                        </w:r>
                      </w:p>
                    </w:tc>
                    <w:tc>
                      <w:tcPr>
                        <w:tcW w:w="1973" w:type="dxa"/>
                        <w:vMerge w:val="restart"/>
                        <w:tcBorders>
                          <w:top w:val="single" w:sz="4" w:space="0" w:color="000000"/>
                          <w:left w:val="single" w:sz="4" w:space="0" w:color="000000"/>
                          <w:right w:val="single" w:sz="4" w:space="0" w:color="000000"/>
                        </w:tcBorders>
                        <w:shd w:val="clear" w:color="auto" w:fill="C7EBCC"/>
                      </w:tcPr>
                      <w:p>
                        <w:pPr>
                          <w:pStyle w:val="TableParagraph"/>
                          <w:spacing w:line="314" w:lineRule="auto" w:before="53"/>
                          <w:ind w:left="24" w:right="137"/>
                          <w:jc w:val="left"/>
                          <w:rPr>
                            <w:rFonts w:ascii="宋体" w:hAnsi="宋体" w:cs="宋体" w:eastAsia="宋体" w:hint="default"/>
                            <w:sz w:val="18"/>
                            <w:szCs w:val="18"/>
                          </w:rPr>
                        </w:pPr>
                        <w:r>
                          <w:rPr>
                            <w:rFonts w:ascii="宋体" w:hAnsi="宋体" w:cs="宋体" w:eastAsia="宋体" w:hint="default"/>
                            <w:sz w:val="18"/>
                            <w:szCs w:val="18"/>
                          </w:rPr>
                          <w:t>本公司控股股东亲属控 制的企业</w:t>
                        </w:r>
                      </w:p>
                    </w:tc>
                    <w:tc>
                      <w:tcPr>
                        <w:tcW w:w="1855" w:type="dxa"/>
                        <w:vMerge w:val="restart"/>
                        <w:tcBorders>
                          <w:top w:val="single" w:sz="4" w:space="0" w:color="000000"/>
                          <w:left w:val="single" w:sz="13" w:space="0" w:color="C7EBCC"/>
                          <w:right w:val="single" w:sz="10" w:space="0" w:color="C7EBCC"/>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应收关联方债权</w:t>
                        </w:r>
                      </w:p>
                    </w:tc>
                    <w:tc>
                      <w:tcPr>
                        <w:tcW w:w="1275" w:type="dxa"/>
                        <w:tcBorders>
                          <w:top w:val="single" w:sz="4" w:space="0" w:color="000000"/>
                          <w:left w:val="single" w:sz="4" w:space="0" w:color="000000"/>
                          <w:bottom w:val="nil" w:sz="6" w:space="0" w:color="auto"/>
                          <w:right w:val="single" w:sz="4" w:space="0" w:color="000000"/>
                        </w:tcBorders>
                        <w:shd w:val="clear" w:color="auto" w:fill="C7EBCC"/>
                      </w:tcPr>
                      <w:p>
                        <w:pPr/>
                      </w:p>
                    </w:tc>
                    <w:tc>
                      <w:tcPr>
                        <w:tcW w:w="1274" w:type="dxa"/>
                        <w:vMerge w:val="restart"/>
                        <w:tcBorders>
                          <w:top w:val="single" w:sz="4" w:space="0" w:color="000000"/>
                          <w:left w:val="single" w:sz="9" w:space="0" w:color="C7EBCC"/>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294.42</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-233.67</w:t>
                        </w:r>
                      </w:p>
                    </w:tc>
                    <w:tc>
                      <w:tcPr>
                        <w:tcW w:w="852" w:type="dxa"/>
                        <w:gridSpan w:val="2"/>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12" w:right="0"/>
                          <w:jc w:val="left"/>
                          <w:rPr>
                            <w:rFonts w:ascii="Times New Roman" w:hAnsi="Times New Roman" w:cs="Times New Roman" w:eastAsia="Times New Roman" w:hint="default"/>
                            <w:sz w:val="18"/>
                            <w:szCs w:val="18"/>
                          </w:rPr>
                        </w:pPr>
                        <w:r>
                          <w:rPr>
                            <w:rFonts w:ascii="Times New Roman"/>
                            <w:sz w:val="18"/>
                          </w:rPr>
                          <w:t>60.75</w:t>
                        </w:r>
                      </w:p>
                    </w:tc>
                  </w:tr>
                  <w:tr>
                    <w:trPr>
                      <w:trHeight w:val="391" w:hRule="exact"/>
                    </w:trPr>
                    <w:tc>
                      <w:tcPr>
                        <w:tcW w:w="1550" w:type="dxa"/>
                        <w:vMerge/>
                        <w:tcBorders>
                          <w:left w:val="single" w:sz="4" w:space="0" w:color="000000"/>
                          <w:right w:val="single" w:sz="4" w:space="0" w:color="000000"/>
                        </w:tcBorders>
                        <w:shd w:val="clear" w:color="auto" w:fill="C7EBCC"/>
                      </w:tcPr>
                      <w:p>
                        <w:pPr/>
                      </w:p>
                    </w:tc>
                    <w:tc>
                      <w:tcPr>
                        <w:tcW w:w="1973" w:type="dxa"/>
                        <w:vMerge/>
                        <w:tcBorders>
                          <w:left w:val="single" w:sz="4" w:space="0" w:color="000000"/>
                          <w:right w:val="single" w:sz="4" w:space="0" w:color="000000"/>
                        </w:tcBorders>
                        <w:shd w:val="clear" w:color="auto" w:fill="C7EBCC"/>
                      </w:tcPr>
                      <w:p>
                        <w:pPr/>
                      </w:p>
                    </w:tc>
                    <w:tc>
                      <w:tcPr>
                        <w:tcW w:w="1855" w:type="dxa"/>
                        <w:vMerge/>
                        <w:tcBorders>
                          <w:left w:val="single" w:sz="13" w:space="0" w:color="C7EBCC"/>
                          <w:right w:val="single" w:sz="10" w:space="0" w:color="C7EBCC"/>
                        </w:tcBorders>
                      </w:tcPr>
                      <w:p>
                        <w:pPr/>
                      </w:p>
                    </w:tc>
                    <w:tc>
                      <w:tcPr>
                        <w:tcW w:w="1275" w:type="dxa"/>
                        <w:tcBorders>
                          <w:top w:val="nil" w:sz="6" w:space="0" w:color="auto"/>
                          <w:left w:val="single" w:sz="4" w:space="0" w:color="000000"/>
                          <w:bottom w:val="nil" w:sz="6" w:space="0" w:color="auto"/>
                          <w:right w:val="single" w:sz="4" w:space="0" w:color="000000"/>
                        </w:tcBorders>
                        <w:shd w:val="clear" w:color="auto" w:fill="C7EB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预付材料款</w:t>
                        </w:r>
                      </w:p>
                    </w:tc>
                    <w:tc>
                      <w:tcPr>
                        <w:tcW w:w="1274" w:type="dxa"/>
                        <w:vMerge/>
                        <w:tcBorders>
                          <w:left w:val="single" w:sz="9" w:space="0" w:color="C7EBCC"/>
                          <w:right w:val="single" w:sz="4" w:space="0" w:color="000000"/>
                        </w:tcBorders>
                      </w:tcPr>
                      <w:p>
                        <w:pP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gridSpan w:val="2"/>
                        <w:vMerge/>
                        <w:tcBorders>
                          <w:left w:val="single" w:sz="4" w:space="0" w:color="000000"/>
                          <w:right w:val="single" w:sz="4" w:space="0" w:color="000000"/>
                        </w:tcBorders>
                      </w:tcPr>
                      <w:p>
                        <w:pPr/>
                      </w:p>
                    </w:tc>
                  </w:tr>
                  <w:tr>
                    <w:trPr>
                      <w:trHeight w:val="161" w:hRule="exact"/>
                    </w:trPr>
                    <w:tc>
                      <w:tcPr>
                        <w:tcW w:w="1550" w:type="dxa"/>
                        <w:vMerge/>
                        <w:tcBorders>
                          <w:left w:val="single" w:sz="4" w:space="0" w:color="000000"/>
                          <w:bottom w:val="single" w:sz="4" w:space="0" w:color="000000"/>
                          <w:right w:val="single" w:sz="4" w:space="0" w:color="000000"/>
                        </w:tcBorders>
                        <w:shd w:val="clear" w:color="auto" w:fill="C7EBCC"/>
                      </w:tcPr>
                      <w:p>
                        <w:pPr/>
                      </w:p>
                    </w:tc>
                    <w:tc>
                      <w:tcPr>
                        <w:tcW w:w="1973" w:type="dxa"/>
                        <w:vMerge/>
                        <w:tcBorders>
                          <w:left w:val="single" w:sz="4" w:space="0" w:color="000000"/>
                          <w:bottom w:val="single" w:sz="4" w:space="0" w:color="000000"/>
                          <w:right w:val="single" w:sz="4" w:space="0" w:color="000000"/>
                        </w:tcBorders>
                        <w:shd w:val="clear" w:color="auto" w:fill="C7EBCC"/>
                      </w:tcPr>
                      <w:p>
                        <w:pPr/>
                      </w:p>
                    </w:tc>
                    <w:tc>
                      <w:tcPr>
                        <w:tcW w:w="1855" w:type="dxa"/>
                        <w:vMerge/>
                        <w:tcBorders>
                          <w:left w:val="single" w:sz="13" w:space="0" w:color="C7EBCC"/>
                          <w:bottom w:val="single" w:sz="4" w:space="0" w:color="000000"/>
                          <w:right w:val="single" w:sz="10" w:space="0" w:color="C7EBCC"/>
                        </w:tcBorders>
                      </w:tcPr>
                      <w:p>
                        <w:pPr/>
                      </w:p>
                    </w:tc>
                    <w:tc>
                      <w:tcPr>
                        <w:tcW w:w="1275" w:type="dxa"/>
                        <w:tcBorders>
                          <w:top w:val="nil" w:sz="6" w:space="0" w:color="auto"/>
                          <w:left w:val="single" w:sz="4" w:space="0" w:color="000000"/>
                          <w:bottom w:val="single" w:sz="4" w:space="0" w:color="000000"/>
                          <w:right w:val="single" w:sz="4" w:space="0" w:color="000000"/>
                        </w:tcBorders>
                        <w:shd w:val="clear" w:color="auto" w:fill="C7EBCC"/>
                      </w:tcPr>
                      <w:p>
                        <w:pPr/>
                      </w:p>
                    </w:tc>
                    <w:tc>
                      <w:tcPr>
                        <w:tcW w:w="1274" w:type="dxa"/>
                        <w:vMerge/>
                        <w:tcBorders>
                          <w:left w:val="single" w:sz="9" w:space="0" w:color="C7EBCC"/>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2" w:type="dxa"/>
                        <w:gridSpan w:val="2"/>
                        <w:vMerge/>
                        <w:tcBorders>
                          <w:left w:val="single" w:sz="4" w:space="0" w:color="000000"/>
                          <w:bottom w:val="single" w:sz="4" w:space="0" w:color="000000"/>
                          <w:right w:val="single" w:sz="4" w:space="0" w:color="000000"/>
                        </w:tcBorders>
                      </w:tcPr>
                      <w:p>
                        <w:pPr/>
                      </w:p>
                    </w:tc>
                  </w:tr>
                  <w:tr>
                    <w:trPr>
                      <w:trHeight w:val="403" w:hRule="exact"/>
                    </w:trPr>
                    <w:tc>
                      <w:tcPr>
                        <w:tcW w:w="155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张成虎</w:t>
                        </w:r>
                      </w:p>
                    </w:tc>
                    <w:tc>
                      <w:tcPr>
                        <w:tcW w:w="197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855" w:type="dxa"/>
                        <w:tcBorders>
                          <w:top w:val="single" w:sz="4" w:space="0" w:color="000000"/>
                          <w:left w:val="single" w:sz="13" w:space="0" w:color="C7EBCC"/>
                          <w:bottom w:val="single" w:sz="4" w:space="0" w:color="000000"/>
                          <w:right w:val="single" w:sz="10" w:space="0" w:color="C7EBCC"/>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应收关联方债权</w:t>
                        </w:r>
                      </w:p>
                    </w:tc>
                    <w:tc>
                      <w:tcPr>
                        <w:tcW w:w="1275"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个人借支款</w:t>
                        </w:r>
                      </w:p>
                    </w:tc>
                    <w:tc>
                      <w:tcPr>
                        <w:tcW w:w="1274" w:type="dxa"/>
                        <w:tcBorders>
                          <w:top w:val="single" w:sz="4" w:space="0" w:color="000000"/>
                          <w:left w:val="single" w:sz="12" w:space="0" w:color="C7EBCC"/>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w w:val="95"/>
                            <w:sz w:val="18"/>
                          </w:rPr>
                          <w:t>8.11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2.19</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4" w:right="0"/>
                          <w:jc w:val="left"/>
                          <w:rPr>
                            <w:rFonts w:ascii="Times New Roman" w:hAnsi="Times New Roman" w:cs="Times New Roman" w:eastAsia="Times New Roman" w:hint="default"/>
                            <w:sz w:val="18"/>
                            <w:szCs w:val="18"/>
                          </w:rPr>
                        </w:pPr>
                        <w:r>
                          <w:rPr>
                            <w:rFonts w:ascii="Times New Roman"/>
                            <w:sz w:val="18"/>
                          </w:rPr>
                          <w:t>10.3</w:t>
                        </w:r>
                      </w:p>
                    </w:tc>
                  </w:tr>
                  <w:tr>
                    <w:trPr>
                      <w:trHeight w:val="401" w:hRule="exact"/>
                    </w:trPr>
                    <w:tc>
                      <w:tcPr>
                        <w:tcW w:w="155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高永坚</w:t>
                        </w:r>
                      </w:p>
                    </w:tc>
                    <w:tc>
                      <w:tcPr>
                        <w:tcW w:w="197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855" w:type="dxa"/>
                        <w:tcBorders>
                          <w:top w:val="single" w:sz="4" w:space="0" w:color="000000"/>
                          <w:left w:val="single" w:sz="13" w:space="0" w:color="C7EBCC"/>
                          <w:bottom w:val="single" w:sz="4" w:space="0" w:color="000000"/>
                          <w:right w:val="single" w:sz="10" w:space="0" w:color="C7EBCC"/>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应收关联方债权</w:t>
                        </w:r>
                      </w:p>
                    </w:tc>
                    <w:tc>
                      <w:tcPr>
                        <w:tcW w:w="1275"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个人借支款</w:t>
                        </w:r>
                      </w:p>
                    </w:tc>
                    <w:tc>
                      <w:tcPr>
                        <w:tcW w:w="1274" w:type="dxa"/>
                        <w:tcBorders>
                          <w:top w:val="single" w:sz="4" w:space="0" w:color="000000"/>
                          <w:left w:val="single" w:sz="12" w:space="0" w:color="C7EBCC"/>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55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庞泰松</w:t>
                        </w:r>
                      </w:p>
                    </w:tc>
                    <w:tc>
                      <w:tcPr>
                        <w:tcW w:w="197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855" w:type="dxa"/>
                        <w:tcBorders>
                          <w:top w:val="single" w:sz="4" w:space="0" w:color="000000"/>
                          <w:left w:val="single" w:sz="13" w:space="0" w:color="C7EBCC"/>
                          <w:bottom w:val="single" w:sz="4" w:space="0" w:color="000000"/>
                          <w:right w:val="single" w:sz="10" w:space="0" w:color="C7EBCC"/>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应收关联方债权</w:t>
                        </w:r>
                      </w:p>
                    </w:tc>
                    <w:tc>
                      <w:tcPr>
                        <w:tcW w:w="1275"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个人借支款</w:t>
                        </w:r>
                      </w:p>
                    </w:tc>
                    <w:tc>
                      <w:tcPr>
                        <w:tcW w:w="1274" w:type="dxa"/>
                        <w:tcBorders>
                          <w:top w:val="single" w:sz="4" w:space="0" w:color="000000"/>
                          <w:left w:val="single" w:sz="12" w:space="0" w:color="C7EBCC"/>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55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李克福</w:t>
                        </w:r>
                      </w:p>
                    </w:tc>
                    <w:tc>
                      <w:tcPr>
                        <w:tcW w:w="197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855" w:type="dxa"/>
                        <w:tcBorders>
                          <w:top w:val="single" w:sz="4" w:space="0" w:color="000000"/>
                          <w:left w:val="single" w:sz="13" w:space="0" w:color="C7EBCC"/>
                          <w:bottom w:val="single" w:sz="4" w:space="0" w:color="000000"/>
                          <w:right w:val="single" w:sz="10" w:space="0" w:color="C7EBCC"/>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应收关联方债权</w:t>
                        </w:r>
                      </w:p>
                    </w:tc>
                    <w:tc>
                      <w:tcPr>
                        <w:tcW w:w="1275"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个人借支款</w:t>
                        </w:r>
                      </w:p>
                    </w:tc>
                    <w:tc>
                      <w:tcPr>
                        <w:tcW w:w="1274" w:type="dxa"/>
                        <w:tcBorders>
                          <w:top w:val="single" w:sz="4" w:space="0" w:color="000000"/>
                          <w:left w:val="single" w:sz="12" w:space="0" w:color="C7EBCC"/>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0.08</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4" w:right="0"/>
                          <w:jc w:val="left"/>
                          <w:rPr>
                            <w:rFonts w:ascii="Times New Roman" w:hAnsi="Times New Roman" w:cs="Times New Roman" w:eastAsia="Times New Roman" w:hint="default"/>
                            <w:sz w:val="18"/>
                            <w:szCs w:val="18"/>
                          </w:rPr>
                        </w:pPr>
                        <w:r>
                          <w:rPr>
                            <w:rFonts w:ascii="Times New Roman"/>
                            <w:sz w:val="18"/>
                          </w:rPr>
                          <w:t>0.08</w:t>
                        </w:r>
                      </w:p>
                    </w:tc>
                  </w:tr>
                  <w:tr>
                    <w:trPr>
                      <w:trHeight w:val="161" w:hRule="exact"/>
                    </w:trPr>
                    <w:tc>
                      <w:tcPr>
                        <w:tcW w:w="3523" w:type="dxa"/>
                        <w:gridSpan w:val="2"/>
                        <w:vMerge w:val="restart"/>
                        <w:tcBorders>
                          <w:top w:val="single" w:sz="4" w:space="0" w:color="000000"/>
                          <w:left w:val="single" w:sz="4" w:space="0" w:color="000000"/>
                          <w:right w:val="single" w:sz="10" w:space="0" w:color="C7EBCC"/>
                        </w:tcBorders>
                        <w:shd w:val="clear" w:color="auto" w:fill="D2D2D2"/>
                      </w:tcPr>
                      <w:p>
                        <w:pPr>
                          <w:pStyle w:val="TableParagraph"/>
                          <w:spacing w:line="316" w:lineRule="auto" w:before="49"/>
                          <w:ind w:left="13" w:right="72"/>
                          <w:jc w:val="left"/>
                          <w:rPr>
                            <w:rFonts w:ascii="宋体" w:hAnsi="宋体" w:cs="宋体" w:eastAsia="宋体" w:hint="default"/>
                            <w:sz w:val="18"/>
                            <w:szCs w:val="18"/>
                          </w:rPr>
                        </w:pPr>
                        <w:r>
                          <w:rPr>
                            <w:rFonts w:ascii="宋体" w:hAnsi="宋体" w:cs="宋体" w:eastAsia="宋体" w:hint="default"/>
                            <w:sz w:val="18"/>
                            <w:szCs w:val="18"/>
                          </w:rPr>
                          <w:t>关联债权债务对公司经营成果及财务状况的 影响</w:t>
                        </w:r>
                      </w:p>
                    </w:tc>
                    <w:tc>
                      <w:tcPr>
                        <w:tcW w:w="6959" w:type="dxa"/>
                        <w:gridSpan w:val="7"/>
                        <w:tcBorders>
                          <w:top w:val="single" w:sz="4" w:space="0" w:color="000000"/>
                          <w:left w:val="single" w:sz="4" w:space="0" w:color="000000"/>
                          <w:bottom w:val="nil" w:sz="6" w:space="0" w:color="auto"/>
                          <w:right w:val="single" w:sz="4" w:space="0" w:color="000000"/>
                        </w:tcBorders>
                        <w:shd w:val="clear" w:color="auto" w:fill="C7EBCC"/>
                      </w:tcPr>
                      <w:p>
                        <w:pPr/>
                      </w:p>
                    </w:tc>
                  </w:tr>
                  <w:tr>
                    <w:trPr>
                      <w:trHeight w:val="394" w:hRule="exact"/>
                    </w:trPr>
                    <w:tc>
                      <w:tcPr>
                        <w:tcW w:w="3523" w:type="dxa"/>
                        <w:gridSpan w:val="2"/>
                        <w:vMerge/>
                        <w:tcBorders>
                          <w:left w:val="single" w:sz="4" w:space="0" w:color="000000"/>
                          <w:right w:val="single" w:sz="10" w:space="0" w:color="C7EBCC"/>
                        </w:tcBorders>
                        <w:shd w:val="clear" w:color="auto" w:fill="D2D2D2"/>
                      </w:tcPr>
                      <w:p>
                        <w:pPr/>
                      </w:p>
                    </w:tc>
                    <w:tc>
                      <w:tcPr>
                        <w:tcW w:w="6959" w:type="dxa"/>
                        <w:gridSpan w:val="7"/>
                        <w:tcBorders>
                          <w:top w:val="nil" w:sz="6" w:space="0" w:color="auto"/>
                          <w:left w:val="single" w:sz="4" w:space="0" w:color="000000"/>
                          <w:bottom w:val="nil" w:sz="6" w:space="0" w:color="auto"/>
                          <w:right w:val="single" w:sz="4" w:space="0" w:color="000000"/>
                        </w:tcBorders>
                        <w:shd w:val="clear" w:color="auto" w:fill="C7EBCC"/>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无影响</w:t>
                        </w:r>
                      </w:p>
                    </w:tc>
                  </w:tr>
                  <w:tr>
                    <w:trPr>
                      <w:trHeight w:val="161" w:hRule="exact"/>
                    </w:trPr>
                    <w:tc>
                      <w:tcPr>
                        <w:tcW w:w="3523" w:type="dxa"/>
                        <w:gridSpan w:val="2"/>
                        <w:vMerge/>
                        <w:tcBorders>
                          <w:left w:val="single" w:sz="4" w:space="0" w:color="000000"/>
                          <w:bottom w:val="single" w:sz="4" w:space="0" w:color="000000"/>
                          <w:right w:val="single" w:sz="10" w:space="0" w:color="C7EBCC"/>
                        </w:tcBorders>
                        <w:shd w:val="clear" w:color="auto" w:fill="D2D2D2"/>
                      </w:tcPr>
                      <w:p>
                        <w:pPr/>
                      </w:p>
                    </w:tc>
                    <w:tc>
                      <w:tcPr>
                        <w:tcW w:w="6959" w:type="dxa"/>
                        <w:gridSpan w:val="7"/>
                        <w:tcBorders>
                          <w:top w:val="nil" w:sz="6" w:space="0" w:color="auto"/>
                          <w:left w:val="single" w:sz="4" w:space="0" w:color="000000"/>
                          <w:bottom w:val="single" w:sz="4" w:space="0" w:color="000000"/>
                          <w:right w:val="single" w:sz="4" w:space="0" w:color="000000"/>
                        </w:tcBorders>
                        <w:shd w:val="clear" w:color="auto" w:fill="C7EBCC"/>
                      </w:tcPr>
                      <w:p>
                        <w:pPr/>
                      </w:p>
                    </w:tc>
                  </w:tr>
                </w:tbl>
                <w:p>
                  <w:pPr/>
                </w:p>
              </w:txbxContent>
            </v:textbox>
            <w10:wrap type="none"/>
          </v:shape>
        </w:pict>
      </w:r>
      <w:r>
        <w:rPr/>
        <w:t>）</w:t>
      </w:r>
    </w:p>
    <w:p>
      <w:pPr>
        <w:spacing w:after="0" w:line="240" w:lineRule="auto"/>
        <w:jc w:val="right"/>
        <w:sectPr>
          <w:pgSz w:w="11910" w:h="16840"/>
          <w:pgMar w:header="745" w:footer="980" w:top="1060" w:bottom="1160" w:left="460" w:right="440"/>
        </w:sectPr>
      </w:pPr>
    </w:p>
    <w:p>
      <w:pPr>
        <w:spacing w:line="240" w:lineRule="auto" w:before="8"/>
        <w:rPr>
          <w:rFonts w:ascii="宋体" w:hAnsi="宋体" w:cs="宋体" w:eastAsia="宋体" w:hint="default"/>
          <w:sz w:val="23"/>
          <w:szCs w:val="23"/>
        </w:rPr>
      </w:pPr>
    </w:p>
    <w:p>
      <w:pPr>
        <w:spacing w:line="506" w:lineRule="auto" w:before="26"/>
        <w:ind w:left="152" w:right="6034" w:firstLine="0"/>
        <w:jc w:val="left"/>
        <w:rPr>
          <w:rFonts w:ascii="宋体" w:hAnsi="宋体" w:cs="宋体" w:eastAsia="宋体" w:hint="default"/>
          <w:sz w:val="18"/>
          <w:szCs w:val="18"/>
        </w:rPr>
      </w:pPr>
      <w:r>
        <w:rPr>
          <w:rFonts w:ascii="宋体" w:hAnsi="宋体" w:cs="宋体" w:eastAsia="宋体" w:hint="default"/>
          <w:b/>
          <w:bCs/>
          <w:sz w:val="24"/>
          <w:szCs w:val="24"/>
        </w:rPr>
        <w:t>八、重大合同及其履行情况</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b/>
          <w:bCs/>
          <w:w w:val="100"/>
          <w:sz w:val="21"/>
          <w:szCs w:val="21"/>
        </w:rPr>
        <w:t> </w:t>
      </w:r>
      <w:r>
        <w:rPr>
          <w:rFonts w:ascii="宋体" w:hAnsi="宋体" w:cs="宋体" w:eastAsia="宋体" w:hint="default"/>
          <w:sz w:val="18"/>
          <w:szCs w:val="18"/>
        </w:rPr>
        <w:t>本报告期内公司无托管、承包、租赁事项情况。</w:t>
      </w:r>
    </w:p>
    <w:p>
      <w:pPr>
        <w:pStyle w:val="Heading3"/>
        <w:spacing w:line="240" w:lineRule="auto" w:before="156"/>
        <w:ind w:right="94"/>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9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4"/>
        <w:gridCol w:w="941"/>
        <w:gridCol w:w="934"/>
        <w:gridCol w:w="347"/>
        <w:gridCol w:w="865"/>
        <w:gridCol w:w="1176"/>
        <w:gridCol w:w="1094"/>
        <w:gridCol w:w="1016"/>
        <w:gridCol w:w="413"/>
        <w:gridCol w:w="394"/>
        <w:gridCol w:w="787"/>
      </w:tblGrid>
      <w:tr>
        <w:trPr>
          <w:trHeight w:val="402"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79"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027" w:hRule="exact"/>
        </w:trPr>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5" w:right="10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2"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4"/>
              <w:ind w:left="422" w:right="149"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41"/>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80"/>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18" w:right="3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8"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1" w:hRule="exact"/>
        </w:trPr>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5" w:right="10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2"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4"/>
              <w:ind w:left="422" w:right="149"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41"/>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80"/>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8" w:right="3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8"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9" w:hRule="exact"/>
        </w:trPr>
        <w:tc>
          <w:tcPr>
            <w:tcW w:w="160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53"/>
              <w:ind w:left="24" w:right="129"/>
              <w:jc w:val="left"/>
              <w:rPr>
                <w:rFonts w:ascii="宋体" w:hAnsi="宋体" w:cs="宋体" w:eastAsia="宋体" w:hint="default"/>
                <w:sz w:val="18"/>
                <w:szCs w:val="18"/>
              </w:rPr>
            </w:pPr>
            <w:r>
              <w:rPr>
                <w:rFonts w:ascii="宋体" w:hAnsi="宋体" w:cs="宋体" w:eastAsia="宋体" w:hint="default"/>
                <w:sz w:val="18"/>
                <w:szCs w:val="18"/>
              </w:rPr>
              <w:t>广州御银自动柜员 机技术有限公司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97" w:right="0"/>
              <w:jc w:val="left"/>
              <w:rPr>
                <w:rFonts w:ascii="Times New Roman" w:hAnsi="Times New Roman" w:cs="Times New Roman" w:eastAsia="Times New Roman" w:hint="default"/>
                <w:sz w:val="18"/>
                <w:szCs w:val="18"/>
              </w:rPr>
            </w:pPr>
            <w:r>
              <w:rPr>
                <w:rFonts w:ascii="Times New Roman"/>
                <w:sz w:val="18"/>
              </w:rPr>
              <w:t>8,500</w:t>
            </w:r>
          </w:p>
        </w:tc>
        <w:tc>
          <w:tcPr>
            <w:tcW w:w="1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1,283.76</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58"/>
              <w:jc w:val="left"/>
              <w:rPr>
                <w:rFonts w:ascii="宋体" w:hAnsi="宋体" w:cs="宋体" w:eastAsia="宋体" w:hint="default"/>
                <w:sz w:val="18"/>
                <w:szCs w:val="18"/>
              </w:rPr>
            </w:pPr>
            <w:r>
              <w:rPr>
                <w:rFonts w:ascii="宋体" w:hAnsi="宋体" w:cs="宋体" w:eastAsia="宋体" w:hint="default"/>
                <w:sz w:val="18"/>
                <w:szCs w:val="18"/>
              </w:rPr>
              <w:t>连带责任保 证</w:t>
            </w:r>
            <w:r>
              <w:rPr>
                <w:rFonts w:ascii="Times New Roman" w:hAnsi="Times New Roman" w:cs="Times New Roman" w:eastAsia="Times New Roman" w:hint="default"/>
                <w:sz w:val="18"/>
                <w:szCs w:val="18"/>
              </w:rPr>
              <w:t>;</w:t>
            </w:r>
            <w:r>
              <w:rPr>
                <w:rFonts w:ascii="宋体" w:hAnsi="宋体" w:cs="宋体" w:eastAsia="宋体" w:hint="default"/>
                <w:sz w:val="18"/>
                <w:szCs w:val="18"/>
              </w:rPr>
              <w:t>抵押</w:t>
            </w:r>
          </w:p>
        </w:tc>
        <w:tc>
          <w:tcPr>
            <w:tcW w:w="1016"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2012.10.25-2</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017.10.17</w:t>
            </w:r>
          </w:p>
        </w:tc>
        <w:tc>
          <w:tcPr>
            <w:tcW w:w="806" w:type="dxa"/>
            <w:gridSpan w:val="2"/>
            <w:tcBorders>
              <w:top w:val="single" w:sz="4" w:space="0" w:color="000000"/>
              <w:left w:val="single" w:sz="12" w:space="0" w:color="C7EBCC"/>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82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865"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0</w:t>
            </w:r>
          </w:p>
        </w:tc>
        <w:tc>
          <w:tcPr>
            <w:tcW w:w="369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报告期内对子公司担保实际发生额合计（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118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8" w:hRule="exact"/>
        </w:trPr>
        <w:tc>
          <w:tcPr>
            <w:tcW w:w="382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865"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8,500</w:t>
            </w:r>
          </w:p>
        </w:tc>
        <w:tc>
          <w:tcPr>
            <w:tcW w:w="369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报告期末对子公司实际担保余额合计（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118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06" w:right="0"/>
              <w:jc w:val="left"/>
              <w:rPr>
                <w:rFonts w:ascii="Times New Roman" w:hAnsi="Times New Roman" w:cs="Times New Roman" w:eastAsia="Times New Roman" w:hint="default"/>
                <w:sz w:val="18"/>
                <w:szCs w:val="18"/>
              </w:rPr>
            </w:pPr>
            <w:r>
              <w:rPr>
                <w:rFonts w:ascii="Times New Roman"/>
                <w:sz w:val="18"/>
              </w:rPr>
              <w:t>1,283.76</w:t>
            </w:r>
          </w:p>
        </w:tc>
      </w:tr>
      <w:tr>
        <w:trPr>
          <w:trHeight w:val="391" w:hRule="exact"/>
        </w:trPr>
        <w:tc>
          <w:tcPr>
            <w:tcW w:w="839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c>
          <w:tcPr>
            <w:tcW w:w="1181"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382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865"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6"/>
              <w:ind w:right="9"/>
              <w:jc w:val="right"/>
              <w:rPr>
                <w:rFonts w:ascii="Times New Roman" w:hAnsi="Times New Roman" w:cs="Times New Roman" w:eastAsia="Times New Roman" w:hint="default"/>
                <w:sz w:val="18"/>
                <w:szCs w:val="18"/>
              </w:rPr>
            </w:pPr>
            <w:r>
              <w:rPr>
                <w:rFonts w:ascii="Times New Roman"/>
                <w:sz w:val="18"/>
              </w:rPr>
              <w:t>0</w:t>
            </w:r>
          </w:p>
        </w:tc>
        <w:tc>
          <w:tcPr>
            <w:tcW w:w="369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报告期内担保实际发生额合计（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118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2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865"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z w:val="18"/>
              </w:rPr>
              <w:t>8,500</w:t>
            </w:r>
          </w:p>
        </w:tc>
        <w:tc>
          <w:tcPr>
            <w:tcW w:w="369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118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506" w:right="0"/>
              <w:jc w:val="left"/>
              <w:rPr>
                <w:rFonts w:ascii="Times New Roman" w:hAnsi="Times New Roman" w:cs="Times New Roman" w:eastAsia="Times New Roman" w:hint="default"/>
                <w:sz w:val="18"/>
                <w:szCs w:val="18"/>
              </w:rPr>
            </w:pPr>
            <w:r>
              <w:rPr>
                <w:rFonts w:ascii="Times New Roman"/>
                <w:sz w:val="18"/>
              </w:rPr>
              <w:t>1,283.76</w:t>
            </w:r>
          </w:p>
        </w:tc>
      </w:tr>
      <w:tr>
        <w:trPr>
          <w:trHeight w:val="408" w:hRule="exact"/>
        </w:trPr>
        <w:tc>
          <w:tcPr>
            <w:tcW w:w="469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880" w:type="dxa"/>
            <w:gridSpan w:val="6"/>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0.80%</w:t>
            </w:r>
          </w:p>
        </w:tc>
      </w:tr>
      <w:tr>
        <w:trPr>
          <w:trHeight w:val="391"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69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880" w:type="dxa"/>
            <w:gridSpan w:val="6"/>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69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4" w:right="137"/>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 务担保金额（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880" w:type="dxa"/>
            <w:gridSpan w:val="6"/>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69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880" w:type="dxa"/>
            <w:gridSpan w:val="6"/>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69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880" w:type="dxa"/>
            <w:gridSpan w:val="6"/>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691" w:type="dxa"/>
            <w:gridSpan w:val="5"/>
            <w:tcBorders>
              <w:top w:val="single" w:sz="4" w:space="0" w:color="000000"/>
              <w:left w:val="single" w:sz="4" w:space="0" w:color="000000"/>
              <w:bottom w:val="single" w:sz="4" w:space="0" w:color="000000"/>
              <w:right w:val="single" w:sz="13" w:space="0" w:color="C7EBCC"/>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未到期担保可能承担连带清偿责任说明（如有）</w:t>
            </w:r>
          </w:p>
        </w:tc>
        <w:tc>
          <w:tcPr>
            <w:tcW w:w="4880" w:type="dxa"/>
            <w:gridSpan w:val="6"/>
            <w:tcBorders>
              <w:top w:val="single" w:sz="4" w:space="0" w:color="000000"/>
              <w:left w:val="single" w:sz="10" w:space="0" w:color="D2D2D2"/>
              <w:bottom w:val="single" w:sz="4" w:space="0" w:color="000000"/>
              <w:right w:val="single" w:sz="4" w:space="0" w:color="000000"/>
            </w:tcBorders>
            <w:shd w:val="clear" w:color="auto" w:fill="C7EBCC"/>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691" w:type="dxa"/>
            <w:gridSpan w:val="5"/>
            <w:tcBorders>
              <w:top w:val="single" w:sz="4" w:space="0" w:color="000000"/>
              <w:left w:val="single" w:sz="4" w:space="0" w:color="000000"/>
              <w:bottom w:val="single" w:sz="4" w:space="0" w:color="000000"/>
              <w:right w:val="single" w:sz="13" w:space="0" w:color="C7EBCC"/>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880" w:type="dxa"/>
            <w:gridSpan w:val="6"/>
            <w:tcBorders>
              <w:top w:val="single" w:sz="4" w:space="0" w:color="000000"/>
              <w:left w:val="single" w:sz="10" w:space="0" w:color="D2D2D2"/>
              <w:bottom w:val="single" w:sz="4" w:space="0" w:color="000000"/>
              <w:right w:val="single" w:sz="4" w:space="0" w:color="000000"/>
            </w:tcBorders>
            <w:shd w:val="clear" w:color="auto" w:fill="C7EBCC"/>
          </w:tcPr>
          <w:p>
            <w:pPr>
              <w:pStyle w:val="TableParagraph"/>
              <w:spacing w:line="240" w:lineRule="auto" w:before="50"/>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57" w:lineRule="auto" w:before="49"/>
        <w:ind w:left="513" w:right="94" w:hanging="361"/>
        <w:jc w:val="left"/>
        <w:rPr>
          <w:rFonts w:ascii="Times New Roman" w:hAnsi="Times New Roman" w:cs="Times New Roman" w:eastAsia="Times New Roman" w:hint="default"/>
        </w:rPr>
      </w:pPr>
      <w:r>
        <w:rPr/>
        <w:t>采用复合方式担保的具体情况说明 子公司广州御银自动柜员机技术有限公司与中国工商银行股份有限公司广州工业大道支行签订了编号为工业支行</w:t>
      </w:r>
      <w:r>
        <w:rPr>
          <w:rFonts w:ascii="Times New Roman" w:hAnsi="Times New Roman" w:cs="Times New Roman" w:eastAsia="Times New Roman" w:hint="default"/>
        </w:rPr>
        <w:t>2012</w:t>
      </w:r>
    </w:p>
    <w:p>
      <w:pPr>
        <w:pStyle w:val="BodyText"/>
        <w:spacing w:line="214" w:lineRule="exact"/>
        <w:ind w:right="0"/>
        <w:jc w:val="left"/>
      </w:pPr>
      <w:r>
        <w:rPr/>
        <w:t>年项借字第</w:t>
      </w:r>
      <w:r>
        <w:rPr>
          <w:rFonts w:ascii="Times New Roman" w:hAnsi="Times New Roman" w:cs="Times New Roman" w:eastAsia="Times New Roman" w:hint="default"/>
        </w:rPr>
        <w:t>006</w:t>
      </w:r>
      <w:r>
        <w:rPr/>
        <w:t>号的固定资产借款合同，本合同项下借款额度为人民币</w:t>
      </w:r>
      <w:r>
        <w:rPr>
          <w:rFonts w:ascii="Times New Roman" w:hAnsi="Times New Roman" w:cs="Times New Roman" w:eastAsia="Times New Roman" w:hint="default"/>
        </w:rPr>
        <w:t>8,500.00</w:t>
      </w:r>
      <w:r>
        <w:rPr/>
        <w:t>万元，用途为“柜员机产能扩充”项目建设，</w:t>
      </w:r>
    </w:p>
    <w:p>
      <w:pPr>
        <w:pStyle w:val="BodyText"/>
        <w:spacing w:line="300" w:lineRule="auto" w:before="62"/>
        <w:ind w:right="94"/>
        <w:jc w:val="left"/>
      </w:pPr>
      <w:r>
        <w:rPr>
          <w:spacing w:val="-2"/>
        </w:rPr>
        <w:t>期限为</w:t>
      </w:r>
      <w:r>
        <w:rPr>
          <w:rFonts w:ascii="Times New Roman" w:hAnsi="Times New Roman" w:cs="Times New Roman" w:eastAsia="Times New Roman" w:hint="default"/>
          <w:spacing w:val="-2"/>
        </w:rPr>
        <w:t>5</w:t>
      </w:r>
      <w:r>
        <w:rPr>
          <w:spacing w:val="-2"/>
        </w:rPr>
        <w:t>年。杨文江、广州御银科技股份有限公司为其提供担保；另以科学城土地使用权（穗府国用第</w:t>
      </w:r>
      <w:r>
        <w:rPr>
          <w:rFonts w:ascii="Times New Roman" w:hAnsi="Times New Roman" w:cs="Times New Roman" w:eastAsia="Times New Roman" w:hint="default"/>
          <w:spacing w:val="-2"/>
        </w:rPr>
        <w:t>05000060</w:t>
      </w:r>
      <w:r>
        <w:rPr>
          <w:spacing w:val="-2"/>
        </w:rPr>
        <w:t>号）作抵押，</w:t>
      </w:r>
      <w:r>
        <w:rPr>
          <w:spacing w:val="-59"/>
        </w:rPr>
        <w:t> </w:t>
      </w:r>
      <w:r>
        <w:rPr>
          <w:spacing w:val="-59"/>
        </w:rPr>
      </w:r>
      <w:r>
        <w:rPr/>
        <w:t>抵押物原值</w:t>
      </w:r>
      <w:r>
        <w:rPr>
          <w:rFonts w:ascii="Times New Roman" w:hAnsi="Times New Roman" w:cs="Times New Roman" w:eastAsia="Times New Roman" w:hint="default"/>
        </w:rPr>
        <w:t>9,270,000.00</w:t>
      </w:r>
      <w:r>
        <w:rPr>
          <w:rFonts w:ascii="Times New Roman" w:hAnsi="Times New Roman" w:cs="Times New Roman" w:eastAsia="Times New Roman" w:hint="default"/>
          <w:spacing w:val="36"/>
        </w:rPr>
        <w:t> </w:t>
      </w:r>
      <w:r>
        <w:rPr/>
        <w:t>元，截至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日抵押物净值</w:t>
      </w:r>
      <w:r>
        <w:rPr>
          <w:rFonts w:ascii="Times New Roman" w:hAnsi="Times New Roman" w:cs="Times New Roman" w:eastAsia="Times New Roman" w:hint="default"/>
        </w:rPr>
        <w:t>8,497,500.00</w:t>
      </w:r>
      <w:r>
        <w:rPr/>
        <w:t>元。</w:t>
      </w:r>
    </w:p>
    <w:p>
      <w:pPr>
        <w:spacing w:after="0" w:line="300" w:lineRule="auto"/>
        <w:jc w:val="left"/>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left="972" w:right="7754"/>
        <w:jc w:val="left"/>
        <w:rPr>
          <w:b w:val="0"/>
          <w:bCs w:val="0"/>
        </w:rPr>
      </w:pPr>
      <w:r>
        <w:rPr/>
        <w:t>（</w:t>
      </w:r>
      <w:r>
        <w:rPr>
          <w:rFonts w:ascii="Times New Roman" w:hAnsi="Times New Roman" w:cs="Times New Roman" w:eastAsia="Times New Roman" w:hint="default"/>
        </w:rPr>
        <w:t>1</w:t>
      </w:r>
      <w:r>
        <w:rPr/>
        <w:t>）违规对外担保情况</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left="972" w:right="7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公司报告期无违规对外担保情况。</w:t>
      </w:r>
    </w:p>
    <w:p>
      <w:pPr>
        <w:spacing w:line="240" w:lineRule="auto" w:before="7"/>
        <w:rPr>
          <w:rFonts w:ascii="宋体" w:hAnsi="宋体" w:cs="宋体" w:eastAsia="宋体" w:hint="default"/>
          <w:sz w:val="21"/>
          <w:szCs w:val="21"/>
        </w:rPr>
      </w:pPr>
    </w:p>
    <w:p>
      <w:pPr>
        <w:pStyle w:val="Heading3"/>
        <w:spacing w:line="240" w:lineRule="auto"/>
        <w:ind w:left="972" w:right="7754"/>
        <w:jc w:val="left"/>
        <w:rPr>
          <w:b w:val="0"/>
          <w:bCs w:val="0"/>
        </w:rPr>
      </w:pPr>
      <w:r>
        <w:rPr>
          <w:rFonts w:ascii="Times New Roman" w:hAnsi="Times New Roman" w:cs="Times New Roman" w:eastAsia="Times New Roman" w:hint="default"/>
        </w:rPr>
        <w:t>3</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972" w:right="7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17" w:type="dxa"/>
        <w:tblLayout w:type="fixed"/>
        <w:tblCellMar>
          <w:top w:w="0" w:type="dxa"/>
          <w:left w:w="0" w:type="dxa"/>
          <w:bottom w:w="0" w:type="dxa"/>
          <w:right w:w="0" w:type="dxa"/>
        </w:tblCellMar>
        <w:tblLook w:val="01E0"/>
      </w:tblPr>
      <w:tblGrid>
        <w:gridCol w:w="1278"/>
        <w:gridCol w:w="1274"/>
        <w:gridCol w:w="566"/>
        <w:gridCol w:w="1277"/>
        <w:gridCol w:w="1276"/>
        <w:gridCol w:w="710"/>
        <w:gridCol w:w="850"/>
        <w:gridCol w:w="991"/>
        <w:gridCol w:w="853"/>
        <w:gridCol w:w="426"/>
        <w:gridCol w:w="424"/>
        <w:gridCol w:w="994"/>
      </w:tblGrid>
      <w:tr>
        <w:trPr>
          <w:trHeight w:val="1027" w:hRule="exact"/>
        </w:trPr>
        <w:tc>
          <w:tcPr>
            <w:tcW w:w="1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365" w:right="92" w:hanging="272"/>
              <w:jc w:val="left"/>
              <w:rPr>
                <w:rFonts w:ascii="宋体" w:hAnsi="宋体" w:cs="宋体" w:eastAsia="宋体" w:hint="default"/>
                <w:sz w:val="18"/>
                <w:szCs w:val="18"/>
              </w:rPr>
            </w:pPr>
            <w:r>
              <w:rPr>
                <w:rFonts w:ascii="宋体" w:hAnsi="宋体" w:cs="宋体" w:eastAsia="宋体" w:hint="default"/>
                <w:sz w:val="18"/>
                <w:szCs w:val="18"/>
              </w:rPr>
              <w:t>合同订立公司 方名称</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453" w:right="89" w:hanging="360"/>
              <w:jc w:val="left"/>
              <w:rPr>
                <w:rFonts w:ascii="宋体" w:hAnsi="宋体" w:cs="宋体" w:eastAsia="宋体" w:hint="default"/>
                <w:sz w:val="18"/>
                <w:szCs w:val="18"/>
              </w:rPr>
            </w:pPr>
            <w:r>
              <w:rPr>
                <w:rFonts w:ascii="宋体" w:hAnsi="宋体" w:cs="宋体" w:eastAsia="宋体" w:hint="default"/>
                <w:sz w:val="18"/>
                <w:szCs w:val="18"/>
              </w:rPr>
              <w:t>合同订立对方 名称</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8" w:right="96"/>
              <w:jc w:val="both"/>
              <w:rPr>
                <w:rFonts w:ascii="宋体" w:hAnsi="宋体" w:cs="宋体" w:eastAsia="宋体" w:hint="default"/>
                <w:sz w:val="18"/>
                <w:szCs w:val="18"/>
              </w:rPr>
            </w:pPr>
            <w:r>
              <w:rPr>
                <w:rFonts w:ascii="宋体" w:hAnsi="宋体" w:cs="宋体" w:eastAsia="宋体" w:hint="default"/>
                <w:sz w:val="18"/>
                <w:szCs w:val="18"/>
              </w:rPr>
              <w:t>合同 签订 日期</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22"/>
              <w:jc w:val="center"/>
              <w:rPr>
                <w:rFonts w:ascii="宋体" w:hAnsi="宋体" w:cs="宋体" w:eastAsia="宋体" w:hint="default"/>
                <w:sz w:val="18"/>
                <w:szCs w:val="18"/>
              </w:rPr>
            </w:pPr>
            <w:r>
              <w:rPr>
                <w:rFonts w:ascii="宋体" w:hAnsi="宋体" w:cs="宋体" w:eastAsia="宋体" w:hint="default"/>
                <w:sz w:val="18"/>
                <w:szCs w:val="18"/>
              </w:rPr>
              <w:t>合同涉及资产 </w:t>
            </w:r>
            <w:r>
              <w:rPr>
                <w:rFonts w:ascii="宋体" w:hAnsi="宋体" w:cs="宋体" w:eastAsia="宋体" w:hint="default"/>
                <w:spacing w:val="-6"/>
                <w:sz w:val="18"/>
                <w:szCs w:val="18"/>
              </w:rPr>
              <w:t>的账面价值（万</w:t>
            </w:r>
            <w:r>
              <w:rPr>
                <w:rFonts w:ascii="宋体" w:hAnsi="宋体" w:cs="宋体" w:eastAsia="宋体" w:hint="default"/>
                <w:sz w:val="18"/>
                <w:szCs w:val="18"/>
              </w:rPr>
              <w:t> </w:t>
            </w:r>
            <w:r>
              <w:rPr>
                <w:rFonts w:ascii="宋体" w:hAnsi="宋体" w:cs="宋体" w:eastAsia="宋体" w:hint="default"/>
                <w:spacing w:val="-16"/>
                <w:sz w:val="18"/>
                <w:szCs w:val="18"/>
              </w:rPr>
              <w:t>元）（如有）</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20"/>
              <w:jc w:val="center"/>
              <w:rPr>
                <w:rFonts w:ascii="宋体" w:hAnsi="宋体" w:cs="宋体" w:eastAsia="宋体" w:hint="default"/>
                <w:sz w:val="18"/>
                <w:szCs w:val="18"/>
              </w:rPr>
            </w:pPr>
            <w:r>
              <w:rPr>
                <w:rFonts w:ascii="宋体" w:hAnsi="宋体" w:cs="宋体" w:eastAsia="宋体" w:hint="default"/>
                <w:sz w:val="18"/>
                <w:szCs w:val="18"/>
              </w:rPr>
              <w:t>合同涉及资产 </w:t>
            </w:r>
            <w:r>
              <w:rPr>
                <w:rFonts w:ascii="宋体" w:hAnsi="宋体" w:cs="宋体" w:eastAsia="宋体" w:hint="default"/>
                <w:spacing w:val="-6"/>
                <w:sz w:val="18"/>
                <w:szCs w:val="18"/>
              </w:rPr>
              <w:t>的评估价值（万</w:t>
            </w:r>
            <w:r>
              <w:rPr>
                <w:rFonts w:ascii="宋体" w:hAnsi="宋体" w:cs="宋体" w:eastAsia="宋体" w:hint="default"/>
                <w:sz w:val="18"/>
                <w:szCs w:val="18"/>
              </w:rPr>
              <w:t> </w:t>
            </w:r>
            <w:r>
              <w:rPr>
                <w:rFonts w:ascii="宋体" w:hAnsi="宋体" w:cs="宋体" w:eastAsia="宋体" w:hint="default"/>
                <w:spacing w:val="-16"/>
                <w:sz w:val="18"/>
                <w:szCs w:val="18"/>
              </w:rPr>
              <w:t>元）（如有）</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77" w:right="81"/>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240" w:lineRule="auto" w:before="20"/>
              <w:ind w:left="22" w:right="-43"/>
              <w:jc w:val="left"/>
              <w:rPr>
                <w:rFonts w:ascii="宋体" w:hAnsi="宋体" w:cs="宋体" w:eastAsia="宋体" w:hint="default"/>
                <w:sz w:val="18"/>
                <w:szCs w:val="18"/>
              </w:rPr>
            </w:pPr>
            <w:r>
              <w:rPr>
                <w:rFonts w:ascii="宋体" w:hAnsi="宋体" w:cs="宋体" w:eastAsia="宋体" w:hint="default"/>
                <w:sz w:val="18"/>
                <w:szCs w:val="18"/>
              </w:rPr>
              <w:t>（如有）</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59" w:firstLine="36"/>
              <w:jc w:val="left"/>
              <w:rPr>
                <w:rFonts w:ascii="宋体" w:hAnsi="宋体" w:cs="宋体" w:eastAsia="宋体" w:hint="default"/>
                <w:sz w:val="18"/>
                <w:szCs w:val="18"/>
              </w:rPr>
            </w:pPr>
            <w:r>
              <w:rPr>
                <w:rFonts w:ascii="宋体" w:hAnsi="宋体" w:cs="宋体" w:eastAsia="宋体" w:hint="default"/>
                <w:sz w:val="18"/>
                <w:szCs w:val="18"/>
              </w:rPr>
              <w:t>评估基准 </w:t>
            </w:r>
            <w:r>
              <w:rPr>
                <w:rFonts w:ascii="宋体" w:hAnsi="宋体" w:cs="宋体" w:eastAsia="宋体" w:hint="default"/>
                <w:spacing w:val="-5"/>
                <w:sz w:val="18"/>
                <w:szCs w:val="18"/>
              </w:rPr>
              <w:t>日（如有</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195" w:lineRule="exact" w:before="128"/>
              <w:ind w:left="131" w:right="0"/>
              <w:jc w:val="left"/>
              <w:rPr>
                <w:rFonts w:ascii="宋体" w:hAnsi="宋体" w:cs="宋体" w:eastAsia="宋体" w:hint="default"/>
                <w:sz w:val="18"/>
                <w:szCs w:val="18"/>
              </w:rPr>
            </w:pPr>
            <w:r>
              <w:rPr>
                <w:rFonts w:ascii="宋体" w:hAnsi="宋体" w:cs="宋体" w:eastAsia="宋体" w:hint="default"/>
                <w:sz w:val="18"/>
                <w:szCs w:val="18"/>
              </w:rPr>
              <w:t>定价原则</w:t>
            </w:r>
          </w:p>
          <w:p>
            <w:pPr>
              <w:pStyle w:val="TableParagraph"/>
              <w:spacing w:line="195"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4"/>
              <w:ind w:left="5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 w:right="25"/>
              <w:jc w:val="both"/>
              <w:rPr>
                <w:rFonts w:ascii="宋体" w:hAnsi="宋体" w:cs="宋体" w:eastAsia="宋体" w:hint="default"/>
                <w:sz w:val="18"/>
                <w:szCs w:val="18"/>
              </w:rPr>
            </w:pPr>
            <w:r>
              <w:rPr>
                <w:rFonts w:ascii="宋体" w:hAnsi="宋体" w:cs="宋体" w:eastAsia="宋体" w:hint="default"/>
                <w:sz w:val="18"/>
                <w:szCs w:val="18"/>
              </w:rPr>
              <w:t>是否 关联 交易</w:t>
            </w:r>
          </w:p>
        </w:tc>
        <w:tc>
          <w:tcPr>
            <w:tcW w:w="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7" w:right="24"/>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 w:right="41"/>
              <w:jc w:val="center"/>
              <w:rPr>
                <w:rFonts w:ascii="宋体" w:hAnsi="宋体" w:cs="宋体" w:eastAsia="宋体" w:hint="default"/>
                <w:sz w:val="18"/>
                <w:szCs w:val="18"/>
              </w:rPr>
            </w:pPr>
            <w:r>
              <w:rPr>
                <w:rFonts w:ascii="宋体" w:hAnsi="宋体" w:cs="宋体" w:eastAsia="宋体" w:hint="default"/>
                <w:sz w:val="18"/>
                <w:szCs w:val="18"/>
              </w:rPr>
              <w:t>截至报告期 末的执行情 况</w:t>
            </w:r>
          </w:p>
        </w:tc>
      </w:tr>
      <w:tr>
        <w:trPr>
          <w:trHeight w:val="715" w:hRule="exact"/>
        </w:trPr>
        <w:tc>
          <w:tcPr>
            <w:tcW w:w="127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25" w:right="161"/>
              <w:jc w:val="left"/>
              <w:rPr>
                <w:rFonts w:ascii="宋体" w:hAnsi="宋体" w:cs="宋体" w:eastAsia="宋体" w:hint="default"/>
                <w:sz w:val="18"/>
                <w:szCs w:val="18"/>
              </w:rPr>
            </w:pPr>
            <w:r>
              <w:rPr>
                <w:rFonts w:ascii="宋体" w:hAnsi="宋体" w:cs="宋体" w:eastAsia="宋体" w:hint="default"/>
                <w:sz w:val="18"/>
                <w:szCs w:val="18"/>
              </w:rPr>
              <w:t>广州御银科技 股份有限公司</w:t>
            </w:r>
          </w:p>
        </w:tc>
        <w:tc>
          <w:tcPr>
            <w:tcW w:w="127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23" w:right="158"/>
              <w:jc w:val="left"/>
              <w:rPr>
                <w:rFonts w:ascii="宋体" w:hAnsi="宋体" w:cs="宋体" w:eastAsia="宋体" w:hint="default"/>
                <w:sz w:val="18"/>
                <w:szCs w:val="18"/>
              </w:rPr>
            </w:pPr>
            <w:r>
              <w:rPr>
                <w:rFonts w:ascii="宋体" w:hAnsi="宋体" w:cs="宋体" w:eastAsia="宋体" w:hint="default"/>
                <w:sz w:val="18"/>
                <w:szCs w:val="18"/>
              </w:rPr>
              <w:t>中国邮政集团 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陆续 签订</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70"/>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61"/>
              <w:jc w:val="right"/>
              <w:rPr>
                <w:rFonts w:ascii="宋体" w:hAnsi="宋体" w:cs="宋体" w:eastAsia="宋体" w:hint="default"/>
                <w:sz w:val="18"/>
                <w:szCs w:val="18"/>
              </w:rPr>
            </w:pPr>
            <w:r>
              <w:rPr>
                <w:rFonts w:ascii="宋体" w:hAnsi="宋体" w:cs="宋体" w:eastAsia="宋体" w:hint="default"/>
                <w:sz w:val="18"/>
                <w:szCs w:val="18"/>
              </w:rPr>
              <w:t>无</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131" w:right="38" w:hanging="92"/>
              <w:jc w:val="left"/>
              <w:rPr>
                <w:rFonts w:ascii="宋体" w:hAnsi="宋体" w:cs="宋体" w:eastAsia="宋体" w:hint="default"/>
                <w:sz w:val="18"/>
                <w:szCs w:val="18"/>
              </w:rPr>
            </w:pPr>
            <w:r>
              <w:rPr>
                <w:rFonts w:ascii="宋体" w:hAnsi="宋体" w:cs="宋体" w:eastAsia="宋体" w:hint="default"/>
                <w:sz w:val="18"/>
                <w:szCs w:val="18"/>
              </w:rPr>
              <w:t>依市场公允 价格定价</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z w:val="18"/>
                <w:szCs w:val="18"/>
              </w:rPr>
              <w:t>框架合同</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9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714" w:hRule="exact"/>
        </w:trPr>
        <w:tc>
          <w:tcPr>
            <w:tcW w:w="127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4" w:lineRule="auto" w:before="50"/>
              <w:ind w:left="25" w:right="161"/>
              <w:jc w:val="left"/>
              <w:rPr>
                <w:rFonts w:ascii="宋体" w:hAnsi="宋体" w:cs="宋体" w:eastAsia="宋体" w:hint="default"/>
                <w:sz w:val="18"/>
                <w:szCs w:val="18"/>
              </w:rPr>
            </w:pPr>
            <w:r>
              <w:rPr>
                <w:rFonts w:ascii="宋体" w:hAnsi="宋体" w:cs="宋体" w:eastAsia="宋体" w:hint="default"/>
                <w:sz w:val="18"/>
                <w:szCs w:val="18"/>
              </w:rPr>
              <w:t>广州御银科技 股份有限公司</w:t>
            </w:r>
          </w:p>
        </w:tc>
        <w:tc>
          <w:tcPr>
            <w:tcW w:w="127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4" w:lineRule="auto" w:before="50"/>
              <w:ind w:left="23" w:right="158"/>
              <w:jc w:val="left"/>
              <w:rPr>
                <w:rFonts w:ascii="宋体" w:hAnsi="宋体" w:cs="宋体" w:eastAsia="宋体" w:hint="default"/>
                <w:sz w:val="18"/>
                <w:szCs w:val="18"/>
              </w:rPr>
            </w:pPr>
            <w:r>
              <w:rPr>
                <w:rFonts w:ascii="宋体" w:hAnsi="宋体" w:cs="宋体" w:eastAsia="宋体" w:hint="default"/>
                <w:sz w:val="18"/>
                <w:szCs w:val="18"/>
              </w:rPr>
              <w:t>中国建设银行 股份有限公司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0"/>
              <w:ind w:left="98" w:right="96"/>
              <w:jc w:val="left"/>
              <w:rPr>
                <w:rFonts w:ascii="宋体" w:hAnsi="宋体" w:cs="宋体" w:eastAsia="宋体" w:hint="default"/>
                <w:sz w:val="18"/>
                <w:szCs w:val="18"/>
              </w:rPr>
            </w:pPr>
            <w:r>
              <w:rPr>
                <w:rFonts w:ascii="宋体" w:hAnsi="宋体" w:cs="宋体" w:eastAsia="宋体" w:hint="default"/>
                <w:sz w:val="18"/>
                <w:szCs w:val="18"/>
              </w:rPr>
              <w:t>陆续 签订</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70"/>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61"/>
              <w:jc w:val="right"/>
              <w:rPr>
                <w:rFonts w:ascii="宋体" w:hAnsi="宋体" w:cs="宋体" w:eastAsia="宋体" w:hint="default"/>
                <w:sz w:val="18"/>
                <w:szCs w:val="18"/>
              </w:rPr>
            </w:pPr>
            <w:r>
              <w:rPr>
                <w:rFonts w:ascii="宋体" w:hAnsi="宋体" w:cs="宋体" w:eastAsia="宋体" w:hint="default"/>
                <w:sz w:val="18"/>
                <w:szCs w:val="18"/>
              </w:rPr>
              <w:t>无</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4" w:lineRule="auto" w:before="50"/>
              <w:ind w:left="131" w:right="38" w:hanging="92"/>
              <w:jc w:val="left"/>
              <w:rPr>
                <w:rFonts w:ascii="宋体" w:hAnsi="宋体" w:cs="宋体" w:eastAsia="宋体" w:hint="default"/>
                <w:sz w:val="18"/>
                <w:szCs w:val="18"/>
              </w:rPr>
            </w:pPr>
            <w:r>
              <w:rPr>
                <w:rFonts w:ascii="宋体" w:hAnsi="宋体" w:cs="宋体" w:eastAsia="宋体" w:hint="default"/>
                <w:sz w:val="18"/>
                <w:szCs w:val="18"/>
              </w:rPr>
              <w:t>依市场公允 价格定价</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z w:val="18"/>
                <w:szCs w:val="18"/>
              </w:rPr>
              <w:t>框架合同</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9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715" w:hRule="exact"/>
        </w:trPr>
        <w:tc>
          <w:tcPr>
            <w:tcW w:w="127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25" w:right="161"/>
              <w:jc w:val="left"/>
              <w:rPr>
                <w:rFonts w:ascii="宋体" w:hAnsi="宋体" w:cs="宋体" w:eastAsia="宋体" w:hint="default"/>
                <w:sz w:val="18"/>
                <w:szCs w:val="18"/>
              </w:rPr>
            </w:pPr>
            <w:r>
              <w:rPr>
                <w:rFonts w:ascii="宋体" w:hAnsi="宋体" w:cs="宋体" w:eastAsia="宋体" w:hint="default"/>
                <w:sz w:val="18"/>
                <w:szCs w:val="18"/>
              </w:rPr>
              <w:t>广州御银科技 股份有限公司</w:t>
            </w:r>
          </w:p>
        </w:tc>
        <w:tc>
          <w:tcPr>
            <w:tcW w:w="127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23" w:right="158"/>
              <w:jc w:val="left"/>
              <w:rPr>
                <w:rFonts w:ascii="宋体" w:hAnsi="宋体" w:cs="宋体" w:eastAsia="宋体" w:hint="default"/>
                <w:sz w:val="18"/>
                <w:szCs w:val="18"/>
              </w:rPr>
            </w:pPr>
            <w:r>
              <w:rPr>
                <w:rFonts w:ascii="宋体" w:hAnsi="宋体" w:cs="宋体" w:eastAsia="宋体" w:hint="default"/>
                <w:sz w:val="18"/>
                <w:szCs w:val="18"/>
              </w:rPr>
              <w:t>中国工商银行 股份有限公司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陆续 签订</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70"/>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61"/>
              <w:jc w:val="right"/>
              <w:rPr>
                <w:rFonts w:ascii="宋体" w:hAnsi="宋体" w:cs="宋体" w:eastAsia="宋体" w:hint="default"/>
                <w:sz w:val="18"/>
                <w:szCs w:val="18"/>
              </w:rPr>
            </w:pPr>
            <w:r>
              <w:rPr>
                <w:rFonts w:ascii="宋体" w:hAnsi="宋体" w:cs="宋体" w:eastAsia="宋体" w:hint="default"/>
                <w:sz w:val="18"/>
                <w:szCs w:val="18"/>
              </w:rPr>
              <w:t>无</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131" w:right="38" w:hanging="92"/>
              <w:jc w:val="left"/>
              <w:rPr>
                <w:rFonts w:ascii="宋体" w:hAnsi="宋体" w:cs="宋体" w:eastAsia="宋体" w:hint="default"/>
                <w:sz w:val="18"/>
                <w:szCs w:val="18"/>
              </w:rPr>
            </w:pPr>
            <w:r>
              <w:rPr>
                <w:rFonts w:ascii="宋体" w:hAnsi="宋体" w:cs="宋体" w:eastAsia="宋体" w:hint="default"/>
                <w:sz w:val="18"/>
                <w:szCs w:val="18"/>
              </w:rPr>
              <w:t>依市场公允 价格定价</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z w:val="18"/>
                <w:szCs w:val="18"/>
              </w:rPr>
              <w:t>框架合同</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9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line="240" w:lineRule="auto" w:before="3"/>
        <w:rPr>
          <w:rFonts w:ascii="宋体" w:hAnsi="宋体" w:cs="宋体" w:eastAsia="宋体" w:hint="default"/>
          <w:sz w:val="19"/>
          <w:szCs w:val="19"/>
        </w:rPr>
      </w:pPr>
    </w:p>
    <w:p>
      <w:pPr>
        <w:pStyle w:val="Heading3"/>
        <w:spacing w:line="240" w:lineRule="auto" w:before="36"/>
        <w:ind w:left="972" w:right="7754"/>
        <w:jc w:val="left"/>
        <w:rPr>
          <w:b w:val="0"/>
          <w:bCs w:val="0"/>
        </w:rPr>
      </w:pPr>
      <w:r>
        <w:rPr>
          <w:rFonts w:ascii="Times New Roman" w:hAnsi="Times New Roman" w:cs="Times New Roman" w:eastAsia="Times New Roman" w:hint="default"/>
        </w:rPr>
        <w:t>4</w:t>
      </w:r>
      <w:r>
        <w:rPr/>
        <w:t>、其他重大交易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left="972" w:right="7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公司报告期不存在其他重大交易。</w:t>
      </w:r>
    </w:p>
    <w:p>
      <w:pPr>
        <w:spacing w:line="240" w:lineRule="auto" w:before="4"/>
        <w:rPr>
          <w:rFonts w:ascii="宋体" w:hAnsi="宋体" w:cs="宋体" w:eastAsia="宋体" w:hint="default"/>
          <w:sz w:val="19"/>
          <w:szCs w:val="19"/>
        </w:rPr>
      </w:pPr>
    </w:p>
    <w:p>
      <w:pPr>
        <w:pStyle w:val="Heading2"/>
        <w:spacing w:line="240" w:lineRule="auto"/>
        <w:ind w:left="972" w:right="7754"/>
        <w:jc w:val="left"/>
        <w:rPr>
          <w:b w:val="0"/>
          <w:bCs w:val="0"/>
        </w:rPr>
      </w:pPr>
      <w:r>
        <w:rPr/>
        <w:t>九、承诺事项履行情况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972" w:right="0"/>
        <w:jc w:val="left"/>
        <w:rPr>
          <w:b w:val="0"/>
          <w:bCs w:val="0"/>
        </w:rPr>
      </w:pPr>
      <w:r>
        <w:rPr>
          <w:rFonts w:ascii="Times New Roman" w:hAnsi="Times New Roman" w:cs="Times New Roman" w:eastAsia="Times New Roman" w:hint="default"/>
        </w:rPr>
        <w:t>1</w:t>
      </w:r>
      <w:r>
        <w:rPr/>
        <w:t>、公司或持股</w:t>
      </w:r>
      <w:r>
        <w:rPr>
          <w:spacing w:val="-55"/>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972" w:right="7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401" w:type="dxa"/>
        <w:tblLayout w:type="fixed"/>
        <w:tblCellMar>
          <w:top w:w="0" w:type="dxa"/>
          <w:left w:w="0" w:type="dxa"/>
          <w:bottom w:w="0" w:type="dxa"/>
          <w:right w:w="0" w:type="dxa"/>
        </w:tblCellMar>
        <w:tblLook w:val="01E0"/>
      </w:tblPr>
      <w:tblGrid>
        <w:gridCol w:w="3401"/>
        <w:gridCol w:w="853"/>
        <w:gridCol w:w="3970"/>
        <w:gridCol w:w="850"/>
        <w:gridCol w:w="850"/>
        <w:gridCol w:w="994"/>
      </w:tblGrid>
      <w:tr>
        <w:trPr>
          <w:trHeight w:val="401" w:hRule="exact"/>
        </w:trPr>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3" w:hRule="exact"/>
        </w:trPr>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853" w:type="dxa"/>
            <w:tcBorders>
              <w:top w:val="single" w:sz="4" w:space="0" w:color="000000"/>
              <w:left w:val="single" w:sz="10" w:space="0" w:color="D2D2D2"/>
              <w:bottom w:val="single" w:sz="4" w:space="0" w:color="000000"/>
              <w:right w:val="single" w:sz="4" w:space="0" w:color="000000"/>
            </w:tcBorders>
            <w:shd w:val="clear" w:color="auto" w:fill="C7EBCC"/>
          </w:tcPr>
          <w:p>
            <w:pPr/>
          </w:p>
        </w:tc>
        <w:tc>
          <w:tcPr>
            <w:tcW w:w="3970" w:type="dxa"/>
            <w:tcBorders>
              <w:top w:val="single" w:sz="4" w:space="0" w:color="000000"/>
              <w:left w:val="single" w:sz="4" w:space="0" w:color="000000"/>
              <w:bottom w:val="single" w:sz="4" w:space="0" w:color="000000"/>
              <w:right w:val="single" w:sz="4" w:space="0" w:color="000000"/>
            </w:tcBorders>
            <w:shd w:val="clear" w:color="auto" w:fill="C7EBCC"/>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shd w:val="clear" w:color="auto" w:fill="C7EBCC"/>
          </w:tcPr>
          <w:p>
            <w:pPr/>
          </w:p>
        </w:tc>
        <w:tc>
          <w:tcPr>
            <w:tcW w:w="994" w:type="dxa"/>
            <w:tcBorders>
              <w:top w:val="single" w:sz="4" w:space="0" w:color="000000"/>
              <w:left w:val="single" w:sz="4" w:space="0" w:color="000000"/>
              <w:bottom w:val="single" w:sz="4" w:space="0" w:color="000000"/>
              <w:right w:val="single" w:sz="4" w:space="0" w:color="000000"/>
            </w:tcBorders>
            <w:shd w:val="clear" w:color="auto" w:fill="C7EBCC"/>
          </w:tcPr>
          <w:p>
            <w:pPr/>
          </w:p>
        </w:tc>
      </w:tr>
      <w:tr>
        <w:trPr>
          <w:trHeight w:val="401" w:hRule="exact"/>
        </w:trPr>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收购报告书或权益变动报告书中所作承诺</w:t>
            </w:r>
          </w:p>
        </w:tc>
        <w:tc>
          <w:tcPr>
            <w:tcW w:w="853" w:type="dxa"/>
            <w:tcBorders>
              <w:top w:val="single" w:sz="4" w:space="0" w:color="000000"/>
              <w:left w:val="single" w:sz="10" w:space="0" w:color="D2D2D2"/>
              <w:bottom w:val="single" w:sz="4" w:space="0" w:color="000000"/>
              <w:right w:val="single" w:sz="4" w:space="0" w:color="000000"/>
            </w:tcBorders>
            <w:shd w:val="clear" w:color="auto" w:fill="C7EBCC"/>
          </w:tcPr>
          <w:p>
            <w:pPr/>
          </w:p>
        </w:tc>
        <w:tc>
          <w:tcPr>
            <w:tcW w:w="3970" w:type="dxa"/>
            <w:tcBorders>
              <w:top w:val="single" w:sz="4" w:space="0" w:color="000000"/>
              <w:left w:val="single" w:sz="4" w:space="0" w:color="000000"/>
              <w:bottom w:val="single" w:sz="4" w:space="0" w:color="000000"/>
              <w:right w:val="single" w:sz="4" w:space="0" w:color="000000"/>
            </w:tcBorders>
            <w:shd w:val="clear" w:color="auto" w:fill="C7EBCC"/>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shd w:val="clear" w:color="auto" w:fill="C7EBCC"/>
          </w:tcPr>
          <w:p>
            <w:pPr/>
          </w:p>
        </w:tc>
        <w:tc>
          <w:tcPr>
            <w:tcW w:w="994" w:type="dxa"/>
            <w:tcBorders>
              <w:top w:val="single" w:sz="4" w:space="0" w:color="000000"/>
              <w:left w:val="single" w:sz="4" w:space="0" w:color="000000"/>
              <w:bottom w:val="single" w:sz="4" w:space="0" w:color="000000"/>
              <w:right w:val="single" w:sz="4" w:space="0" w:color="000000"/>
            </w:tcBorders>
            <w:shd w:val="clear" w:color="auto" w:fill="C7EBCC"/>
          </w:tcPr>
          <w:p>
            <w:pPr/>
          </w:p>
        </w:tc>
      </w:tr>
      <w:tr>
        <w:trPr>
          <w:trHeight w:val="403" w:hRule="exact"/>
        </w:trPr>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853" w:type="dxa"/>
            <w:tcBorders>
              <w:top w:val="single" w:sz="4" w:space="0" w:color="000000"/>
              <w:left w:val="single" w:sz="10" w:space="0" w:color="D2D2D2"/>
              <w:bottom w:val="single" w:sz="4" w:space="0" w:color="000000"/>
              <w:right w:val="single" w:sz="4" w:space="0" w:color="000000"/>
            </w:tcBorders>
            <w:shd w:val="clear" w:color="auto" w:fill="C7EBCC"/>
          </w:tcPr>
          <w:p>
            <w:pPr/>
          </w:p>
        </w:tc>
        <w:tc>
          <w:tcPr>
            <w:tcW w:w="3970" w:type="dxa"/>
            <w:tcBorders>
              <w:top w:val="single" w:sz="4" w:space="0" w:color="000000"/>
              <w:left w:val="single" w:sz="4" w:space="0" w:color="000000"/>
              <w:bottom w:val="single" w:sz="4" w:space="0" w:color="000000"/>
              <w:right w:val="single" w:sz="4" w:space="0" w:color="000000"/>
            </w:tcBorders>
            <w:shd w:val="clear" w:color="auto" w:fill="C7EBCC"/>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shd w:val="clear" w:color="auto" w:fill="C7EBCC"/>
          </w:tcPr>
          <w:p>
            <w:pPr/>
          </w:p>
        </w:tc>
        <w:tc>
          <w:tcPr>
            <w:tcW w:w="994" w:type="dxa"/>
            <w:tcBorders>
              <w:top w:val="single" w:sz="4" w:space="0" w:color="000000"/>
              <w:left w:val="single" w:sz="4" w:space="0" w:color="000000"/>
              <w:bottom w:val="single" w:sz="4" w:space="0" w:color="000000"/>
              <w:right w:val="single" w:sz="4" w:space="0" w:color="000000"/>
            </w:tcBorders>
            <w:shd w:val="clear" w:color="auto" w:fill="C7EBCC"/>
          </w:tcPr>
          <w:p>
            <w:pPr/>
          </w:p>
        </w:tc>
      </w:tr>
      <w:tr>
        <w:trPr>
          <w:trHeight w:val="317" w:hRule="exact"/>
        </w:trPr>
        <w:tc>
          <w:tcPr>
            <w:tcW w:w="3401" w:type="dxa"/>
            <w:tcBorders>
              <w:top w:val="single" w:sz="4" w:space="0" w:color="000000"/>
              <w:left w:val="single" w:sz="4" w:space="0" w:color="000000"/>
              <w:bottom w:val="nil" w:sz="6" w:space="0" w:color="auto"/>
              <w:right w:val="single" w:sz="4" w:space="0" w:color="000000"/>
            </w:tcBorders>
            <w:shd w:val="clear" w:color="auto" w:fill="D2D2D2"/>
          </w:tcPr>
          <w:p>
            <w:pPr/>
          </w:p>
        </w:tc>
        <w:tc>
          <w:tcPr>
            <w:tcW w:w="853" w:type="dxa"/>
            <w:vMerge w:val="restart"/>
            <w:tcBorders>
              <w:top w:val="single" w:sz="4" w:space="0" w:color="000000"/>
              <w:left w:val="single" w:sz="10" w:space="0" w:color="D2D2D2"/>
              <w:right w:val="single" w:sz="4" w:space="0" w:color="000000"/>
            </w:tcBorders>
            <w:shd w:val="clear" w:color="auto" w:fill="C7EB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7"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3970" w:type="dxa"/>
            <w:vMerge w:val="restart"/>
            <w:tcBorders>
              <w:top w:val="single" w:sz="4" w:space="0" w:color="000000"/>
              <w:left w:val="single" w:sz="4" w:space="0" w:color="000000"/>
              <w:right w:val="single" w:sz="4" w:space="0" w:color="000000"/>
            </w:tcBorders>
            <w:shd w:val="clear" w:color="auto" w:fill="C7EB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避免同业竞争</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vMerge w:val="restart"/>
            <w:tcBorders>
              <w:top w:val="single" w:sz="4" w:space="0" w:color="000000"/>
              <w:left w:val="single" w:sz="4" w:space="0" w:color="000000"/>
              <w:right w:val="single" w:sz="4" w:space="0" w:color="000000"/>
            </w:tcBorders>
            <w:shd w:val="clear" w:color="auto" w:fill="C7EBCC"/>
          </w:tcPr>
          <w:p>
            <w:pPr>
              <w:pStyle w:val="TableParagraph"/>
              <w:spacing w:line="316" w:lineRule="auto" w:before="49"/>
              <w:ind w:left="23" w:right="95"/>
              <w:jc w:val="both"/>
              <w:rPr>
                <w:rFonts w:ascii="宋体" w:hAnsi="宋体" w:cs="宋体" w:eastAsia="宋体" w:hint="default"/>
                <w:sz w:val="18"/>
                <w:szCs w:val="18"/>
              </w:rPr>
            </w:pPr>
            <w:r>
              <w:rPr>
                <w:rFonts w:ascii="宋体" w:hAnsi="宋体" w:cs="宋体" w:eastAsia="宋体" w:hint="default"/>
                <w:sz w:val="18"/>
                <w:szCs w:val="18"/>
              </w:rPr>
              <w:t>至从发行 人离职后 三年期间</w:t>
            </w:r>
          </w:p>
        </w:tc>
        <w:tc>
          <w:tcPr>
            <w:tcW w:w="994" w:type="dxa"/>
            <w:vMerge w:val="restart"/>
            <w:tcBorders>
              <w:top w:val="single" w:sz="4" w:space="0" w:color="000000"/>
              <w:left w:val="single" w:sz="4" w:space="0" w:color="000000"/>
              <w:right w:val="single" w:sz="4" w:space="0" w:color="000000"/>
            </w:tcBorders>
            <w:shd w:val="clear" w:color="auto" w:fill="C7EB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391" w:hRule="exact"/>
        </w:trPr>
        <w:tc>
          <w:tcPr>
            <w:tcW w:w="34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853" w:type="dxa"/>
            <w:vMerge/>
            <w:tcBorders>
              <w:left w:val="single" w:sz="10" w:space="0" w:color="D2D2D2"/>
              <w:right w:val="single" w:sz="4" w:space="0" w:color="000000"/>
            </w:tcBorders>
            <w:shd w:val="clear" w:color="auto" w:fill="C7EBCC"/>
          </w:tcPr>
          <w:p>
            <w:pPr/>
          </w:p>
        </w:tc>
        <w:tc>
          <w:tcPr>
            <w:tcW w:w="3970" w:type="dxa"/>
            <w:vMerge/>
            <w:tcBorders>
              <w:left w:val="single" w:sz="4" w:space="0" w:color="000000"/>
              <w:right w:val="single" w:sz="4" w:space="0" w:color="000000"/>
            </w:tcBorders>
            <w:shd w:val="clear" w:color="auto" w:fill="C7EBCC"/>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shd w:val="clear" w:color="auto" w:fill="C7EBCC"/>
          </w:tcPr>
          <w:p>
            <w:pPr/>
          </w:p>
        </w:tc>
        <w:tc>
          <w:tcPr>
            <w:tcW w:w="994" w:type="dxa"/>
            <w:vMerge/>
            <w:tcBorders>
              <w:left w:val="single" w:sz="4" w:space="0" w:color="000000"/>
              <w:right w:val="single" w:sz="4" w:space="0" w:color="000000"/>
            </w:tcBorders>
            <w:shd w:val="clear" w:color="auto" w:fill="C7EBCC"/>
          </w:tcPr>
          <w:p>
            <w:pPr/>
          </w:p>
        </w:tc>
      </w:tr>
      <w:tr>
        <w:trPr>
          <w:trHeight w:val="317" w:hRule="exact"/>
        </w:trPr>
        <w:tc>
          <w:tcPr>
            <w:tcW w:w="3401" w:type="dxa"/>
            <w:tcBorders>
              <w:top w:val="nil" w:sz="6" w:space="0" w:color="auto"/>
              <w:left w:val="single" w:sz="4" w:space="0" w:color="000000"/>
              <w:bottom w:val="single" w:sz="4" w:space="0" w:color="000000"/>
              <w:right w:val="single" w:sz="4" w:space="0" w:color="000000"/>
            </w:tcBorders>
            <w:shd w:val="clear" w:color="auto" w:fill="D2D2D2"/>
          </w:tcPr>
          <w:p>
            <w:pPr/>
          </w:p>
        </w:tc>
        <w:tc>
          <w:tcPr>
            <w:tcW w:w="853" w:type="dxa"/>
            <w:vMerge/>
            <w:tcBorders>
              <w:left w:val="single" w:sz="10" w:space="0" w:color="D2D2D2"/>
              <w:bottom w:val="single" w:sz="4" w:space="0" w:color="000000"/>
              <w:right w:val="single" w:sz="4" w:space="0" w:color="000000"/>
            </w:tcBorders>
            <w:shd w:val="clear" w:color="auto" w:fill="C7EBCC"/>
          </w:tcPr>
          <w:p>
            <w:pPr/>
          </w:p>
        </w:tc>
        <w:tc>
          <w:tcPr>
            <w:tcW w:w="3970" w:type="dxa"/>
            <w:vMerge/>
            <w:tcBorders>
              <w:left w:val="single" w:sz="4" w:space="0" w:color="000000"/>
              <w:bottom w:val="single" w:sz="4" w:space="0" w:color="000000"/>
              <w:right w:val="single" w:sz="4" w:space="0" w:color="000000"/>
            </w:tcBorders>
            <w:shd w:val="clear" w:color="auto" w:fill="C7EBCC"/>
          </w:tcPr>
          <w:p>
            <w:pPr/>
          </w:p>
        </w:tc>
        <w:tc>
          <w:tcPr>
            <w:tcW w:w="85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shd w:val="clear" w:color="auto" w:fill="C7EBCC"/>
          </w:tcPr>
          <w:p>
            <w:pPr/>
          </w:p>
        </w:tc>
        <w:tc>
          <w:tcPr>
            <w:tcW w:w="994" w:type="dxa"/>
            <w:vMerge/>
            <w:tcBorders>
              <w:left w:val="single" w:sz="4" w:space="0" w:color="000000"/>
              <w:bottom w:val="single" w:sz="4" w:space="0" w:color="000000"/>
              <w:right w:val="single" w:sz="4" w:space="0" w:color="000000"/>
            </w:tcBorders>
            <w:shd w:val="clear" w:color="auto" w:fill="C7EBCC"/>
          </w:tcPr>
          <w:p>
            <w:pPr/>
          </w:p>
        </w:tc>
      </w:tr>
      <w:tr>
        <w:trPr>
          <w:trHeight w:val="830" w:hRule="exact"/>
        </w:trPr>
        <w:tc>
          <w:tcPr>
            <w:tcW w:w="3401" w:type="dxa"/>
            <w:tcBorders>
              <w:top w:val="single" w:sz="4" w:space="0" w:color="000000"/>
              <w:left w:val="single" w:sz="4" w:space="0" w:color="000000"/>
              <w:bottom w:val="nil" w:sz="6" w:space="0" w:color="auto"/>
              <w:right w:val="single" w:sz="4" w:space="0" w:color="000000"/>
            </w:tcBorders>
            <w:shd w:val="clear" w:color="auto" w:fill="D2D2D2"/>
          </w:tcPr>
          <w:p>
            <w:pPr/>
          </w:p>
        </w:tc>
        <w:tc>
          <w:tcPr>
            <w:tcW w:w="853" w:type="dxa"/>
            <w:vMerge w:val="restart"/>
            <w:tcBorders>
              <w:top w:val="single" w:sz="4" w:space="0" w:color="000000"/>
              <w:left w:val="single" w:sz="10" w:space="0" w:color="D2D2D2"/>
              <w:right w:val="single" w:sz="4" w:space="0" w:color="000000"/>
            </w:tcBorders>
            <w:shd w:val="clear" w:color="auto" w:fill="C7EBCC"/>
          </w:tcPr>
          <w:p>
            <w:pPr>
              <w:pStyle w:val="TableParagraph"/>
              <w:spacing w:line="316" w:lineRule="auto" w:before="49"/>
              <w:ind w:left="17" w:right="96"/>
              <w:jc w:val="both"/>
              <w:rPr>
                <w:rFonts w:ascii="宋体" w:hAnsi="宋体" w:cs="宋体" w:eastAsia="宋体" w:hint="default"/>
                <w:sz w:val="18"/>
                <w:szCs w:val="18"/>
              </w:rPr>
            </w:pPr>
            <w:r>
              <w:rPr>
                <w:rFonts w:ascii="宋体" w:hAnsi="宋体" w:cs="宋体" w:eastAsia="宋体" w:hint="default"/>
                <w:sz w:val="18"/>
                <w:szCs w:val="18"/>
              </w:rPr>
              <w:t>广州御银 科技股份 有限公司</w:t>
            </w:r>
          </w:p>
        </w:tc>
        <w:tc>
          <w:tcPr>
            <w:tcW w:w="3970" w:type="dxa"/>
            <w:vMerge w:val="restart"/>
            <w:tcBorders>
              <w:top w:val="single" w:sz="4" w:space="0" w:color="000000"/>
              <w:left w:val="single" w:sz="4" w:space="0" w:color="000000"/>
              <w:right w:val="single" w:sz="4" w:space="0" w:color="000000"/>
            </w:tcBorders>
            <w:shd w:val="clear" w:color="auto" w:fill="C7EBCC"/>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不为激励对象依股票期权激励计划获取有关权益 </w:t>
            </w:r>
            <w:r>
              <w:rPr>
                <w:rFonts w:ascii="宋体" w:hAnsi="宋体" w:cs="宋体" w:eastAsia="宋体" w:hint="default"/>
                <w:spacing w:val="-3"/>
                <w:sz w:val="18"/>
                <w:szCs w:val="18"/>
              </w:rPr>
              <w:t>提供贷款以及其他形式的财务资助，包括为其贷款</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提供担保。</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vMerge w:val="restart"/>
            <w:tcBorders>
              <w:top w:val="single" w:sz="4" w:space="0" w:color="000000"/>
              <w:left w:val="single" w:sz="4" w:space="0" w:color="000000"/>
              <w:right w:val="single" w:sz="4" w:space="0" w:color="000000"/>
            </w:tcBorders>
            <w:shd w:val="clear" w:color="auto" w:fill="C7EBCC"/>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日止</w:t>
            </w:r>
          </w:p>
        </w:tc>
        <w:tc>
          <w:tcPr>
            <w:tcW w:w="994" w:type="dxa"/>
            <w:vMerge w:val="restart"/>
            <w:tcBorders>
              <w:top w:val="single" w:sz="4" w:space="0" w:color="000000"/>
              <w:left w:val="single" w:sz="4" w:space="0" w:color="000000"/>
              <w:right w:val="single" w:sz="4" w:space="0" w:color="000000"/>
            </w:tcBorders>
            <w:shd w:val="clear" w:color="auto" w:fill="C7EB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197" w:hRule="exact"/>
        </w:trPr>
        <w:tc>
          <w:tcPr>
            <w:tcW w:w="34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853" w:type="dxa"/>
            <w:vMerge/>
            <w:tcBorders>
              <w:left w:val="single" w:sz="10" w:space="0" w:color="D2D2D2"/>
              <w:bottom w:val="single" w:sz="4" w:space="0" w:color="000000"/>
              <w:right w:val="single" w:sz="4" w:space="0" w:color="000000"/>
            </w:tcBorders>
            <w:shd w:val="clear" w:color="auto" w:fill="C7EBCC"/>
          </w:tcPr>
          <w:p>
            <w:pPr/>
          </w:p>
        </w:tc>
        <w:tc>
          <w:tcPr>
            <w:tcW w:w="3970" w:type="dxa"/>
            <w:vMerge/>
            <w:tcBorders>
              <w:left w:val="single" w:sz="4" w:space="0" w:color="000000"/>
              <w:bottom w:val="single" w:sz="4" w:space="0" w:color="000000"/>
              <w:right w:val="single" w:sz="4" w:space="0" w:color="000000"/>
            </w:tcBorders>
            <w:shd w:val="clear" w:color="auto" w:fill="C7EBCC"/>
          </w:tcPr>
          <w:p>
            <w:pPr/>
          </w:p>
        </w:tc>
        <w:tc>
          <w:tcPr>
            <w:tcW w:w="85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shd w:val="clear" w:color="auto" w:fill="C7EBCC"/>
          </w:tcPr>
          <w:p>
            <w:pPr/>
          </w:p>
        </w:tc>
        <w:tc>
          <w:tcPr>
            <w:tcW w:w="994" w:type="dxa"/>
            <w:vMerge/>
            <w:tcBorders>
              <w:left w:val="single" w:sz="4" w:space="0" w:color="000000"/>
              <w:bottom w:val="single" w:sz="4" w:space="0" w:color="000000"/>
              <w:right w:val="single" w:sz="4" w:space="0" w:color="000000"/>
            </w:tcBorders>
            <w:shd w:val="clear" w:color="auto" w:fill="C7EBCC"/>
          </w:tcPr>
          <w:p>
            <w:pPr/>
          </w:p>
        </w:tc>
      </w:tr>
      <w:tr>
        <w:trPr>
          <w:trHeight w:val="194" w:hRule="exact"/>
        </w:trPr>
        <w:tc>
          <w:tcPr>
            <w:tcW w:w="3401" w:type="dxa"/>
            <w:vMerge/>
            <w:tcBorders>
              <w:left w:val="single" w:sz="4" w:space="0" w:color="000000"/>
              <w:bottom w:val="nil" w:sz="6" w:space="0" w:color="auto"/>
              <w:right w:val="single" w:sz="4" w:space="0" w:color="000000"/>
            </w:tcBorders>
            <w:shd w:val="clear" w:color="auto" w:fill="D2D2D2"/>
          </w:tcPr>
          <w:p>
            <w:pPr/>
          </w:p>
        </w:tc>
        <w:tc>
          <w:tcPr>
            <w:tcW w:w="853" w:type="dxa"/>
            <w:vMerge w:val="restart"/>
            <w:tcBorders>
              <w:top w:val="single" w:sz="4" w:space="0" w:color="000000"/>
              <w:left w:val="single" w:sz="10" w:space="0" w:color="D2D2D2"/>
              <w:right w:val="single" w:sz="4" w:space="0" w:color="000000"/>
            </w:tcBorders>
            <w:shd w:val="clear" w:color="auto" w:fill="C7EBCC"/>
          </w:tcPr>
          <w:p>
            <w:pPr>
              <w:pStyle w:val="TableParagraph"/>
              <w:spacing w:line="316" w:lineRule="auto" w:before="49"/>
              <w:ind w:left="17" w:right="96"/>
              <w:jc w:val="both"/>
              <w:rPr>
                <w:rFonts w:ascii="宋体" w:hAnsi="宋体" w:cs="宋体" w:eastAsia="宋体" w:hint="default"/>
                <w:sz w:val="18"/>
                <w:szCs w:val="18"/>
              </w:rPr>
            </w:pPr>
            <w:r>
              <w:rPr>
                <w:rFonts w:ascii="宋体" w:hAnsi="宋体" w:cs="宋体" w:eastAsia="宋体" w:hint="default"/>
                <w:sz w:val="18"/>
                <w:szCs w:val="18"/>
              </w:rPr>
              <w:t>广州御银 科技股份 有限公司</w:t>
            </w:r>
          </w:p>
        </w:tc>
        <w:tc>
          <w:tcPr>
            <w:tcW w:w="3970" w:type="dxa"/>
            <w:vMerge w:val="restart"/>
            <w:tcBorders>
              <w:top w:val="single" w:sz="4" w:space="0" w:color="000000"/>
              <w:left w:val="single" w:sz="4" w:space="0" w:color="000000"/>
              <w:right w:val="single" w:sz="4" w:space="0" w:color="000000"/>
            </w:tcBorders>
            <w:shd w:val="clear" w:color="auto" w:fill="C7EBCC"/>
          </w:tcPr>
          <w:p>
            <w:pPr>
              <w:pStyle w:val="TableParagraph"/>
              <w:spacing w:line="316" w:lineRule="auto" w:before="68"/>
              <w:ind w:left="23" w:right="22"/>
              <w:jc w:val="left"/>
              <w:rPr>
                <w:rFonts w:ascii="宋体" w:hAnsi="宋体" w:cs="宋体" w:eastAsia="宋体" w:hint="default"/>
                <w:sz w:val="18"/>
                <w:szCs w:val="18"/>
              </w:rPr>
            </w:pPr>
            <w:r>
              <w:rPr>
                <w:rFonts w:ascii="宋体" w:hAnsi="宋体" w:cs="宋体" w:eastAsia="宋体" w:hint="default"/>
                <w:sz w:val="18"/>
                <w:szCs w:val="18"/>
              </w:rPr>
              <w:t>在公司盈利状态良好且现金流能够满足公司正常 </w:t>
            </w:r>
            <w:r>
              <w:rPr>
                <w:rFonts w:ascii="宋体" w:hAnsi="宋体" w:cs="宋体" w:eastAsia="宋体" w:hint="default"/>
                <w:spacing w:val="-3"/>
                <w:sz w:val="18"/>
                <w:szCs w:val="18"/>
              </w:rPr>
              <w:t>经营和可持续发展的前提下，如无重大投资计划或</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重大现金支出等事项发生，公司原则上应当采取现</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vMerge w:val="restart"/>
            <w:tcBorders>
              <w:top w:val="single" w:sz="4" w:space="0" w:color="000000"/>
              <w:left w:val="single" w:sz="4" w:space="0" w:color="000000"/>
              <w:right w:val="single" w:sz="4" w:space="0" w:color="000000"/>
            </w:tcBorders>
            <w:shd w:val="clear" w:color="auto" w:fill="C7EB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经营期间</w:t>
            </w:r>
          </w:p>
        </w:tc>
        <w:tc>
          <w:tcPr>
            <w:tcW w:w="994" w:type="dxa"/>
            <w:vMerge w:val="restart"/>
            <w:tcBorders>
              <w:top w:val="single" w:sz="4" w:space="0" w:color="000000"/>
              <w:left w:val="single" w:sz="4" w:space="0" w:color="000000"/>
              <w:right w:val="single" w:sz="4" w:space="0" w:color="000000"/>
            </w:tcBorders>
            <w:shd w:val="clear" w:color="auto" w:fill="C7EB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830" w:hRule="exact"/>
        </w:trPr>
        <w:tc>
          <w:tcPr>
            <w:tcW w:w="3401" w:type="dxa"/>
            <w:tcBorders>
              <w:top w:val="nil" w:sz="6" w:space="0" w:color="auto"/>
              <w:left w:val="single" w:sz="4" w:space="0" w:color="000000"/>
              <w:bottom w:val="single" w:sz="4" w:space="0" w:color="000000"/>
              <w:right w:val="single" w:sz="4" w:space="0" w:color="000000"/>
            </w:tcBorders>
            <w:shd w:val="clear" w:color="auto" w:fill="D2D2D2"/>
          </w:tcPr>
          <w:p>
            <w:pPr/>
          </w:p>
        </w:tc>
        <w:tc>
          <w:tcPr>
            <w:tcW w:w="853" w:type="dxa"/>
            <w:vMerge/>
            <w:tcBorders>
              <w:left w:val="single" w:sz="10" w:space="0" w:color="D2D2D2"/>
              <w:bottom w:val="single" w:sz="4" w:space="0" w:color="000000"/>
              <w:right w:val="single" w:sz="4" w:space="0" w:color="000000"/>
            </w:tcBorders>
            <w:shd w:val="clear" w:color="auto" w:fill="C7EBCC"/>
          </w:tcPr>
          <w:p>
            <w:pPr/>
          </w:p>
        </w:tc>
        <w:tc>
          <w:tcPr>
            <w:tcW w:w="3970" w:type="dxa"/>
            <w:vMerge/>
            <w:tcBorders>
              <w:left w:val="single" w:sz="4" w:space="0" w:color="000000"/>
              <w:bottom w:val="single" w:sz="4" w:space="0" w:color="000000"/>
              <w:right w:val="single" w:sz="4" w:space="0" w:color="000000"/>
            </w:tcBorders>
            <w:shd w:val="clear" w:color="auto" w:fill="C7EBCC"/>
          </w:tcPr>
          <w:p>
            <w:pPr/>
          </w:p>
        </w:tc>
        <w:tc>
          <w:tcPr>
            <w:tcW w:w="85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shd w:val="clear" w:color="auto" w:fill="C7EBCC"/>
          </w:tcPr>
          <w:p>
            <w:pPr/>
          </w:p>
        </w:tc>
        <w:tc>
          <w:tcPr>
            <w:tcW w:w="994" w:type="dxa"/>
            <w:vMerge/>
            <w:tcBorders>
              <w:left w:val="single" w:sz="4" w:space="0" w:color="000000"/>
              <w:bottom w:val="single" w:sz="4" w:space="0" w:color="000000"/>
              <w:right w:val="single" w:sz="4" w:space="0" w:color="000000"/>
            </w:tcBorders>
            <w:shd w:val="clear" w:color="auto" w:fill="C7EBCC"/>
          </w:tcPr>
          <w:p>
            <w:pPr/>
          </w:p>
        </w:tc>
      </w:tr>
    </w:tbl>
    <w:p>
      <w:pPr>
        <w:spacing w:after="0"/>
        <w:sectPr>
          <w:pgSz w:w="11910" w:h="16840"/>
          <w:pgMar w:header="745" w:footer="980" w:top="1060" w:bottom="1160" w:left="160" w:right="300"/>
        </w:sectPr>
      </w:pPr>
    </w:p>
    <w:p>
      <w:pPr>
        <w:spacing w:line="240" w:lineRule="auto" w:before="6"/>
        <w:rPr>
          <w:rFonts w:ascii="宋体" w:hAnsi="宋体" w:cs="宋体" w:eastAsia="宋体" w:hint="default"/>
          <w:sz w:val="28"/>
          <w:szCs w:val="28"/>
        </w:rPr>
      </w:pPr>
      <w:r>
        <w:rPr/>
        <w:pict>
          <v:group style="position:absolute;margin-left:440.950012pt;margin-top:129.61998pt;width:39.75pt;height:17.650pt;mso-position-horizontal-relative:page;mso-position-vertical-relative:page;z-index:-750304" coordorigin="8819,2592" coordsize="795,353">
            <v:shape style="position:absolute;left:8819;top:2592;width:795;height:353" coordorigin="8819,2592" coordsize="795,353" path="m8819,2945l9614,2945,9614,2592,8819,2592,8819,2945xe" filled="true" fillcolor="#ffffff" stroked="false">
              <v:path arrowok="t"/>
              <v:fill type="solid"/>
            </v:shape>
            <w10:wrap type="none"/>
          </v:group>
        </w:pict>
      </w:r>
    </w:p>
    <w:tbl>
      <w:tblPr>
        <w:tblW w:w="0" w:type="auto"/>
        <w:jc w:val="left"/>
        <w:tblInd w:w="101" w:type="dxa"/>
        <w:tblLayout w:type="fixed"/>
        <w:tblCellMar>
          <w:top w:w="0" w:type="dxa"/>
          <w:left w:w="0" w:type="dxa"/>
          <w:bottom w:w="0" w:type="dxa"/>
          <w:right w:w="0" w:type="dxa"/>
        </w:tblCellMar>
        <w:tblLook w:val="01E0"/>
      </w:tblPr>
      <w:tblGrid>
        <w:gridCol w:w="3401"/>
        <w:gridCol w:w="853"/>
        <w:gridCol w:w="3970"/>
        <w:gridCol w:w="850"/>
        <w:gridCol w:w="850"/>
        <w:gridCol w:w="994"/>
      </w:tblGrid>
      <w:tr>
        <w:trPr>
          <w:trHeight w:val="987" w:hRule="exact"/>
        </w:trPr>
        <w:tc>
          <w:tcPr>
            <w:tcW w:w="3401" w:type="dxa"/>
            <w:vMerge w:val="restart"/>
            <w:tcBorders>
              <w:top w:val="single" w:sz="4" w:space="0" w:color="000000"/>
              <w:left w:val="single" w:sz="4" w:space="0" w:color="000000"/>
              <w:right w:val="single" w:sz="4" w:space="0" w:color="000000"/>
            </w:tcBorders>
            <w:shd w:val="clear" w:color="auto" w:fill="D2D2D2"/>
          </w:tcPr>
          <w:p>
            <w:pPr/>
          </w:p>
        </w:tc>
        <w:tc>
          <w:tcPr>
            <w:tcW w:w="853" w:type="dxa"/>
            <w:tcBorders>
              <w:top w:val="single" w:sz="4" w:space="0" w:color="000000"/>
              <w:left w:val="single" w:sz="4" w:space="0" w:color="000000"/>
              <w:bottom w:val="single" w:sz="4" w:space="0" w:color="000000"/>
              <w:right w:val="single" w:sz="4" w:space="0" w:color="000000"/>
            </w:tcBorders>
            <w:shd w:val="clear" w:color="auto" w:fill="C7EBCC"/>
          </w:tcPr>
          <w:p>
            <w:pPr/>
          </w:p>
        </w:tc>
        <w:tc>
          <w:tcPr>
            <w:tcW w:w="397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9" w:lineRule="auto" w:before="8"/>
              <w:ind w:left="23" w:right="22"/>
              <w:jc w:val="left"/>
              <w:rPr>
                <w:rFonts w:ascii="宋体" w:hAnsi="宋体" w:cs="宋体" w:eastAsia="宋体" w:hint="default"/>
                <w:sz w:val="18"/>
                <w:szCs w:val="18"/>
              </w:rPr>
            </w:pPr>
            <w:r>
              <w:rPr>
                <w:rFonts w:ascii="宋体" w:hAnsi="宋体" w:cs="宋体" w:eastAsia="宋体" w:hint="default"/>
                <w:spacing w:val="-3"/>
                <w:sz w:val="18"/>
                <w:szCs w:val="18"/>
              </w:rPr>
              <w:t>金方式分配股利，公司最近三年以现金方式累计分</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配的利润不少于最近三年实现的年均可分配利润 的百分之三十。</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shd w:val="clear" w:color="auto" w:fill="C7EBCC"/>
          </w:tcPr>
          <w:p>
            <w:pPr/>
          </w:p>
        </w:tc>
        <w:tc>
          <w:tcPr>
            <w:tcW w:w="994" w:type="dxa"/>
            <w:tcBorders>
              <w:top w:val="single" w:sz="4" w:space="0" w:color="000000"/>
              <w:left w:val="single" w:sz="4" w:space="0" w:color="000000"/>
              <w:bottom w:val="single" w:sz="4" w:space="0" w:color="000000"/>
              <w:right w:val="single" w:sz="4" w:space="0" w:color="000000"/>
            </w:tcBorders>
            <w:shd w:val="clear" w:color="auto" w:fill="C7EBCC"/>
          </w:tcPr>
          <w:p>
            <w:pPr/>
          </w:p>
        </w:tc>
      </w:tr>
      <w:tr>
        <w:trPr>
          <w:trHeight w:val="1025" w:hRule="exact"/>
        </w:trPr>
        <w:tc>
          <w:tcPr>
            <w:tcW w:w="3401" w:type="dxa"/>
            <w:vMerge/>
            <w:tcBorders>
              <w:left w:val="single" w:sz="4" w:space="0" w:color="000000"/>
              <w:right w:val="single" w:sz="4" w:space="0" w:color="000000"/>
            </w:tcBorders>
            <w:shd w:val="clear" w:color="auto" w:fill="D2D2D2"/>
          </w:tcPr>
          <w:p>
            <w:pPr/>
          </w:p>
        </w:tc>
        <w:tc>
          <w:tcPr>
            <w:tcW w:w="85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25" w:right="96"/>
              <w:jc w:val="both"/>
              <w:rPr>
                <w:rFonts w:ascii="宋体" w:hAnsi="宋体" w:cs="宋体" w:eastAsia="宋体" w:hint="default"/>
                <w:sz w:val="18"/>
                <w:szCs w:val="18"/>
              </w:rPr>
            </w:pPr>
            <w:r>
              <w:rPr>
                <w:rFonts w:ascii="宋体" w:hAnsi="宋体" w:cs="宋体" w:eastAsia="宋体" w:hint="default"/>
                <w:sz w:val="18"/>
                <w:szCs w:val="18"/>
              </w:rPr>
              <w:t>广州御银 科技股份 有限公司</w:t>
            </w:r>
          </w:p>
        </w:tc>
        <w:tc>
          <w:tcPr>
            <w:tcW w:w="3970" w:type="dxa"/>
            <w:tcBorders>
              <w:top w:val="single" w:sz="4" w:space="0" w:color="000000"/>
              <w:left w:val="single" w:sz="4" w:space="0" w:color="000000"/>
              <w:bottom w:val="single" w:sz="4" w:space="0" w:color="000000"/>
              <w:right w:val="single" w:sz="10" w:space="0" w:color="FFFFFF"/>
            </w:tcBorders>
            <w:shd w:val="clear" w:color="auto" w:fill="C7EBCC"/>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pacing w:val="-8"/>
                <w:sz w:val="18"/>
                <w:szCs w:val="18"/>
              </w:rPr>
              <w:t>公司不存在重大资产重组、收购、发行股份等行为，</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同时承诺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个月内不再筹划同一事项。</w:t>
            </w:r>
          </w:p>
        </w:tc>
        <w:tc>
          <w:tcPr>
            <w:tcW w:w="850"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日止</w:t>
            </w:r>
          </w:p>
        </w:tc>
        <w:tc>
          <w:tcPr>
            <w:tcW w:w="99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1027" w:hRule="exact"/>
        </w:trPr>
        <w:tc>
          <w:tcPr>
            <w:tcW w:w="3401" w:type="dxa"/>
            <w:vMerge/>
            <w:tcBorders>
              <w:left w:val="single" w:sz="4" w:space="0" w:color="000000"/>
              <w:right w:val="single" w:sz="4" w:space="0" w:color="000000"/>
            </w:tcBorders>
            <w:shd w:val="clear" w:color="auto" w:fill="D2D2D2"/>
          </w:tcPr>
          <w:p>
            <w:pPr/>
          </w:p>
        </w:tc>
        <w:tc>
          <w:tcPr>
            <w:tcW w:w="85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397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连续六个月内出售的股份将低于公司股份总数的</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日止</w:t>
            </w:r>
          </w:p>
        </w:tc>
        <w:tc>
          <w:tcPr>
            <w:tcW w:w="99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1025" w:hRule="exact"/>
        </w:trPr>
        <w:tc>
          <w:tcPr>
            <w:tcW w:w="3401" w:type="dxa"/>
            <w:vMerge/>
            <w:tcBorders>
              <w:left w:val="single" w:sz="4" w:space="0" w:color="000000"/>
              <w:right w:val="single" w:sz="4" w:space="0" w:color="000000"/>
            </w:tcBorders>
            <w:shd w:val="clear" w:color="auto" w:fill="D2D2D2"/>
          </w:tcPr>
          <w:p>
            <w:pPr/>
          </w:p>
        </w:tc>
        <w:tc>
          <w:tcPr>
            <w:tcW w:w="85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25" w:right="96"/>
              <w:jc w:val="both"/>
              <w:rPr>
                <w:rFonts w:ascii="宋体" w:hAnsi="宋体" w:cs="宋体" w:eastAsia="宋体" w:hint="default"/>
                <w:sz w:val="18"/>
                <w:szCs w:val="18"/>
              </w:rPr>
            </w:pPr>
            <w:r>
              <w:rPr>
                <w:rFonts w:ascii="宋体" w:hAnsi="宋体" w:cs="宋体" w:eastAsia="宋体" w:hint="default"/>
                <w:sz w:val="18"/>
                <w:szCs w:val="18"/>
              </w:rPr>
              <w:t>广州御银 科技股份 有限公司</w:t>
            </w:r>
          </w:p>
        </w:tc>
        <w:tc>
          <w:tcPr>
            <w:tcW w:w="397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3" w:right="19"/>
              <w:jc w:val="left"/>
              <w:rPr>
                <w:rFonts w:ascii="宋体" w:hAnsi="宋体" w:cs="宋体" w:eastAsia="宋体" w:hint="default"/>
                <w:sz w:val="18"/>
                <w:szCs w:val="18"/>
              </w:rPr>
            </w:pPr>
            <w:r>
              <w:rPr>
                <w:rFonts w:ascii="宋体" w:hAnsi="宋体" w:cs="宋体" w:eastAsia="宋体" w:hint="default"/>
                <w:sz w:val="18"/>
                <w:szCs w:val="18"/>
              </w:rPr>
              <w:t>公司董事会承诺自本决议公告之日起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个月内，不</w:t>
            </w:r>
            <w:r>
              <w:rPr>
                <w:rFonts w:ascii="宋体" w:hAnsi="宋体" w:cs="宋体" w:eastAsia="宋体" w:hint="default"/>
                <w:sz w:val="18"/>
                <w:szCs w:val="18"/>
              </w:rPr>
              <w:t> 再审议和披露股权激励计划。</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日止</w:t>
            </w:r>
          </w:p>
        </w:tc>
        <w:tc>
          <w:tcPr>
            <w:tcW w:w="99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1028" w:hRule="exact"/>
        </w:trPr>
        <w:tc>
          <w:tcPr>
            <w:tcW w:w="3401" w:type="dxa"/>
            <w:vMerge/>
            <w:tcBorders>
              <w:left w:val="single" w:sz="4" w:space="0" w:color="000000"/>
              <w:right w:val="single" w:sz="4" w:space="0" w:color="000000"/>
            </w:tcBorders>
            <w:shd w:val="clear" w:color="auto" w:fill="D2D2D2"/>
          </w:tcPr>
          <w:p>
            <w:pPr/>
          </w:p>
        </w:tc>
        <w:tc>
          <w:tcPr>
            <w:tcW w:w="85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397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连续六个月内出售的股份将低于公司股份总数的</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日止</w:t>
            </w:r>
          </w:p>
        </w:tc>
        <w:tc>
          <w:tcPr>
            <w:tcW w:w="99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1649" w:hRule="exact"/>
        </w:trPr>
        <w:tc>
          <w:tcPr>
            <w:tcW w:w="3401" w:type="dxa"/>
            <w:vMerge/>
            <w:tcBorders>
              <w:left w:val="single" w:sz="4" w:space="0" w:color="000000"/>
              <w:bottom w:val="single" w:sz="4" w:space="0" w:color="000000"/>
              <w:right w:val="single" w:sz="4" w:space="0" w:color="000000"/>
            </w:tcBorders>
            <w:shd w:val="clear" w:color="auto" w:fill="D2D2D2"/>
          </w:tcPr>
          <w:p>
            <w:pPr/>
          </w:p>
        </w:tc>
        <w:tc>
          <w:tcPr>
            <w:tcW w:w="85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397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日起至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日止的</w:t>
            </w:r>
          </w:p>
          <w:p>
            <w:pPr>
              <w:pStyle w:val="TableParagraph"/>
              <w:spacing w:line="312" w:lineRule="auto" w:before="63"/>
              <w:ind w:left="23"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个月期间内不再减持本人所持有的公司股份， </w:t>
            </w:r>
            <w:r>
              <w:rPr>
                <w:rFonts w:ascii="宋体" w:hAnsi="宋体" w:cs="宋体" w:eastAsia="宋体" w:hint="default"/>
                <w:spacing w:val="-3"/>
                <w:sz w:val="18"/>
                <w:szCs w:val="18"/>
              </w:rPr>
              <w:t>包括承诺期间因送股、公积金转增股本等权益分派</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5"/>
                <w:sz w:val="18"/>
                <w:szCs w:val="18"/>
              </w:rPr>
              <w:t>产生的股票（如有）。本人将严格遵守承诺，若违</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反承诺减持股份，本人将遵照有关规定承担责任。</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日止</w:t>
            </w:r>
          </w:p>
        </w:tc>
        <w:tc>
          <w:tcPr>
            <w:tcW w:w="99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403" w:hRule="exact"/>
        </w:trPr>
        <w:tc>
          <w:tcPr>
            <w:tcW w:w="42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664" w:type="dxa"/>
            <w:gridSpan w:val="4"/>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2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未完成履行的具体原因及下一步计划（如有）</w:t>
            </w:r>
          </w:p>
        </w:tc>
        <w:tc>
          <w:tcPr>
            <w:tcW w:w="6664" w:type="dxa"/>
            <w:gridSpan w:val="4"/>
            <w:tcBorders>
              <w:top w:val="single" w:sz="4" w:space="0" w:color="000000"/>
              <w:left w:val="single" w:sz="10" w:space="0" w:color="D2D2D2"/>
              <w:bottom w:val="single" w:sz="4" w:space="0" w:color="000000"/>
              <w:right w:val="single" w:sz="4" w:space="0" w:color="000000"/>
            </w:tcBorders>
            <w:shd w:val="clear" w:color="auto" w:fill="C7EBCC"/>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宋体" w:hAnsi="宋体" w:cs="宋体" w:eastAsia="宋体" w:hint="default"/>
          <w:sz w:val="18"/>
          <w:szCs w:val="18"/>
        </w:rPr>
      </w:pPr>
    </w:p>
    <w:p>
      <w:pPr>
        <w:pStyle w:val="Heading2"/>
        <w:spacing w:line="240" w:lineRule="auto" w:before="26"/>
        <w:ind w:left="672" w:right="594"/>
        <w:jc w:val="left"/>
        <w:rPr>
          <w:b w:val="0"/>
          <w:bCs w:val="0"/>
        </w:rPr>
      </w:pPr>
      <w:r>
        <w:rPr/>
        <w:t>十、聘任、解聘会计师事务所情况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672" w:right="7794"/>
        <w:jc w:val="left"/>
      </w:pPr>
      <w:r>
        <w:rPr/>
        <w:t>现聘任的会计师事务所</w:t>
      </w:r>
    </w:p>
    <w:p>
      <w:pPr>
        <w:spacing w:line="240" w:lineRule="auto" w:before="4"/>
        <w:rPr>
          <w:rFonts w:ascii="宋体" w:hAnsi="宋体" w:cs="宋体" w:eastAsia="宋体" w:hint="default"/>
          <w:sz w:val="8"/>
          <w:szCs w:val="8"/>
        </w:rPr>
      </w:pPr>
    </w:p>
    <w:tbl>
      <w:tblPr>
        <w:tblW w:w="0" w:type="auto"/>
        <w:jc w:val="left"/>
        <w:tblInd w:w="669" w:type="dxa"/>
        <w:tblLayout w:type="fixed"/>
        <w:tblCellMar>
          <w:top w:w="0" w:type="dxa"/>
          <w:left w:w="0" w:type="dxa"/>
          <w:bottom w:w="0" w:type="dxa"/>
          <w:right w:w="0" w:type="dxa"/>
        </w:tblCellMar>
        <w:tblLook w:val="01E0"/>
      </w:tblPr>
      <w:tblGrid>
        <w:gridCol w:w="3885"/>
        <w:gridCol w:w="5684"/>
      </w:tblGrid>
      <w:tr>
        <w:trPr>
          <w:trHeight w:val="401"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80</w:t>
            </w:r>
          </w:p>
        </w:tc>
      </w:tr>
      <w:tr>
        <w:trPr>
          <w:trHeight w:val="401"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w:t>
            </w:r>
          </w:p>
        </w:tc>
      </w:tr>
      <w:tr>
        <w:trPr>
          <w:trHeight w:val="403"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张锦坤 </w:t>
            </w:r>
            <w:r>
              <w:rPr>
                <w:rFonts w:ascii="宋体" w:hAnsi="宋体" w:cs="宋体" w:eastAsia="宋体" w:hint="default"/>
                <w:spacing w:val="2"/>
                <w:sz w:val="18"/>
                <w:szCs w:val="18"/>
              </w:rPr>
              <w:t> </w:t>
            </w:r>
            <w:r>
              <w:rPr>
                <w:rFonts w:ascii="宋体" w:hAnsi="宋体" w:cs="宋体" w:eastAsia="宋体" w:hint="default"/>
                <w:sz w:val="18"/>
                <w:szCs w:val="18"/>
              </w:rPr>
              <w:t>关敏洁</w:t>
            </w:r>
          </w:p>
        </w:tc>
      </w:tr>
    </w:tbl>
    <w:p>
      <w:pPr>
        <w:pStyle w:val="BodyText"/>
        <w:spacing w:line="240" w:lineRule="auto" w:before="49"/>
        <w:ind w:left="672" w:right="7794"/>
        <w:jc w:val="left"/>
      </w:pPr>
      <w:r>
        <w:rPr/>
        <w:t>当期是否改聘会计师事务所</w:t>
      </w:r>
    </w:p>
    <w:p>
      <w:pPr>
        <w:pStyle w:val="BodyText"/>
        <w:spacing w:line="340" w:lineRule="auto" w:before="115"/>
        <w:ind w:left="672" w:right="59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1"/>
        <w:ind w:left="672" w:right="7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left="672" w:right="594"/>
        <w:jc w:val="left"/>
        <w:rPr>
          <w:b w:val="0"/>
          <w:bCs w:val="0"/>
        </w:rPr>
      </w:pPr>
      <w:r>
        <w:rPr/>
        <w:t>十一、监事会、独立董事（如适用）对会计师事务所本报告期“非标准审计报告”的说明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672" w:right="7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460" w:right="300"/>
        </w:sectPr>
      </w:pPr>
    </w:p>
    <w:p>
      <w:pPr>
        <w:spacing w:line="240" w:lineRule="auto" w:before="8"/>
        <w:rPr>
          <w:rFonts w:ascii="宋体" w:hAnsi="宋体" w:cs="宋体" w:eastAsia="宋体" w:hint="default"/>
          <w:sz w:val="23"/>
          <w:szCs w:val="23"/>
        </w:rPr>
      </w:pPr>
    </w:p>
    <w:p>
      <w:pPr>
        <w:pStyle w:val="Heading2"/>
        <w:spacing w:line="240" w:lineRule="auto" w:before="26"/>
        <w:ind w:right="94"/>
        <w:jc w:val="left"/>
        <w:rPr>
          <w:b w:val="0"/>
          <w:bCs w:val="0"/>
        </w:rPr>
      </w:pPr>
      <w:r>
        <w:rPr/>
        <w:t>十二、处罚及整改情况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69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8"/>
        <w:rPr>
          <w:rFonts w:ascii="宋体" w:hAnsi="宋体" w:cs="宋体" w:eastAsia="宋体" w:hint="default"/>
          <w:sz w:val="19"/>
          <w:szCs w:val="19"/>
        </w:rPr>
      </w:pPr>
    </w:p>
    <w:p>
      <w:pPr>
        <w:pStyle w:val="Heading2"/>
        <w:spacing w:line="240" w:lineRule="auto"/>
        <w:ind w:right="94"/>
        <w:jc w:val="left"/>
        <w:rPr>
          <w:b w:val="0"/>
          <w:bCs w:val="0"/>
        </w:rPr>
      </w:pPr>
      <w:r>
        <w:rPr/>
        <w:t>十三、年度报告披露后面临暂停上市和终止上市情况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4"/>
        <w:jc w:val="left"/>
        <w:rPr>
          <w:b w:val="0"/>
          <w:bCs w:val="0"/>
        </w:rPr>
      </w:pPr>
      <w:r>
        <w:rPr/>
        <w:t>十四、其他重大事项的说明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left="513" w:right="18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由于经营发展需要，公司对注册地址进行了变更。公司于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日召开</w:t>
      </w:r>
      <w:r>
        <w:rPr>
          <w:rFonts w:ascii="Times New Roman" w:hAnsi="Times New Roman" w:cs="Times New Roman" w:eastAsia="Times New Roman" w:hint="default"/>
        </w:rPr>
        <w:t>2013</w:t>
      </w:r>
      <w:r>
        <w:rPr/>
        <w:t>年度股东大会，会议审议通过了《关</w:t>
      </w:r>
    </w:p>
    <w:p>
      <w:pPr>
        <w:pStyle w:val="BodyText"/>
        <w:spacing w:line="229" w:lineRule="exact"/>
        <w:ind w:right="94"/>
        <w:jc w:val="left"/>
      </w:pPr>
      <w:r>
        <w:rPr/>
        <w:t>于修订</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的议案》，根据审议结果，对《公司章程》部分条款做出相应修订，并授权董事会办理公司注册地址变</w:t>
      </w:r>
    </w:p>
    <w:p>
      <w:pPr>
        <w:pStyle w:val="BodyText"/>
        <w:spacing w:line="240" w:lineRule="auto" w:before="63"/>
        <w:ind w:right="94"/>
        <w:jc w:val="left"/>
      </w:pPr>
      <w:r>
        <w:rPr/>
        <w:t>更的工商变更登记事宜。</w:t>
      </w:r>
    </w:p>
    <w:p>
      <w:pPr>
        <w:spacing w:line="240" w:lineRule="auto" w:before="3"/>
        <w:rPr>
          <w:rFonts w:ascii="宋体" w:hAnsi="宋体" w:cs="宋体" w:eastAsia="宋体" w:hint="default"/>
          <w:sz w:val="25"/>
          <w:szCs w:val="25"/>
        </w:rPr>
      </w:pPr>
    </w:p>
    <w:p>
      <w:pPr>
        <w:pStyle w:val="Heading2"/>
        <w:spacing w:line="240" w:lineRule="auto"/>
        <w:ind w:right="94"/>
        <w:jc w:val="left"/>
        <w:rPr>
          <w:b w:val="0"/>
          <w:bCs w:val="0"/>
        </w:rPr>
      </w:pPr>
      <w:r>
        <w:rPr/>
        <w:t>十五、公司子公司重要事项</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513" w:right="94"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报告期内，为推进公司互联网金融业务发展，抓住互联网金融产业蓬勃发展的机遇，广州御银科技股份有限公司（以下</w:t>
      </w:r>
    </w:p>
    <w:p>
      <w:pPr>
        <w:pStyle w:val="BodyText"/>
        <w:spacing w:line="240" w:lineRule="auto" w:before="1"/>
        <w:ind w:right="0"/>
        <w:jc w:val="left"/>
      </w:pPr>
      <w:r>
        <w:rPr/>
        <w:t>简称“公司”）以自有资金设立全资子公司广州御银信息科技有限公司，专注于互联网金融领域。内容详见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w:t>
      </w:r>
      <w:r>
        <w:rPr/>
        <w:t>日在</w:t>
      </w:r>
    </w:p>
    <w:p>
      <w:pPr>
        <w:pStyle w:val="BodyText"/>
        <w:spacing w:line="300" w:lineRule="auto" w:before="63"/>
        <w:ind w:right="194"/>
        <w:jc w:val="left"/>
      </w:pPr>
      <w:r>
        <w:rPr/>
        <w:t>《证券时报》、《中国证券报》、《上海证券报》及巨潮资讯</w:t>
      </w:r>
      <w:hyperlink r:id="rId14">
        <w:r>
          <w:rPr>
            <w:rFonts w:ascii="Times New Roman" w:hAnsi="Times New Roman" w:cs="Times New Roman" w:eastAsia="Times New Roman" w:hint="default"/>
          </w:rPr>
          <w:t>http://www.cninfo.com.cn</w:t>
        </w:r>
        <w:r>
          <w:rPr/>
          <w:t>刊登的《关于设立全资子公司广州御</w:t>
        </w:r>
      </w:hyperlink>
      <w:r>
        <w:rPr/>
        <w:t> 银信息科技有限公司的公告》（</w:t>
      </w:r>
      <w:r>
        <w:rPr>
          <w:rFonts w:ascii="Times New Roman" w:hAnsi="Times New Roman" w:cs="Times New Roman" w:eastAsia="Times New Roman" w:hint="default"/>
        </w:rPr>
        <w:t>2014-033</w:t>
      </w:r>
      <w:r>
        <w:rPr/>
        <w:t>）。</w:t>
      </w:r>
    </w:p>
    <w:p>
      <w:pPr>
        <w:pStyle w:val="BodyText"/>
        <w:spacing w:line="309" w:lineRule="auto" w:before="13"/>
        <w:ind w:right="111" w:firstLine="360"/>
        <w:jc w:val="left"/>
      </w:pPr>
      <w:r>
        <w:rPr/>
        <w:t>全资子公司御银信息科技有限公司已完成了工商注册登记手续，并取得了广州市工商行政管理局颁发的《营业执照》， </w:t>
      </w:r>
      <w:r>
        <w:rPr>
          <w:spacing w:val="-2"/>
        </w:rPr>
        <w:t>内容详见</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22</w:t>
      </w:r>
      <w:r>
        <w:rPr>
          <w:spacing w:val="-2"/>
        </w:rPr>
        <w:t>日在《证券时报》、《中国证券报》、《上海证券报》及巨潮资讯</w:t>
      </w:r>
      <w:hyperlink r:id="rId14">
        <w:r>
          <w:rPr>
            <w:rFonts w:ascii="Times New Roman" w:hAnsi="Times New Roman" w:cs="Times New Roman" w:eastAsia="Times New Roman" w:hint="default"/>
            <w:spacing w:val="-2"/>
          </w:rPr>
          <w:t>http://www.cninfo.com.cn</w:t>
        </w:r>
        <w:r>
          <w:rPr>
            <w:spacing w:val="-2"/>
          </w:rPr>
          <w:t>刊登的</w:t>
        </w:r>
      </w:hyperlink>
      <w:r>
        <w:rPr>
          <w:spacing w:val="-2"/>
        </w:rPr>
        <w:t>《关</w:t>
      </w:r>
      <w:r>
        <w:rPr>
          <w:spacing w:val="-47"/>
        </w:rPr>
        <w:t> </w:t>
      </w:r>
      <w:r>
        <w:rPr>
          <w:spacing w:val="-47"/>
        </w:rPr>
      </w:r>
      <w:r>
        <w:rPr/>
        <w:t>于全资子公司完成工商注册登记的公告》（</w:t>
      </w:r>
      <w:r>
        <w:rPr>
          <w:rFonts w:ascii="Times New Roman" w:hAnsi="Times New Roman" w:cs="Times New Roman" w:eastAsia="Times New Roman" w:hint="default"/>
        </w:rPr>
        <w:t>2014-035</w:t>
      </w:r>
      <w:r>
        <w:rPr/>
        <w:t>）。</w:t>
      </w:r>
    </w:p>
    <w:p>
      <w:pPr>
        <w:spacing w:line="240" w:lineRule="auto" w:before="10"/>
        <w:rPr>
          <w:rFonts w:ascii="宋体" w:hAnsi="宋体" w:cs="宋体" w:eastAsia="宋体" w:hint="default"/>
          <w:sz w:val="19"/>
          <w:szCs w:val="19"/>
        </w:rPr>
      </w:pPr>
    </w:p>
    <w:p>
      <w:pPr>
        <w:pStyle w:val="Heading2"/>
        <w:spacing w:line="240" w:lineRule="auto"/>
        <w:ind w:right="94"/>
        <w:jc w:val="left"/>
        <w:rPr>
          <w:b w:val="0"/>
          <w:bCs w:val="0"/>
        </w:rPr>
      </w:pPr>
      <w:r>
        <w:rPr/>
        <w:t>十六、公司发行公司债券的情况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344" w:right="814"/>
        <w:jc w:val="left"/>
        <w:rPr>
          <w:b w:val="0"/>
          <w:bCs w:val="0"/>
        </w:rPr>
      </w:pPr>
      <w:bookmarkStart w:name="_TOC_250006" w:id="6"/>
      <w:r>
        <w:rPr/>
        <w:t>第六节</w:t>
      </w:r>
      <w:r>
        <w:rPr>
          <w:spacing w:val="-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left="532" w:right="814"/>
        <w:jc w:val="left"/>
        <w:rPr>
          <w:b w:val="0"/>
          <w:bCs w:val="0"/>
        </w:rPr>
      </w:pPr>
      <w:r>
        <w:rPr/>
        <w:t>一、股份变动情况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551"/>
        <w:jc w:val="right"/>
      </w:pPr>
      <w:r>
        <w:rPr/>
        <w:t>单位：股</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822"/>
        <w:gridCol w:w="1002"/>
        <w:gridCol w:w="711"/>
        <w:gridCol w:w="850"/>
        <w:gridCol w:w="566"/>
        <w:gridCol w:w="994"/>
        <w:gridCol w:w="991"/>
        <w:gridCol w:w="991"/>
        <w:gridCol w:w="1234"/>
        <w:gridCol w:w="1320"/>
      </w:tblGrid>
      <w:tr>
        <w:trPr>
          <w:trHeight w:val="206" w:hRule="exact"/>
        </w:trPr>
        <w:tc>
          <w:tcPr>
            <w:tcW w:w="1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17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0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39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0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55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4" w:hRule="exact"/>
        </w:trPr>
        <w:tc>
          <w:tcPr>
            <w:tcW w:w="1822" w:type="dxa"/>
            <w:vMerge w:val="restart"/>
            <w:tcBorders>
              <w:top w:val="nil" w:sz="6" w:space="0" w:color="auto"/>
              <w:left w:val="single" w:sz="4" w:space="0" w:color="000000"/>
              <w:right w:val="single" w:sz="4" w:space="0" w:color="000000"/>
            </w:tcBorders>
            <w:shd w:val="clear" w:color="auto" w:fill="D2D2D2"/>
          </w:tcPr>
          <w:p>
            <w:pPr/>
          </w:p>
        </w:tc>
        <w:tc>
          <w:tcPr>
            <w:tcW w:w="1713" w:type="dxa"/>
            <w:gridSpan w:val="2"/>
            <w:vMerge/>
            <w:tcBorders>
              <w:left w:val="single" w:sz="4" w:space="0" w:color="000000"/>
              <w:bottom w:val="single" w:sz="4" w:space="0" w:color="000000"/>
              <w:right w:val="single" w:sz="4" w:space="0" w:color="000000"/>
            </w:tcBorders>
            <w:shd w:val="clear" w:color="auto" w:fill="D2D2D2"/>
          </w:tcPr>
          <w:p>
            <w:pPr/>
          </w:p>
        </w:tc>
        <w:tc>
          <w:tcPr>
            <w:tcW w:w="4392" w:type="dxa"/>
            <w:gridSpan w:val="5"/>
            <w:vMerge/>
            <w:tcBorders>
              <w:left w:val="single" w:sz="4" w:space="0" w:color="000000"/>
              <w:bottom w:val="single" w:sz="4" w:space="0" w:color="000000"/>
              <w:right w:val="single" w:sz="4" w:space="0" w:color="000000"/>
            </w:tcBorders>
            <w:shd w:val="clear" w:color="auto" w:fill="D2D2D2"/>
          </w:tcPr>
          <w:p>
            <w:pPr/>
          </w:p>
        </w:tc>
        <w:tc>
          <w:tcPr>
            <w:tcW w:w="2554"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822" w:type="dxa"/>
            <w:vMerge/>
            <w:tcBorders>
              <w:left w:val="single" w:sz="4" w:space="0" w:color="000000"/>
              <w:bottom w:val="nil" w:sz="6" w:space="0" w:color="auto"/>
              <w:right w:val="single" w:sz="4" w:space="0" w:color="000000"/>
            </w:tcBorders>
            <w:shd w:val="clear" w:color="auto" w:fill="D2D2D2"/>
          </w:tcPr>
          <w:p>
            <w:pPr/>
          </w:p>
        </w:tc>
        <w:tc>
          <w:tcPr>
            <w:tcW w:w="1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13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2" w:type="dxa"/>
            <w:vMerge/>
            <w:tcBorders>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1234" w:type="dxa"/>
            <w:vMerge/>
            <w:tcBorders>
              <w:left w:val="single" w:sz="4" w:space="0" w:color="000000"/>
              <w:bottom w:val="single" w:sz="4" w:space="0" w:color="000000"/>
              <w:right w:val="single" w:sz="4" w:space="0" w:color="000000"/>
            </w:tcBorders>
            <w:shd w:val="clear" w:color="auto" w:fill="D2D2D2"/>
          </w:tcPr>
          <w:p>
            <w:pPr/>
          </w:p>
        </w:tc>
        <w:tc>
          <w:tcPr>
            <w:tcW w:w="1320"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0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246,360,935</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32.37%</w:t>
            </w: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-28,565,653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-28,565,653</w:t>
            </w:r>
            <w:r>
              <w:rPr>
                <w:rFonts w:ascii="Times New Roman"/>
                <w:sz w:val="18"/>
              </w:rPr>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217,795,282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28.61%</w:t>
            </w:r>
          </w:p>
        </w:tc>
      </w:tr>
      <w:tr>
        <w:trPr>
          <w:trHeight w:val="403" w:hRule="exact"/>
        </w:trPr>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0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246,360,935</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32.37%</w:t>
            </w: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-28,565,653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-28,565,653</w:t>
            </w:r>
            <w:r>
              <w:rPr>
                <w:rFonts w:ascii="Times New Roman"/>
                <w:sz w:val="18"/>
              </w:rPr>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217,795,282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28.61%</w:t>
            </w:r>
          </w:p>
        </w:tc>
      </w:tr>
      <w:tr>
        <w:trPr>
          <w:trHeight w:val="401" w:hRule="exact"/>
        </w:trPr>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0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246,360,935</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32.37%</w:t>
            </w: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-28,565,653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-28,565,653</w:t>
            </w:r>
            <w:r>
              <w:rPr>
                <w:rFonts w:ascii="Times New Roman"/>
                <w:sz w:val="18"/>
              </w:rPr>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217,795,282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28.61%</w:t>
            </w:r>
          </w:p>
        </w:tc>
      </w:tr>
      <w:tr>
        <w:trPr>
          <w:trHeight w:val="403" w:hRule="exact"/>
        </w:trPr>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0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514,830,359</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67.63%</w:t>
            </w: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center"/>
              <w:rPr>
                <w:rFonts w:ascii="Times New Roman" w:hAnsi="Times New Roman" w:cs="Times New Roman" w:eastAsia="Times New Roman" w:hint="default"/>
                <w:sz w:val="18"/>
                <w:szCs w:val="18"/>
              </w:rPr>
            </w:pPr>
            <w:r>
              <w:rPr>
                <w:rFonts w:ascii="Times New Roman"/>
                <w:sz w:val="18"/>
              </w:rPr>
              <w:t>28,565,653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28,565,653</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543,396,012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71.39%</w:t>
            </w:r>
          </w:p>
        </w:tc>
      </w:tr>
      <w:tr>
        <w:trPr>
          <w:trHeight w:val="401" w:hRule="exact"/>
        </w:trPr>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0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514,830,359</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67.63%</w:t>
            </w: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center"/>
              <w:rPr>
                <w:rFonts w:ascii="Times New Roman" w:hAnsi="Times New Roman" w:cs="Times New Roman" w:eastAsia="Times New Roman" w:hint="default"/>
                <w:sz w:val="18"/>
                <w:szCs w:val="18"/>
              </w:rPr>
            </w:pPr>
            <w:r>
              <w:rPr>
                <w:rFonts w:ascii="Times New Roman"/>
                <w:sz w:val="18"/>
              </w:rPr>
              <w:t>28,565,653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28,565,653</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543,396,012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71.39%</w:t>
            </w:r>
          </w:p>
        </w:tc>
      </w:tr>
      <w:tr>
        <w:trPr>
          <w:trHeight w:val="403" w:hRule="exact"/>
        </w:trPr>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0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761,191,294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761,191,294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left="532" w:right="814"/>
        <w:jc w:val="left"/>
      </w:pPr>
      <w:r>
        <w:rPr/>
        <w:t>股份变动的原因</w:t>
      </w:r>
    </w:p>
    <w:p>
      <w:pPr>
        <w:pStyle w:val="BodyText"/>
        <w:spacing w:line="340" w:lineRule="auto" w:before="115"/>
        <w:ind w:left="532" w:right="85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股份变动的批准情况</w:t>
      </w:r>
    </w:p>
    <w:p>
      <w:pPr>
        <w:pStyle w:val="BodyText"/>
        <w:spacing w:line="338" w:lineRule="auto" w:before="41"/>
        <w:ind w:left="532" w:right="85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股份变动的过户情况</w:t>
      </w:r>
    </w:p>
    <w:p>
      <w:pPr>
        <w:pStyle w:val="BodyText"/>
        <w:spacing w:line="340" w:lineRule="auto" w:before="43"/>
        <w:ind w:left="532" w:right="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340" w:lineRule="auto" w:before="39"/>
        <w:ind w:left="532" w:right="62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公司认为必要或证券监管机构要求披露的其他内容</w:t>
      </w:r>
    </w:p>
    <w:p>
      <w:pPr>
        <w:pStyle w:val="BodyText"/>
        <w:spacing w:line="240" w:lineRule="auto" w:before="41"/>
        <w:ind w:left="532" w:right="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left="532" w:right="814"/>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532" w:right="814"/>
        <w:jc w:val="left"/>
        <w:rPr>
          <w:b w:val="0"/>
          <w:bCs w:val="0"/>
        </w:rPr>
      </w:pP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32" w:right="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left="532" w:right="814"/>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32" w:right="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left="532" w:right="814"/>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32" w:right="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600" w:right="580"/>
        </w:sectPr>
      </w:pPr>
    </w:p>
    <w:p>
      <w:pPr>
        <w:spacing w:line="240" w:lineRule="auto" w:before="8"/>
        <w:rPr>
          <w:rFonts w:ascii="宋体" w:hAnsi="宋体" w:cs="宋体" w:eastAsia="宋体" w:hint="default"/>
          <w:sz w:val="23"/>
          <w:szCs w:val="23"/>
        </w:rPr>
      </w:pPr>
    </w:p>
    <w:p>
      <w:pPr>
        <w:pStyle w:val="Heading2"/>
        <w:spacing w:line="240" w:lineRule="auto" w:before="26"/>
        <w:ind w:left="672" w:right="0"/>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672"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691"/>
        <w:jc w:val="right"/>
      </w:pPr>
      <w:r>
        <w:rPr/>
        <w:t>单位：股</w:t>
      </w:r>
    </w:p>
    <w:p>
      <w:pPr>
        <w:spacing w:line="240" w:lineRule="auto" w:before="4"/>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2163"/>
        <w:gridCol w:w="672"/>
        <w:gridCol w:w="461"/>
        <w:gridCol w:w="260"/>
        <w:gridCol w:w="556"/>
        <w:gridCol w:w="566"/>
        <w:gridCol w:w="991"/>
        <w:gridCol w:w="274"/>
        <w:gridCol w:w="720"/>
        <w:gridCol w:w="295"/>
        <w:gridCol w:w="444"/>
        <w:gridCol w:w="535"/>
        <w:gridCol w:w="833"/>
        <w:gridCol w:w="444"/>
        <w:gridCol w:w="555"/>
        <w:gridCol w:w="297"/>
        <w:gridCol w:w="708"/>
      </w:tblGrid>
      <w:tr>
        <w:trPr>
          <w:trHeight w:val="161" w:hRule="exact"/>
        </w:trPr>
        <w:tc>
          <w:tcPr>
            <w:tcW w:w="21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94" w:type="dxa"/>
            <w:gridSpan w:val="3"/>
            <w:vMerge w:val="restart"/>
            <w:tcBorders>
              <w:top w:val="single" w:sz="4" w:space="0" w:color="000000"/>
              <w:left w:val="single" w:sz="10" w:space="0" w:color="D2D2D2"/>
              <w:right w:val="single" w:sz="14"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9" w:right="0"/>
              <w:jc w:val="left"/>
              <w:rPr>
                <w:rFonts w:ascii="Times New Roman" w:hAnsi="Times New Roman" w:cs="Times New Roman" w:eastAsia="Times New Roman" w:hint="default"/>
                <w:sz w:val="18"/>
                <w:szCs w:val="18"/>
              </w:rPr>
            </w:pPr>
            <w:r>
              <w:rPr>
                <w:rFonts w:ascii="Times New Roman"/>
                <w:sz w:val="18"/>
              </w:rPr>
              <w:t>62,400</w:t>
            </w:r>
          </w:p>
        </w:tc>
        <w:tc>
          <w:tcPr>
            <w:tcW w:w="238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3" w:right="21"/>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 日末普通股股东总数</w:t>
            </w:r>
          </w:p>
        </w:tc>
        <w:tc>
          <w:tcPr>
            <w:tcW w:w="1015" w:type="dxa"/>
            <w:gridSpan w:val="2"/>
            <w:vMerge w:val="restart"/>
            <w:tcBorders>
              <w:top w:val="single" w:sz="4" w:space="0" w:color="000000"/>
              <w:left w:val="single" w:sz="13" w:space="0" w:color="D2D2D2"/>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77,225</w:t>
            </w:r>
          </w:p>
        </w:tc>
        <w:tc>
          <w:tcPr>
            <w:tcW w:w="281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 w:right="88"/>
              <w:jc w:val="left"/>
              <w:rPr>
                <w:rFonts w:ascii="宋体" w:hAnsi="宋体" w:cs="宋体" w:eastAsia="宋体" w:hint="default"/>
                <w:sz w:val="18"/>
                <w:szCs w:val="18"/>
              </w:rPr>
            </w:pPr>
            <w:r>
              <w:rPr>
                <w:rFonts w:ascii="宋体" w:hAnsi="宋体" w:cs="宋体" w:eastAsia="宋体" w:hint="default"/>
                <w:sz w:val="18"/>
                <w:szCs w:val="18"/>
              </w:rPr>
              <w:t>报告期末表决权恢复的优先股股东 </w:t>
            </w:r>
            <w:r>
              <w:rPr>
                <w:rFonts w:ascii="宋体" w:hAnsi="宋体" w:cs="宋体" w:eastAsia="宋体" w:hint="default"/>
                <w:spacing w:val="-10"/>
                <w:sz w:val="18"/>
                <w:szCs w:val="18"/>
              </w:rPr>
              <w:t>总数（如有）（参见注</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004" w:type="dxa"/>
            <w:gridSpan w:val="2"/>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21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报告期末普通股股东总数</w:t>
            </w:r>
          </w:p>
        </w:tc>
        <w:tc>
          <w:tcPr>
            <w:tcW w:w="1394" w:type="dxa"/>
            <w:gridSpan w:val="3"/>
            <w:vMerge/>
            <w:tcBorders>
              <w:left w:val="single" w:sz="10" w:space="0" w:color="D2D2D2"/>
              <w:right w:val="single" w:sz="14" w:space="0" w:color="D2D2D2"/>
            </w:tcBorders>
          </w:tcPr>
          <w:p>
            <w:pPr/>
          </w:p>
        </w:tc>
        <w:tc>
          <w:tcPr>
            <w:tcW w:w="2387" w:type="dxa"/>
            <w:gridSpan w:val="4"/>
            <w:vMerge/>
            <w:tcBorders>
              <w:left w:val="single" w:sz="4" w:space="0" w:color="000000"/>
              <w:right w:val="single" w:sz="4" w:space="0" w:color="000000"/>
            </w:tcBorders>
            <w:shd w:val="clear" w:color="auto" w:fill="D2D2D2"/>
          </w:tcPr>
          <w:p>
            <w:pPr/>
          </w:p>
        </w:tc>
        <w:tc>
          <w:tcPr>
            <w:tcW w:w="1015" w:type="dxa"/>
            <w:gridSpan w:val="2"/>
            <w:vMerge/>
            <w:tcBorders>
              <w:left w:val="single" w:sz="13" w:space="0" w:color="D2D2D2"/>
              <w:right w:val="single" w:sz="10" w:space="0" w:color="D2D2D2"/>
            </w:tcBorders>
          </w:tcPr>
          <w:p>
            <w:pPr/>
          </w:p>
        </w:tc>
        <w:tc>
          <w:tcPr>
            <w:tcW w:w="2812" w:type="dxa"/>
            <w:gridSpan w:val="5"/>
            <w:vMerge/>
            <w:tcBorders>
              <w:left w:val="single" w:sz="4" w:space="0" w:color="000000"/>
              <w:right w:val="single" w:sz="4" w:space="0" w:color="000000"/>
            </w:tcBorders>
            <w:shd w:val="clear" w:color="auto" w:fill="D2D2D2"/>
          </w:tcPr>
          <w:p>
            <w:pPr/>
          </w:p>
        </w:tc>
        <w:tc>
          <w:tcPr>
            <w:tcW w:w="1004" w:type="dxa"/>
            <w:gridSpan w:val="2"/>
            <w:vMerge/>
            <w:tcBorders>
              <w:left w:val="single" w:sz="10" w:space="0" w:color="D2D2D2"/>
              <w:right w:val="single" w:sz="4" w:space="0" w:color="000000"/>
            </w:tcBorders>
          </w:tcPr>
          <w:p>
            <w:pPr/>
          </w:p>
        </w:tc>
      </w:tr>
      <w:tr>
        <w:trPr>
          <w:trHeight w:val="166" w:hRule="exact"/>
        </w:trPr>
        <w:tc>
          <w:tcPr>
            <w:tcW w:w="21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4" w:type="dxa"/>
            <w:gridSpan w:val="3"/>
            <w:vMerge/>
            <w:tcBorders>
              <w:left w:val="single" w:sz="10" w:space="0" w:color="D2D2D2"/>
              <w:bottom w:val="single" w:sz="4" w:space="0" w:color="000000"/>
              <w:right w:val="single" w:sz="14" w:space="0" w:color="D2D2D2"/>
            </w:tcBorders>
          </w:tcPr>
          <w:p>
            <w:pPr/>
          </w:p>
        </w:tc>
        <w:tc>
          <w:tcPr>
            <w:tcW w:w="2387" w:type="dxa"/>
            <w:gridSpan w:val="4"/>
            <w:vMerge/>
            <w:tcBorders>
              <w:left w:val="single" w:sz="4" w:space="0" w:color="000000"/>
              <w:bottom w:val="single" w:sz="4" w:space="0" w:color="000000"/>
              <w:right w:val="single" w:sz="4" w:space="0" w:color="000000"/>
            </w:tcBorders>
            <w:shd w:val="clear" w:color="auto" w:fill="D2D2D2"/>
          </w:tcPr>
          <w:p>
            <w:pPr/>
          </w:p>
        </w:tc>
        <w:tc>
          <w:tcPr>
            <w:tcW w:w="1015" w:type="dxa"/>
            <w:gridSpan w:val="2"/>
            <w:vMerge/>
            <w:tcBorders>
              <w:left w:val="single" w:sz="13" w:space="0" w:color="D2D2D2"/>
              <w:bottom w:val="single" w:sz="4" w:space="0" w:color="000000"/>
              <w:right w:val="single" w:sz="10" w:space="0" w:color="D2D2D2"/>
            </w:tcBorders>
          </w:tcPr>
          <w:p>
            <w:pPr/>
          </w:p>
        </w:tc>
        <w:tc>
          <w:tcPr>
            <w:tcW w:w="2812" w:type="dxa"/>
            <w:gridSpan w:val="5"/>
            <w:vMerge/>
            <w:tcBorders>
              <w:left w:val="single" w:sz="4" w:space="0" w:color="000000"/>
              <w:bottom w:val="single" w:sz="4" w:space="0" w:color="000000"/>
              <w:right w:val="single" w:sz="4" w:space="0" w:color="000000"/>
            </w:tcBorders>
            <w:shd w:val="clear" w:color="auto" w:fill="D2D2D2"/>
          </w:tcPr>
          <w:p>
            <w:pPr/>
          </w:p>
        </w:tc>
        <w:tc>
          <w:tcPr>
            <w:tcW w:w="1004" w:type="dxa"/>
            <w:gridSpan w:val="2"/>
            <w:vMerge/>
            <w:tcBorders>
              <w:left w:val="single" w:sz="10" w:space="0" w:color="D2D2D2"/>
              <w:bottom w:val="single" w:sz="4" w:space="0" w:color="000000"/>
              <w:right w:val="single" w:sz="4" w:space="0" w:color="000000"/>
            </w:tcBorders>
          </w:tcPr>
          <w:p>
            <w:pPr/>
          </w:p>
        </w:tc>
      </w:tr>
      <w:tr>
        <w:trPr>
          <w:trHeight w:val="394" w:hRule="exact"/>
        </w:trPr>
        <w:tc>
          <w:tcPr>
            <w:tcW w:w="10776" w:type="dxa"/>
            <w:gridSpan w:val="1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211" w:hRule="exact"/>
        </w:trPr>
        <w:tc>
          <w:tcPr>
            <w:tcW w:w="28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98" w:right="96"/>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220" w:right="38"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40" w:right="4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27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93" w:right="89"/>
              <w:jc w:val="left"/>
              <w:rPr>
                <w:rFonts w:ascii="宋体" w:hAnsi="宋体" w:cs="宋体" w:eastAsia="宋体" w:hint="default"/>
                <w:sz w:val="18"/>
                <w:szCs w:val="18"/>
              </w:rPr>
            </w:pPr>
            <w:r>
              <w:rPr>
                <w:rFonts w:ascii="宋体" w:hAnsi="宋体" w:cs="宋体" w:eastAsia="宋体" w:hint="default"/>
                <w:sz w:val="18"/>
                <w:szCs w:val="18"/>
              </w:rPr>
              <w:t>持有有限售条 件的股份数量</w:t>
            </w:r>
          </w:p>
        </w:tc>
        <w:tc>
          <w:tcPr>
            <w:tcW w:w="127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93" w:right="92"/>
              <w:jc w:val="left"/>
              <w:rPr>
                <w:rFonts w:ascii="宋体" w:hAnsi="宋体" w:cs="宋体" w:eastAsia="宋体" w:hint="default"/>
                <w:sz w:val="18"/>
                <w:szCs w:val="18"/>
              </w:rPr>
            </w:pPr>
            <w:r>
              <w:rPr>
                <w:rFonts w:ascii="宋体" w:hAnsi="宋体" w:cs="宋体" w:eastAsia="宋体" w:hint="default"/>
                <w:sz w:val="18"/>
                <w:szCs w:val="18"/>
              </w:rPr>
              <w:t>持有无限售条 件的股份数量</w:t>
            </w:r>
          </w:p>
        </w:tc>
        <w:tc>
          <w:tcPr>
            <w:tcW w:w="156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0" w:hRule="exact"/>
        </w:trPr>
        <w:tc>
          <w:tcPr>
            <w:tcW w:w="283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277"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56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1274" w:type="dxa"/>
            <w:gridSpan w:val="3"/>
            <w:vMerge/>
            <w:tcBorders>
              <w:left w:val="single" w:sz="4" w:space="0" w:color="000000"/>
              <w:right w:val="single" w:sz="4" w:space="0" w:color="000000"/>
            </w:tcBorders>
            <w:shd w:val="clear" w:color="auto" w:fill="D2D2D2"/>
          </w:tcPr>
          <w:p>
            <w:pPr/>
          </w:p>
        </w:tc>
        <w:tc>
          <w:tcPr>
            <w:tcW w:w="1277" w:type="dxa"/>
            <w:gridSpan w:val="2"/>
            <w:vMerge/>
            <w:tcBorders>
              <w:left w:val="single" w:sz="4" w:space="0" w:color="000000"/>
              <w:right w:val="single" w:sz="4" w:space="0" w:color="000000"/>
            </w:tcBorders>
            <w:shd w:val="clear" w:color="auto" w:fill="D2D2D2"/>
          </w:tcPr>
          <w:p>
            <w:pPr/>
          </w:p>
        </w:tc>
        <w:tc>
          <w:tcPr>
            <w:tcW w:w="1560"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35" w:type="dxa"/>
            <w:gridSpan w:val="2"/>
            <w:vMerge/>
            <w:tcBorders>
              <w:left w:val="single" w:sz="4" w:space="0" w:color="000000"/>
              <w:bottom w:val="nil" w:sz="6" w:space="0" w:color="auto"/>
              <w:right w:val="single" w:sz="4" w:space="0" w:color="000000"/>
            </w:tcBorders>
            <w:shd w:val="clear" w:color="auto" w:fill="D2D2D2"/>
          </w:tcPr>
          <w:p>
            <w:pPr/>
          </w:p>
        </w:tc>
        <w:tc>
          <w:tcPr>
            <w:tcW w:w="1277" w:type="dxa"/>
            <w:gridSpan w:val="3"/>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1274" w:type="dxa"/>
            <w:gridSpan w:val="3"/>
            <w:vMerge/>
            <w:tcBorders>
              <w:left w:val="single" w:sz="4" w:space="0" w:color="000000"/>
              <w:right w:val="single" w:sz="4" w:space="0" w:color="000000"/>
            </w:tcBorders>
            <w:shd w:val="clear" w:color="auto" w:fill="D2D2D2"/>
          </w:tcPr>
          <w:p>
            <w:pPr/>
          </w:p>
        </w:tc>
        <w:tc>
          <w:tcPr>
            <w:tcW w:w="1277" w:type="dxa"/>
            <w:gridSpan w:val="2"/>
            <w:vMerge/>
            <w:tcBorders>
              <w:left w:val="single" w:sz="4" w:space="0" w:color="000000"/>
              <w:right w:val="single" w:sz="4" w:space="0" w:color="000000"/>
            </w:tcBorders>
            <w:shd w:val="clear" w:color="auto" w:fill="D2D2D2"/>
          </w:tcPr>
          <w:p>
            <w:pPr/>
          </w:p>
        </w:tc>
        <w:tc>
          <w:tcPr>
            <w:tcW w:w="8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70"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84" w:hRule="exact"/>
        </w:trPr>
        <w:tc>
          <w:tcPr>
            <w:tcW w:w="283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994" w:type="dxa"/>
            <w:gridSpan w:val="2"/>
            <w:vMerge/>
            <w:tcBorders>
              <w:left w:val="single" w:sz="4" w:space="0" w:color="000000"/>
              <w:bottom w:val="single" w:sz="4" w:space="0" w:color="000000"/>
              <w:right w:val="single" w:sz="4" w:space="0" w:color="000000"/>
            </w:tcBorders>
            <w:shd w:val="clear" w:color="auto" w:fill="D2D2D2"/>
          </w:tcPr>
          <w:p>
            <w:pPr/>
          </w:p>
        </w:tc>
        <w:tc>
          <w:tcPr>
            <w:tcW w:w="1274" w:type="dxa"/>
            <w:gridSpan w:val="3"/>
            <w:vMerge/>
            <w:tcBorders>
              <w:left w:val="single" w:sz="4" w:space="0" w:color="000000"/>
              <w:bottom w:val="single" w:sz="4" w:space="0" w:color="000000"/>
              <w:right w:val="single" w:sz="4" w:space="0" w:color="000000"/>
            </w:tcBorders>
            <w:shd w:val="clear" w:color="auto" w:fill="D2D2D2"/>
          </w:tcPr>
          <w:p>
            <w:pPr/>
          </w:p>
        </w:tc>
        <w:tc>
          <w:tcPr>
            <w:tcW w:w="1277" w:type="dxa"/>
            <w:gridSpan w:val="2"/>
            <w:vMerge/>
            <w:tcBorders>
              <w:left w:val="single" w:sz="4" w:space="0" w:color="000000"/>
              <w:bottom w:val="single" w:sz="4" w:space="0" w:color="000000"/>
              <w:right w:val="single" w:sz="4" w:space="0" w:color="000000"/>
            </w:tcBorders>
            <w:shd w:val="clear" w:color="auto" w:fill="D2D2D2"/>
          </w:tcPr>
          <w:p>
            <w:pPr/>
          </w:p>
        </w:tc>
        <w:tc>
          <w:tcPr>
            <w:tcW w:w="852" w:type="dxa"/>
            <w:gridSpan w:val="2"/>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r>
      <w:tr>
        <w:trPr>
          <w:trHeight w:val="736" w:hRule="exact"/>
        </w:trPr>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1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566"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28.61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217,795,310</w:t>
            </w:r>
          </w:p>
        </w:tc>
        <w:tc>
          <w:tcPr>
            <w:tcW w:w="994" w:type="dxa"/>
            <w:gridSpan w:val="2"/>
            <w:tcBorders>
              <w:top w:val="single" w:sz="22" w:space="0" w:color="D2D2D2"/>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-72,598,400</w:t>
            </w:r>
          </w:p>
        </w:tc>
        <w:tc>
          <w:tcPr>
            <w:tcW w:w="1274" w:type="dxa"/>
            <w:gridSpan w:val="3"/>
            <w:tcBorders>
              <w:top w:val="single" w:sz="22" w:space="0" w:color="D2D2D2"/>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217,795,282</w:t>
            </w:r>
          </w:p>
        </w:tc>
        <w:tc>
          <w:tcPr>
            <w:tcW w:w="1277" w:type="dxa"/>
            <w:gridSpan w:val="2"/>
            <w:tcBorders>
              <w:top w:val="single" w:sz="22" w:space="0" w:color="D2D2D2"/>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李斌</w:t>
            </w:r>
          </w:p>
        </w:tc>
        <w:tc>
          <w:tcPr>
            <w:tcW w:w="1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0.40%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3,013,401</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1274" w:type="dxa"/>
            <w:gridSpan w:val="3"/>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3,013,401</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黄撒谷</w:t>
            </w:r>
          </w:p>
        </w:tc>
        <w:tc>
          <w:tcPr>
            <w:tcW w:w="1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0.30%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2,270,543</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-67,000</w:t>
            </w:r>
          </w:p>
        </w:tc>
        <w:tc>
          <w:tcPr>
            <w:tcW w:w="1274" w:type="dxa"/>
            <w:gridSpan w:val="3"/>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2,270,543</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李强</w:t>
            </w:r>
          </w:p>
        </w:tc>
        <w:tc>
          <w:tcPr>
            <w:tcW w:w="1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0.29%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2,242,700</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1274" w:type="dxa"/>
            <w:gridSpan w:val="3"/>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2,242,700</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廖永林</w:t>
            </w:r>
          </w:p>
        </w:tc>
        <w:tc>
          <w:tcPr>
            <w:tcW w:w="1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0.24%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1,818,707</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1274" w:type="dxa"/>
            <w:gridSpan w:val="3"/>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1,818,707</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9"/>
              <w:jc w:val="both"/>
              <w:rPr>
                <w:rFonts w:ascii="宋体" w:hAnsi="宋体" w:cs="宋体" w:eastAsia="宋体" w:hint="default"/>
                <w:sz w:val="18"/>
                <w:szCs w:val="18"/>
              </w:rPr>
            </w:pPr>
            <w:r>
              <w:rPr>
                <w:rFonts w:ascii="宋体" w:hAnsi="宋体" w:cs="宋体" w:eastAsia="宋体" w:hint="default"/>
                <w:sz w:val="18"/>
                <w:szCs w:val="18"/>
              </w:rPr>
              <w:t>中国建设银行股份有限公司－摩根 士丹利华鑫多因子精选策略股票型 证券投资基金</w:t>
            </w:r>
          </w:p>
        </w:tc>
        <w:tc>
          <w:tcPr>
            <w:tcW w:w="1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0.23%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1,768,841</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1274" w:type="dxa"/>
            <w:gridSpan w:val="3"/>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1,768,841</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北京恒丰正泰科技有限公司</w:t>
            </w:r>
          </w:p>
        </w:tc>
        <w:tc>
          <w:tcPr>
            <w:tcW w:w="1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0.20%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95,670</w:t>
            </w:r>
          </w:p>
        </w:tc>
        <w:tc>
          <w:tcPr>
            <w:tcW w:w="1274" w:type="dxa"/>
            <w:gridSpan w:val="3"/>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1,500,000</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王安成</w:t>
            </w:r>
          </w:p>
        </w:tc>
        <w:tc>
          <w:tcPr>
            <w:tcW w:w="1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0.20%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1,496,600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-10,000</w:t>
            </w:r>
          </w:p>
        </w:tc>
        <w:tc>
          <w:tcPr>
            <w:tcW w:w="1274" w:type="dxa"/>
            <w:gridSpan w:val="3"/>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1,496,600</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凌峰</w:t>
            </w:r>
          </w:p>
        </w:tc>
        <w:tc>
          <w:tcPr>
            <w:tcW w:w="1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0.19%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1,415,000</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1274" w:type="dxa"/>
            <w:gridSpan w:val="3"/>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1,415,000</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林楚耀</w:t>
            </w:r>
          </w:p>
        </w:tc>
        <w:tc>
          <w:tcPr>
            <w:tcW w:w="1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0.18%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1,363,800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588,600</w:t>
            </w:r>
          </w:p>
        </w:tc>
        <w:tc>
          <w:tcPr>
            <w:tcW w:w="1274" w:type="dxa"/>
            <w:gridSpan w:val="3"/>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1,363,800</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 </w:t>
            </w:r>
            <w:r>
              <w:rPr>
                <w:rFonts w:ascii="宋体" w:hAnsi="宋体" w:cs="宋体" w:eastAsia="宋体" w:hint="default"/>
                <w:spacing w:val="-9"/>
                <w:sz w:val="18"/>
                <w:szCs w:val="18"/>
              </w:rPr>
              <w:t>的情况（如有）（参见注</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63" w:type="dxa"/>
            <w:gridSpan w:val="12"/>
            <w:tcBorders>
              <w:top w:val="single" w:sz="4" w:space="0" w:color="000000"/>
              <w:left w:val="single" w:sz="13" w:space="0" w:color="D2D2D2"/>
              <w:bottom w:val="single" w:sz="4" w:space="0" w:color="000000"/>
              <w:right w:val="single" w:sz="4" w:space="0" w:color="000000"/>
            </w:tcBorders>
            <w:shd w:val="clear" w:color="auto" w:fill="C7EBCC"/>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1" w:hRule="exact"/>
        </w:trPr>
        <w:tc>
          <w:tcPr>
            <w:tcW w:w="4112"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6663" w:type="dxa"/>
            <w:gridSpan w:val="12"/>
            <w:vMerge w:val="restart"/>
            <w:tcBorders>
              <w:top w:val="single" w:sz="4" w:space="0" w:color="000000"/>
              <w:left w:val="single" w:sz="10" w:space="0" w:color="D2D2D2"/>
              <w:right w:val="single" w:sz="4" w:space="0" w:color="000000"/>
            </w:tcBorders>
            <w:shd w:val="clear" w:color="auto" w:fill="C7EBCC"/>
          </w:tcPr>
          <w:p>
            <w:pPr>
              <w:pStyle w:val="TableParagraph"/>
              <w:spacing w:line="316" w:lineRule="auto" w:before="49"/>
              <w:ind w:left="16" w:right="20"/>
              <w:jc w:val="left"/>
              <w:rPr>
                <w:rFonts w:ascii="宋体" w:hAnsi="宋体" w:cs="宋体" w:eastAsia="宋体" w:hint="default"/>
                <w:sz w:val="18"/>
                <w:szCs w:val="18"/>
              </w:rPr>
            </w:pPr>
            <w:r>
              <w:rPr>
                <w:rFonts w:ascii="宋体" w:hAnsi="宋体" w:cs="宋体" w:eastAsia="宋体" w:hint="default"/>
                <w:spacing w:val="-2"/>
                <w:sz w:val="18"/>
                <w:szCs w:val="18"/>
              </w:rPr>
              <w:t>公司未知前十名股东之间是否存在关联关系，也未知是否属于《上市公司股东持股变</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动信息披露管理办法》中规定的一致行动人</w:t>
            </w:r>
          </w:p>
        </w:tc>
      </w:tr>
      <w:tr>
        <w:trPr>
          <w:trHeight w:val="394" w:hRule="exact"/>
        </w:trPr>
        <w:tc>
          <w:tcPr>
            <w:tcW w:w="4112" w:type="dxa"/>
            <w:gridSpan w:val="5"/>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663" w:type="dxa"/>
            <w:gridSpan w:val="12"/>
            <w:vMerge/>
            <w:tcBorders>
              <w:left w:val="single" w:sz="10" w:space="0" w:color="D2D2D2"/>
              <w:right w:val="single" w:sz="4" w:space="0" w:color="000000"/>
            </w:tcBorders>
            <w:shd w:val="clear" w:color="auto" w:fill="C7EBCC"/>
          </w:tcPr>
          <w:p>
            <w:pPr/>
          </w:p>
        </w:tc>
      </w:tr>
      <w:tr>
        <w:trPr>
          <w:trHeight w:val="161" w:hRule="exact"/>
        </w:trPr>
        <w:tc>
          <w:tcPr>
            <w:tcW w:w="4112"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6663" w:type="dxa"/>
            <w:gridSpan w:val="12"/>
            <w:vMerge/>
            <w:tcBorders>
              <w:left w:val="single" w:sz="10" w:space="0" w:color="D2D2D2"/>
              <w:bottom w:val="single" w:sz="4" w:space="0" w:color="000000"/>
              <w:right w:val="single" w:sz="4" w:space="0" w:color="000000"/>
            </w:tcBorders>
            <w:shd w:val="clear" w:color="auto" w:fill="C7EBCC"/>
          </w:tcPr>
          <w:p>
            <w:pPr/>
          </w:p>
        </w:tc>
      </w:tr>
      <w:tr>
        <w:trPr>
          <w:trHeight w:val="401" w:hRule="exact"/>
        </w:trPr>
        <w:tc>
          <w:tcPr>
            <w:tcW w:w="10776" w:type="dxa"/>
            <w:gridSpan w:val="1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3296"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4107" w:type="dxa"/>
            <w:gridSpan w:val="8"/>
            <w:tcBorders>
              <w:top w:val="single" w:sz="4" w:space="0" w:color="000000"/>
              <w:left w:val="single" w:sz="4" w:space="0" w:color="000000"/>
              <w:bottom w:val="nil" w:sz="6" w:space="0" w:color="auto"/>
              <w:right w:val="single" w:sz="4" w:space="0" w:color="000000"/>
            </w:tcBorders>
            <w:shd w:val="clear" w:color="auto" w:fill="D2D2D2"/>
          </w:tcPr>
          <w:p>
            <w:pPr/>
          </w:p>
        </w:tc>
        <w:tc>
          <w:tcPr>
            <w:tcW w:w="3373" w:type="dxa"/>
            <w:gridSpan w:val="6"/>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3296"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7" w:type="dxa"/>
            <w:gridSpan w:val="8"/>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3373" w:type="dxa"/>
            <w:gridSpan w:val="6"/>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3296" w:type="dxa"/>
            <w:gridSpan w:val="3"/>
            <w:vMerge/>
            <w:tcBorders>
              <w:left w:val="single" w:sz="4" w:space="0" w:color="000000"/>
              <w:bottom w:val="nil" w:sz="6" w:space="0" w:color="auto"/>
              <w:right w:val="single" w:sz="4" w:space="0" w:color="000000"/>
            </w:tcBorders>
            <w:shd w:val="clear" w:color="auto" w:fill="D2D2D2"/>
          </w:tcPr>
          <w:p>
            <w:pPr/>
          </w:p>
        </w:tc>
        <w:tc>
          <w:tcPr>
            <w:tcW w:w="4107" w:type="dxa"/>
            <w:gridSpan w:val="8"/>
            <w:vMerge/>
            <w:tcBorders>
              <w:left w:val="single" w:sz="4" w:space="0" w:color="000000"/>
              <w:bottom w:val="nil" w:sz="6" w:space="0" w:color="auto"/>
              <w:right w:val="single" w:sz="4" w:space="0" w:color="000000"/>
            </w:tcBorders>
            <w:shd w:val="clear" w:color="auto" w:fill="D2D2D2"/>
          </w:tcPr>
          <w:p>
            <w:pPr/>
          </w:p>
        </w:tc>
        <w:tc>
          <w:tcPr>
            <w:tcW w:w="13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2004"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3296"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4107" w:type="dxa"/>
            <w:gridSpan w:val="8"/>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gridSpan w:val="2"/>
            <w:vMerge/>
            <w:tcBorders>
              <w:left w:val="single" w:sz="4" w:space="0" w:color="000000"/>
              <w:bottom w:val="single" w:sz="4" w:space="0" w:color="000000"/>
              <w:right w:val="single" w:sz="4" w:space="0" w:color="000000"/>
            </w:tcBorders>
            <w:shd w:val="clear" w:color="auto" w:fill="D2D2D2"/>
          </w:tcPr>
          <w:p>
            <w:pPr/>
          </w:p>
        </w:tc>
        <w:tc>
          <w:tcPr>
            <w:tcW w:w="2004" w:type="dxa"/>
            <w:gridSpan w:val="4"/>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32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李斌</w:t>
            </w:r>
          </w:p>
        </w:tc>
        <w:tc>
          <w:tcPr>
            <w:tcW w:w="410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3,013,401</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200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2" w:right="0"/>
              <w:jc w:val="left"/>
              <w:rPr>
                <w:rFonts w:ascii="Times New Roman" w:hAnsi="Times New Roman" w:cs="Times New Roman" w:eastAsia="Times New Roman" w:hint="default"/>
                <w:sz w:val="18"/>
                <w:szCs w:val="18"/>
              </w:rPr>
            </w:pPr>
            <w:r>
              <w:rPr>
                <w:rFonts w:ascii="Times New Roman"/>
                <w:sz w:val="18"/>
              </w:rPr>
              <w:t>3,013,401</w:t>
            </w:r>
          </w:p>
        </w:tc>
      </w:tr>
      <w:tr>
        <w:trPr>
          <w:trHeight w:val="401" w:hRule="exact"/>
        </w:trPr>
        <w:tc>
          <w:tcPr>
            <w:tcW w:w="32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黄撒谷</w:t>
            </w:r>
          </w:p>
        </w:tc>
        <w:tc>
          <w:tcPr>
            <w:tcW w:w="410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2,270,543</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200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2" w:right="0"/>
              <w:jc w:val="left"/>
              <w:rPr>
                <w:rFonts w:ascii="Times New Roman" w:hAnsi="Times New Roman" w:cs="Times New Roman" w:eastAsia="Times New Roman" w:hint="default"/>
                <w:sz w:val="18"/>
                <w:szCs w:val="18"/>
              </w:rPr>
            </w:pPr>
            <w:r>
              <w:rPr>
                <w:rFonts w:ascii="Times New Roman"/>
                <w:sz w:val="18"/>
              </w:rPr>
              <w:t>2,270,543</w:t>
            </w:r>
          </w:p>
        </w:tc>
      </w:tr>
      <w:tr>
        <w:trPr>
          <w:trHeight w:val="403" w:hRule="exact"/>
        </w:trPr>
        <w:tc>
          <w:tcPr>
            <w:tcW w:w="32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李强</w:t>
            </w:r>
          </w:p>
        </w:tc>
        <w:tc>
          <w:tcPr>
            <w:tcW w:w="410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2,242,700</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200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2" w:right="0"/>
              <w:jc w:val="left"/>
              <w:rPr>
                <w:rFonts w:ascii="Times New Roman" w:hAnsi="Times New Roman" w:cs="Times New Roman" w:eastAsia="Times New Roman" w:hint="default"/>
                <w:sz w:val="18"/>
                <w:szCs w:val="18"/>
              </w:rPr>
            </w:pPr>
            <w:r>
              <w:rPr>
                <w:rFonts w:ascii="Times New Roman"/>
                <w:sz w:val="18"/>
              </w:rPr>
              <w:t>2,242,700</w:t>
            </w:r>
          </w:p>
        </w:tc>
      </w:tr>
      <w:tr>
        <w:trPr>
          <w:trHeight w:val="401" w:hRule="exact"/>
        </w:trPr>
        <w:tc>
          <w:tcPr>
            <w:tcW w:w="32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廖永林</w:t>
            </w:r>
          </w:p>
        </w:tc>
        <w:tc>
          <w:tcPr>
            <w:tcW w:w="410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1,818,707</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200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2" w:right="0"/>
              <w:jc w:val="left"/>
              <w:rPr>
                <w:rFonts w:ascii="Times New Roman" w:hAnsi="Times New Roman" w:cs="Times New Roman" w:eastAsia="Times New Roman" w:hint="default"/>
                <w:sz w:val="18"/>
                <w:szCs w:val="18"/>
              </w:rPr>
            </w:pPr>
            <w:r>
              <w:rPr>
                <w:rFonts w:ascii="Times New Roman"/>
                <w:sz w:val="18"/>
              </w:rPr>
              <w:t>1,818,707</w:t>
            </w:r>
          </w:p>
        </w:tc>
      </w:tr>
      <w:tr>
        <w:trPr>
          <w:trHeight w:val="715" w:hRule="exact"/>
        </w:trPr>
        <w:tc>
          <w:tcPr>
            <w:tcW w:w="3296"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中国建设银行股份有限公司－摩根士丹利 华鑫多因子精选策略股票型证券投资基金</w:t>
            </w:r>
          </w:p>
        </w:tc>
        <w:tc>
          <w:tcPr>
            <w:tcW w:w="410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1,768,841</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200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52" w:right="0"/>
              <w:jc w:val="left"/>
              <w:rPr>
                <w:rFonts w:ascii="Times New Roman" w:hAnsi="Times New Roman" w:cs="Times New Roman" w:eastAsia="Times New Roman" w:hint="default"/>
                <w:sz w:val="18"/>
                <w:szCs w:val="18"/>
              </w:rPr>
            </w:pPr>
            <w:r>
              <w:rPr>
                <w:rFonts w:ascii="Times New Roman"/>
                <w:sz w:val="18"/>
              </w:rPr>
              <w:t>1,768,841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460" w:right="4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40" w:lineRule="auto" w:before="44"/>
        <w:ind w:left="0" w:right="117"/>
        <w:jc w:val="right"/>
      </w:pPr>
      <w:r>
        <w:rPr/>
        <w:pict>
          <v:shape style="position:absolute;margin-left:28.08pt;margin-top:-183.74826pt;width:539.5pt;height:281.650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97"/>
                    <w:gridCol w:w="4106"/>
                    <w:gridCol w:w="1369"/>
                    <w:gridCol w:w="2004"/>
                  </w:tblGrid>
                  <w:tr>
                    <w:trPr>
                      <w:trHeight w:val="401" w:hRule="exact"/>
                    </w:trPr>
                    <w:tc>
                      <w:tcPr>
                        <w:tcW w:w="3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北京恒丰正泰科技有限公司</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w:t>
                        </w:r>
                      </w:p>
                    </w:tc>
                  </w:tr>
                  <w:tr>
                    <w:trPr>
                      <w:trHeight w:val="404" w:hRule="exact"/>
                    </w:trPr>
                    <w:tc>
                      <w:tcPr>
                        <w:tcW w:w="3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王安成</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1,496,600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1,496,600</w:t>
                        </w:r>
                      </w:p>
                    </w:tc>
                  </w:tr>
                  <w:tr>
                    <w:trPr>
                      <w:trHeight w:val="401" w:hRule="exact"/>
                    </w:trPr>
                    <w:tc>
                      <w:tcPr>
                        <w:tcW w:w="3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凌峰</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1,415,000</w:t>
                        </w:r>
                      </w:p>
                    </w:tc>
                  </w:tr>
                  <w:tr>
                    <w:trPr>
                      <w:trHeight w:val="403" w:hRule="exact"/>
                    </w:trPr>
                    <w:tc>
                      <w:tcPr>
                        <w:tcW w:w="3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林楚耀</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1,363,800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1,363,800</w:t>
                        </w: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林晓兵</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1,351,500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1,351,500</w:t>
                        </w:r>
                      </w:p>
                    </w:tc>
                  </w:tr>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名无限售流通股股东之间，以及前</w:t>
                        </w:r>
                      </w:p>
                      <w:p>
                        <w:pPr>
                          <w:pStyle w:val="TableParagraph"/>
                          <w:spacing w:line="300" w:lineRule="auto" w:before="60"/>
                          <w:ind w:left="23" w:right="64"/>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 间关联关系或一致行动的说明</w:t>
                        </w:r>
                      </w:p>
                    </w:tc>
                    <w:tc>
                      <w:tcPr>
                        <w:tcW w:w="7478" w:type="dxa"/>
                        <w:gridSpan w:val="3"/>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2" w:right="63"/>
                          <w:jc w:val="left"/>
                          <w:rPr>
                            <w:rFonts w:ascii="宋体" w:hAnsi="宋体" w:cs="宋体" w:eastAsia="宋体" w:hint="default"/>
                            <w:sz w:val="18"/>
                            <w:szCs w:val="18"/>
                          </w:rPr>
                        </w:pPr>
                        <w:r>
                          <w:rPr>
                            <w:rFonts w:ascii="宋体" w:hAnsi="宋体" w:cs="宋体" w:eastAsia="宋体" w:hint="default"/>
                            <w:sz w:val="18"/>
                            <w:szCs w:val="18"/>
                          </w:rPr>
                          <w:t>公司未知前十名无限售流通股股东之间是否存在关联关系，也未知其他无限售流通股股东之间 是否属于《上市公司股东持股变动信息披露管理办法》中规定的一致行动人</w:t>
                        </w:r>
                      </w:p>
                    </w:tc>
                  </w:tr>
                  <w:tr>
                    <w:trPr>
                      <w:trHeight w:val="2587"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00" w:lineRule="auto"/>
                          <w:ind w:left="23" w:right="11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名普通股股东参与融资融券业务股 </w:t>
                        </w:r>
                        <w:r>
                          <w:rPr>
                            <w:rFonts w:ascii="宋体" w:hAnsi="宋体" w:cs="宋体" w:eastAsia="宋体" w:hint="default"/>
                            <w:spacing w:val="-8"/>
                            <w:sz w:val="18"/>
                            <w:szCs w:val="18"/>
                          </w:rPr>
                          <w:t>东情况说明（如有）（参见注</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478" w:type="dxa"/>
                        <w:gridSpan w:val="3"/>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公司股东李斌通过信用交易担保证券账户持有本公司股票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3,013,401</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股，通过普通证券账户持有</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本公司股票</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股，合计持有本公司股票</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3,013,401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股，占本公司总股本的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0.55%</w:t>
                        </w:r>
                        <w:r>
                          <w:rPr>
                            <w:rFonts w:ascii="宋体" w:hAnsi="宋体" w:cs="宋体" w:eastAsia="宋体" w:hint="default"/>
                            <w:sz w:val="18"/>
                            <w:szCs w:val="18"/>
                          </w:rPr>
                          <w:t>；廖永林通过信</w:t>
                        </w:r>
                      </w:p>
                      <w:p>
                        <w:pPr>
                          <w:pStyle w:val="TableParagraph"/>
                          <w:spacing w:line="300" w:lineRule="auto" w:before="63"/>
                          <w:ind w:left="22" w:right="19"/>
                          <w:jc w:val="left"/>
                          <w:rPr>
                            <w:rFonts w:ascii="宋体" w:hAnsi="宋体" w:cs="宋体" w:eastAsia="宋体" w:hint="default"/>
                            <w:sz w:val="18"/>
                            <w:szCs w:val="18"/>
                          </w:rPr>
                        </w:pPr>
                        <w:r>
                          <w:rPr>
                            <w:rFonts w:ascii="宋体" w:hAnsi="宋体" w:cs="宋体" w:eastAsia="宋体" w:hint="default"/>
                            <w:sz w:val="18"/>
                            <w:szCs w:val="18"/>
                          </w:rPr>
                          <w:t>用交易担保证券账户分别持有本公司股票</w:t>
                        </w:r>
                        <w:r>
                          <w:rPr>
                            <w:rFonts w:ascii="宋体" w:hAnsi="宋体" w:cs="宋体" w:eastAsia="宋体" w:hint="default"/>
                            <w:spacing w:val="-55"/>
                            <w:sz w:val="18"/>
                            <w:szCs w:val="18"/>
                          </w:rPr>
                          <w:t> </w:t>
                        </w:r>
                        <w:r>
                          <w:rPr>
                            <w:rFonts w:ascii="Times New Roman" w:hAnsi="Times New Roman" w:cs="Times New Roman" w:eastAsia="Times New Roman" w:hint="default"/>
                            <w:spacing w:val="-1"/>
                            <w:sz w:val="18"/>
                            <w:szCs w:val="18"/>
                          </w:rPr>
                          <w:t>1,818,707</w:t>
                        </w:r>
                        <w:r>
                          <w:rPr>
                            <w:rFonts w:ascii="Times New Roman" w:hAnsi="Times New Roman" w:cs="Times New Roman" w:eastAsia="Times New Roman" w:hint="default"/>
                            <w:spacing w:val="-8"/>
                            <w:sz w:val="18"/>
                            <w:szCs w:val="18"/>
                          </w:rPr>
                          <w:t> </w:t>
                        </w:r>
                        <w:r>
                          <w:rPr>
                            <w:rFonts w:ascii="宋体" w:hAnsi="宋体" w:cs="宋体" w:eastAsia="宋体" w:hint="default"/>
                            <w:spacing w:val="-6"/>
                            <w:sz w:val="18"/>
                            <w:szCs w:val="18"/>
                          </w:rPr>
                          <w:t>股，通过普通证券账户持有本公司股票</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w:t>
                        </w:r>
                        <w:r>
                          <w:rPr>
                            <w:rFonts w:ascii="宋体" w:hAnsi="宋体" w:cs="宋体" w:eastAsia="宋体" w:hint="default"/>
                            <w:spacing w:val="-84"/>
                            <w:sz w:val="18"/>
                            <w:szCs w:val="18"/>
                          </w:rPr>
                          <w:t> </w:t>
                        </w:r>
                        <w:r>
                          <w:rPr>
                            <w:rFonts w:ascii="宋体" w:hAnsi="宋体" w:cs="宋体" w:eastAsia="宋体" w:hint="default"/>
                            <w:sz w:val="18"/>
                            <w:szCs w:val="18"/>
                          </w:rPr>
                          <w:t>合计持有本公司股票</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1,818,707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股，占本公司总股本的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0.33%</w:t>
                        </w:r>
                        <w:r>
                          <w:rPr>
                            <w:rFonts w:ascii="宋体" w:hAnsi="宋体" w:cs="宋体" w:eastAsia="宋体" w:hint="default"/>
                            <w:sz w:val="18"/>
                            <w:szCs w:val="18"/>
                          </w:rPr>
                          <w:t>；公司股东凌峰通过信用交易担保 证券账户持有本公司股票</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1,415,000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股，通过普通证券账户持有本公司股票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股，合计持有本公</w:t>
                        </w:r>
                        <w:r>
                          <w:rPr>
                            <w:rFonts w:ascii="宋体" w:hAnsi="宋体" w:cs="宋体" w:eastAsia="宋体" w:hint="default"/>
                            <w:sz w:val="18"/>
                            <w:szCs w:val="18"/>
                          </w:rPr>
                          <w:t> 司股票</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1,415,000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股，占本公司总股本的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0.26%</w:t>
                        </w:r>
                        <w:r>
                          <w:rPr>
                            <w:rFonts w:ascii="宋体" w:hAnsi="宋体" w:cs="宋体" w:eastAsia="宋体" w:hint="default"/>
                            <w:sz w:val="18"/>
                            <w:szCs w:val="18"/>
                          </w:rPr>
                          <w:t>；公司股东林楚耀通过信用交易担保证券账户持 有本公司股票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1,040,000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股，通过普通证券账户持有本公司股票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323,800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股，合计持有本公司股 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1,363,800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股，占本公司总股本的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0.25%</w:t>
                        </w:r>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BodyText"/>
        <w:spacing w:line="240" w:lineRule="auto" w:before="44"/>
        <w:ind w:left="672"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left="672"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left="672"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3"/>
        <w:rPr>
          <w:rFonts w:ascii="宋体" w:hAnsi="宋体" w:cs="宋体" w:eastAsia="宋体" w:hint="default"/>
          <w:sz w:val="25"/>
          <w:szCs w:val="25"/>
        </w:rPr>
      </w:pPr>
    </w:p>
    <w:p>
      <w:pPr>
        <w:pStyle w:val="Heading3"/>
        <w:spacing w:line="240" w:lineRule="auto"/>
        <w:ind w:left="672"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672" w:right="0"/>
        <w:jc w:val="left"/>
      </w:pPr>
      <w:r>
        <w:rPr/>
        <w:t>自然人</w:t>
      </w:r>
    </w:p>
    <w:p>
      <w:pPr>
        <w:spacing w:line="240" w:lineRule="auto" w:before="4"/>
        <w:rPr>
          <w:rFonts w:ascii="宋体" w:hAnsi="宋体" w:cs="宋体" w:eastAsia="宋体" w:hint="default"/>
          <w:sz w:val="8"/>
          <w:szCs w:val="8"/>
        </w:rPr>
      </w:pPr>
    </w:p>
    <w:tbl>
      <w:tblPr>
        <w:tblW w:w="0" w:type="auto"/>
        <w:jc w:val="left"/>
        <w:tblInd w:w="668" w:type="dxa"/>
        <w:tblLayout w:type="fixed"/>
        <w:tblCellMar>
          <w:top w:w="0" w:type="dxa"/>
          <w:left w:w="0" w:type="dxa"/>
          <w:bottom w:w="0" w:type="dxa"/>
          <w:right w:w="0" w:type="dxa"/>
        </w:tblCellMar>
        <w:tblLook w:val="01E0"/>
      </w:tblPr>
      <w:tblGrid>
        <w:gridCol w:w="3349"/>
        <w:gridCol w:w="2045"/>
        <w:gridCol w:w="4177"/>
      </w:tblGrid>
      <w:tr>
        <w:trPr>
          <w:trHeight w:val="401" w:hRule="exact"/>
        </w:trPr>
        <w:tc>
          <w:tcPr>
            <w:tcW w:w="3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34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2045"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13" w:space="0" w:color="C7EBCC"/>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349" w:type="dxa"/>
            <w:tcBorders>
              <w:top w:val="single" w:sz="4" w:space="0" w:color="000000"/>
              <w:left w:val="single" w:sz="4" w:space="0" w:color="000000"/>
              <w:bottom w:val="single" w:sz="4" w:space="0" w:color="000000"/>
              <w:right w:val="single" w:sz="10" w:space="0" w:color="C7EBCC"/>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22" w:type="dxa"/>
            <w:gridSpan w:val="2"/>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董事长、总经理</w:t>
            </w:r>
          </w:p>
        </w:tc>
      </w:tr>
      <w:tr>
        <w:trPr>
          <w:trHeight w:val="402" w:hRule="exact"/>
        </w:trPr>
        <w:tc>
          <w:tcPr>
            <w:tcW w:w="3349" w:type="dxa"/>
            <w:tcBorders>
              <w:top w:val="single" w:sz="4" w:space="0" w:color="000000"/>
              <w:left w:val="single" w:sz="4" w:space="0" w:color="000000"/>
              <w:bottom w:val="single" w:sz="4" w:space="0" w:color="000000"/>
              <w:right w:val="single" w:sz="10" w:space="0" w:color="C7EBCC"/>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22" w:type="dxa"/>
            <w:gridSpan w:val="2"/>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0"/>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left="672" w:right="0"/>
        <w:jc w:val="left"/>
      </w:pPr>
      <w:r>
        <w:rPr/>
        <w:t>控股股东报告期内变更</w:t>
      </w:r>
    </w:p>
    <w:p>
      <w:pPr>
        <w:pStyle w:val="BodyText"/>
        <w:spacing w:line="340" w:lineRule="auto" w:before="115"/>
        <w:ind w:left="672" w:right="7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5"/>
        <w:rPr>
          <w:rFonts w:ascii="宋体" w:hAnsi="宋体" w:cs="宋体" w:eastAsia="宋体" w:hint="default"/>
          <w:sz w:val="21"/>
          <w:szCs w:val="21"/>
        </w:rPr>
      </w:pPr>
    </w:p>
    <w:p>
      <w:pPr>
        <w:pStyle w:val="Heading3"/>
        <w:spacing w:line="240" w:lineRule="auto"/>
        <w:ind w:left="672"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672" w:right="0"/>
        <w:jc w:val="left"/>
      </w:pPr>
      <w:r>
        <w:rPr/>
        <w:t>自然人</w:t>
      </w:r>
    </w:p>
    <w:p>
      <w:pPr>
        <w:spacing w:line="240" w:lineRule="auto" w:before="3"/>
        <w:rPr>
          <w:rFonts w:ascii="宋体" w:hAnsi="宋体" w:cs="宋体" w:eastAsia="宋体" w:hint="default"/>
          <w:sz w:val="8"/>
          <w:szCs w:val="8"/>
        </w:rPr>
      </w:pPr>
    </w:p>
    <w:tbl>
      <w:tblPr>
        <w:tblW w:w="0" w:type="auto"/>
        <w:jc w:val="left"/>
        <w:tblInd w:w="668" w:type="dxa"/>
        <w:tblLayout w:type="fixed"/>
        <w:tblCellMar>
          <w:top w:w="0" w:type="dxa"/>
          <w:left w:w="0" w:type="dxa"/>
          <w:bottom w:w="0" w:type="dxa"/>
          <w:right w:w="0" w:type="dxa"/>
        </w:tblCellMar>
        <w:tblLook w:val="01E0"/>
      </w:tblPr>
      <w:tblGrid>
        <w:gridCol w:w="3431"/>
        <w:gridCol w:w="2019"/>
        <w:gridCol w:w="4119"/>
      </w:tblGrid>
      <w:tr>
        <w:trPr>
          <w:trHeight w:val="398" w:hRule="exact"/>
        </w:trPr>
        <w:tc>
          <w:tcPr>
            <w:tcW w:w="3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6" w:hRule="exact"/>
        </w:trPr>
        <w:tc>
          <w:tcPr>
            <w:tcW w:w="343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201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13" w:space="0" w:color="C7EBCC"/>
              <w:bottom w:val="single" w:sz="4" w:space="0" w:color="000000"/>
              <w:right w:val="single" w:sz="4" w:space="0" w:color="000000"/>
            </w:tcBorders>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3431" w:type="dxa"/>
            <w:tcBorders>
              <w:top w:val="single" w:sz="4" w:space="0" w:color="000000"/>
              <w:left w:val="single" w:sz="4" w:space="0" w:color="000000"/>
              <w:bottom w:val="single" w:sz="4" w:space="0" w:color="000000"/>
              <w:right w:val="single" w:sz="13" w:space="0" w:color="C7EBCC"/>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38" w:type="dxa"/>
            <w:gridSpan w:val="2"/>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董事长、总经理</w:t>
            </w:r>
          </w:p>
        </w:tc>
      </w:tr>
      <w:tr>
        <w:trPr>
          <w:trHeight w:val="401" w:hRule="exact"/>
        </w:trPr>
        <w:tc>
          <w:tcPr>
            <w:tcW w:w="3431" w:type="dxa"/>
            <w:tcBorders>
              <w:top w:val="single" w:sz="4" w:space="0" w:color="000000"/>
              <w:left w:val="single" w:sz="4" w:space="0" w:color="000000"/>
              <w:bottom w:val="single" w:sz="4" w:space="0" w:color="000000"/>
              <w:right w:val="single" w:sz="13" w:space="0" w:color="C7EBCC"/>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138" w:type="dxa"/>
            <w:gridSpan w:val="2"/>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left="672" w:right="0"/>
        <w:jc w:val="left"/>
      </w:pPr>
      <w:r>
        <w:rPr/>
        <w:t>实际控制人报告期内变更</w:t>
      </w:r>
    </w:p>
    <w:p>
      <w:pPr>
        <w:spacing w:after="0" w:line="240" w:lineRule="auto"/>
        <w:jc w:val="left"/>
        <w:sectPr>
          <w:pgSz w:w="11910" w:h="16840"/>
          <w:pgMar w:header="745" w:footer="980" w:top="1060" w:bottom="1160" w:left="460" w:right="380"/>
        </w:sectPr>
      </w:pPr>
    </w:p>
    <w:p>
      <w:pPr>
        <w:spacing w:line="240" w:lineRule="auto" w:before="9"/>
        <w:rPr>
          <w:rFonts w:ascii="宋体" w:hAnsi="宋体" w:cs="宋体" w:eastAsia="宋体" w:hint="default"/>
          <w:sz w:val="25"/>
          <w:szCs w:val="25"/>
        </w:rPr>
      </w:pPr>
    </w:p>
    <w:p>
      <w:pPr>
        <w:pStyle w:val="BodyText"/>
        <w:spacing w:line="348" w:lineRule="auto" w:before="44"/>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4"/>
        <w:rPr>
          <w:rFonts w:ascii="宋体" w:hAnsi="宋体" w:cs="宋体" w:eastAsia="宋体" w:hint="default"/>
          <w:sz w:val="15"/>
          <w:szCs w:val="15"/>
        </w:rPr>
      </w:pPr>
    </w:p>
    <w:p>
      <w:pPr>
        <w:spacing w:line="2160" w:lineRule="exact"/>
        <w:ind w:left="1355" w:right="0" w:firstLine="0"/>
        <w:rPr>
          <w:rFonts w:ascii="宋体" w:hAnsi="宋体" w:cs="宋体" w:eastAsia="宋体" w:hint="default"/>
          <w:sz w:val="20"/>
          <w:szCs w:val="20"/>
        </w:rPr>
      </w:pPr>
      <w:r>
        <w:rPr>
          <w:rFonts w:ascii="宋体" w:hAnsi="宋体" w:cs="宋体" w:eastAsia="宋体" w:hint="default"/>
          <w:position w:val="-42"/>
          <w:sz w:val="20"/>
          <w:szCs w:val="20"/>
        </w:rPr>
        <w:drawing>
          <wp:inline distT="0" distB="0" distL="0" distR="0">
            <wp:extent cx="4593590" cy="1371600"/>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5" cstate="print"/>
                    <a:stretch>
                      <a:fillRect/>
                    </a:stretch>
                  </pic:blipFill>
                  <pic:spPr>
                    <a:xfrm>
                      <a:off x="0" y="0"/>
                      <a:ext cx="4593590" cy="1371600"/>
                    </a:xfrm>
                    <a:prstGeom prst="rect">
                      <a:avLst/>
                    </a:prstGeom>
                  </pic:spPr>
                </pic:pic>
              </a:graphicData>
            </a:graphic>
          </wp:inline>
        </w:drawing>
      </w:r>
      <w:r>
        <w:rPr>
          <w:rFonts w:ascii="宋体" w:hAnsi="宋体" w:cs="宋体" w:eastAsia="宋体" w:hint="default"/>
          <w:position w:val="-42"/>
          <w:sz w:val="20"/>
          <w:szCs w:val="20"/>
        </w:rPr>
      </w:r>
    </w:p>
    <w:p>
      <w:pPr>
        <w:spacing w:line="240" w:lineRule="auto" w:before="10"/>
        <w:rPr>
          <w:rFonts w:ascii="宋体" w:hAnsi="宋体" w:cs="宋体" w:eastAsia="宋体" w:hint="default"/>
          <w:sz w:val="16"/>
          <w:szCs w:val="16"/>
        </w:rPr>
      </w:pPr>
    </w:p>
    <w:p>
      <w:pPr>
        <w:pStyle w:val="BodyText"/>
        <w:spacing w:line="240" w:lineRule="auto"/>
        <w:ind w:right="146"/>
        <w:jc w:val="left"/>
      </w:pPr>
      <w:r>
        <w:rPr/>
        <w:t>实际控制人通过信托或其他资产管理方式控制公司</w:t>
      </w:r>
    </w:p>
    <w:p>
      <w:pPr>
        <w:pStyle w:val="BodyText"/>
        <w:spacing w:line="240" w:lineRule="auto" w:before="117"/>
        <w:ind w:right="14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3"/>
        <w:spacing w:line="240" w:lineRule="auto"/>
        <w:ind w:right="146"/>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146"/>
        <w:jc w:val="left"/>
        <w:rPr>
          <w:b w:val="0"/>
          <w:bCs w:val="0"/>
        </w:rPr>
      </w:pPr>
      <w:bookmarkStart w:name="_TOC_250005" w:id="7"/>
      <w:r>
        <w:rPr/>
        <w:t>第七节</w:t>
      </w:r>
      <w:r>
        <w:rPr>
          <w:spacing w:val="-6"/>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7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059" w:right="814"/>
        <w:jc w:val="left"/>
        <w:rPr>
          <w:b w:val="0"/>
          <w:bCs w:val="0"/>
        </w:rPr>
      </w:pPr>
      <w:bookmarkStart w:name="_TOC_250004" w:id="8"/>
      <w:r>
        <w:rPr/>
        <w:t>第八节</w:t>
      </w:r>
      <w:r>
        <w:rPr>
          <w:spacing w:val="-9"/>
        </w:rPr>
        <w:t> </w:t>
      </w:r>
      <w:r>
        <w:rPr/>
        <w:t>董事、监事、高级管理人员和员工情况</w:t>
      </w:r>
      <w:bookmarkEnd w:id="8"/>
      <w:r>
        <w:rPr>
          <w:b w:val="0"/>
          <w:bCs w:val="0"/>
        </w:rPr>
      </w:r>
    </w:p>
    <w:p>
      <w:pPr>
        <w:spacing w:line="240" w:lineRule="auto" w:before="2"/>
        <w:rPr>
          <w:rFonts w:ascii="宋体" w:hAnsi="宋体" w:cs="宋体" w:eastAsia="宋体" w:hint="default"/>
          <w:b/>
          <w:bCs/>
          <w:sz w:val="39"/>
          <w:szCs w:val="39"/>
        </w:rPr>
      </w:pPr>
    </w:p>
    <w:p>
      <w:pPr>
        <w:pStyle w:val="Heading2"/>
        <w:spacing w:line="240" w:lineRule="auto"/>
        <w:ind w:left="532" w:right="814"/>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01" w:type="dxa"/>
        <w:tblLayout w:type="fixed"/>
        <w:tblCellMar>
          <w:top w:w="0" w:type="dxa"/>
          <w:left w:w="0" w:type="dxa"/>
          <w:bottom w:w="0" w:type="dxa"/>
          <w:right w:w="0" w:type="dxa"/>
        </w:tblCellMar>
        <w:tblLook w:val="01E0"/>
      </w:tblPr>
      <w:tblGrid>
        <w:gridCol w:w="710"/>
        <w:gridCol w:w="994"/>
        <w:gridCol w:w="566"/>
        <w:gridCol w:w="425"/>
        <w:gridCol w:w="428"/>
        <w:gridCol w:w="1558"/>
        <w:gridCol w:w="1560"/>
        <w:gridCol w:w="991"/>
        <w:gridCol w:w="1021"/>
        <w:gridCol w:w="1106"/>
        <w:gridCol w:w="1135"/>
      </w:tblGrid>
      <w:tr>
        <w:trPr>
          <w:trHeight w:val="715"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7"/>
              <w:jc w:val="right"/>
              <w:rPr>
                <w:rFonts w:ascii="宋体" w:hAnsi="宋体" w:cs="宋体" w:eastAsia="宋体" w:hint="default"/>
                <w:sz w:val="18"/>
                <w:szCs w:val="18"/>
              </w:rPr>
            </w:pPr>
            <w:r>
              <w:rPr>
                <w:rFonts w:ascii="宋体" w:hAnsi="宋体" w:cs="宋体" w:eastAsia="宋体" w:hint="default"/>
                <w:sz w:val="18"/>
                <w:szCs w:val="18"/>
              </w:rPr>
              <w:t>年龄</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4" w:firstLine="31"/>
              <w:jc w:val="left"/>
              <w:rPr>
                <w:rFonts w:ascii="宋体" w:hAnsi="宋体" w:cs="宋体" w:eastAsia="宋体" w:hint="default"/>
                <w:sz w:val="18"/>
                <w:szCs w:val="18"/>
              </w:rPr>
            </w:pPr>
            <w:r>
              <w:rPr>
                <w:rFonts w:ascii="宋体" w:hAnsi="宋体" w:cs="宋体" w:eastAsia="宋体" w:hint="default"/>
                <w:sz w:val="18"/>
                <w:szCs w:val="18"/>
              </w:rPr>
              <w:t>本期增持股 </w:t>
            </w:r>
            <w:r>
              <w:rPr>
                <w:rFonts w:ascii="宋体" w:hAnsi="宋体" w:cs="宋体" w:eastAsia="宋体" w:hint="default"/>
                <w:spacing w:val="-10"/>
                <w:sz w:val="18"/>
                <w:szCs w:val="18"/>
              </w:rPr>
              <w:t>份数量（股）</w:t>
            </w:r>
            <w:r>
              <w:rPr>
                <w:rFonts w:ascii="宋体" w:hAnsi="宋体" w:cs="宋体" w:eastAsia="宋体" w:hint="default"/>
                <w:sz w:val="18"/>
                <w:szCs w:val="18"/>
              </w:rPr>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 w:firstLine="74"/>
              <w:jc w:val="left"/>
              <w:rPr>
                <w:rFonts w:ascii="宋体" w:hAnsi="宋体" w:cs="宋体" w:eastAsia="宋体" w:hint="default"/>
                <w:sz w:val="18"/>
                <w:szCs w:val="18"/>
              </w:rPr>
            </w:pPr>
            <w:r>
              <w:rPr>
                <w:rFonts w:ascii="宋体" w:hAnsi="宋体" w:cs="宋体" w:eastAsia="宋体" w:hint="default"/>
                <w:sz w:val="18"/>
                <w:szCs w:val="18"/>
              </w:rPr>
              <w:t>本期减持股 份数量（股）</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713" w:hRule="exact"/>
        </w:trPr>
        <w:tc>
          <w:tcPr>
            <w:tcW w:w="71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99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4" w:lineRule="auto" w:before="49"/>
              <w:ind w:left="23" w:right="57"/>
              <w:jc w:val="left"/>
              <w:rPr>
                <w:rFonts w:ascii="宋体" w:hAnsi="宋体" w:cs="宋体" w:eastAsia="宋体" w:hint="default"/>
                <w:sz w:val="18"/>
                <w:szCs w:val="18"/>
              </w:rPr>
            </w:pPr>
            <w:r>
              <w:rPr>
                <w:rFonts w:ascii="宋体" w:hAnsi="宋体" w:cs="宋体" w:eastAsia="宋体" w:hint="default"/>
                <w:sz w:val="18"/>
                <w:szCs w:val="18"/>
              </w:rPr>
              <w:t>董事长；总 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290,393,710</w:t>
            </w:r>
          </w:p>
        </w:tc>
        <w:tc>
          <w:tcPr>
            <w:tcW w:w="10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72,598,400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217,795,310</w:t>
            </w:r>
          </w:p>
        </w:tc>
      </w:tr>
      <w:tr>
        <w:trPr>
          <w:trHeight w:val="715" w:hRule="exact"/>
        </w:trPr>
        <w:tc>
          <w:tcPr>
            <w:tcW w:w="71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庞泰松</w:t>
            </w:r>
          </w:p>
        </w:tc>
        <w:tc>
          <w:tcPr>
            <w:tcW w:w="99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23" w:right="57"/>
              <w:jc w:val="left"/>
              <w:rPr>
                <w:rFonts w:ascii="宋体" w:hAnsi="宋体" w:cs="宋体" w:eastAsia="宋体" w:hint="default"/>
                <w:sz w:val="18"/>
                <w:szCs w:val="18"/>
              </w:rPr>
            </w:pPr>
            <w:r>
              <w:rPr>
                <w:rFonts w:ascii="宋体" w:hAnsi="宋体" w:cs="宋体" w:eastAsia="宋体" w:hint="default"/>
                <w:sz w:val="18"/>
                <w:szCs w:val="18"/>
              </w:rPr>
              <w:t>副董事长； 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1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高永坚</w:t>
            </w:r>
          </w:p>
        </w:tc>
        <w:tc>
          <w:tcPr>
            <w:tcW w:w="99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4" w:lineRule="auto" w:before="49"/>
              <w:ind w:left="23" w:right="57"/>
              <w:jc w:val="left"/>
              <w:rPr>
                <w:rFonts w:ascii="宋体" w:hAnsi="宋体" w:cs="宋体" w:eastAsia="宋体" w:hint="default"/>
                <w:sz w:val="18"/>
                <w:szCs w:val="18"/>
              </w:rPr>
            </w:pPr>
            <w:r>
              <w:rPr>
                <w:rFonts w:ascii="宋体" w:hAnsi="宋体" w:cs="宋体" w:eastAsia="宋体" w:hint="default"/>
                <w:sz w:val="18"/>
                <w:szCs w:val="18"/>
              </w:rPr>
              <w:t>副董事长； 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1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5" w:right="0"/>
              <w:jc w:val="left"/>
              <w:rPr>
                <w:rFonts w:ascii="宋体" w:hAnsi="宋体" w:cs="宋体" w:eastAsia="宋体" w:hint="default"/>
                <w:sz w:val="18"/>
                <w:szCs w:val="18"/>
              </w:rPr>
            </w:pPr>
            <w:r>
              <w:rPr>
                <w:rFonts w:ascii="宋体" w:hAnsi="宋体" w:cs="宋体" w:eastAsia="宋体" w:hint="default"/>
                <w:sz w:val="18"/>
                <w:szCs w:val="18"/>
              </w:rPr>
              <w:t>谭 </w:t>
            </w:r>
            <w:r>
              <w:rPr>
                <w:rFonts w:ascii="宋体" w:hAnsi="宋体" w:cs="宋体" w:eastAsia="宋体" w:hint="default"/>
                <w:spacing w:val="2"/>
                <w:sz w:val="18"/>
                <w:szCs w:val="18"/>
              </w:rPr>
              <w:t> </w:t>
            </w:r>
            <w:r>
              <w:rPr>
                <w:rFonts w:ascii="宋体" w:hAnsi="宋体" w:cs="宋体" w:eastAsia="宋体" w:hint="default"/>
                <w:sz w:val="18"/>
                <w:szCs w:val="18"/>
              </w:rPr>
              <w:t>骅</w:t>
            </w:r>
          </w:p>
        </w:tc>
        <w:tc>
          <w:tcPr>
            <w:tcW w:w="99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23" w:right="57"/>
              <w:jc w:val="both"/>
              <w:rPr>
                <w:rFonts w:ascii="宋体" w:hAnsi="宋体" w:cs="宋体" w:eastAsia="宋体" w:hint="default"/>
                <w:sz w:val="18"/>
                <w:szCs w:val="18"/>
              </w:rPr>
            </w:pPr>
            <w:r>
              <w:rPr>
                <w:rFonts w:ascii="宋体" w:hAnsi="宋体" w:cs="宋体" w:eastAsia="宋体" w:hint="default"/>
                <w:sz w:val="18"/>
                <w:szCs w:val="18"/>
              </w:rPr>
              <w:t>董事；副总 经理；董事 会秘书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1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梁 </w:t>
            </w:r>
            <w:r>
              <w:rPr>
                <w:rFonts w:ascii="宋体" w:hAnsi="宋体" w:cs="宋体" w:eastAsia="宋体" w:hint="default"/>
                <w:spacing w:val="2"/>
                <w:sz w:val="18"/>
                <w:szCs w:val="18"/>
              </w:rPr>
              <w:t> </w:t>
            </w:r>
            <w:r>
              <w:rPr>
                <w:rFonts w:ascii="宋体" w:hAnsi="宋体" w:cs="宋体" w:eastAsia="宋体" w:hint="default"/>
                <w:sz w:val="18"/>
                <w:szCs w:val="18"/>
              </w:rPr>
              <w:t>行</w:t>
            </w:r>
          </w:p>
        </w:tc>
        <w:tc>
          <w:tcPr>
            <w:tcW w:w="99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1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石本仁</w:t>
            </w:r>
          </w:p>
        </w:tc>
        <w:tc>
          <w:tcPr>
            <w:tcW w:w="99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1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华</w:t>
            </w:r>
          </w:p>
        </w:tc>
        <w:tc>
          <w:tcPr>
            <w:tcW w:w="99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1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徐印州</w:t>
            </w:r>
          </w:p>
        </w:tc>
        <w:tc>
          <w:tcPr>
            <w:tcW w:w="99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1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梁晓芹</w:t>
            </w:r>
          </w:p>
        </w:tc>
        <w:tc>
          <w:tcPr>
            <w:tcW w:w="99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71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龚穗娟</w:t>
            </w:r>
          </w:p>
        </w:tc>
        <w:tc>
          <w:tcPr>
            <w:tcW w:w="99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1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张成虎</w:t>
            </w:r>
          </w:p>
        </w:tc>
        <w:tc>
          <w:tcPr>
            <w:tcW w:w="99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1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徐德银</w:t>
            </w:r>
          </w:p>
        </w:tc>
        <w:tc>
          <w:tcPr>
            <w:tcW w:w="99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1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陈国军</w:t>
            </w:r>
          </w:p>
        </w:tc>
        <w:tc>
          <w:tcPr>
            <w:tcW w:w="99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1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李克福</w:t>
            </w:r>
          </w:p>
        </w:tc>
        <w:tc>
          <w:tcPr>
            <w:tcW w:w="99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6"/>
              <w:jc w:val="right"/>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290,393,710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72,598,400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217,795,310</w:t>
            </w:r>
          </w:p>
        </w:tc>
      </w:tr>
    </w:tbl>
    <w:p>
      <w:pPr>
        <w:spacing w:line="240" w:lineRule="auto" w:before="1"/>
        <w:rPr>
          <w:rFonts w:ascii="宋体" w:hAnsi="宋体" w:cs="宋体" w:eastAsia="宋体" w:hint="default"/>
          <w:b/>
          <w:bCs/>
          <w:sz w:val="18"/>
          <w:szCs w:val="18"/>
        </w:rPr>
      </w:pPr>
    </w:p>
    <w:p>
      <w:pPr>
        <w:pStyle w:val="Heading2"/>
        <w:spacing w:line="240" w:lineRule="auto" w:before="26"/>
        <w:ind w:left="532" w:right="814"/>
        <w:jc w:val="left"/>
        <w:rPr>
          <w:b w:val="0"/>
          <w:bCs w:val="0"/>
        </w:rPr>
      </w:pPr>
      <w:r>
        <w:rPr/>
        <w:t>二、任职情况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32" w:right="814"/>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pStyle w:val="BodyText"/>
        <w:spacing w:line="240" w:lineRule="auto" w:before="102"/>
        <w:ind w:left="893" w:right="814"/>
        <w:jc w:val="left"/>
      </w:pPr>
      <w:r>
        <w:rPr>
          <w:rFonts w:ascii="Times New Roman" w:hAnsi="Times New Roman" w:cs="Times New Roman" w:eastAsia="Times New Roman" w:hint="default"/>
        </w:rPr>
        <w:t>1</w:t>
      </w:r>
      <w:r>
        <w:rPr/>
        <w:t>、董事</w:t>
      </w:r>
    </w:p>
    <w:p>
      <w:pPr>
        <w:pStyle w:val="BodyText"/>
        <w:spacing w:line="300" w:lineRule="auto" w:before="63"/>
        <w:ind w:left="532" w:right="544" w:firstLine="360"/>
        <w:jc w:val="left"/>
      </w:pPr>
      <w:r>
        <w:rPr/>
        <w:t>（</w:t>
      </w:r>
      <w:r>
        <w:rPr>
          <w:rFonts w:ascii="Times New Roman" w:hAnsi="Times New Roman" w:cs="Times New Roman" w:eastAsia="Times New Roman" w:hint="default"/>
        </w:rPr>
        <w:t>1</w:t>
      </w:r>
      <w:r>
        <w:rPr/>
        <w:t>）杨文江先生：男，</w:t>
      </w:r>
      <w:r>
        <w:rPr>
          <w:rFonts w:ascii="Times New Roman" w:hAnsi="Times New Roman" w:cs="Times New Roman" w:eastAsia="Times New Roman" w:hint="default"/>
        </w:rPr>
        <w:t>1972</w:t>
      </w:r>
      <w:r>
        <w:rPr/>
        <w:t>年生，管理学硕士，公司创始人和控股股东。曾任广东省金安汽车工业制造有限公司副总 经理，广州市宝龙特种汽车股份有限公司总经理。现任公司董事长、总经理。</w:t>
      </w:r>
    </w:p>
    <w:p>
      <w:pPr>
        <w:pStyle w:val="BodyText"/>
        <w:spacing w:line="300" w:lineRule="auto" w:before="31"/>
        <w:ind w:left="532" w:right="544" w:firstLine="360"/>
        <w:jc w:val="left"/>
      </w:pPr>
      <w:r>
        <w:rPr/>
        <w:t>（</w:t>
      </w:r>
      <w:r>
        <w:rPr>
          <w:rFonts w:ascii="Times New Roman" w:hAnsi="Times New Roman" w:cs="Times New Roman" w:eastAsia="Times New Roman" w:hint="default"/>
        </w:rPr>
        <w:t>2</w:t>
      </w:r>
      <w:r>
        <w:rPr/>
        <w:t>）高永坚先生：男，</w:t>
      </w:r>
      <w:r>
        <w:rPr>
          <w:rFonts w:ascii="Times New Roman" w:hAnsi="Times New Roman" w:cs="Times New Roman" w:eastAsia="Times New Roman" w:hint="default"/>
        </w:rPr>
        <w:t>1968</w:t>
      </w:r>
      <w:r>
        <w:rPr/>
        <w:t>年生，研究生学历。曾在广州石油化工总厂、君兰国际高尔夫发展有限公司、广州德杏苑 健康发展有限公司等单位任职，历任市场经理助理、销售部经理、市场部经理等职务。现任公司副董事长、副总经理。</w:t>
      </w:r>
    </w:p>
    <w:p>
      <w:pPr>
        <w:pStyle w:val="BodyText"/>
        <w:spacing w:line="300" w:lineRule="auto" w:before="31"/>
        <w:ind w:left="532" w:right="544" w:firstLine="360"/>
        <w:jc w:val="left"/>
      </w:pPr>
      <w:r>
        <w:rPr>
          <w:spacing w:val="2"/>
        </w:rPr>
        <w:t>（</w:t>
      </w:r>
      <w:r>
        <w:rPr>
          <w:rFonts w:ascii="Times New Roman" w:hAnsi="Times New Roman" w:cs="Times New Roman" w:eastAsia="Times New Roman" w:hint="default"/>
          <w:spacing w:val="2"/>
        </w:rPr>
        <w:t>3</w:t>
      </w:r>
      <w:r>
        <w:rPr>
          <w:spacing w:val="2"/>
        </w:rPr>
        <w:t>）庞泰松先生：男，</w:t>
      </w:r>
      <w:r>
        <w:rPr>
          <w:rFonts w:ascii="Times New Roman" w:hAnsi="Times New Roman" w:cs="Times New Roman" w:eastAsia="Times New Roman" w:hint="default"/>
          <w:spacing w:val="2"/>
        </w:rPr>
        <w:t>1971</w:t>
      </w:r>
      <w:r>
        <w:rPr>
          <w:spacing w:val="2"/>
        </w:rPr>
        <w:t>年生，本科学历，加拿大国籍。曾在广州东方宝龙特种汽车股份有限公司、多伦多</w:t>
      </w:r>
      <w:r>
        <w:rPr>
          <w:rFonts w:ascii="Times New Roman" w:hAnsi="Times New Roman" w:cs="Times New Roman" w:eastAsia="Times New Roman" w:hint="default"/>
          <w:spacing w:val="2"/>
        </w:rPr>
        <w:t>PC24</w:t>
      </w:r>
      <w:r>
        <w:rPr>
          <w:rFonts w:ascii="Times New Roman" w:hAnsi="Times New Roman" w:cs="Times New Roman" w:eastAsia="Times New Roman" w:hint="default"/>
        </w:rPr>
        <w:t> Company</w:t>
      </w:r>
      <w:r>
        <w:rPr/>
        <w:t>、多伦多</w:t>
      </w:r>
      <w:r>
        <w:rPr>
          <w:rFonts w:ascii="Times New Roman" w:hAnsi="Times New Roman" w:cs="Times New Roman" w:eastAsia="Times New Roman" w:hint="default"/>
        </w:rPr>
        <w:t>ROADSPORT</w:t>
      </w:r>
      <w:r>
        <w:rPr/>
        <w:t>本田车行工作。现任公司副董事长、副总经理。</w:t>
      </w:r>
    </w:p>
    <w:p>
      <w:pPr>
        <w:spacing w:after="0" w:line="300" w:lineRule="auto"/>
        <w:jc w:val="left"/>
        <w:sectPr>
          <w:pgSz w:w="11910" w:h="16840"/>
          <w:pgMar w:header="745" w:footer="980" w:top="1060" w:bottom="1160" w:left="600" w:right="580"/>
        </w:sectPr>
      </w:pPr>
    </w:p>
    <w:p>
      <w:pPr>
        <w:spacing w:line="240" w:lineRule="auto" w:before="9"/>
        <w:rPr>
          <w:rFonts w:ascii="宋体" w:hAnsi="宋体" w:cs="宋体" w:eastAsia="宋体" w:hint="default"/>
          <w:sz w:val="25"/>
          <w:szCs w:val="25"/>
        </w:rPr>
      </w:pPr>
    </w:p>
    <w:p>
      <w:pPr>
        <w:pStyle w:val="BodyText"/>
        <w:spacing w:line="300" w:lineRule="auto" w:before="44"/>
        <w:ind w:right="144" w:firstLine="360"/>
        <w:jc w:val="left"/>
      </w:pPr>
      <w:r>
        <w:rPr/>
        <w:t>（</w:t>
      </w:r>
      <w:r>
        <w:rPr>
          <w:rFonts w:ascii="Times New Roman" w:hAnsi="Times New Roman" w:cs="Times New Roman" w:eastAsia="Times New Roman" w:hint="default"/>
        </w:rPr>
        <w:t>4</w:t>
      </w:r>
      <w:r>
        <w:rPr/>
        <w:t>）谭骅先生：男，</w:t>
      </w:r>
      <w:r>
        <w:rPr>
          <w:rFonts w:ascii="Times New Roman" w:hAnsi="Times New Roman" w:cs="Times New Roman" w:eastAsia="Times New Roman" w:hint="default"/>
        </w:rPr>
        <w:t>1972</w:t>
      </w:r>
      <w:r>
        <w:rPr/>
        <w:t>年生，武汉大学工商管理硕士，经济师。曾任职于中国农业银行，有丰富的金融投资及企业 管理经验。现任公司董事、副总经理兼董事会秘书。</w:t>
      </w:r>
    </w:p>
    <w:p>
      <w:pPr>
        <w:pStyle w:val="BodyText"/>
        <w:spacing w:line="240" w:lineRule="auto" w:before="31"/>
        <w:ind w:left="513" w:right="146"/>
        <w:jc w:val="left"/>
      </w:pPr>
      <w:r>
        <w:rPr/>
        <w:t>（</w:t>
      </w:r>
      <w:r>
        <w:rPr>
          <w:rFonts w:ascii="Times New Roman" w:hAnsi="Times New Roman" w:cs="Times New Roman" w:eastAsia="Times New Roman" w:hint="default"/>
        </w:rPr>
        <w:t>5</w:t>
      </w:r>
      <w:r>
        <w:rPr/>
        <w:t>）梁行先生：男，</w:t>
      </w:r>
      <w:r>
        <w:rPr>
          <w:rFonts w:ascii="Times New Roman" w:hAnsi="Times New Roman" w:cs="Times New Roman" w:eastAsia="Times New Roman" w:hint="default"/>
        </w:rPr>
        <w:t>1973</w:t>
      </w:r>
      <w:r>
        <w:rPr/>
        <w:t>年生，本科学历。现任公司董事，广州市好易达家居网络科技有限公司首席执行官。</w:t>
      </w:r>
    </w:p>
    <w:p>
      <w:pPr>
        <w:pStyle w:val="BodyText"/>
        <w:spacing w:line="300" w:lineRule="auto" w:before="63"/>
        <w:ind w:right="144" w:firstLine="360"/>
        <w:jc w:val="left"/>
      </w:pPr>
      <w:r>
        <w:rPr/>
        <w:t>（</w:t>
      </w:r>
      <w:r>
        <w:rPr>
          <w:rFonts w:ascii="Times New Roman" w:hAnsi="Times New Roman" w:cs="Times New Roman" w:eastAsia="Times New Roman" w:hint="default"/>
        </w:rPr>
        <w:t>6</w:t>
      </w:r>
      <w:r>
        <w:rPr/>
        <w:t>）徐印州先生：男，</w:t>
      </w:r>
      <w:r>
        <w:rPr>
          <w:rFonts w:ascii="Times New Roman" w:hAnsi="Times New Roman" w:cs="Times New Roman" w:eastAsia="Times New Roman" w:hint="default"/>
        </w:rPr>
        <w:t>1946</w:t>
      </w:r>
      <w:r>
        <w:rPr/>
        <w:t>年出生。现任公司独立董事、广东财经大学教授、中国商业经济学会副会长、广东省综合 改革发展研究院院长。</w:t>
      </w:r>
    </w:p>
    <w:p>
      <w:pPr>
        <w:pStyle w:val="BodyText"/>
        <w:spacing w:line="300" w:lineRule="auto" w:before="31"/>
        <w:ind w:right="144" w:firstLine="360"/>
        <w:jc w:val="left"/>
      </w:pPr>
      <w:r>
        <w:rPr/>
        <w:t>（</w:t>
      </w:r>
      <w:r>
        <w:rPr>
          <w:rFonts w:ascii="Times New Roman" w:hAnsi="Times New Roman" w:cs="Times New Roman" w:eastAsia="Times New Roman" w:hint="default"/>
        </w:rPr>
        <w:t>7</w:t>
      </w:r>
      <w:r>
        <w:rPr/>
        <w:t>）石本仁先生：男，</w:t>
      </w:r>
      <w:r>
        <w:rPr>
          <w:rFonts w:ascii="Times New Roman" w:hAnsi="Times New Roman" w:cs="Times New Roman" w:eastAsia="Times New Roman" w:hint="default"/>
        </w:rPr>
        <w:t>1964</w:t>
      </w:r>
      <w:r>
        <w:rPr/>
        <w:t>年生，博士，会计学教授。曾于武汉供销学校任教，武汉工业大学任教。现于广州暨南大 学会计系任教。现任公司独立董事，广州暨南大学会计研究所副所长，广州发展实业控股集团股份有限公司独立董事。</w:t>
      </w:r>
    </w:p>
    <w:p>
      <w:pPr>
        <w:pStyle w:val="BodyText"/>
        <w:spacing w:line="309" w:lineRule="auto" w:before="31"/>
        <w:ind w:right="151" w:firstLine="360"/>
        <w:jc w:val="both"/>
      </w:pPr>
      <w:r>
        <w:rPr/>
        <w:t>（</w:t>
      </w:r>
      <w:r>
        <w:rPr>
          <w:rFonts w:ascii="Times New Roman" w:hAnsi="Times New Roman" w:cs="Times New Roman" w:eastAsia="Times New Roman" w:hint="default"/>
        </w:rPr>
        <w:t>8</w:t>
      </w:r>
      <w:r>
        <w:rPr/>
        <w:t>）张华先生：男，</w:t>
      </w:r>
      <w:r>
        <w:rPr>
          <w:rFonts w:ascii="Times New Roman" w:hAnsi="Times New Roman" w:cs="Times New Roman" w:eastAsia="Times New Roman" w:hint="default"/>
        </w:rPr>
        <w:t>1965</w:t>
      </w:r>
      <w:r>
        <w:rPr/>
        <w:t>年生，经济学硕士。曾在国家开发银行广东省分行、广东金手指投资顾问有限公司、广州市 </w:t>
      </w:r>
      <w:r>
        <w:rPr>
          <w:spacing w:val="-2"/>
        </w:rPr>
        <w:t>宝鑫控股集团有限公司、君华集团有限公司、广州市英智财华投资有限公司等单位工作，历任业务主管、分析师、总监、总</w:t>
      </w:r>
      <w:r>
        <w:rPr>
          <w:spacing w:val="-70"/>
        </w:rPr>
        <w:t> </w:t>
      </w:r>
      <w:r>
        <w:rPr>
          <w:spacing w:val="-70"/>
        </w:rPr>
      </w:r>
      <w:r>
        <w:rPr>
          <w:spacing w:val="-2"/>
        </w:rPr>
        <w:t>裁助理、副总经理等职务。现任公司独立董事，广州德瑞投资有限责任公司副总经理，兼任深圳东盈瑞通投资管理合伙企业</w:t>
      </w:r>
    </w:p>
    <w:p>
      <w:pPr>
        <w:pStyle w:val="BodyText"/>
        <w:spacing w:line="240" w:lineRule="auto" w:before="24"/>
        <w:ind w:right="146"/>
        <w:jc w:val="left"/>
      </w:pPr>
      <w:r>
        <w:rPr/>
        <w:t>（有限合伙）副总经理，广东电力发展股份有限公司独立董事。</w:t>
      </w:r>
    </w:p>
    <w:p>
      <w:pPr>
        <w:spacing w:line="240" w:lineRule="auto" w:before="0"/>
        <w:rPr>
          <w:rFonts w:ascii="宋体" w:hAnsi="宋体" w:cs="宋体" w:eastAsia="宋体" w:hint="default"/>
          <w:sz w:val="18"/>
          <w:szCs w:val="18"/>
        </w:rPr>
      </w:pPr>
    </w:p>
    <w:p>
      <w:pPr>
        <w:pStyle w:val="BodyText"/>
        <w:spacing w:line="240" w:lineRule="auto" w:before="153"/>
        <w:ind w:left="513" w:right="146"/>
        <w:jc w:val="left"/>
      </w:pPr>
      <w:r>
        <w:rPr>
          <w:rFonts w:ascii="Times New Roman" w:hAnsi="Times New Roman" w:cs="Times New Roman" w:eastAsia="Times New Roman" w:hint="default"/>
        </w:rPr>
        <w:t>2</w:t>
      </w:r>
      <w:r>
        <w:rPr/>
        <w:t>、监事</w:t>
      </w:r>
    </w:p>
    <w:p>
      <w:pPr>
        <w:pStyle w:val="BodyText"/>
        <w:spacing w:line="300" w:lineRule="auto" w:before="63"/>
        <w:ind w:right="144" w:firstLine="360"/>
        <w:jc w:val="left"/>
      </w:pPr>
      <w:r>
        <w:rPr/>
        <w:t>（</w:t>
      </w:r>
      <w:r>
        <w:rPr>
          <w:rFonts w:ascii="Times New Roman" w:hAnsi="Times New Roman" w:cs="Times New Roman" w:eastAsia="Times New Roman" w:hint="default"/>
        </w:rPr>
        <w:t>1</w:t>
      </w:r>
      <w:r>
        <w:rPr/>
        <w:t>）梁晓芹女士：女，</w:t>
      </w:r>
      <w:r>
        <w:rPr>
          <w:rFonts w:ascii="Times New Roman" w:hAnsi="Times New Roman" w:cs="Times New Roman" w:eastAsia="Times New Roman" w:hint="default"/>
        </w:rPr>
        <w:t>1977</w:t>
      </w:r>
      <w:r>
        <w:rPr/>
        <w:t>年生，贸易经济和工业分析双专业本科学历。人力资源高级管理师、经济师。</w:t>
      </w:r>
      <w:r>
        <w:rPr>
          <w:rFonts w:ascii="Times New Roman" w:hAnsi="Times New Roman" w:cs="Times New Roman" w:eastAsia="Times New Roman" w:hint="default"/>
        </w:rPr>
        <w:t>2001</w:t>
      </w:r>
      <w:r>
        <w:rPr/>
        <w:t>年加入 公司，现任公司人力行政中心经理，第四届监事会主席。</w:t>
      </w:r>
    </w:p>
    <w:p>
      <w:pPr>
        <w:pStyle w:val="BodyText"/>
        <w:spacing w:line="240" w:lineRule="auto" w:before="31"/>
        <w:ind w:left="513" w:right="146"/>
        <w:jc w:val="left"/>
      </w:pPr>
      <w:r>
        <w:rPr/>
        <w:t>（</w:t>
      </w:r>
      <w:r>
        <w:rPr>
          <w:rFonts w:ascii="Times New Roman" w:hAnsi="Times New Roman" w:cs="Times New Roman" w:eastAsia="Times New Roman" w:hint="default"/>
        </w:rPr>
        <w:t>2</w:t>
      </w:r>
      <w:r>
        <w:rPr/>
        <w:t>）龚穗娟女士：女，</w:t>
      </w:r>
      <w:r>
        <w:rPr>
          <w:rFonts w:ascii="Times New Roman" w:hAnsi="Times New Roman" w:cs="Times New Roman" w:eastAsia="Times New Roman" w:hint="default"/>
        </w:rPr>
        <w:t>1973</w:t>
      </w:r>
      <w:r>
        <w:rPr/>
        <w:t>年生，大专学历。现任公司股东代表监事，广州利讯汽车配件有限公司会计。</w:t>
      </w:r>
    </w:p>
    <w:p>
      <w:pPr>
        <w:pStyle w:val="BodyText"/>
        <w:spacing w:line="300" w:lineRule="auto" w:before="63"/>
        <w:ind w:right="144" w:firstLine="360"/>
        <w:jc w:val="left"/>
      </w:pPr>
      <w:r>
        <w:rPr/>
        <w:t>（</w:t>
      </w:r>
      <w:r>
        <w:rPr>
          <w:rFonts w:ascii="Times New Roman" w:hAnsi="Times New Roman" w:cs="Times New Roman" w:eastAsia="Times New Roman" w:hint="default"/>
        </w:rPr>
        <w:t>3</w:t>
      </w:r>
      <w:r>
        <w:rPr/>
        <w:t>）张成虎先生：男，</w:t>
      </w:r>
      <w:r>
        <w:rPr>
          <w:rFonts w:ascii="Times New Roman" w:hAnsi="Times New Roman" w:cs="Times New Roman" w:eastAsia="Times New Roman" w:hint="default"/>
        </w:rPr>
        <w:t>1975</w:t>
      </w:r>
      <w:r>
        <w:rPr/>
        <w:t>年生，高中学历。曾在广州宝龙集团有限公司行政部工作。现任公司行政部副经理、职工 代表监事。</w:t>
      </w:r>
    </w:p>
    <w:p>
      <w:pPr>
        <w:spacing w:line="240" w:lineRule="auto" w:before="3"/>
        <w:rPr>
          <w:rFonts w:ascii="宋体" w:hAnsi="宋体" w:cs="宋体" w:eastAsia="宋体" w:hint="default"/>
          <w:sz w:val="26"/>
          <w:szCs w:val="26"/>
        </w:rPr>
      </w:pPr>
    </w:p>
    <w:p>
      <w:pPr>
        <w:pStyle w:val="BodyText"/>
        <w:spacing w:line="240" w:lineRule="auto"/>
        <w:ind w:left="513" w:right="146"/>
        <w:jc w:val="left"/>
      </w:pPr>
      <w:r>
        <w:rPr>
          <w:rFonts w:ascii="Times New Roman" w:hAnsi="Times New Roman" w:cs="Times New Roman" w:eastAsia="Times New Roman" w:hint="default"/>
        </w:rPr>
        <w:t>3</w:t>
      </w:r>
      <w:r>
        <w:rPr/>
        <w:t>、高级管理人员</w:t>
      </w:r>
    </w:p>
    <w:p>
      <w:pPr>
        <w:pStyle w:val="BodyText"/>
        <w:spacing w:line="240" w:lineRule="auto" w:before="63"/>
        <w:ind w:left="513" w:right="146"/>
        <w:jc w:val="left"/>
      </w:pPr>
      <w:r>
        <w:rPr/>
        <w:t>（</w:t>
      </w:r>
      <w:r>
        <w:rPr>
          <w:rFonts w:ascii="Times New Roman" w:hAnsi="Times New Roman" w:cs="Times New Roman" w:eastAsia="Times New Roman" w:hint="default"/>
        </w:rPr>
        <w:t>1</w:t>
      </w:r>
      <w:r>
        <w:rPr/>
        <w:t>）杨文江先生：公司总经理（简历见前述董事介绍）</w:t>
      </w:r>
    </w:p>
    <w:p>
      <w:pPr>
        <w:pStyle w:val="BodyText"/>
        <w:spacing w:line="240" w:lineRule="auto" w:before="63"/>
        <w:ind w:left="513" w:right="146"/>
        <w:jc w:val="left"/>
      </w:pPr>
      <w:r>
        <w:rPr/>
        <w:t>（</w:t>
      </w:r>
      <w:r>
        <w:rPr>
          <w:rFonts w:ascii="Times New Roman" w:hAnsi="Times New Roman" w:cs="Times New Roman" w:eastAsia="Times New Roman" w:hint="default"/>
        </w:rPr>
        <w:t>2</w:t>
      </w:r>
      <w:r>
        <w:rPr/>
        <w:t>）高永坚先生：公司副总经理（简历见前述董事介绍）</w:t>
      </w:r>
    </w:p>
    <w:p>
      <w:pPr>
        <w:pStyle w:val="BodyText"/>
        <w:spacing w:line="240" w:lineRule="auto" w:before="63"/>
        <w:ind w:left="513" w:right="146"/>
        <w:jc w:val="left"/>
      </w:pPr>
      <w:r>
        <w:rPr/>
        <w:t>（</w:t>
      </w:r>
      <w:r>
        <w:rPr>
          <w:rFonts w:ascii="Times New Roman" w:hAnsi="Times New Roman" w:cs="Times New Roman" w:eastAsia="Times New Roman" w:hint="default"/>
        </w:rPr>
        <w:t>3</w:t>
      </w:r>
      <w:r>
        <w:rPr/>
        <w:t>）庞泰松先生：公司副总经理（简历见前述董事介绍）</w:t>
      </w:r>
    </w:p>
    <w:p>
      <w:pPr>
        <w:pStyle w:val="BodyText"/>
        <w:spacing w:line="240" w:lineRule="auto" w:before="63"/>
        <w:ind w:left="513" w:right="146"/>
        <w:jc w:val="left"/>
      </w:pPr>
      <w:r>
        <w:rPr/>
        <w:t>（</w:t>
      </w:r>
      <w:r>
        <w:rPr>
          <w:rFonts w:ascii="Times New Roman" w:hAnsi="Times New Roman" w:cs="Times New Roman" w:eastAsia="Times New Roman" w:hint="default"/>
        </w:rPr>
        <w:t>4</w:t>
      </w:r>
      <w:r>
        <w:rPr/>
        <w:t>）谭骅先生：公司副总经理、董事会秘书（简历见前述董事介绍）</w:t>
      </w:r>
    </w:p>
    <w:p>
      <w:pPr>
        <w:pStyle w:val="BodyText"/>
        <w:spacing w:line="300" w:lineRule="auto" w:before="63"/>
        <w:ind w:right="144" w:firstLine="360"/>
        <w:jc w:val="left"/>
      </w:pPr>
      <w:r>
        <w:rPr/>
        <w:t>（</w:t>
      </w:r>
      <w:r>
        <w:rPr>
          <w:rFonts w:ascii="Times New Roman" w:hAnsi="Times New Roman" w:cs="Times New Roman" w:eastAsia="Times New Roman" w:hint="default"/>
        </w:rPr>
        <w:t>5</w:t>
      </w:r>
      <w:r>
        <w:rPr/>
        <w:t>）徐德银先生：男，</w:t>
      </w:r>
      <w:r>
        <w:rPr>
          <w:rFonts w:ascii="Times New Roman" w:hAnsi="Times New Roman" w:cs="Times New Roman" w:eastAsia="Times New Roman" w:hint="default"/>
        </w:rPr>
        <w:t>1976</w:t>
      </w:r>
      <w:r>
        <w:rPr/>
        <w:t>年生，本科。曾任职于雅思商务、广东金宇恒科技有限公司担任研发中心经理。后加入公 司，历任公司软件品管部经理、软件总监、客户服务总监，现任公司副总经理。</w:t>
      </w:r>
    </w:p>
    <w:p>
      <w:pPr>
        <w:pStyle w:val="BodyText"/>
        <w:spacing w:line="300" w:lineRule="auto" w:before="31"/>
        <w:ind w:right="144" w:firstLine="360"/>
        <w:jc w:val="left"/>
      </w:pPr>
      <w:r>
        <w:rPr/>
        <w:t>（</w:t>
      </w:r>
      <w:r>
        <w:rPr>
          <w:rFonts w:ascii="Times New Roman" w:hAnsi="Times New Roman" w:cs="Times New Roman" w:eastAsia="Times New Roman" w:hint="default"/>
        </w:rPr>
        <w:t>6</w:t>
      </w:r>
      <w:r>
        <w:rPr/>
        <w:t>）陈国军先生：男，</w:t>
      </w:r>
      <w:r>
        <w:rPr>
          <w:rFonts w:ascii="Times New Roman" w:hAnsi="Times New Roman" w:cs="Times New Roman" w:eastAsia="Times New Roman" w:hint="default"/>
        </w:rPr>
        <w:t>1978</w:t>
      </w:r>
      <w:r>
        <w:rPr/>
        <w:t>年生，本科学历，中国注册会计师。曾任中山大学达安基因股份有限公司财务主管，广东 大地电影院线有限公司财务经理。现任公司财务总监。</w:t>
      </w:r>
    </w:p>
    <w:p>
      <w:pPr>
        <w:pStyle w:val="BodyText"/>
        <w:spacing w:line="300" w:lineRule="auto" w:before="72"/>
        <w:ind w:right="144" w:firstLine="360"/>
        <w:jc w:val="left"/>
      </w:pPr>
      <w:r>
        <w:rPr/>
        <w:t>（</w:t>
      </w:r>
      <w:r>
        <w:rPr>
          <w:rFonts w:ascii="Times New Roman" w:hAnsi="Times New Roman" w:cs="Times New Roman" w:eastAsia="Times New Roman" w:hint="default"/>
        </w:rPr>
        <w:t>7</w:t>
      </w:r>
      <w:r>
        <w:rPr/>
        <w:t>）李克福先生：男，</w:t>
      </w:r>
      <w:r>
        <w:rPr>
          <w:rFonts w:ascii="Times New Roman" w:hAnsi="Times New Roman" w:cs="Times New Roman" w:eastAsia="Times New Roman" w:hint="default"/>
        </w:rPr>
        <w:t>1968</w:t>
      </w:r>
      <w:r>
        <w:rPr/>
        <w:t>年生，本科学历，加入公司后，历任公司行政主管、行政经理、行政总监，现任公司公共 事务部总监，公司副总经理。</w:t>
      </w:r>
    </w:p>
    <w:p>
      <w:pPr>
        <w:pStyle w:val="BodyText"/>
        <w:spacing w:line="240" w:lineRule="auto" w:before="70"/>
        <w:ind w:right="146"/>
        <w:jc w:val="left"/>
      </w:pPr>
      <w:r>
        <w:rPr/>
        <w:t>在股东单位任职情况</w:t>
      </w:r>
    </w:p>
    <w:p>
      <w:pPr>
        <w:pStyle w:val="BodyText"/>
        <w:spacing w:line="240" w:lineRule="auto" w:before="117"/>
        <w:ind w:right="14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053"/>
        <w:gridCol w:w="992"/>
        <w:gridCol w:w="1560"/>
        <w:gridCol w:w="1419"/>
        <w:gridCol w:w="1346"/>
      </w:tblGrid>
      <w:tr>
        <w:trPr>
          <w:trHeight w:val="708"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0" w:right="39"/>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9" w:right="36" w:hanging="92"/>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8" w:hRule="exact"/>
        </w:trPr>
        <w:tc>
          <w:tcPr>
            <w:tcW w:w="120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谭 </w:t>
            </w:r>
            <w:r>
              <w:rPr>
                <w:rFonts w:ascii="宋体" w:hAnsi="宋体" w:cs="宋体" w:eastAsia="宋体" w:hint="default"/>
                <w:spacing w:val="2"/>
                <w:sz w:val="18"/>
                <w:szCs w:val="18"/>
              </w:rPr>
              <w:t> </w:t>
            </w:r>
            <w:r>
              <w:rPr>
                <w:rFonts w:ascii="宋体" w:hAnsi="宋体" w:cs="宋体" w:eastAsia="宋体" w:hint="default"/>
                <w:sz w:val="18"/>
                <w:szCs w:val="18"/>
              </w:rPr>
              <w:t>骅</w:t>
            </w:r>
          </w:p>
        </w:tc>
        <w:tc>
          <w:tcPr>
            <w:tcW w:w="305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3"/>
              <w:ind w:right="110"/>
              <w:jc w:val="center"/>
              <w:rPr>
                <w:rFonts w:ascii="宋体" w:hAnsi="宋体" w:cs="宋体" w:eastAsia="宋体" w:hint="default"/>
                <w:sz w:val="18"/>
                <w:szCs w:val="18"/>
              </w:rPr>
            </w:pPr>
            <w:r>
              <w:rPr>
                <w:rFonts w:ascii="宋体" w:hAnsi="宋体" w:cs="宋体" w:eastAsia="宋体" w:hint="default"/>
                <w:sz w:val="18"/>
                <w:szCs w:val="18"/>
              </w:rPr>
              <w:t>广州花都稠州村镇银行股份有限公司</w:t>
            </w:r>
          </w:p>
        </w:tc>
        <w:tc>
          <w:tcPr>
            <w:tcW w:w="992"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10" w:space="0" w:color="C7EBCC"/>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4254" w:type="dxa"/>
            <w:gridSpan w:val="2"/>
            <w:tcBorders>
              <w:top w:val="single" w:sz="4" w:space="0" w:color="000000"/>
              <w:left w:val="single" w:sz="4" w:space="0" w:color="000000"/>
              <w:bottom w:val="single" w:sz="4" w:space="0" w:color="000000"/>
              <w:right w:val="single" w:sz="13" w:space="0" w:color="C7EBCC"/>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在股东单位任职情况的说明</w:t>
            </w:r>
          </w:p>
        </w:tc>
        <w:tc>
          <w:tcPr>
            <w:tcW w:w="5317" w:type="dxa"/>
            <w:gridSpan w:val="4"/>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46"/>
        <w:jc w:val="left"/>
      </w:pPr>
      <w:r>
        <w:rPr/>
        <w:t>在其他单位任职情况</w:t>
      </w:r>
    </w:p>
    <w:p>
      <w:pPr>
        <w:pStyle w:val="BodyText"/>
        <w:spacing w:line="240" w:lineRule="auto" w:before="117"/>
        <w:ind w:right="14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08"/>
        <w:gridCol w:w="2269"/>
        <w:gridCol w:w="1987"/>
        <w:gridCol w:w="1688"/>
        <w:gridCol w:w="1573"/>
        <w:gridCol w:w="1349"/>
      </w:tblGrid>
      <w:tr>
        <w:trPr>
          <w:trHeight w:val="710"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left"/>
              <w:rPr>
                <w:rFonts w:ascii="宋体" w:hAnsi="宋体" w:cs="宋体" w:eastAsia="宋体" w:hint="default"/>
                <w:sz w:val="18"/>
                <w:szCs w:val="18"/>
              </w:rPr>
            </w:pPr>
            <w:r>
              <w:rPr>
                <w:rFonts w:ascii="宋体" w:hAnsi="宋体" w:cs="宋体" w:eastAsia="宋体" w:hint="default"/>
                <w:sz w:val="18"/>
                <w:szCs w:val="18"/>
              </w:rPr>
              <w:t>任职人 员姓名</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在其他单位担任的职务</w:t>
            </w:r>
          </w:p>
        </w:tc>
        <w:tc>
          <w:tcPr>
            <w:tcW w:w="1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9" w:right="36" w:hanging="89"/>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6" w:hRule="exact"/>
        </w:trPr>
        <w:tc>
          <w:tcPr>
            <w:tcW w:w="70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226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广州御新软件有限公司</w:t>
            </w:r>
          </w:p>
        </w:tc>
        <w:tc>
          <w:tcPr>
            <w:tcW w:w="198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法定代表人兼执行董事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226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广州御银金融服务有限公司</w:t>
            </w:r>
          </w:p>
        </w:tc>
        <w:tc>
          <w:tcPr>
            <w:tcW w:w="198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710"/>
        <w:gridCol w:w="2258"/>
        <w:gridCol w:w="1973"/>
        <w:gridCol w:w="1700"/>
        <w:gridCol w:w="1573"/>
        <w:gridCol w:w="1349"/>
      </w:tblGrid>
      <w:tr>
        <w:trPr>
          <w:trHeight w:val="161" w:hRule="exact"/>
        </w:trPr>
        <w:tc>
          <w:tcPr>
            <w:tcW w:w="710" w:type="dxa"/>
            <w:tcBorders>
              <w:top w:val="single" w:sz="4" w:space="0" w:color="000000"/>
              <w:left w:val="single" w:sz="4" w:space="0" w:color="000000"/>
              <w:bottom w:val="nil" w:sz="6" w:space="0" w:color="auto"/>
              <w:right w:val="single" w:sz="4" w:space="0" w:color="000000"/>
            </w:tcBorders>
            <w:shd w:val="clear" w:color="auto" w:fill="C7EBCC"/>
          </w:tcPr>
          <w:p>
            <w:pPr/>
          </w:p>
        </w:tc>
        <w:tc>
          <w:tcPr>
            <w:tcW w:w="2258" w:type="dxa"/>
            <w:vMerge w:val="restart"/>
            <w:tcBorders>
              <w:top w:val="single" w:sz="4" w:space="0" w:color="000000"/>
              <w:left w:val="single" w:sz="4" w:space="0" w:color="000000"/>
              <w:right w:val="single" w:sz="4" w:space="0" w:color="000000"/>
            </w:tcBorders>
            <w:shd w:val="clear" w:color="auto" w:fill="C7EBCC"/>
          </w:tcPr>
          <w:p>
            <w:pPr>
              <w:pStyle w:val="TableParagraph"/>
              <w:spacing w:line="319" w:lineRule="auto" w:before="49"/>
              <w:ind w:left="13" w:right="72"/>
              <w:jc w:val="left"/>
              <w:rPr>
                <w:rFonts w:ascii="宋体" w:hAnsi="宋体" w:cs="宋体" w:eastAsia="宋体" w:hint="default"/>
                <w:sz w:val="18"/>
                <w:szCs w:val="18"/>
              </w:rPr>
            </w:pPr>
            <w:r>
              <w:rPr>
                <w:rFonts w:ascii="宋体" w:hAnsi="宋体" w:cs="宋体" w:eastAsia="宋体" w:hint="default"/>
                <w:sz w:val="18"/>
                <w:szCs w:val="18"/>
              </w:rPr>
              <w:t>广州御银自动柜员机科技有 限公司</w:t>
            </w:r>
          </w:p>
        </w:tc>
        <w:tc>
          <w:tcPr>
            <w:tcW w:w="1973" w:type="dxa"/>
            <w:tcBorders>
              <w:top w:val="single" w:sz="4" w:space="0" w:color="000000"/>
              <w:left w:val="single" w:sz="4" w:space="0" w:color="000000"/>
              <w:bottom w:val="nil" w:sz="6" w:space="0" w:color="auto"/>
              <w:right w:val="single" w:sz="4" w:space="0" w:color="000000"/>
            </w:tcBorders>
            <w:shd w:val="clear" w:color="auto" w:fill="C7EBCC"/>
          </w:tcPr>
          <w:p>
            <w:pPr/>
          </w:p>
        </w:tc>
        <w:tc>
          <w:tcPr>
            <w:tcW w:w="1700" w:type="dxa"/>
            <w:vMerge w:val="restart"/>
            <w:tcBorders>
              <w:top w:val="single" w:sz="4" w:space="0" w:color="000000"/>
              <w:left w:val="single" w:sz="10" w:space="0" w:color="C7EBCC"/>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7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34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710" w:type="dxa"/>
            <w:tcBorders>
              <w:top w:val="nil" w:sz="6" w:space="0" w:color="auto"/>
              <w:left w:val="single" w:sz="4" w:space="0" w:color="000000"/>
              <w:bottom w:val="nil" w:sz="6" w:space="0" w:color="auto"/>
              <w:right w:val="single" w:sz="4" w:space="0" w:color="000000"/>
            </w:tcBorders>
            <w:shd w:val="clear" w:color="auto" w:fill="C7EB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2258" w:type="dxa"/>
            <w:vMerge/>
            <w:tcBorders>
              <w:left w:val="single" w:sz="4" w:space="0" w:color="000000"/>
              <w:right w:val="single" w:sz="4" w:space="0" w:color="000000"/>
            </w:tcBorders>
            <w:shd w:val="clear" w:color="auto" w:fill="C7EBCC"/>
          </w:tcPr>
          <w:p>
            <w:pPr/>
          </w:p>
        </w:tc>
        <w:tc>
          <w:tcPr>
            <w:tcW w:w="1973" w:type="dxa"/>
            <w:tcBorders>
              <w:top w:val="nil" w:sz="6" w:space="0" w:color="auto"/>
              <w:left w:val="single" w:sz="4" w:space="0" w:color="000000"/>
              <w:bottom w:val="nil" w:sz="6" w:space="0" w:color="auto"/>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法定代表人兼执行董事</w:t>
            </w:r>
          </w:p>
        </w:tc>
        <w:tc>
          <w:tcPr>
            <w:tcW w:w="1700" w:type="dxa"/>
            <w:vMerge/>
            <w:tcBorders>
              <w:left w:val="single" w:sz="10" w:space="0" w:color="C7EBCC"/>
              <w:right w:val="single" w:sz="4" w:space="0" w:color="000000"/>
            </w:tcBorders>
          </w:tcPr>
          <w:p>
            <w:pPr/>
          </w:p>
        </w:tc>
        <w:tc>
          <w:tcPr>
            <w:tcW w:w="1573"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r>
      <w:tr>
        <w:trPr>
          <w:trHeight w:val="162" w:hRule="exact"/>
        </w:trPr>
        <w:tc>
          <w:tcPr>
            <w:tcW w:w="710" w:type="dxa"/>
            <w:tcBorders>
              <w:top w:val="nil" w:sz="6" w:space="0" w:color="auto"/>
              <w:left w:val="single" w:sz="4" w:space="0" w:color="000000"/>
              <w:bottom w:val="single" w:sz="4" w:space="0" w:color="000000"/>
              <w:right w:val="single" w:sz="4" w:space="0" w:color="000000"/>
            </w:tcBorders>
            <w:shd w:val="clear" w:color="auto" w:fill="C7EBCC"/>
          </w:tcPr>
          <w:p>
            <w:pPr/>
          </w:p>
        </w:tc>
        <w:tc>
          <w:tcPr>
            <w:tcW w:w="2258" w:type="dxa"/>
            <w:vMerge/>
            <w:tcBorders>
              <w:left w:val="single" w:sz="4" w:space="0" w:color="000000"/>
              <w:bottom w:val="single" w:sz="4" w:space="0" w:color="000000"/>
              <w:right w:val="single" w:sz="4" w:space="0" w:color="000000"/>
            </w:tcBorders>
            <w:shd w:val="clear" w:color="auto" w:fill="C7EBCC"/>
          </w:tcPr>
          <w:p>
            <w:pPr/>
          </w:p>
        </w:tc>
        <w:tc>
          <w:tcPr>
            <w:tcW w:w="1973" w:type="dxa"/>
            <w:tcBorders>
              <w:top w:val="nil" w:sz="6" w:space="0" w:color="auto"/>
              <w:left w:val="single" w:sz="4" w:space="0" w:color="000000"/>
              <w:bottom w:val="single" w:sz="4" w:space="0" w:color="000000"/>
              <w:right w:val="single" w:sz="4" w:space="0" w:color="000000"/>
            </w:tcBorders>
            <w:shd w:val="clear" w:color="auto" w:fill="C7EBCC"/>
          </w:tcPr>
          <w:p>
            <w:pPr/>
          </w:p>
        </w:tc>
        <w:tc>
          <w:tcPr>
            <w:tcW w:w="1700" w:type="dxa"/>
            <w:vMerge/>
            <w:tcBorders>
              <w:left w:val="single" w:sz="10" w:space="0" w:color="C7EBCC"/>
              <w:bottom w:val="single" w:sz="4" w:space="0" w:color="000000"/>
              <w:right w:val="single" w:sz="4" w:space="0" w:color="000000"/>
            </w:tcBorders>
          </w:tcPr>
          <w:p>
            <w:pPr/>
          </w:p>
        </w:tc>
        <w:tc>
          <w:tcPr>
            <w:tcW w:w="1573" w:type="dxa"/>
            <w:vMerge/>
            <w:tcBorders>
              <w:left w:val="single" w:sz="4" w:space="0" w:color="000000"/>
              <w:bottom w:val="single" w:sz="4" w:space="0" w:color="000000"/>
              <w:right w:val="single" w:sz="4" w:space="0" w:color="000000"/>
            </w:tcBorders>
          </w:tcPr>
          <w:p>
            <w:pPr/>
          </w:p>
        </w:tc>
        <w:tc>
          <w:tcPr>
            <w:tcW w:w="1349" w:type="dxa"/>
            <w:vMerge/>
            <w:tcBorders>
              <w:left w:val="single" w:sz="4" w:space="0" w:color="000000"/>
              <w:bottom w:val="single" w:sz="4" w:space="0" w:color="000000"/>
              <w:right w:val="single" w:sz="4" w:space="0" w:color="000000"/>
            </w:tcBorders>
          </w:tcPr>
          <w:p>
            <w:pP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225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广州杰萃投资有限公司</w:t>
            </w:r>
          </w:p>
        </w:tc>
        <w:tc>
          <w:tcPr>
            <w:tcW w:w="197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法定代表人兼执行董事</w:t>
            </w:r>
          </w:p>
        </w:tc>
        <w:tc>
          <w:tcPr>
            <w:tcW w:w="1700" w:type="dxa"/>
            <w:tcBorders>
              <w:top w:val="single" w:sz="4" w:space="0" w:color="000000"/>
              <w:left w:val="single" w:sz="13" w:space="0" w:color="C7EBCC"/>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225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广州奕萃投资管理有限公司</w:t>
            </w:r>
          </w:p>
        </w:tc>
        <w:tc>
          <w:tcPr>
            <w:tcW w:w="197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法定代表人兼执行董事</w:t>
            </w:r>
          </w:p>
        </w:tc>
        <w:tc>
          <w:tcPr>
            <w:tcW w:w="1700" w:type="dxa"/>
            <w:tcBorders>
              <w:top w:val="single" w:sz="4" w:space="0" w:color="000000"/>
              <w:left w:val="single" w:sz="13" w:space="0" w:color="C7EBCC"/>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2" w:hRule="exact"/>
        </w:trPr>
        <w:tc>
          <w:tcPr>
            <w:tcW w:w="710" w:type="dxa"/>
            <w:tcBorders>
              <w:top w:val="single" w:sz="4" w:space="0" w:color="000000"/>
              <w:left w:val="single" w:sz="4" w:space="0" w:color="000000"/>
              <w:bottom w:val="nil" w:sz="6" w:space="0" w:color="auto"/>
              <w:right w:val="single" w:sz="4" w:space="0" w:color="000000"/>
            </w:tcBorders>
            <w:shd w:val="clear" w:color="auto" w:fill="C7EBCC"/>
          </w:tcPr>
          <w:p>
            <w:pPr/>
          </w:p>
        </w:tc>
        <w:tc>
          <w:tcPr>
            <w:tcW w:w="2258" w:type="dxa"/>
            <w:tcBorders>
              <w:top w:val="single" w:sz="4" w:space="0" w:color="000000"/>
              <w:left w:val="single" w:sz="4" w:space="0" w:color="000000"/>
              <w:bottom w:val="nil" w:sz="6" w:space="0" w:color="auto"/>
              <w:right w:val="single" w:sz="4" w:space="0" w:color="000000"/>
            </w:tcBorders>
            <w:shd w:val="clear" w:color="auto" w:fill="C7EBCC"/>
          </w:tcPr>
          <w:p>
            <w:pPr/>
          </w:p>
        </w:tc>
        <w:tc>
          <w:tcPr>
            <w:tcW w:w="1973" w:type="dxa"/>
            <w:vMerge w:val="restart"/>
            <w:tcBorders>
              <w:top w:val="single" w:sz="4" w:space="0" w:color="000000"/>
              <w:left w:val="single" w:sz="4" w:space="0" w:color="000000"/>
              <w:right w:val="single" w:sz="4" w:space="0" w:color="000000"/>
            </w:tcBorders>
            <w:shd w:val="clear" w:color="auto" w:fill="C7EBCC"/>
          </w:tcPr>
          <w:p>
            <w:pPr>
              <w:pStyle w:val="TableParagraph"/>
              <w:spacing w:line="314" w:lineRule="auto" w:before="50"/>
              <w:ind w:left="24" w:right="137"/>
              <w:jc w:val="left"/>
              <w:rPr>
                <w:rFonts w:ascii="宋体" w:hAnsi="宋体" w:cs="宋体" w:eastAsia="宋体" w:hint="default"/>
                <w:sz w:val="18"/>
                <w:szCs w:val="18"/>
              </w:rPr>
            </w:pPr>
            <w:r>
              <w:rPr>
                <w:rFonts w:ascii="宋体" w:hAnsi="宋体" w:cs="宋体" w:eastAsia="宋体" w:hint="default"/>
                <w:sz w:val="18"/>
                <w:szCs w:val="18"/>
              </w:rPr>
              <w:t>法定代表人兼执行董事 兼经理</w:t>
            </w:r>
          </w:p>
        </w:tc>
        <w:tc>
          <w:tcPr>
            <w:tcW w:w="1700" w:type="dxa"/>
            <w:vMerge w:val="restart"/>
            <w:tcBorders>
              <w:top w:val="single" w:sz="4" w:space="0" w:color="000000"/>
              <w:left w:val="single" w:sz="13" w:space="0" w:color="C7EBCC"/>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7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34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710" w:type="dxa"/>
            <w:tcBorders>
              <w:top w:val="nil" w:sz="6" w:space="0" w:color="auto"/>
              <w:left w:val="single" w:sz="4" w:space="0" w:color="000000"/>
              <w:bottom w:val="nil" w:sz="6" w:space="0" w:color="auto"/>
              <w:right w:val="single" w:sz="4" w:space="0" w:color="000000"/>
            </w:tcBorders>
            <w:shd w:val="clear" w:color="auto" w:fill="C7EB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2258" w:type="dxa"/>
            <w:tcBorders>
              <w:top w:val="nil" w:sz="6" w:space="0" w:color="auto"/>
              <w:left w:val="single" w:sz="4" w:space="0" w:color="000000"/>
              <w:bottom w:val="nil" w:sz="6" w:space="0" w:color="auto"/>
              <w:right w:val="single" w:sz="4" w:space="0" w:color="000000"/>
            </w:tcBorders>
            <w:shd w:val="clear" w:color="auto" w:fill="C7EBCC"/>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广州御银信息科技有限公司</w:t>
            </w:r>
          </w:p>
        </w:tc>
        <w:tc>
          <w:tcPr>
            <w:tcW w:w="1973" w:type="dxa"/>
            <w:vMerge/>
            <w:tcBorders>
              <w:left w:val="single" w:sz="4" w:space="0" w:color="000000"/>
              <w:right w:val="single" w:sz="4" w:space="0" w:color="000000"/>
            </w:tcBorders>
            <w:shd w:val="clear" w:color="auto" w:fill="C7EBCC"/>
          </w:tcPr>
          <w:p>
            <w:pPr/>
          </w:p>
        </w:tc>
        <w:tc>
          <w:tcPr>
            <w:tcW w:w="1700" w:type="dxa"/>
            <w:vMerge/>
            <w:tcBorders>
              <w:left w:val="single" w:sz="13" w:space="0" w:color="C7EBCC"/>
              <w:right w:val="single" w:sz="4" w:space="0" w:color="000000"/>
            </w:tcBorders>
          </w:tcPr>
          <w:p>
            <w:pPr/>
          </w:p>
        </w:tc>
        <w:tc>
          <w:tcPr>
            <w:tcW w:w="1573"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r>
      <w:tr>
        <w:trPr>
          <w:trHeight w:val="161" w:hRule="exact"/>
        </w:trPr>
        <w:tc>
          <w:tcPr>
            <w:tcW w:w="710" w:type="dxa"/>
            <w:tcBorders>
              <w:top w:val="nil" w:sz="6" w:space="0" w:color="auto"/>
              <w:left w:val="single" w:sz="4" w:space="0" w:color="000000"/>
              <w:bottom w:val="single" w:sz="4" w:space="0" w:color="000000"/>
              <w:right w:val="single" w:sz="4" w:space="0" w:color="000000"/>
            </w:tcBorders>
            <w:shd w:val="clear" w:color="auto" w:fill="C7EBCC"/>
          </w:tcPr>
          <w:p>
            <w:pPr/>
          </w:p>
        </w:tc>
        <w:tc>
          <w:tcPr>
            <w:tcW w:w="2258" w:type="dxa"/>
            <w:tcBorders>
              <w:top w:val="nil" w:sz="6" w:space="0" w:color="auto"/>
              <w:left w:val="single" w:sz="4" w:space="0" w:color="000000"/>
              <w:bottom w:val="single" w:sz="4" w:space="0" w:color="000000"/>
              <w:right w:val="single" w:sz="4" w:space="0" w:color="000000"/>
            </w:tcBorders>
            <w:shd w:val="clear" w:color="auto" w:fill="C7EBCC"/>
          </w:tcPr>
          <w:p>
            <w:pPr/>
          </w:p>
        </w:tc>
        <w:tc>
          <w:tcPr>
            <w:tcW w:w="1973" w:type="dxa"/>
            <w:vMerge/>
            <w:tcBorders>
              <w:left w:val="single" w:sz="4" w:space="0" w:color="000000"/>
              <w:bottom w:val="single" w:sz="4" w:space="0" w:color="000000"/>
              <w:right w:val="single" w:sz="4" w:space="0" w:color="000000"/>
            </w:tcBorders>
            <w:shd w:val="clear" w:color="auto" w:fill="C7EBCC"/>
          </w:tcPr>
          <w:p>
            <w:pPr/>
          </w:p>
        </w:tc>
        <w:tc>
          <w:tcPr>
            <w:tcW w:w="1700" w:type="dxa"/>
            <w:vMerge/>
            <w:tcBorders>
              <w:left w:val="single" w:sz="13" w:space="0" w:color="C7EBCC"/>
              <w:bottom w:val="single" w:sz="4" w:space="0" w:color="000000"/>
              <w:right w:val="single" w:sz="4" w:space="0" w:color="000000"/>
            </w:tcBorders>
          </w:tcPr>
          <w:p>
            <w:pPr/>
          </w:p>
        </w:tc>
        <w:tc>
          <w:tcPr>
            <w:tcW w:w="1573" w:type="dxa"/>
            <w:vMerge/>
            <w:tcBorders>
              <w:left w:val="single" w:sz="4" w:space="0" w:color="000000"/>
              <w:bottom w:val="single" w:sz="4" w:space="0" w:color="000000"/>
              <w:right w:val="single" w:sz="4" w:space="0" w:color="000000"/>
            </w:tcBorders>
          </w:tcPr>
          <w:p>
            <w:pPr/>
          </w:p>
        </w:tc>
        <w:tc>
          <w:tcPr>
            <w:tcW w:w="1349" w:type="dxa"/>
            <w:vMerge/>
            <w:tcBorders>
              <w:left w:val="single" w:sz="4" w:space="0" w:color="000000"/>
              <w:bottom w:val="single" w:sz="4" w:space="0" w:color="000000"/>
              <w:right w:val="single" w:sz="4" w:space="0" w:color="000000"/>
            </w:tcBorders>
          </w:tcPr>
          <w:p>
            <w:pP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高永坚</w:t>
            </w:r>
          </w:p>
        </w:tc>
        <w:tc>
          <w:tcPr>
            <w:tcW w:w="225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广州御银金融服务有限公司</w:t>
            </w:r>
          </w:p>
        </w:tc>
        <w:tc>
          <w:tcPr>
            <w:tcW w:w="197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0" w:type="dxa"/>
            <w:tcBorders>
              <w:top w:val="single" w:sz="4" w:space="0" w:color="000000"/>
              <w:left w:val="single" w:sz="13" w:space="0" w:color="C7EBCC"/>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2" w:hRule="exact"/>
        </w:trPr>
        <w:tc>
          <w:tcPr>
            <w:tcW w:w="710" w:type="dxa"/>
            <w:tcBorders>
              <w:top w:val="single" w:sz="4" w:space="0" w:color="000000"/>
              <w:left w:val="single" w:sz="4" w:space="0" w:color="000000"/>
              <w:bottom w:val="nil" w:sz="6" w:space="0" w:color="auto"/>
              <w:right w:val="single" w:sz="4" w:space="0" w:color="000000"/>
            </w:tcBorders>
            <w:shd w:val="clear" w:color="auto" w:fill="C7EBCC"/>
          </w:tcPr>
          <w:p>
            <w:pPr/>
          </w:p>
        </w:tc>
        <w:tc>
          <w:tcPr>
            <w:tcW w:w="2258" w:type="dxa"/>
            <w:vMerge w:val="restart"/>
            <w:tcBorders>
              <w:top w:val="single" w:sz="4" w:space="0" w:color="000000"/>
              <w:left w:val="single" w:sz="4" w:space="0" w:color="000000"/>
              <w:right w:val="single" w:sz="4" w:space="0" w:color="000000"/>
            </w:tcBorders>
            <w:shd w:val="clear" w:color="auto" w:fill="C7EBCC"/>
          </w:tcPr>
          <w:p>
            <w:pPr>
              <w:pStyle w:val="TableParagraph"/>
              <w:spacing w:line="314" w:lineRule="auto" w:before="50"/>
              <w:ind w:left="13" w:right="72"/>
              <w:jc w:val="left"/>
              <w:rPr>
                <w:rFonts w:ascii="宋体" w:hAnsi="宋体" w:cs="宋体" w:eastAsia="宋体" w:hint="default"/>
                <w:sz w:val="18"/>
                <w:szCs w:val="18"/>
              </w:rPr>
            </w:pPr>
            <w:r>
              <w:rPr>
                <w:rFonts w:ascii="宋体" w:hAnsi="宋体" w:cs="宋体" w:eastAsia="宋体" w:hint="default"/>
                <w:sz w:val="18"/>
                <w:szCs w:val="18"/>
              </w:rPr>
              <w:t>广州御银自动柜员机技术有 限公司</w:t>
            </w:r>
          </w:p>
        </w:tc>
        <w:tc>
          <w:tcPr>
            <w:tcW w:w="1973" w:type="dxa"/>
            <w:tcBorders>
              <w:top w:val="single" w:sz="4" w:space="0" w:color="000000"/>
              <w:left w:val="single" w:sz="4" w:space="0" w:color="000000"/>
              <w:bottom w:val="nil" w:sz="6" w:space="0" w:color="auto"/>
              <w:right w:val="single" w:sz="4" w:space="0" w:color="000000"/>
            </w:tcBorders>
            <w:shd w:val="clear" w:color="auto" w:fill="C7EBCC"/>
          </w:tcPr>
          <w:p>
            <w:pPr/>
          </w:p>
        </w:tc>
        <w:tc>
          <w:tcPr>
            <w:tcW w:w="1700" w:type="dxa"/>
            <w:vMerge w:val="restart"/>
            <w:tcBorders>
              <w:top w:val="single" w:sz="4" w:space="0" w:color="000000"/>
              <w:left w:val="single" w:sz="10" w:space="0" w:color="C7EBCC"/>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7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34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710" w:type="dxa"/>
            <w:tcBorders>
              <w:top w:val="nil" w:sz="6" w:space="0" w:color="auto"/>
              <w:left w:val="single" w:sz="4" w:space="0" w:color="000000"/>
              <w:bottom w:val="nil" w:sz="6" w:space="0" w:color="auto"/>
              <w:right w:val="single" w:sz="4" w:space="0" w:color="000000"/>
            </w:tcBorders>
            <w:shd w:val="clear" w:color="auto" w:fill="C7EB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庞泰松</w:t>
            </w:r>
          </w:p>
        </w:tc>
        <w:tc>
          <w:tcPr>
            <w:tcW w:w="2258" w:type="dxa"/>
            <w:vMerge/>
            <w:tcBorders>
              <w:left w:val="single" w:sz="4" w:space="0" w:color="000000"/>
              <w:right w:val="single" w:sz="4" w:space="0" w:color="000000"/>
            </w:tcBorders>
            <w:shd w:val="clear" w:color="auto" w:fill="C7EBCC"/>
          </w:tcPr>
          <w:p>
            <w:pPr/>
          </w:p>
        </w:tc>
        <w:tc>
          <w:tcPr>
            <w:tcW w:w="1973" w:type="dxa"/>
            <w:tcBorders>
              <w:top w:val="nil" w:sz="6" w:space="0" w:color="auto"/>
              <w:left w:val="single" w:sz="4" w:space="0" w:color="000000"/>
              <w:bottom w:val="nil" w:sz="6" w:space="0" w:color="auto"/>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法定代表人兼执行董事</w:t>
            </w:r>
          </w:p>
        </w:tc>
        <w:tc>
          <w:tcPr>
            <w:tcW w:w="1700" w:type="dxa"/>
            <w:vMerge/>
            <w:tcBorders>
              <w:left w:val="single" w:sz="10" w:space="0" w:color="C7EBCC"/>
              <w:right w:val="single" w:sz="4" w:space="0" w:color="000000"/>
            </w:tcBorders>
          </w:tcPr>
          <w:p>
            <w:pPr/>
          </w:p>
        </w:tc>
        <w:tc>
          <w:tcPr>
            <w:tcW w:w="1573"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r>
      <w:tr>
        <w:trPr>
          <w:trHeight w:val="161" w:hRule="exact"/>
        </w:trPr>
        <w:tc>
          <w:tcPr>
            <w:tcW w:w="710" w:type="dxa"/>
            <w:tcBorders>
              <w:top w:val="nil" w:sz="6" w:space="0" w:color="auto"/>
              <w:left w:val="single" w:sz="4" w:space="0" w:color="000000"/>
              <w:bottom w:val="single" w:sz="4" w:space="0" w:color="000000"/>
              <w:right w:val="single" w:sz="4" w:space="0" w:color="000000"/>
            </w:tcBorders>
            <w:shd w:val="clear" w:color="auto" w:fill="C7EBCC"/>
          </w:tcPr>
          <w:p>
            <w:pPr/>
          </w:p>
        </w:tc>
        <w:tc>
          <w:tcPr>
            <w:tcW w:w="2258" w:type="dxa"/>
            <w:vMerge/>
            <w:tcBorders>
              <w:left w:val="single" w:sz="4" w:space="0" w:color="000000"/>
              <w:bottom w:val="single" w:sz="4" w:space="0" w:color="000000"/>
              <w:right w:val="single" w:sz="4" w:space="0" w:color="000000"/>
            </w:tcBorders>
            <w:shd w:val="clear" w:color="auto" w:fill="C7EBCC"/>
          </w:tcPr>
          <w:p>
            <w:pPr/>
          </w:p>
        </w:tc>
        <w:tc>
          <w:tcPr>
            <w:tcW w:w="1973" w:type="dxa"/>
            <w:tcBorders>
              <w:top w:val="nil" w:sz="6" w:space="0" w:color="auto"/>
              <w:left w:val="single" w:sz="4" w:space="0" w:color="000000"/>
              <w:bottom w:val="single" w:sz="4" w:space="0" w:color="000000"/>
              <w:right w:val="single" w:sz="4" w:space="0" w:color="000000"/>
            </w:tcBorders>
            <w:shd w:val="clear" w:color="auto" w:fill="C7EBCC"/>
          </w:tcPr>
          <w:p>
            <w:pPr/>
          </w:p>
        </w:tc>
        <w:tc>
          <w:tcPr>
            <w:tcW w:w="1700" w:type="dxa"/>
            <w:vMerge/>
            <w:tcBorders>
              <w:left w:val="single" w:sz="10" w:space="0" w:color="C7EBCC"/>
              <w:bottom w:val="single" w:sz="4" w:space="0" w:color="000000"/>
              <w:right w:val="single" w:sz="4" w:space="0" w:color="000000"/>
            </w:tcBorders>
          </w:tcPr>
          <w:p>
            <w:pPr/>
          </w:p>
        </w:tc>
        <w:tc>
          <w:tcPr>
            <w:tcW w:w="1573" w:type="dxa"/>
            <w:vMerge/>
            <w:tcBorders>
              <w:left w:val="single" w:sz="4" w:space="0" w:color="000000"/>
              <w:bottom w:val="single" w:sz="4" w:space="0" w:color="000000"/>
              <w:right w:val="single" w:sz="4" w:space="0" w:color="000000"/>
            </w:tcBorders>
          </w:tcPr>
          <w:p>
            <w:pPr/>
          </w:p>
        </w:tc>
        <w:tc>
          <w:tcPr>
            <w:tcW w:w="1349" w:type="dxa"/>
            <w:vMerge/>
            <w:tcBorders>
              <w:left w:val="single" w:sz="4" w:space="0" w:color="000000"/>
              <w:bottom w:val="single" w:sz="4" w:space="0" w:color="000000"/>
              <w:right w:val="single" w:sz="4" w:space="0" w:color="000000"/>
            </w:tcBorders>
          </w:tcPr>
          <w:p>
            <w:pP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陈国军</w:t>
            </w:r>
          </w:p>
        </w:tc>
        <w:tc>
          <w:tcPr>
            <w:tcW w:w="225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安徽御银电子科技有限公司</w:t>
            </w:r>
          </w:p>
        </w:tc>
        <w:tc>
          <w:tcPr>
            <w:tcW w:w="197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法定代表人兼执行董事</w:t>
            </w:r>
          </w:p>
        </w:tc>
        <w:tc>
          <w:tcPr>
            <w:tcW w:w="1700" w:type="dxa"/>
            <w:tcBorders>
              <w:top w:val="single" w:sz="4" w:space="0" w:color="000000"/>
              <w:left w:val="single" w:sz="13" w:space="0" w:color="C7EBCC"/>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石本仁</w:t>
            </w:r>
          </w:p>
        </w:tc>
        <w:tc>
          <w:tcPr>
            <w:tcW w:w="225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暨南大学</w:t>
            </w:r>
          </w:p>
        </w:tc>
        <w:tc>
          <w:tcPr>
            <w:tcW w:w="197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700" w:type="dxa"/>
            <w:tcBorders>
              <w:top w:val="single" w:sz="4" w:space="0" w:color="000000"/>
              <w:left w:val="single" w:sz="13" w:space="0" w:color="C7EBCC"/>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1" w:hRule="exact"/>
        </w:trPr>
        <w:tc>
          <w:tcPr>
            <w:tcW w:w="710" w:type="dxa"/>
            <w:tcBorders>
              <w:top w:val="single" w:sz="4" w:space="0" w:color="000000"/>
              <w:left w:val="single" w:sz="4" w:space="0" w:color="000000"/>
              <w:bottom w:val="nil" w:sz="6" w:space="0" w:color="auto"/>
              <w:right w:val="single" w:sz="4" w:space="0" w:color="000000"/>
            </w:tcBorders>
            <w:shd w:val="clear" w:color="auto" w:fill="C7EBCC"/>
          </w:tcPr>
          <w:p>
            <w:pPr/>
          </w:p>
        </w:tc>
        <w:tc>
          <w:tcPr>
            <w:tcW w:w="2258" w:type="dxa"/>
            <w:vMerge w:val="restart"/>
            <w:tcBorders>
              <w:top w:val="single" w:sz="4" w:space="0" w:color="000000"/>
              <w:left w:val="single" w:sz="4" w:space="0" w:color="000000"/>
              <w:right w:val="single" w:sz="4" w:space="0" w:color="000000"/>
            </w:tcBorders>
            <w:shd w:val="clear" w:color="auto" w:fill="C7EBCC"/>
          </w:tcPr>
          <w:p>
            <w:pPr>
              <w:pStyle w:val="TableParagraph"/>
              <w:spacing w:line="316" w:lineRule="auto" w:before="49"/>
              <w:ind w:left="13" w:right="72"/>
              <w:jc w:val="left"/>
              <w:rPr>
                <w:rFonts w:ascii="宋体" w:hAnsi="宋体" w:cs="宋体" w:eastAsia="宋体" w:hint="default"/>
                <w:sz w:val="18"/>
                <w:szCs w:val="18"/>
              </w:rPr>
            </w:pPr>
            <w:r>
              <w:rPr>
                <w:rFonts w:ascii="宋体" w:hAnsi="宋体" w:cs="宋体" w:eastAsia="宋体" w:hint="default"/>
                <w:sz w:val="18"/>
                <w:szCs w:val="18"/>
              </w:rPr>
              <w:t>广州发展实业控股集团股份 有限公司</w:t>
            </w:r>
          </w:p>
        </w:tc>
        <w:tc>
          <w:tcPr>
            <w:tcW w:w="1973" w:type="dxa"/>
            <w:tcBorders>
              <w:top w:val="single" w:sz="4" w:space="0" w:color="000000"/>
              <w:left w:val="single" w:sz="4" w:space="0" w:color="000000"/>
              <w:bottom w:val="nil" w:sz="6" w:space="0" w:color="auto"/>
              <w:right w:val="single" w:sz="4" w:space="0" w:color="000000"/>
            </w:tcBorders>
            <w:shd w:val="clear" w:color="auto" w:fill="C7EBCC"/>
          </w:tcPr>
          <w:p>
            <w:pPr/>
          </w:p>
        </w:tc>
        <w:tc>
          <w:tcPr>
            <w:tcW w:w="1700" w:type="dxa"/>
            <w:vMerge w:val="restart"/>
            <w:tcBorders>
              <w:top w:val="single" w:sz="4" w:space="0" w:color="000000"/>
              <w:left w:val="single" w:sz="10" w:space="0" w:color="C7EBCC"/>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7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34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1" w:hRule="exact"/>
        </w:trPr>
        <w:tc>
          <w:tcPr>
            <w:tcW w:w="710" w:type="dxa"/>
            <w:tcBorders>
              <w:top w:val="nil" w:sz="6" w:space="0" w:color="auto"/>
              <w:left w:val="single" w:sz="4" w:space="0" w:color="000000"/>
              <w:bottom w:val="nil" w:sz="6" w:space="0" w:color="auto"/>
              <w:right w:val="single" w:sz="4" w:space="0" w:color="000000"/>
            </w:tcBorders>
            <w:shd w:val="clear" w:color="auto" w:fill="C7EB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石本仁</w:t>
            </w:r>
          </w:p>
        </w:tc>
        <w:tc>
          <w:tcPr>
            <w:tcW w:w="2258" w:type="dxa"/>
            <w:vMerge/>
            <w:tcBorders>
              <w:left w:val="single" w:sz="4" w:space="0" w:color="000000"/>
              <w:right w:val="single" w:sz="4" w:space="0" w:color="000000"/>
            </w:tcBorders>
            <w:shd w:val="clear" w:color="auto" w:fill="C7EBCC"/>
          </w:tcPr>
          <w:p>
            <w:pPr/>
          </w:p>
        </w:tc>
        <w:tc>
          <w:tcPr>
            <w:tcW w:w="1973" w:type="dxa"/>
            <w:tcBorders>
              <w:top w:val="nil" w:sz="6" w:space="0" w:color="auto"/>
              <w:left w:val="single" w:sz="4" w:space="0" w:color="000000"/>
              <w:bottom w:val="nil" w:sz="6" w:space="0" w:color="auto"/>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0" w:type="dxa"/>
            <w:vMerge/>
            <w:tcBorders>
              <w:left w:val="single" w:sz="10" w:space="0" w:color="C7EBCC"/>
              <w:right w:val="single" w:sz="4" w:space="0" w:color="000000"/>
            </w:tcBorders>
          </w:tcPr>
          <w:p>
            <w:pPr/>
          </w:p>
        </w:tc>
        <w:tc>
          <w:tcPr>
            <w:tcW w:w="1573"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r>
      <w:tr>
        <w:trPr>
          <w:trHeight w:val="162" w:hRule="exact"/>
        </w:trPr>
        <w:tc>
          <w:tcPr>
            <w:tcW w:w="710" w:type="dxa"/>
            <w:tcBorders>
              <w:top w:val="nil" w:sz="6" w:space="0" w:color="auto"/>
              <w:left w:val="single" w:sz="4" w:space="0" w:color="000000"/>
              <w:bottom w:val="single" w:sz="4" w:space="0" w:color="000000"/>
              <w:right w:val="single" w:sz="4" w:space="0" w:color="000000"/>
            </w:tcBorders>
            <w:shd w:val="clear" w:color="auto" w:fill="C7EBCC"/>
          </w:tcPr>
          <w:p>
            <w:pPr/>
          </w:p>
        </w:tc>
        <w:tc>
          <w:tcPr>
            <w:tcW w:w="2258" w:type="dxa"/>
            <w:vMerge/>
            <w:tcBorders>
              <w:left w:val="single" w:sz="4" w:space="0" w:color="000000"/>
              <w:bottom w:val="single" w:sz="4" w:space="0" w:color="000000"/>
              <w:right w:val="single" w:sz="4" w:space="0" w:color="000000"/>
            </w:tcBorders>
            <w:shd w:val="clear" w:color="auto" w:fill="C7EBCC"/>
          </w:tcPr>
          <w:p>
            <w:pPr/>
          </w:p>
        </w:tc>
        <w:tc>
          <w:tcPr>
            <w:tcW w:w="1973" w:type="dxa"/>
            <w:tcBorders>
              <w:top w:val="nil" w:sz="6" w:space="0" w:color="auto"/>
              <w:left w:val="single" w:sz="4" w:space="0" w:color="000000"/>
              <w:bottom w:val="single" w:sz="4" w:space="0" w:color="000000"/>
              <w:right w:val="single" w:sz="4" w:space="0" w:color="000000"/>
            </w:tcBorders>
            <w:shd w:val="clear" w:color="auto" w:fill="C7EBCC"/>
          </w:tcPr>
          <w:p>
            <w:pPr/>
          </w:p>
        </w:tc>
        <w:tc>
          <w:tcPr>
            <w:tcW w:w="1700" w:type="dxa"/>
            <w:vMerge/>
            <w:tcBorders>
              <w:left w:val="single" w:sz="10" w:space="0" w:color="C7EBCC"/>
              <w:bottom w:val="single" w:sz="4" w:space="0" w:color="000000"/>
              <w:right w:val="single" w:sz="4" w:space="0" w:color="000000"/>
            </w:tcBorders>
          </w:tcPr>
          <w:p>
            <w:pPr/>
          </w:p>
        </w:tc>
        <w:tc>
          <w:tcPr>
            <w:tcW w:w="1573" w:type="dxa"/>
            <w:vMerge/>
            <w:tcBorders>
              <w:left w:val="single" w:sz="4" w:space="0" w:color="000000"/>
              <w:bottom w:val="single" w:sz="4" w:space="0" w:color="000000"/>
              <w:right w:val="single" w:sz="4" w:space="0" w:color="000000"/>
            </w:tcBorders>
          </w:tcPr>
          <w:p>
            <w:pPr/>
          </w:p>
        </w:tc>
        <w:tc>
          <w:tcPr>
            <w:tcW w:w="1349" w:type="dxa"/>
            <w:vMerge/>
            <w:tcBorders>
              <w:left w:val="single" w:sz="4" w:space="0" w:color="000000"/>
              <w:bottom w:val="single" w:sz="4" w:space="0" w:color="000000"/>
              <w:right w:val="single" w:sz="4" w:space="0" w:color="000000"/>
            </w:tcBorders>
          </w:tcPr>
          <w:p>
            <w:pP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华</w:t>
            </w:r>
          </w:p>
        </w:tc>
        <w:tc>
          <w:tcPr>
            <w:tcW w:w="225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广东电力发展股份有限公司</w:t>
            </w:r>
          </w:p>
        </w:tc>
        <w:tc>
          <w:tcPr>
            <w:tcW w:w="197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0" w:type="dxa"/>
            <w:tcBorders>
              <w:top w:val="single" w:sz="4" w:space="0" w:color="000000"/>
              <w:left w:val="single" w:sz="13" w:space="0" w:color="C7EBCC"/>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华</w:t>
            </w:r>
          </w:p>
        </w:tc>
        <w:tc>
          <w:tcPr>
            <w:tcW w:w="225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广州德瑞投资有限责任公司</w:t>
            </w:r>
          </w:p>
        </w:tc>
        <w:tc>
          <w:tcPr>
            <w:tcW w:w="197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700" w:type="dxa"/>
            <w:tcBorders>
              <w:top w:val="single" w:sz="4" w:space="0" w:color="000000"/>
              <w:left w:val="single" w:sz="13" w:space="0" w:color="C7EBCC"/>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2" w:hRule="exact"/>
        </w:trPr>
        <w:tc>
          <w:tcPr>
            <w:tcW w:w="710" w:type="dxa"/>
            <w:tcBorders>
              <w:top w:val="single" w:sz="4" w:space="0" w:color="000000"/>
              <w:left w:val="single" w:sz="4" w:space="0" w:color="000000"/>
              <w:bottom w:val="nil" w:sz="6" w:space="0" w:color="auto"/>
              <w:right w:val="single" w:sz="4" w:space="0" w:color="000000"/>
            </w:tcBorders>
            <w:shd w:val="clear" w:color="auto" w:fill="C7EBCC"/>
          </w:tcPr>
          <w:p>
            <w:pPr/>
          </w:p>
        </w:tc>
        <w:tc>
          <w:tcPr>
            <w:tcW w:w="2258" w:type="dxa"/>
            <w:vMerge w:val="restart"/>
            <w:tcBorders>
              <w:top w:val="single" w:sz="4" w:space="0" w:color="000000"/>
              <w:left w:val="single" w:sz="4" w:space="0" w:color="000000"/>
              <w:right w:val="single" w:sz="4" w:space="0" w:color="000000"/>
            </w:tcBorders>
            <w:shd w:val="clear" w:color="auto" w:fill="C7EBCC"/>
          </w:tcPr>
          <w:p>
            <w:pPr>
              <w:pStyle w:val="TableParagraph"/>
              <w:spacing w:line="314" w:lineRule="auto" w:before="50"/>
              <w:ind w:left="13" w:right="72"/>
              <w:jc w:val="left"/>
              <w:rPr>
                <w:rFonts w:ascii="宋体" w:hAnsi="宋体" w:cs="宋体" w:eastAsia="宋体" w:hint="default"/>
                <w:sz w:val="18"/>
                <w:szCs w:val="18"/>
              </w:rPr>
            </w:pPr>
            <w:r>
              <w:rPr>
                <w:rFonts w:ascii="宋体" w:hAnsi="宋体" w:cs="宋体" w:eastAsia="宋体" w:hint="default"/>
                <w:sz w:val="18"/>
                <w:szCs w:val="18"/>
              </w:rPr>
              <w:t>深圳东盈瑞通投资管理合伙 企业（有限合伙）</w:t>
            </w:r>
          </w:p>
        </w:tc>
        <w:tc>
          <w:tcPr>
            <w:tcW w:w="1973" w:type="dxa"/>
            <w:tcBorders>
              <w:top w:val="single" w:sz="4" w:space="0" w:color="000000"/>
              <w:left w:val="single" w:sz="4" w:space="0" w:color="000000"/>
              <w:bottom w:val="nil" w:sz="6" w:space="0" w:color="auto"/>
              <w:right w:val="single" w:sz="4" w:space="0" w:color="000000"/>
            </w:tcBorders>
            <w:shd w:val="clear" w:color="auto" w:fill="C7EBCC"/>
          </w:tcPr>
          <w:p>
            <w:pPr/>
          </w:p>
        </w:tc>
        <w:tc>
          <w:tcPr>
            <w:tcW w:w="1700" w:type="dxa"/>
            <w:vMerge w:val="restart"/>
            <w:tcBorders>
              <w:top w:val="single" w:sz="4" w:space="0" w:color="000000"/>
              <w:left w:val="single" w:sz="10" w:space="0" w:color="C7EBCC"/>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73" w:type="dxa"/>
            <w:vMerge w:val="restart"/>
            <w:tcBorders>
              <w:top w:val="single" w:sz="4" w:space="0" w:color="000000"/>
              <w:left w:val="single" w:sz="4" w:space="0" w:color="000000"/>
              <w:right w:val="single" w:sz="4" w:space="0" w:color="000000"/>
            </w:tcBorders>
          </w:tcPr>
          <w:p>
            <w:pPr/>
          </w:p>
        </w:tc>
        <w:tc>
          <w:tcPr>
            <w:tcW w:w="134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1" w:hRule="exact"/>
        </w:trPr>
        <w:tc>
          <w:tcPr>
            <w:tcW w:w="710" w:type="dxa"/>
            <w:tcBorders>
              <w:top w:val="nil" w:sz="6" w:space="0" w:color="auto"/>
              <w:left w:val="single" w:sz="4" w:space="0" w:color="000000"/>
              <w:bottom w:val="nil" w:sz="6" w:space="0" w:color="auto"/>
              <w:right w:val="single" w:sz="4" w:space="0" w:color="000000"/>
            </w:tcBorders>
            <w:shd w:val="clear" w:color="auto" w:fill="C7EB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华</w:t>
            </w:r>
          </w:p>
        </w:tc>
        <w:tc>
          <w:tcPr>
            <w:tcW w:w="2258" w:type="dxa"/>
            <w:vMerge/>
            <w:tcBorders>
              <w:left w:val="single" w:sz="4" w:space="0" w:color="000000"/>
              <w:right w:val="single" w:sz="4" w:space="0" w:color="000000"/>
            </w:tcBorders>
            <w:shd w:val="clear" w:color="auto" w:fill="C7EBCC"/>
          </w:tcPr>
          <w:p>
            <w:pPr/>
          </w:p>
        </w:tc>
        <w:tc>
          <w:tcPr>
            <w:tcW w:w="1973" w:type="dxa"/>
            <w:tcBorders>
              <w:top w:val="nil" w:sz="6" w:space="0" w:color="auto"/>
              <w:left w:val="single" w:sz="4" w:space="0" w:color="000000"/>
              <w:bottom w:val="nil" w:sz="6" w:space="0" w:color="auto"/>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700" w:type="dxa"/>
            <w:vMerge/>
            <w:tcBorders>
              <w:left w:val="single" w:sz="10" w:space="0" w:color="C7EBCC"/>
              <w:right w:val="single" w:sz="4" w:space="0" w:color="000000"/>
            </w:tcBorders>
          </w:tcPr>
          <w:p>
            <w:pPr/>
          </w:p>
        </w:tc>
        <w:tc>
          <w:tcPr>
            <w:tcW w:w="1573"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r>
      <w:tr>
        <w:trPr>
          <w:trHeight w:val="161" w:hRule="exact"/>
        </w:trPr>
        <w:tc>
          <w:tcPr>
            <w:tcW w:w="710" w:type="dxa"/>
            <w:tcBorders>
              <w:top w:val="nil" w:sz="6" w:space="0" w:color="auto"/>
              <w:left w:val="single" w:sz="4" w:space="0" w:color="000000"/>
              <w:bottom w:val="single" w:sz="4" w:space="0" w:color="000000"/>
              <w:right w:val="single" w:sz="4" w:space="0" w:color="000000"/>
            </w:tcBorders>
            <w:shd w:val="clear" w:color="auto" w:fill="C7EBCC"/>
          </w:tcPr>
          <w:p>
            <w:pPr/>
          </w:p>
        </w:tc>
        <w:tc>
          <w:tcPr>
            <w:tcW w:w="2258" w:type="dxa"/>
            <w:vMerge/>
            <w:tcBorders>
              <w:left w:val="single" w:sz="4" w:space="0" w:color="000000"/>
              <w:bottom w:val="single" w:sz="4" w:space="0" w:color="000000"/>
              <w:right w:val="single" w:sz="4" w:space="0" w:color="000000"/>
            </w:tcBorders>
            <w:shd w:val="clear" w:color="auto" w:fill="C7EBCC"/>
          </w:tcPr>
          <w:p>
            <w:pPr/>
          </w:p>
        </w:tc>
        <w:tc>
          <w:tcPr>
            <w:tcW w:w="1973" w:type="dxa"/>
            <w:tcBorders>
              <w:top w:val="nil" w:sz="6" w:space="0" w:color="auto"/>
              <w:left w:val="single" w:sz="4" w:space="0" w:color="000000"/>
              <w:bottom w:val="single" w:sz="4" w:space="0" w:color="000000"/>
              <w:right w:val="single" w:sz="4" w:space="0" w:color="000000"/>
            </w:tcBorders>
            <w:shd w:val="clear" w:color="auto" w:fill="C7EBCC"/>
          </w:tcPr>
          <w:p>
            <w:pPr/>
          </w:p>
        </w:tc>
        <w:tc>
          <w:tcPr>
            <w:tcW w:w="1700" w:type="dxa"/>
            <w:vMerge/>
            <w:tcBorders>
              <w:left w:val="single" w:sz="10" w:space="0" w:color="C7EBCC"/>
              <w:bottom w:val="single" w:sz="4" w:space="0" w:color="000000"/>
              <w:right w:val="single" w:sz="4" w:space="0" w:color="000000"/>
            </w:tcBorders>
          </w:tcPr>
          <w:p>
            <w:pPr/>
          </w:p>
        </w:tc>
        <w:tc>
          <w:tcPr>
            <w:tcW w:w="1573" w:type="dxa"/>
            <w:vMerge/>
            <w:tcBorders>
              <w:left w:val="single" w:sz="4" w:space="0" w:color="000000"/>
              <w:bottom w:val="single" w:sz="4" w:space="0" w:color="000000"/>
              <w:right w:val="single" w:sz="4" w:space="0" w:color="000000"/>
            </w:tcBorders>
          </w:tcPr>
          <w:p>
            <w:pPr/>
          </w:p>
        </w:tc>
        <w:tc>
          <w:tcPr>
            <w:tcW w:w="1349" w:type="dxa"/>
            <w:vMerge/>
            <w:tcBorders>
              <w:left w:val="single" w:sz="4" w:space="0" w:color="000000"/>
              <w:bottom w:val="single" w:sz="4" w:space="0" w:color="000000"/>
              <w:right w:val="single" w:sz="4" w:space="0" w:color="000000"/>
            </w:tcBorders>
          </w:tcPr>
          <w:p>
            <w:pP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徐印州</w:t>
            </w:r>
          </w:p>
        </w:tc>
        <w:tc>
          <w:tcPr>
            <w:tcW w:w="225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广东财经大学</w:t>
            </w:r>
          </w:p>
        </w:tc>
        <w:tc>
          <w:tcPr>
            <w:tcW w:w="197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700" w:type="dxa"/>
            <w:tcBorders>
              <w:top w:val="single" w:sz="4" w:space="0" w:color="000000"/>
              <w:left w:val="single" w:sz="13" w:space="0" w:color="C7EBCC"/>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73"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2" w:hRule="exact"/>
        </w:trPr>
        <w:tc>
          <w:tcPr>
            <w:tcW w:w="710" w:type="dxa"/>
            <w:tcBorders>
              <w:top w:val="single" w:sz="4" w:space="0" w:color="000000"/>
              <w:left w:val="single" w:sz="4" w:space="0" w:color="000000"/>
              <w:bottom w:val="nil" w:sz="6" w:space="0" w:color="auto"/>
              <w:right w:val="single" w:sz="4" w:space="0" w:color="000000"/>
            </w:tcBorders>
            <w:shd w:val="clear" w:color="auto" w:fill="C7EBCC"/>
          </w:tcPr>
          <w:p>
            <w:pPr/>
          </w:p>
        </w:tc>
        <w:tc>
          <w:tcPr>
            <w:tcW w:w="2258" w:type="dxa"/>
            <w:vMerge w:val="restart"/>
            <w:tcBorders>
              <w:top w:val="single" w:sz="4" w:space="0" w:color="000000"/>
              <w:left w:val="single" w:sz="4" w:space="0" w:color="000000"/>
              <w:right w:val="single" w:sz="4" w:space="0" w:color="000000"/>
            </w:tcBorders>
            <w:shd w:val="clear" w:color="auto" w:fill="C7EBCC"/>
          </w:tcPr>
          <w:p>
            <w:pPr>
              <w:pStyle w:val="TableParagraph"/>
              <w:spacing w:line="314" w:lineRule="auto" w:before="50"/>
              <w:ind w:left="13" w:right="72"/>
              <w:jc w:val="left"/>
              <w:rPr>
                <w:rFonts w:ascii="宋体" w:hAnsi="宋体" w:cs="宋体" w:eastAsia="宋体" w:hint="default"/>
                <w:sz w:val="18"/>
                <w:szCs w:val="18"/>
              </w:rPr>
            </w:pPr>
            <w:r>
              <w:rPr>
                <w:rFonts w:ascii="宋体" w:hAnsi="宋体" w:cs="宋体" w:eastAsia="宋体" w:hint="default"/>
                <w:sz w:val="18"/>
                <w:szCs w:val="18"/>
              </w:rPr>
              <w:t>广州市好易达家居网络科技 有限公司</w:t>
            </w:r>
          </w:p>
        </w:tc>
        <w:tc>
          <w:tcPr>
            <w:tcW w:w="1973" w:type="dxa"/>
            <w:tcBorders>
              <w:top w:val="single" w:sz="4" w:space="0" w:color="000000"/>
              <w:left w:val="single" w:sz="4" w:space="0" w:color="000000"/>
              <w:bottom w:val="nil" w:sz="6" w:space="0" w:color="auto"/>
              <w:right w:val="single" w:sz="4" w:space="0" w:color="000000"/>
            </w:tcBorders>
            <w:shd w:val="clear" w:color="auto" w:fill="C7EBCC"/>
          </w:tcPr>
          <w:p>
            <w:pPr/>
          </w:p>
        </w:tc>
        <w:tc>
          <w:tcPr>
            <w:tcW w:w="1700" w:type="dxa"/>
            <w:vMerge w:val="restart"/>
            <w:tcBorders>
              <w:top w:val="single" w:sz="4" w:space="0" w:color="000000"/>
              <w:left w:val="single" w:sz="10" w:space="0" w:color="C7EBCC"/>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3" w:type="dxa"/>
            <w:vMerge w:val="restart"/>
            <w:tcBorders>
              <w:top w:val="single" w:sz="4" w:space="0" w:color="000000"/>
              <w:left w:val="single" w:sz="4" w:space="0" w:color="000000"/>
              <w:right w:val="single" w:sz="4" w:space="0" w:color="000000"/>
            </w:tcBorders>
          </w:tcPr>
          <w:p>
            <w:pPr/>
          </w:p>
        </w:tc>
        <w:tc>
          <w:tcPr>
            <w:tcW w:w="134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1" w:hRule="exact"/>
        </w:trPr>
        <w:tc>
          <w:tcPr>
            <w:tcW w:w="710" w:type="dxa"/>
            <w:tcBorders>
              <w:top w:val="nil" w:sz="6" w:space="0" w:color="auto"/>
              <w:left w:val="single" w:sz="4" w:space="0" w:color="000000"/>
              <w:bottom w:val="nil" w:sz="6" w:space="0" w:color="auto"/>
              <w:right w:val="single" w:sz="4" w:space="0" w:color="000000"/>
            </w:tcBorders>
            <w:shd w:val="clear" w:color="auto" w:fill="C7EB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梁行</w:t>
            </w:r>
          </w:p>
        </w:tc>
        <w:tc>
          <w:tcPr>
            <w:tcW w:w="2258" w:type="dxa"/>
            <w:vMerge/>
            <w:tcBorders>
              <w:left w:val="single" w:sz="4" w:space="0" w:color="000000"/>
              <w:right w:val="single" w:sz="4" w:space="0" w:color="000000"/>
            </w:tcBorders>
            <w:shd w:val="clear" w:color="auto" w:fill="C7EBCC"/>
          </w:tcPr>
          <w:p>
            <w:pPr/>
          </w:p>
        </w:tc>
        <w:tc>
          <w:tcPr>
            <w:tcW w:w="1973" w:type="dxa"/>
            <w:tcBorders>
              <w:top w:val="nil" w:sz="6" w:space="0" w:color="auto"/>
              <w:left w:val="single" w:sz="4" w:space="0" w:color="000000"/>
              <w:bottom w:val="nil" w:sz="6" w:space="0" w:color="auto"/>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首席执行官</w:t>
            </w:r>
          </w:p>
        </w:tc>
        <w:tc>
          <w:tcPr>
            <w:tcW w:w="1700" w:type="dxa"/>
            <w:vMerge/>
            <w:tcBorders>
              <w:left w:val="single" w:sz="10" w:space="0" w:color="C7EBCC"/>
              <w:right w:val="single" w:sz="4" w:space="0" w:color="000000"/>
            </w:tcBorders>
          </w:tcPr>
          <w:p>
            <w:pPr/>
          </w:p>
        </w:tc>
        <w:tc>
          <w:tcPr>
            <w:tcW w:w="1573"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r>
      <w:tr>
        <w:trPr>
          <w:trHeight w:val="161" w:hRule="exact"/>
        </w:trPr>
        <w:tc>
          <w:tcPr>
            <w:tcW w:w="710" w:type="dxa"/>
            <w:tcBorders>
              <w:top w:val="nil" w:sz="6" w:space="0" w:color="auto"/>
              <w:left w:val="single" w:sz="4" w:space="0" w:color="000000"/>
              <w:bottom w:val="single" w:sz="4" w:space="0" w:color="000000"/>
              <w:right w:val="single" w:sz="4" w:space="0" w:color="000000"/>
            </w:tcBorders>
            <w:shd w:val="clear" w:color="auto" w:fill="C7EBCC"/>
          </w:tcPr>
          <w:p>
            <w:pPr/>
          </w:p>
        </w:tc>
        <w:tc>
          <w:tcPr>
            <w:tcW w:w="2258" w:type="dxa"/>
            <w:vMerge/>
            <w:tcBorders>
              <w:left w:val="single" w:sz="4" w:space="0" w:color="000000"/>
              <w:bottom w:val="single" w:sz="4" w:space="0" w:color="000000"/>
              <w:right w:val="single" w:sz="4" w:space="0" w:color="000000"/>
            </w:tcBorders>
            <w:shd w:val="clear" w:color="auto" w:fill="C7EBCC"/>
          </w:tcPr>
          <w:p>
            <w:pPr/>
          </w:p>
        </w:tc>
        <w:tc>
          <w:tcPr>
            <w:tcW w:w="1973" w:type="dxa"/>
            <w:tcBorders>
              <w:top w:val="nil" w:sz="6" w:space="0" w:color="auto"/>
              <w:left w:val="single" w:sz="4" w:space="0" w:color="000000"/>
              <w:bottom w:val="single" w:sz="4" w:space="0" w:color="000000"/>
              <w:right w:val="single" w:sz="4" w:space="0" w:color="000000"/>
            </w:tcBorders>
            <w:shd w:val="clear" w:color="auto" w:fill="C7EBCC"/>
          </w:tcPr>
          <w:p>
            <w:pPr/>
          </w:p>
        </w:tc>
        <w:tc>
          <w:tcPr>
            <w:tcW w:w="1700" w:type="dxa"/>
            <w:vMerge/>
            <w:tcBorders>
              <w:left w:val="single" w:sz="10" w:space="0" w:color="C7EBCC"/>
              <w:bottom w:val="single" w:sz="4" w:space="0" w:color="000000"/>
              <w:right w:val="single" w:sz="4" w:space="0" w:color="000000"/>
            </w:tcBorders>
          </w:tcPr>
          <w:p>
            <w:pPr/>
          </w:p>
        </w:tc>
        <w:tc>
          <w:tcPr>
            <w:tcW w:w="1573" w:type="dxa"/>
            <w:vMerge/>
            <w:tcBorders>
              <w:left w:val="single" w:sz="4" w:space="0" w:color="000000"/>
              <w:bottom w:val="single" w:sz="4" w:space="0" w:color="000000"/>
              <w:right w:val="single" w:sz="4" w:space="0" w:color="000000"/>
            </w:tcBorders>
          </w:tcPr>
          <w:p>
            <w:pPr/>
          </w:p>
        </w:tc>
        <w:tc>
          <w:tcPr>
            <w:tcW w:w="1349" w:type="dxa"/>
            <w:vMerge/>
            <w:tcBorders>
              <w:left w:val="single" w:sz="4" w:space="0" w:color="000000"/>
              <w:bottom w:val="single" w:sz="4" w:space="0" w:color="000000"/>
              <w:right w:val="single" w:sz="4" w:space="0" w:color="000000"/>
            </w:tcBorders>
          </w:tcPr>
          <w:p>
            <w:pPr/>
          </w:p>
        </w:tc>
      </w:tr>
      <w:tr>
        <w:trPr>
          <w:trHeight w:val="402" w:hRule="exact"/>
        </w:trPr>
        <w:tc>
          <w:tcPr>
            <w:tcW w:w="2967" w:type="dxa"/>
            <w:gridSpan w:val="2"/>
            <w:tcBorders>
              <w:top w:val="single" w:sz="4" w:space="0" w:color="000000"/>
              <w:left w:val="single" w:sz="4" w:space="0" w:color="000000"/>
              <w:bottom w:val="single" w:sz="4" w:space="0" w:color="000000"/>
              <w:right w:val="single" w:sz="14" w:space="0" w:color="C7EB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在其他单位任职情况的说明</w:t>
            </w:r>
          </w:p>
        </w:tc>
        <w:tc>
          <w:tcPr>
            <w:tcW w:w="6594" w:type="dxa"/>
            <w:gridSpan w:val="4"/>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8"/>
          <w:szCs w:val="18"/>
        </w:rPr>
      </w:pPr>
    </w:p>
    <w:p>
      <w:pPr>
        <w:pStyle w:val="Heading2"/>
        <w:spacing w:line="240" w:lineRule="auto" w:before="26"/>
        <w:ind w:right="94"/>
        <w:jc w:val="left"/>
        <w:rPr>
          <w:b w:val="0"/>
          <w:bCs w:val="0"/>
        </w:rPr>
      </w:pPr>
      <w:r>
        <w:rPr/>
        <w:t>三、董事、监事、高级管理人员报酬情况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513" w:right="94" w:hanging="361"/>
        <w:jc w:val="left"/>
      </w:pPr>
      <w:r>
        <w:rPr/>
        <w:t>董事、监事、高级管理人员报酬的决策程序、确定依据 </w:t>
      </w:r>
      <w:r>
        <w:rPr>
          <w:spacing w:val="-2"/>
        </w:rPr>
        <w:t>在公司任职的内部董事、监事和高级管理人员按其行政岗位及职务，根据公司现行的工资制度领取薪酬，高级管理人员</w:t>
      </w:r>
    </w:p>
    <w:p>
      <w:pPr>
        <w:pStyle w:val="BodyText"/>
        <w:spacing w:line="236" w:lineRule="exact"/>
        <w:ind w:right="0"/>
        <w:jc w:val="left"/>
      </w:pPr>
      <w:r>
        <w:rPr/>
        <w:t>实行年薪制，年薪与年度经营指标完成情况挂钩。经公司董事会、股东大会审议批准，公司独立董事津贴为</w:t>
      </w:r>
      <w:r>
        <w:rPr>
          <w:rFonts w:ascii="Times New Roman" w:hAnsi="Times New Roman" w:cs="Times New Roman" w:eastAsia="Times New Roman" w:hint="default"/>
        </w:rPr>
        <w:t>6</w:t>
      </w:r>
      <w:r>
        <w:rPr/>
        <w:t>万元</w:t>
      </w:r>
      <w:r>
        <w:rPr>
          <w:rFonts w:ascii="Times New Roman" w:hAnsi="Times New Roman" w:cs="Times New Roman" w:eastAsia="Times New Roman" w:hint="default"/>
        </w:rPr>
        <w:t>/</w:t>
      </w:r>
      <w:r>
        <w:rPr/>
        <w:t>年</w:t>
      </w:r>
      <w:r>
        <w:rPr>
          <w:rFonts w:ascii="Times New Roman" w:hAnsi="Times New Roman" w:cs="Times New Roman" w:eastAsia="Times New Roman" w:hint="default"/>
        </w:rPr>
        <w:t>(</w:t>
      </w:r>
      <w:r>
        <w:rPr/>
        <w:t>税前</w:t>
      </w:r>
      <w:r>
        <w:rPr>
          <w:rFonts w:ascii="Times New Roman" w:hAnsi="Times New Roman" w:cs="Times New Roman" w:eastAsia="Times New Roman" w:hint="default"/>
        </w:rPr>
        <w:t>)</w:t>
      </w:r>
      <w:r>
        <w:rPr/>
        <w:t>，</w:t>
      </w:r>
    </w:p>
    <w:p>
      <w:pPr>
        <w:pStyle w:val="BodyText"/>
        <w:spacing w:line="316" w:lineRule="auto" w:before="63"/>
        <w:ind w:right="94"/>
        <w:jc w:val="left"/>
      </w:pPr>
      <w:r>
        <w:rPr>
          <w:spacing w:val="-2"/>
        </w:rPr>
        <w:t>独立董事津贴均按具体任职时间及规定发放。董事、监事、高级管理人员为参加会议发生的差旅费、办公费等履职费用由公</w:t>
      </w:r>
      <w:r>
        <w:rPr>
          <w:spacing w:val="-66"/>
        </w:rPr>
        <w:t> </w:t>
      </w:r>
      <w:r>
        <w:rPr>
          <w:spacing w:val="-66"/>
        </w:rPr>
      </w:r>
      <w:r>
        <w:rPr/>
        <w:t>司承担。</w:t>
      </w:r>
    </w:p>
    <w:p>
      <w:pPr>
        <w:pStyle w:val="BodyText"/>
        <w:spacing w:line="240" w:lineRule="auto" w:before="59"/>
        <w:ind w:right="94"/>
        <w:jc w:val="left"/>
      </w:pPr>
      <w:r>
        <w:rPr/>
        <w:t>公司报告期内董事、监事和高级管理人员报酬情况</w:t>
      </w:r>
    </w:p>
    <w:p>
      <w:pPr>
        <w:pStyle w:val="BodyText"/>
        <w:spacing w:line="240" w:lineRule="auto" w:before="115"/>
        <w:ind w:left="0" w:right="191"/>
        <w:jc w:val="right"/>
      </w:pPr>
      <w:r>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7"/>
        <w:gridCol w:w="2479"/>
        <w:gridCol w:w="719"/>
        <w:gridCol w:w="569"/>
        <w:gridCol w:w="1018"/>
        <w:gridCol w:w="1195"/>
        <w:gridCol w:w="1196"/>
        <w:gridCol w:w="1198"/>
      </w:tblGrid>
      <w:tr>
        <w:trPr>
          <w:trHeight w:val="713"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2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从公司获得的 应付报酬总额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获得报酬</w:t>
            </w:r>
          </w:p>
        </w:tc>
      </w:tr>
      <w:tr>
        <w:trPr>
          <w:trHeight w:val="403" w:hRule="exact"/>
        </w:trPr>
        <w:tc>
          <w:tcPr>
            <w:tcW w:w="119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247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719" w:type="dxa"/>
            <w:tcBorders>
              <w:top w:val="single" w:sz="4" w:space="0" w:color="000000"/>
              <w:left w:val="single" w:sz="9" w:space="0" w:color="C7EBCC"/>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45.55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45.55</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庞泰松</w:t>
            </w:r>
          </w:p>
        </w:tc>
        <w:tc>
          <w:tcPr>
            <w:tcW w:w="247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副董事长、副总经理</w:t>
            </w:r>
          </w:p>
        </w:tc>
        <w:tc>
          <w:tcPr>
            <w:tcW w:w="719" w:type="dxa"/>
            <w:tcBorders>
              <w:top w:val="single" w:sz="4" w:space="0" w:color="000000"/>
              <w:left w:val="single" w:sz="9" w:space="0" w:color="C7EBCC"/>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43.66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43.66</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高永坚</w:t>
            </w:r>
          </w:p>
        </w:tc>
        <w:tc>
          <w:tcPr>
            <w:tcW w:w="247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副董事长、副总经理</w:t>
            </w:r>
          </w:p>
        </w:tc>
        <w:tc>
          <w:tcPr>
            <w:tcW w:w="719" w:type="dxa"/>
            <w:tcBorders>
              <w:top w:val="single" w:sz="4" w:space="0" w:color="000000"/>
              <w:left w:val="single" w:sz="9" w:space="0" w:color="C7EBCC"/>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48.88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48.88</w:t>
            </w:r>
          </w:p>
        </w:tc>
      </w:tr>
      <w:tr>
        <w:trPr>
          <w:trHeight w:val="401" w:hRule="exact"/>
        </w:trPr>
        <w:tc>
          <w:tcPr>
            <w:tcW w:w="119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谭 </w:t>
            </w:r>
            <w:r>
              <w:rPr>
                <w:rFonts w:ascii="宋体" w:hAnsi="宋体" w:cs="宋体" w:eastAsia="宋体" w:hint="default"/>
                <w:spacing w:val="2"/>
                <w:sz w:val="18"/>
                <w:szCs w:val="18"/>
              </w:rPr>
              <w:t> </w:t>
            </w:r>
            <w:r>
              <w:rPr>
                <w:rFonts w:ascii="宋体" w:hAnsi="宋体" w:cs="宋体" w:eastAsia="宋体" w:hint="default"/>
                <w:sz w:val="18"/>
                <w:szCs w:val="18"/>
              </w:rPr>
              <w:t>骅</w:t>
            </w:r>
          </w:p>
        </w:tc>
        <w:tc>
          <w:tcPr>
            <w:tcW w:w="247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董事、副总经理、董事会秘书</w:t>
            </w:r>
          </w:p>
        </w:tc>
        <w:tc>
          <w:tcPr>
            <w:tcW w:w="719" w:type="dxa"/>
            <w:tcBorders>
              <w:top w:val="single" w:sz="4" w:space="0" w:color="000000"/>
              <w:left w:val="single" w:sz="9" w:space="0" w:color="C7EBCC"/>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32.26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32.26</w:t>
            </w:r>
          </w:p>
        </w:tc>
      </w:tr>
      <w:tr>
        <w:trPr>
          <w:trHeight w:val="403" w:hRule="exact"/>
        </w:trPr>
        <w:tc>
          <w:tcPr>
            <w:tcW w:w="119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梁行</w:t>
            </w:r>
          </w:p>
        </w:tc>
        <w:tc>
          <w:tcPr>
            <w:tcW w:w="247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19" w:type="dxa"/>
            <w:tcBorders>
              <w:top w:val="single" w:sz="4" w:space="0" w:color="000000"/>
              <w:left w:val="single" w:sz="9" w:space="0" w:color="C7EBCC"/>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7"/>
        <w:gridCol w:w="2479"/>
        <w:gridCol w:w="719"/>
        <w:gridCol w:w="569"/>
        <w:gridCol w:w="1018"/>
        <w:gridCol w:w="1195"/>
        <w:gridCol w:w="1196"/>
        <w:gridCol w:w="1198"/>
      </w:tblGrid>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徐印州</w:t>
            </w:r>
          </w:p>
        </w:tc>
        <w:tc>
          <w:tcPr>
            <w:tcW w:w="247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19" w:type="dxa"/>
            <w:tcBorders>
              <w:top w:val="single" w:sz="4" w:space="0" w:color="000000"/>
              <w:left w:val="single" w:sz="9" w:space="0" w:color="C7EBCC"/>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石本仁</w:t>
            </w:r>
          </w:p>
        </w:tc>
        <w:tc>
          <w:tcPr>
            <w:tcW w:w="247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19" w:type="dxa"/>
            <w:tcBorders>
              <w:top w:val="single" w:sz="4" w:space="0" w:color="000000"/>
              <w:left w:val="single" w:sz="9" w:space="0" w:color="C7EBCC"/>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华</w:t>
            </w:r>
          </w:p>
        </w:tc>
        <w:tc>
          <w:tcPr>
            <w:tcW w:w="247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19" w:type="dxa"/>
            <w:tcBorders>
              <w:top w:val="single" w:sz="4" w:space="0" w:color="000000"/>
              <w:left w:val="single" w:sz="9" w:space="0" w:color="C7EBCC"/>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梁晓芹</w:t>
            </w:r>
          </w:p>
        </w:tc>
        <w:tc>
          <w:tcPr>
            <w:tcW w:w="247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719" w:type="dxa"/>
            <w:tcBorders>
              <w:top w:val="single" w:sz="4" w:space="0" w:color="000000"/>
              <w:left w:val="single" w:sz="9" w:space="0" w:color="C7EBCC"/>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20.5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20.5</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龚穗娟</w:t>
            </w:r>
          </w:p>
        </w:tc>
        <w:tc>
          <w:tcPr>
            <w:tcW w:w="247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19" w:type="dxa"/>
            <w:tcBorders>
              <w:top w:val="single" w:sz="4" w:space="0" w:color="000000"/>
              <w:left w:val="single" w:sz="9" w:space="0" w:color="C7EBCC"/>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张成虎</w:t>
            </w:r>
          </w:p>
        </w:tc>
        <w:tc>
          <w:tcPr>
            <w:tcW w:w="247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19" w:type="dxa"/>
            <w:tcBorders>
              <w:top w:val="single" w:sz="4" w:space="0" w:color="000000"/>
              <w:left w:val="single" w:sz="9" w:space="0" w:color="C7EBCC"/>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12.57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12.57</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徐德银</w:t>
            </w:r>
          </w:p>
        </w:tc>
        <w:tc>
          <w:tcPr>
            <w:tcW w:w="247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19" w:type="dxa"/>
            <w:tcBorders>
              <w:top w:val="single" w:sz="4" w:space="0" w:color="000000"/>
              <w:left w:val="single" w:sz="9" w:space="0" w:color="C7EBCC"/>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31.72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31.72</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陈国军</w:t>
            </w:r>
          </w:p>
        </w:tc>
        <w:tc>
          <w:tcPr>
            <w:tcW w:w="247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19" w:type="dxa"/>
            <w:tcBorders>
              <w:top w:val="single" w:sz="4" w:space="0" w:color="000000"/>
              <w:left w:val="single" w:sz="9" w:space="0" w:color="C7EBCC"/>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29.26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29.26</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李克福</w:t>
            </w:r>
          </w:p>
        </w:tc>
        <w:tc>
          <w:tcPr>
            <w:tcW w:w="247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19" w:type="dxa"/>
            <w:tcBorders>
              <w:top w:val="single" w:sz="4" w:space="0" w:color="000000"/>
              <w:left w:val="single" w:sz="9" w:space="0" w:color="C7EBCC"/>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20.72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20.72</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300.72</w:t>
            </w:r>
          </w:p>
        </w:tc>
      </w:tr>
    </w:tbl>
    <w:p>
      <w:pPr>
        <w:pStyle w:val="BodyText"/>
        <w:spacing w:line="240" w:lineRule="auto" w:before="49"/>
        <w:ind w:right="146"/>
        <w:jc w:val="left"/>
      </w:pPr>
      <w:r>
        <w:rPr/>
        <w:t>公司董事、监事、高级管理人员报告期内被授予的股权激励情况</w:t>
      </w:r>
    </w:p>
    <w:p>
      <w:pPr>
        <w:pStyle w:val="BodyText"/>
        <w:spacing w:line="240" w:lineRule="auto" w:before="115"/>
        <w:ind w:right="14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46"/>
        <w:jc w:val="left"/>
        <w:rPr>
          <w:b w:val="0"/>
          <w:bCs w:val="0"/>
        </w:rPr>
      </w:pPr>
      <w:r>
        <w:rPr/>
        <w:t>四、公司董事、监事、高级管理人员变动情况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4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46"/>
        <w:jc w:val="left"/>
        <w:rPr>
          <w:b w:val="0"/>
          <w:bCs w:val="0"/>
        </w:rPr>
      </w:pP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46"/>
        <w:jc w:val="left"/>
      </w:pPr>
      <w:r>
        <w:rPr/>
        <w:t>报告期核心技术团队或关键技术人员无变动</w:t>
      </w:r>
    </w:p>
    <w:p>
      <w:pPr>
        <w:spacing w:line="240" w:lineRule="auto" w:before="3"/>
        <w:rPr>
          <w:rFonts w:ascii="宋体" w:hAnsi="宋体" w:cs="宋体" w:eastAsia="宋体" w:hint="default"/>
          <w:sz w:val="25"/>
          <w:szCs w:val="25"/>
        </w:rPr>
      </w:pPr>
    </w:p>
    <w:p>
      <w:pPr>
        <w:pStyle w:val="Heading2"/>
        <w:spacing w:line="240" w:lineRule="auto"/>
        <w:ind w:right="146"/>
        <w:jc w:val="left"/>
        <w:rPr>
          <w:b w:val="0"/>
          <w:bCs w:val="0"/>
        </w:rPr>
      </w:pPr>
      <w:r>
        <w:rPr/>
        <w:t>六、公司员工情况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46"/>
        <w:jc w:val="left"/>
      </w:pPr>
      <w:r>
        <w:rPr/>
        <w:t>（一）截止报告期末，公司在职员工为</w:t>
      </w:r>
      <w:r>
        <w:rPr>
          <w:rFonts w:ascii="Times New Roman" w:hAnsi="Times New Roman" w:cs="Times New Roman" w:eastAsia="Times New Roman" w:hint="default"/>
        </w:rPr>
        <w:t>495</w:t>
      </w:r>
      <w:r>
        <w:rPr/>
        <w:t>人，其专业、受教育程度分布如下：</w:t>
      </w:r>
    </w:p>
    <w:p>
      <w:pPr>
        <w:pStyle w:val="BodyText"/>
        <w:spacing w:line="240" w:lineRule="auto" w:before="63"/>
        <w:ind w:left="513" w:right="146"/>
        <w:jc w:val="left"/>
      </w:pPr>
      <w:r>
        <w:rPr>
          <w:rFonts w:ascii="Times New Roman" w:hAnsi="Times New Roman" w:cs="Times New Roman" w:eastAsia="Times New Roman" w:hint="default"/>
        </w:rPr>
        <w:t>1</w:t>
      </w:r>
      <w:r>
        <w:rPr/>
        <w:t>、专业构成情况</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2756"/>
        <w:gridCol w:w="2753"/>
        <w:gridCol w:w="2953"/>
      </w:tblGrid>
      <w:tr>
        <w:trPr>
          <w:trHeight w:val="331" w:hRule="exact"/>
        </w:trPr>
        <w:tc>
          <w:tcPr>
            <w:tcW w:w="2756"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c>
          <w:tcPr>
            <w:tcW w:w="2753"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人数（人）</w:t>
            </w:r>
          </w:p>
        </w:tc>
        <w:tc>
          <w:tcPr>
            <w:tcW w:w="2953"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占员工总数比例（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2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2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sz w:val="18"/>
              </w:rPr>
              <w:t>45</w:t>
            </w:r>
          </w:p>
        </w:tc>
        <w:tc>
          <w:tcPr>
            <w:tcW w:w="2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sz w:val="18"/>
              </w:rPr>
              <w:t>9.10</w:t>
            </w:r>
          </w:p>
        </w:tc>
      </w:tr>
      <w:tr>
        <w:trPr>
          <w:trHeight w:val="348" w:hRule="exact"/>
        </w:trPr>
        <w:tc>
          <w:tcPr>
            <w:tcW w:w="2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2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47</w:t>
            </w:r>
          </w:p>
        </w:tc>
        <w:tc>
          <w:tcPr>
            <w:tcW w:w="2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9.50</w:t>
            </w:r>
          </w:p>
        </w:tc>
      </w:tr>
      <w:tr>
        <w:trPr>
          <w:trHeight w:val="346" w:hRule="exact"/>
        </w:trPr>
        <w:tc>
          <w:tcPr>
            <w:tcW w:w="2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2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222</w:t>
            </w:r>
          </w:p>
        </w:tc>
        <w:tc>
          <w:tcPr>
            <w:tcW w:w="2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44.80</w:t>
            </w:r>
          </w:p>
        </w:tc>
      </w:tr>
      <w:tr>
        <w:trPr>
          <w:trHeight w:val="348" w:hRule="exact"/>
        </w:trPr>
        <w:tc>
          <w:tcPr>
            <w:tcW w:w="2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2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33</w:t>
            </w:r>
          </w:p>
        </w:tc>
        <w:tc>
          <w:tcPr>
            <w:tcW w:w="2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6.67</w:t>
            </w:r>
          </w:p>
        </w:tc>
      </w:tr>
      <w:tr>
        <w:trPr>
          <w:trHeight w:val="348" w:hRule="exact"/>
        </w:trPr>
        <w:tc>
          <w:tcPr>
            <w:tcW w:w="2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行政人员</w:t>
            </w:r>
          </w:p>
        </w:tc>
        <w:tc>
          <w:tcPr>
            <w:tcW w:w="2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148</w:t>
            </w:r>
          </w:p>
        </w:tc>
        <w:tc>
          <w:tcPr>
            <w:tcW w:w="2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29.90</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line="4125" w:lineRule="exact"/>
        <w:ind w:left="1425" w:right="0" w:firstLine="0"/>
        <w:rPr>
          <w:rFonts w:ascii="宋体" w:hAnsi="宋体" w:cs="宋体" w:eastAsia="宋体" w:hint="default"/>
          <w:sz w:val="20"/>
          <w:szCs w:val="20"/>
        </w:rPr>
      </w:pPr>
      <w:r>
        <w:rPr>
          <w:rFonts w:ascii="宋体" w:hAnsi="宋体" w:cs="宋体" w:eastAsia="宋体" w:hint="default"/>
          <w:position w:val="-82"/>
          <w:sz w:val="20"/>
          <w:szCs w:val="20"/>
        </w:rPr>
        <w:drawing>
          <wp:inline distT="0" distB="0" distL="0" distR="0">
            <wp:extent cx="4505782" cy="2619375"/>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6" cstate="print"/>
                    <a:stretch>
                      <a:fillRect/>
                    </a:stretch>
                  </pic:blipFill>
                  <pic:spPr>
                    <a:xfrm>
                      <a:off x="0" y="0"/>
                      <a:ext cx="4505782" cy="2619375"/>
                    </a:xfrm>
                    <a:prstGeom prst="rect">
                      <a:avLst/>
                    </a:prstGeom>
                  </pic:spPr>
                </pic:pic>
              </a:graphicData>
            </a:graphic>
          </wp:inline>
        </w:drawing>
      </w:r>
      <w:r>
        <w:rPr>
          <w:rFonts w:ascii="宋体" w:hAnsi="宋体" w:cs="宋体" w:eastAsia="宋体" w:hint="default"/>
          <w:position w:val="-82"/>
          <w:sz w:val="20"/>
          <w:szCs w:val="20"/>
        </w:rPr>
      </w:r>
    </w:p>
    <w:p>
      <w:pPr>
        <w:spacing w:line="240" w:lineRule="auto" w:before="9"/>
        <w:rPr>
          <w:rFonts w:ascii="宋体" w:hAnsi="宋体" w:cs="宋体" w:eastAsia="宋体" w:hint="default"/>
          <w:sz w:val="9"/>
          <w:szCs w:val="9"/>
        </w:rPr>
      </w:pPr>
    </w:p>
    <w:p>
      <w:pPr>
        <w:pStyle w:val="BodyText"/>
        <w:spacing w:line="240" w:lineRule="auto" w:before="44"/>
        <w:ind w:left="633" w:right="94"/>
        <w:jc w:val="left"/>
      </w:pPr>
      <w:r>
        <w:rPr>
          <w:rFonts w:ascii="Times New Roman" w:hAnsi="Times New Roman" w:cs="Times New Roman" w:eastAsia="Times New Roman" w:hint="default"/>
        </w:rPr>
        <w:t>2</w:t>
      </w:r>
      <w:r>
        <w:rPr/>
        <w:t>、教育程度</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2811"/>
        <w:gridCol w:w="2811"/>
        <w:gridCol w:w="2811"/>
      </w:tblGrid>
      <w:tr>
        <w:trPr>
          <w:trHeight w:val="346" w:hRule="exact"/>
        </w:trPr>
        <w:tc>
          <w:tcPr>
            <w:tcW w:w="2811"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受教育程度</w:t>
            </w:r>
          </w:p>
        </w:tc>
        <w:tc>
          <w:tcPr>
            <w:tcW w:w="2811"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人数（人）</w:t>
            </w:r>
          </w:p>
        </w:tc>
        <w:tc>
          <w:tcPr>
            <w:tcW w:w="2811"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占员工总数比例（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8" w:hRule="exact"/>
        </w:trPr>
        <w:tc>
          <w:tcPr>
            <w:tcW w:w="2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本科以上</w:t>
            </w:r>
          </w:p>
        </w:tc>
        <w:tc>
          <w:tcPr>
            <w:tcW w:w="2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203</w:t>
            </w:r>
          </w:p>
        </w:tc>
        <w:tc>
          <w:tcPr>
            <w:tcW w:w="2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41.01</w:t>
            </w:r>
          </w:p>
        </w:tc>
      </w:tr>
      <w:tr>
        <w:trPr>
          <w:trHeight w:val="346" w:hRule="exact"/>
        </w:trPr>
        <w:tc>
          <w:tcPr>
            <w:tcW w:w="2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大专</w:t>
            </w:r>
          </w:p>
        </w:tc>
        <w:tc>
          <w:tcPr>
            <w:tcW w:w="2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189</w:t>
            </w:r>
          </w:p>
        </w:tc>
        <w:tc>
          <w:tcPr>
            <w:tcW w:w="2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38.18</w:t>
            </w:r>
          </w:p>
        </w:tc>
      </w:tr>
      <w:tr>
        <w:trPr>
          <w:trHeight w:val="348" w:hRule="exact"/>
        </w:trPr>
        <w:tc>
          <w:tcPr>
            <w:tcW w:w="2811" w:type="dxa"/>
            <w:tcBorders>
              <w:top w:val="single" w:sz="6" w:space="0" w:color="000000"/>
              <w:left w:val="single" w:sz="6" w:space="0" w:color="000000"/>
              <w:bottom w:val="single" w:sz="6" w:space="0" w:color="000000"/>
              <w:right w:val="single" w:sz="6" w:space="0" w:color="000000"/>
            </w:tcBorders>
          </w:tcPr>
          <w:p>
            <w:pPr>
              <w:pStyle w:val="TableParagraph"/>
              <w:tabs>
                <w:tab w:pos="470" w:val="left" w:leader="none"/>
              </w:tabs>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其</w:t>
              <w:tab/>
              <w:t>他</w:t>
            </w:r>
          </w:p>
        </w:tc>
        <w:tc>
          <w:tcPr>
            <w:tcW w:w="2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103</w:t>
            </w:r>
          </w:p>
        </w:tc>
        <w:tc>
          <w:tcPr>
            <w:tcW w:w="2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20.81</w:t>
            </w:r>
          </w:p>
        </w:tc>
      </w:tr>
    </w:tbl>
    <w:p>
      <w:pPr>
        <w:spacing w:line="240" w:lineRule="auto" w:before="11"/>
        <w:rPr>
          <w:rFonts w:ascii="宋体" w:hAnsi="宋体" w:cs="宋体" w:eastAsia="宋体" w:hint="default"/>
          <w:sz w:val="7"/>
          <w:szCs w:val="7"/>
        </w:rPr>
      </w:pPr>
    </w:p>
    <w:p>
      <w:pPr>
        <w:spacing w:line="4245" w:lineRule="exact"/>
        <w:ind w:left="1446" w:right="0" w:firstLine="0"/>
        <w:rPr>
          <w:rFonts w:ascii="宋体" w:hAnsi="宋体" w:cs="宋体" w:eastAsia="宋体" w:hint="default"/>
          <w:sz w:val="20"/>
          <w:szCs w:val="20"/>
        </w:rPr>
      </w:pPr>
      <w:r>
        <w:rPr>
          <w:rFonts w:ascii="宋体" w:hAnsi="宋体" w:cs="宋体" w:eastAsia="宋体" w:hint="default"/>
          <w:position w:val="-84"/>
          <w:sz w:val="20"/>
          <w:szCs w:val="20"/>
        </w:rPr>
        <w:drawing>
          <wp:inline distT="0" distB="0" distL="0" distR="0">
            <wp:extent cx="4478224" cy="2695575"/>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7" cstate="print"/>
                    <a:stretch>
                      <a:fillRect/>
                    </a:stretch>
                  </pic:blipFill>
                  <pic:spPr>
                    <a:xfrm>
                      <a:off x="0" y="0"/>
                      <a:ext cx="4478224" cy="2695575"/>
                    </a:xfrm>
                    <a:prstGeom prst="rect">
                      <a:avLst/>
                    </a:prstGeom>
                  </pic:spPr>
                </pic:pic>
              </a:graphicData>
            </a:graphic>
          </wp:inline>
        </w:drawing>
      </w:r>
      <w:r>
        <w:rPr>
          <w:rFonts w:ascii="宋体" w:hAnsi="宋体" w:cs="宋体" w:eastAsia="宋体" w:hint="default"/>
          <w:position w:val="-84"/>
          <w:sz w:val="20"/>
          <w:szCs w:val="20"/>
        </w:rPr>
      </w:r>
    </w:p>
    <w:p>
      <w:pPr>
        <w:spacing w:line="240" w:lineRule="auto" w:before="1"/>
        <w:rPr>
          <w:rFonts w:ascii="宋体" w:hAnsi="宋体" w:cs="宋体" w:eastAsia="宋体" w:hint="default"/>
          <w:sz w:val="5"/>
          <w:szCs w:val="5"/>
        </w:rPr>
      </w:pPr>
    </w:p>
    <w:p>
      <w:pPr>
        <w:pStyle w:val="BodyText"/>
        <w:spacing w:line="240" w:lineRule="auto" w:before="44"/>
        <w:ind w:left="513" w:right="94"/>
        <w:jc w:val="left"/>
      </w:pPr>
      <w:r>
        <w:rPr/>
        <w:t>此外，截止至报告期末，本公司通过劳务派遣公司使用劳务人员</w:t>
      </w:r>
      <w:r>
        <w:rPr>
          <w:rFonts w:ascii="Times New Roman" w:hAnsi="Times New Roman" w:cs="Times New Roman" w:eastAsia="Times New Roman" w:hint="default"/>
        </w:rPr>
        <w:t>1,346</w:t>
      </w:r>
      <w:r>
        <w:rPr/>
        <w:t>人，年度共支付报酬总额为</w:t>
      </w:r>
      <w:r>
        <w:rPr>
          <w:rFonts w:ascii="Times New Roman" w:hAnsi="Times New Roman" w:cs="Times New Roman" w:eastAsia="Times New Roman" w:hint="default"/>
        </w:rPr>
        <w:t>56,082,883.46</w:t>
      </w:r>
      <w:r>
        <w:rPr/>
        <w:t>元。</w:t>
      </w:r>
    </w:p>
    <w:p>
      <w:pPr>
        <w:spacing w:line="240" w:lineRule="auto" w:before="0"/>
        <w:rPr>
          <w:rFonts w:ascii="宋体" w:hAnsi="宋体" w:cs="宋体" w:eastAsia="宋体" w:hint="default"/>
          <w:sz w:val="18"/>
          <w:szCs w:val="18"/>
        </w:rPr>
      </w:pPr>
    </w:p>
    <w:p>
      <w:pPr>
        <w:pStyle w:val="BodyText"/>
        <w:spacing w:line="316" w:lineRule="auto" w:before="139"/>
        <w:ind w:left="513" w:right="6933"/>
        <w:jc w:val="left"/>
      </w:pPr>
      <w:r>
        <w:rPr/>
        <w:t>（二）员工薪酬政策和培训计划 员工薪酬政策</w:t>
      </w:r>
    </w:p>
    <w:p>
      <w:pPr>
        <w:pStyle w:val="BodyText"/>
        <w:spacing w:line="316" w:lineRule="auto" w:before="19"/>
        <w:ind w:right="94" w:firstLine="360"/>
        <w:jc w:val="left"/>
      </w:pPr>
      <w:r>
        <w:rPr>
          <w:spacing w:val="-2"/>
        </w:rPr>
        <w:t>为充分发掘员工潜力，调动员工的工作积极性，吸引优秀的人才，提高公司的竞争力和工作效率，公司一直致力于构建</w:t>
      </w:r>
      <w:r>
        <w:rPr/>
        <w:t> 符合国家法律法规要求且具有竞争力的薪酬体系，并提供激励性的绩效考核方案，特别加强了对研发团队的考核激励政策。 同时，公司也在不断完善福利体系，除正常为员工缴纳各项法定福利外，公司还提供餐费津贴、交通班车、生日活动费用、 </w:t>
      </w:r>
      <w:r>
        <w:rPr>
          <w:spacing w:val="-2"/>
        </w:rPr>
        <w:t>团队活动费用、年度旅游等，员工生日、结婚、生子公司发放礼金给员工，及传统节假日，公司会发放礼金或礼品给全体员</w:t>
      </w:r>
      <w:r>
        <w:rPr>
          <w:spacing w:val="-68"/>
        </w:rPr>
        <w:t> </w:t>
      </w:r>
      <w:r>
        <w:rPr>
          <w:spacing w:val="-68"/>
        </w:rPr>
      </w:r>
      <w:r>
        <w:rPr/>
        <w:t>工。</w:t>
      </w:r>
    </w:p>
    <w:p>
      <w:pPr>
        <w:pStyle w:val="BodyText"/>
        <w:spacing w:line="240" w:lineRule="auto" w:before="18"/>
        <w:ind w:left="513" w:right="94"/>
        <w:jc w:val="left"/>
      </w:pPr>
      <w:r>
        <w:rPr/>
        <w:t>培训计划</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94" w:firstLine="360"/>
        <w:jc w:val="left"/>
      </w:pPr>
      <w:r>
        <w:rPr>
          <w:spacing w:val="-2"/>
        </w:rPr>
        <w:t>在人才培养方面，御银侧重专业领域的技能培训，为员工提供技术、业务、管理三条晋升通道，引导员工充分挖掘自身</w:t>
      </w:r>
      <w:r>
        <w:rPr/>
        <w:t> </w:t>
      </w:r>
      <w:r>
        <w:rPr>
          <w:spacing w:val="-2"/>
        </w:rPr>
        <w:t>潜能，与企业核心价值相结合更好的实现自身价值，以拓宽员工发展空间，实现员工与企业的共同成长。与此同时，御银还</w:t>
      </w:r>
      <w:r>
        <w:rPr>
          <w:spacing w:val="-67"/>
        </w:rPr>
        <w:t> </w:t>
      </w:r>
      <w:r>
        <w:rPr>
          <w:spacing w:val="-67"/>
        </w:rPr>
      </w:r>
      <w:r>
        <w:rPr>
          <w:spacing w:val="-4"/>
        </w:rPr>
        <w:t>不断完善培训资料库，积极引进市场上的先进思路与管理工具，并制定了完善的职业培训计划，为员工提供各类型专业培训。</w:t>
      </w:r>
      <w:r>
        <w:rPr>
          <w:spacing w:val="-44"/>
        </w:rPr>
        <w:t> </w:t>
      </w:r>
      <w:r>
        <w:rPr>
          <w:spacing w:val="-44"/>
        </w:rPr>
      </w:r>
      <w:r>
        <w:rPr/>
        <w:t>计划中涉及的课程类型包括，新员工导向培训、职业素养培训、职业能力、管理提升、通用技能、体系安全以及岗位基础、 专业技能提升等八大类别。</w:t>
      </w:r>
    </w:p>
    <w:p>
      <w:pPr>
        <w:spacing w:line="240" w:lineRule="auto" w:before="0"/>
        <w:rPr>
          <w:rFonts w:ascii="宋体" w:hAnsi="宋体" w:cs="宋体" w:eastAsia="宋体" w:hint="default"/>
          <w:sz w:val="18"/>
          <w:szCs w:val="18"/>
        </w:rPr>
      </w:pPr>
    </w:p>
    <w:p>
      <w:pPr>
        <w:pStyle w:val="BodyText"/>
        <w:spacing w:line="240" w:lineRule="auto" w:before="134"/>
        <w:ind w:left="513" w:right="94"/>
        <w:jc w:val="left"/>
      </w:pPr>
      <w:r>
        <w:rPr/>
        <w:t>（三）公司不存在需要承担的离退休职工。</w:t>
      </w:r>
    </w:p>
    <w:p>
      <w:pPr>
        <w:spacing w:after="0" w:line="240" w:lineRule="auto"/>
        <w:jc w:val="left"/>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3626"/>
        <w:jc w:val="center"/>
        <w:rPr>
          <w:b w:val="0"/>
          <w:bCs w:val="0"/>
        </w:rPr>
      </w:pPr>
      <w:bookmarkStart w:name="_TOC_250003" w:id="9"/>
      <w:r>
        <w:rPr/>
        <w:t>第九节</w:t>
      </w:r>
      <w:r>
        <w:rPr>
          <w:spacing w:val="-2"/>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94"/>
        <w:jc w:val="left"/>
        <w:rPr>
          <w:b w:val="0"/>
          <w:bCs w:val="0"/>
        </w:rPr>
      </w:pP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4" w:firstLine="360"/>
        <w:jc w:val="left"/>
      </w:pPr>
      <w:r>
        <w:rPr>
          <w:spacing w:val="-2"/>
        </w:rPr>
        <w:t>公司严格按照《公司法》、《证券法》、《上市公司治理准则》、《深圳证券交易所股票上市规则》等有关法律、法规</w:t>
      </w:r>
      <w:r>
        <w:rPr/>
        <w:t> </w:t>
      </w:r>
      <w:r>
        <w:rPr>
          <w:spacing w:val="-4"/>
        </w:rPr>
        <w:t>的要求，建立清晰完整的法人治理结构，建立健全相应工作制度和风险防范机制，不断改进和完善公司的内部管理制度体系，</w:t>
      </w:r>
      <w:r>
        <w:rPr>
          <w:spacing w:val="-42"/>
        </w:rPr>
        <w:t> </w:t>
      </w:r>
      <w:r>
        <w:rPr>
          <w:spacing w:val="-42"/>
        </w:rPr>
      </w:r>
      <w:r>
        <w:rPr>
          <w:spacing w:val="-2"/>
        </w:rPr>
        <w:t>进一步提高公司治理水平，规范公司运作。截至报告期末，公司治理的实际情况符合《上市公司治理准则》、《深圳证券交</w:t>
      </w:r>
      <w:r>
        <w:rPr>
          <w:spacing w:val="-71"/>
        </w:rPr>
        <w:t> </w:t>
      </w:r>
      <w:r>
        <w:rPr>
          <w:spacing w:val="-71"/>
        </w:rPr>
      </w:r>
      <w:r>
        <w:rPr>
          <w:spacing w:val="-2"/>
        </w:rPr>
        <w:t>易所中小板上市公司规范运作指引》等的要求。报告期内，根据监管部门的最新要求和公司实际情况的变化，公司修订的各</w:t>
      </w:r>
      <w:r>
        <w:rPr>
          <w:spacing w:val="-66"/>
        </w:rPr>
        <w:t> </w:t>
      </w:r>
      <w:r>
        <w:rPr>
          <w:spacing w:val="-66"/>
        </w:rPr>
      </w:r>
      <w:r>
        <w:rPr/>
        <w:t>项制度及相关公开信息披露情况如下：</w:t>
      </w:r>
    </w:p>
    <w:tbl>
      <w:tblPr>
        <w:tblW w:w="0" w:type="auto"/>
        <w:jc w:val="left"/>
        <w:tblInd w:w="145" w:type="dxa"/>
        <w:tblLayout w:type="fixed"/>
        <w:tblCellMar>
          <w:top w:w="0" w:type="dxa"/>
          <w:left w:w="0" w:type="dxa"/>
          <w:bottom w:w="0" w:type="dxa"/>
          <w:right w:w="0" w:type="dxa"/>
        </w:tblCellMar>
        <w:tblLook w:val="01E0"/>
      </w:tblPr>
      <w:tblGrid>
        <w:gridCol w:w="675"/>
        <w:gridCol w:w="6131"/>
        <w:gridCol w:w="1136"/>
        <w:gridCol w:w="1416"/>
      </w:tblGrid>
      <w:tr>
        <w:trPr>
          <w:trHeight w:val="341" w:hRule="exact"/>
        </w:trPr>
        <w:tc>
          <w:tcPr>
            <w:tcW w:w="675"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6131"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制度名称</w:t>
            </w:r>
          </w:p>
        </w:tc>
        <w:tc>
          <w:tcPr>
            <w:tcW w:w="1136"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7"/>
              <w:ind w:left="20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416"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披露媒体</w:t>
            </w:r>
          </w:p>
        </w:tc>
      </w:tr>
      <w:tr>
        <w:trPr>
          <w:trHeight w:val="353" w:hRule="exact"/>
        </w:trPr>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1" w:right="0"/>
              <w:jc w:val="center"/>
              <w:rPr>
                <w:rFonts w:ascii="Times New Roman" w:hAnsi="Times New Roman" w:cs="Times New Roman" w:eastAsia="Times New Roman" w:hint="default"/>
                <w:sz w:val="18"/>
                <w:szCs w:val="18"/>
              </w:rPr>
            </w:pPr>
            <w:r>
              <w:rPr>
                <w:rFonts w:ascii="Times New Roman"/>
                <w:sz w:val="18"/>
              </w:rPr>
              <w:t>1</w:t>
            </w:r>
          </w:p>
        </w:tc>
        <w:tc>
          <w:tcPr>
            <w:tcW w:w="6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月修订）</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141" w:right="0"/>
              <w:jc w:val="left"/>
              <w:rPr>
                <w:rFonts w:ascii="Times New Roman" w:hAnsi="Times New Roman" w:cs="Times New Roman" w:eastAsia="Times New Roman" w:hint="default"/>
                <w:sz w:val="18"/>
                <w:szCs w:val="18"/>
              </w:rPr>
            </w:pPr>
            <w:r>
              <w:rPr>
                <w:rFonts w:ascii="Times New Roman"/>
                <w:sz w:val="18"/>
              </w:rPr>
              <w:t>2014-04-25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w:t>
            </w:r>
          </w:p>
        </w:tc>
        <w:tc>
          <w:tcPr>
            <w:tcW w:w="6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投资者关系管理制度（</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月修订）</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1" w:right="0"/>
              <w:jc w:val="left"/>
              <w:rPr>
                <w:rFonts w:ascii="Times New Roman" w:hAnsi="Times New Roman" w:cs="Times New Roman" w:eastAsia="Times New Roman" w:hint="default"/>
                <w:sz w:val="18"/>
                <w:szCs w:val="18"/>
              </w:rPr>
            </w:pPr>
            <w:r>
              <w:rPr>
                <w:rFonts w:ascii="Times New Roman"/>
                <w:sz w:val="18"/>
              </w:rPr>
              <w:t>2014-04-25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pStyle w:val="BodyText"/>
        <w:spacing w:line="316" w:lineRule="auto" w:before="19"/>
        <w:ind w:left="513" w:right="94"/>
        <w:jc w:val="left"/>
      </w:pPr>
      <w:r>
        <w:rPr/>
        <w:t>（一）关于股东与股东大会 </w:t>
      </w:r>
      <w:r>
        <w:rPr>
          <w:spacing w:val="-2"/>
        </w:rPr>
        <w:t>公司严格按照《公司章程》、《上市公司股东大会规则》、《公司法》和公司《股东大会议事规则》等法律法规及制度</w:t>
      </w:r>
    </w:p>
    <w:p>
      <w:pPr>
        <w:pStyle w:val="BodyText"/>
        <w:spacing w:line="316" w:lineRule="auto" w:before="19"/>
        <w:ind w:right="94"/>
        <w:jc w:val="left"/>
      </w:pPr>
      <w:r>
        <w:rPr/>
        <w:t>的要求，规范股东大会的召集、召开、表决程序，能够确保全体股东特别是中小股东享有平等地位，充分行使自己的权利。 </w:t>
      </w:r>
      <w:r>
        <w:rPr>
          <w:spacing w:val="-2"/>
        </w:rPr>
        <w:t>报告期内的股东大会均由董事会召集召开，并聘请律师进行现场鉴证。根据《公司章程》及相关法律法规的规定应由股东大</w:t>
      </w:r>
      <w:r>
        <w:rPr>
          <w:spacing w:val="-66"/>
        </w:rPr>
        <w:t> </w:t>
      </w:r>
      <w:r>
        <w:rPr>
          <w:spacing w:val="-66"/>
        </w:rPr>
      </w:r>
      <w:r>
        <w:rPr/>
        <w:t>会表决的事项均按照相应的权限审批后交由股东大会审议，不存在越权审批的现象，也不存在先实施后审议的情况。</w:t>
      </w:r>
    </w:p>
    <w:p>
      <w:pPr>
        <w:pStyle w:val="BodyText"/>
        <w:spacing w:line="316" w:lineRule="auto" w:before="19"/>
        <w:ind w:left="513" w:right="94"/>
        <w:jc w:val="left"/>
      </w:pPr>
      <w:r>
        <w:rPr/>
        <w:t>（二）关于公司与控股股东 </w:t>
      </w:r>
      <w:r>
        <w:rPr>
          <w:spacing w:val="-2"/>
        </w:rPr>
        <w:t>公司在业务和经营上保持独立，在业务、人员、资产、机构、财务上均独立于控股股东，公司董事会、监事会和内部机</w:t>
      </w:r>
    </w:p>
    <w:p>
      <w:pPr>
        <w:pStyle w:val="BodyText"/>
        <w:spacing w:line="316" w:lineRule="auto" w:before="19"/>
        <w:ind w:right="191"/>
        <w:jc w:val="both"/>
      </w:pPr>
      <w:r>
        <w:rPr>
          <w:spacing w:val="-2"/>
        </w:rPr>
        <w:t>构根据各议事规则及公司制度独立运作。公司控股股东行为规范，能依法行使其权利，并承担相应义务，未出现越过公司股</w:t>
      </w:r>
      <w:r>
        <w:rPr>
          <w:spacing w:val="-64"/>
        </w:rPr>
        <w:t> </w:t>
      </w:r>
      <w:r>
        <w:rPr>
          <w:spacing w:val="-64"/>
        </w:rPr>
      </w:r>
      <w:r>
        <w:rPr/>
        <w:t>东大会直接或间接干预公司决策和经营活动的行为。</w:t>
      </w:r>
    </w:p>
    <w:p>
      <w:pPr>
        <w:pStyle w:val="BodyText"/>
        <w:spacing w:line="319" w:lineRule="auto" w:before="19"/>
        <w:ind w:left="513" w:right="183"/>
        <w:jc w:val="left"/>
      </w:pPr>
      <w:r>
        <w:rPr/>
        <w:t>（三）关于董事和董事会 公司董事会的人数与成员构成及董事的任职资格均符合相关法律法规与公司章程的要求。公司董事会由</w:t>
      </w:r>
      <w:r>
        <w:rPr>
          <w:rFonts w:ascii="Times New Roman" w:hAnsi="Times New Roman" w:cs="Times New Roman" w:eastAsia="Times New Roman" w:hint="default"/>
        </w:rPr>
        <w:t>8</w:t>
      </w:r>
      <w:r>
        <w:rPr/>
        <w:t>名董事组成，</w:t>
      </w:r>
    </w:p>
    <w:p>
      <w:pPr>
        <w:pStyle w:val="BodyText"/>
        <w:spacing w:line="316" w:lineRule="auto"/>
        <w:ind w:right="191"/>
        <w:jc w:val="both"/>
      </w:pPr>
      <w:r>
        <w:rPr>
          <w:spacing w:val="-2"/>
        </w:rPr>
        <w:t>其中独立董事三名，超过全体董事总数的三分之一。公司全体董事能够依据《董事会议事规则》、《独立董事制度》、《深</w:t>
      </w:r>
      <w:r>
        <w:rPr>
          <w:spacing w:val="-69"/>
        </w:rPr>
        <w:t> </w:t>
      </w:r>
      <w:r>
        <w:rPr>
          <w:spacing w:val="-69"/>
        </w:rPr>
      </w:r>
      <w:r>
        <w:rPr>
          <w:spacing w:val="-2"/>
        </w:rPr>
        <w:t>圳证券交易所中小企业板上市公司规范运作指引》等规定和《公司章程》等开展工作和履行职责，认真出席董事会和股东大</w:t>
      </w:r>
      <w:r>
        <w:rPr>
          <w:spacing w:val="-64"/>
        </w:rPr>
        <w:t> </w:t>
      </w:r>
      <w:r>
        <w:rPr>
          <w:spacing w:val="-64"/>
        </w:rPr>
      </w:r>
      <w:r>
        <w:rPr>
          <w:spacing w:val="-2"/>
        </w:rPr>
        <w:t>会，积极参加对相关知识的培训，熟悉有关法律法规，勤勉尽责。董事会下设审计委员会、提名委员会、战略委员会、薪酬</w:t>
      </w:r>
      <w:r>
        <w:rPr>
          <w:spacing w:val="-73"/>
        </w:rPr>
        <w:t> </w:t>
      </w:r>
      <w:r>
        <w:rPr>
          <w:spacing w:val="-73"/>
        </w:rPr>
      </w:r>
      <w:r>
        <w:rPr/>
        <w:t>与考核委员会四个专门委员会，各尽其责，为公司的治理和决策提供了宝贵的专业意见。</w:t>
      </w:r>
    </w:p>
    <w:p>
      <w:pPr>
        <w:pStyle w:val="BodyText"/>
        <w:spacing w:line="316" w:lineRule="auto" w:before="19"/>
        <w:ind w:left="513" w:right="94"/>
        <w:jc w:val="left"/>
      </w:pPr>
      <w:r>
        <w:rPr/>
        <w:t>（四）关于监事和监事会 </w:t>
      </w:r>
      <w:r>
        <w:rPr>
          <w:spacing w:val="-2"/>
        </w:rPr>
        <w:t>公司严格按照《公司法》、《公司章程》等有关规定选举监事。公司监事会由</w:t>
      </w:r>
      <w:r>
        <w:rPr>
          <w:rFonts w:ascii="Times New Roman" w:hAnsi="Times New Roman" w:cs="Times New Roman" w:eastAsia="Times New Roman" w:hint="default"/>
          <w:spacing w:val="-2"/>
        </w:rPr>
        <w:t>3</w:t>
      </w:r>
      <w:r>
        <w:rPr>
          <w:spacing w:val="-2"/>
        </w:rPr>
        <w:t>名监事组成，其中职工代表监事</w:t>
      </w:r>
      <w:r>
        <w:rPr>
          <w:rFonts w:ascii="Times New Roman" w:hAnsi="Times New Roman" w:cs="Times New Roman" w:eastAsia="Times New Roman" w:hint="default"/>
          <w:spacing w:val="-2"/>
        </w:rPr>
        <w:t>1</w:t>
      </w:r>
      <w:r>
        <w:rPr>
          <w:spacing w:val="-2"/>
        </w:rPr>
        <w:t>名。监</w:t>
      </w:r>
    </w:p>
    <w:p>
      <w:pPr>
        <w:pStyle w:val="BodyText"/>
        <w:spacing w:line="316" w:lineRule="auto"/>
        <w:ind w:right="191"/>
        <w:jc w:val="both"/>
      </w:pPr>
      <w:r>
        <w:rPr>
          <w:spacing w:val="-2"/>
        </w:rPr>
        <w:t>事会的人数及结构符合法律法规和公司章程的要求。公司监事严格按照《监事会议事规则》等制度的规定，规范监事会的召</w:t>
      </w:r>
      <w:r>
        <w:rPr>
          <w:spacing w:val="-64"/>
        </w:rPr>
        <w:t> </w:t>
      </w:r>
      <w:r>
        <w:rPr>
          <w:spacing w:val="-64"/>
        </w:rPr>
      </w:r>
      <w:r>
        <w:rPr>
          <w:spacing w:val="-2"/>
        </w:rPr>
        <w:t>集、召开和表决，认真履行了自己的职责，对公司的财务状况、运营情况、内部控制执行情况、重大事项的决策等以及公司</w:t>
      </w:r>
      <w:r>
        <w:rPr>
          <w:spacing w:val="-67"/>
        </w:rPr>
        <w:t> </w:t>
      </w:r>
      <w:r>
        <w:rPr>
          <w:spacing w:val="-67"/>
        </w:rPr>
      </w:r>
      <w:r>
        <w:rPr/>
        <w:t>董事和高级管理人员履行职责的情况实施监督，维护公司及各位股东的合法权益。</w:t>
      </w:r>
    </w:p>
    <w:p>
      <w:pPr>
        <w:pStyle w:val="BodyText"/>
        <w:spacing w:line="316" w:lineRule="auto" w:before="19"/>
        <w:ind w:left="513" w:right="94"/>
        <w:jc w:val="left"/>
      </w:pPr>
      <w:r>
        <w:rPr/>
        <w:t>（五）关于绩效评价与激励约束机制 </w:t>
      </w:r>
      <w:r>
        <w:rPr>
          <w:spacing w:val="-4"/>
        </w:rPr>
        <w:t>公司已建立较为完善的董事、监事和高级管理人员绩效评价标准和激励约束机制，通过员工持股等方式加强对公司董事、</w:t>
      </w:r>
    </w:p>
    <w:p>
      <w:pPr>
        <w:pStyle w:val="BodyText"/>
        <w:spacing w:line="319" w:lineRule="auto" w:before="19"/>
        <w:ind w:right="195"/>
        <w:jc w:val="both"/>
      </w:pPr>
      <w:r>
        <w:rPr>
          <w:spacing w:val="-2"/>
        </w:rPr>
        <w:t>高管的激励。公司高管人员的聘任公开、透明，符合法律法规的规定。公司已建立了相关的业绩指标管理体系，经营管理层</w:t>
      </w:r>
      <w:r>
        <w:rPr>
          <w:spacing w:val="-67"/>
        </w:rPr>
        <w:t> </w:t>
      </w:r>
      <w:r>
        <w:rPr>
          <w:spacing w:val="-67"/>
        </w:rPr>
      </w:r>
      <w:r>
        <w:rPr/>
        <w:t>和员工的收入与其工作成效挂钩。公司还将根据自身经营发展状况不断完善绩效评价与激励约束机制。</w:t>
      </w:r>
    </w:p>
    <w:p>
      <w:pPr>
        <w:pStyle w:val="BodyText"/>
        <w:spacing w:line="316" w:lineRule="auto" w:before="17"/>
        <w:ind w:left="513" w:right="93"/>
        <w:jc w:val="left"/>
      </w:pPr>
      <w:r>
        <w:rPr/>
        <w:t>（六）关于相关利益者 公司在创造利润最大化的同时，充分尊重和维护相关利益者的合法权益，关注所在地区环境保护以及公益事业等问题，</w:t>
      </w:r>
    </w:p>
    <w:p>
      <w:pPr>
        <w:pStyle w:val="BodyText"/>
        <w:spacing w:line="316" w:lineRule="auto" w:before="19"/>
        <w:ind w:right="191"/>
        <w:jc w:val="both"/>
      </w:pPr>
      <w:r>
        <w:rPr>
          <w:spacing w:val="-2"/>
        </w:rPr>
        <w:t>积极主动承担社会责任，不断加强与各方的沟通交流，积极与相关利益者合作，诚信对待供应商和客户，努力促进和实现公</w:t>
      </w:r>
      <w:r>
        <w:rPr>
          <w:spacing w:val="-65"/>
        </w:rPr>
        <w:t> </w:t>
      </w:r>
      <w:r>
        <w:rPr>
          <w:spacing w:val="-65"/>
        </w:rPr>
      </w:r>
      <w:r>
        <w:rPr/>
        <w:t>司、股东、员工、最终用户、社会等各方利益的协调平衡，共同推动公司持续、稳定、健康地发展。</w:t>
      </w:r>
    </w:p>
    <w:p>
      <w:pPr>
        <w:pStyle w:val="BodyText"/>
        <w:spacing w:line="240" w:lineRule="auto" w:before="18"/>
        <w:ind w:left="513" w:right="94"/>
        <w:jc w:val="left"/>
      </w:pPr>
      <w:r>
        <w:rPr/>
        <w:t>（七）关于信息披露与透明度</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4" w:lineRule="auto" w:before="44"/>
        <w:ind w:left="392" w:right="454" w:firstLine="360"/>
        <w:jc w:val="left"/>
      </w:pPr>
      <w:r>
        <w:rPr/>
        <w:t>公司严格按照《信息披露管理制度》、《公司章程》等相关法律、法规的规定，真实、准确、完整、及时地披露信息， </w:t>
      </w:r>
      <w:r>
        <w:rPr>
          <w:spacing w:val="-2"/>
        </w:rPr>
        <w:t>不断健全有关公司信息披露的管理制度，履行信息披露义务。公司指定《证券时报》、《中国证券报》、《上海证券报》和</w:t>
      </w:r>
      <w:r>
        <w:rPr>
          <w:spacing w:val="-68"/>
        </w:rPr>
        <w:t> </w:t>
      </w:r>
      <w:r>
        <w:rPr>
          <w:spacing w:val="-68"/>
        </w:rPr>
      </w:r>
      <w:r>
        <w:rPr/>
        <w:t>巨潮资讯网</w:t>
      </w:r>
      <w:hyperlink r:id="rId18">
        <w:r>
          <w:rPr>
            <w:rFonts w:ascii="Times New Roman" w:hAnsi="Times New Roman" w:cs="Times New Roman" w:eastAsia="Times New Roman" w:hint="default"/>
          </w:rPr>
          <w:t>(htt</w:t>
        </w:r>
      </w:hyperlink>
      <w:r>
        <w:rPr>
          <w:rFonts w:ascii="Times New Roman" w:hAnsi="Times New Roman" w:cs="Times New Roman" w:eastAsia="Times New Roman" w:hint="default"/>
        </w:rPr>
        <w:t>p</w:t>
      </w:r>
      <w:hyperlink r:id="rId18">
        <w:r>
          <w:rPr>
            <w:rFonts w:ascii="Times New Roman" w:hAnsi="Times New Roman" w:cs="Times New Roman" w:eastAsia="Times New Roman" w:hint="default"/>
          </w:rPr>
          <w:t>://www.cninfo.com.cn/)</w:t>
        </w:r>
        <w:r>
          <w:rPr/>
          <w:t>为公司信息披露的报纸和网站，确保所有投资者及时、公平地获得公司相关信息。另</w:t>
        </w:r>
      </w:hyperlink>
      <w:r>
        <w:rPr/>
        <w:t> </w:t>
      </w:r>
      <w:r>
        <w:rPr>
          <w:spacing w:val="-2"/>
        </w:rPr>
        <w:t>外，公司建立了畅通的沟通渠道，设立投资者专线、创建投资者关系互动平台与投资者进行沟通交流。公司还将不断适应新</w:t>
      </w:r>
      <w:r>
        <w:rPr>
          <w:spacing w:val="-64"/>
        </w:rPr>
        <w:t> </w:t>
      </w:r>
      <w:r>
        <w:rPr>
          <w:spacing w:val="-64"/>
        </w:rPr>
      </w:r>
      <w:r>
        <w:rPr>
          <w:spacing w:val="-2"/>
        </w:rPr>
        <w:t>规则，进一步加强与广东证监局和深圳证券交易所的联系，从而更加准确地了解信息披露的具体要求，进一步提高公司的信</w:t>
      </w:r>
      <w:r>
        <w:rPr>
          <w:spacing w:val="-63"/>
        </w:rPr>
        <w:t> </w:t>
      </w:r>
      <w:r>
        <w:rPr>
          <w:spacing w:val="-63"/>
        </w:rPr>
      </w:r>
      <w:r>
        <w:rPr/>
        <w:t>息披露的质量。</w:t>
      </w:r>
    </w:p>
    <w:p>
      <w:pPr>
        <w:pStyle w:val="BodyText"/>
        <w:spacing w:line="316" w:lineRule="auto" w:before="20"/>
        <w:ind w:left="753" w:right="454"/>
        <w:jc w:val="left"/>
      </w:pPr>
      <w:r>
        <w:rPr/>
        <w:t>（八）内部审计制度 </w:t>
      </w:r>
      <w:r>
        <w:rPr>
          <w:spacing w:val="-2"/>
        </w:rPr>
        <w:t>公司已建立较为完善的内部审计制度，定期向董事会审计委员会报告工作，负责审核公司的经营、财务状况及对外披露</w:t>
      </w:r>
    </w:p>
    <w:p>
      <w:pPr>
        <w:pStyle w:val="BodyText"/>
        <w:spacing w:line="316" w:lineRule="auto" w:before="19"/>
        <w:ind w:left="392" w:right="454"/>
        <w:jc w:val="left"/>
      </w:pPr>
      <w:r>
        <w:rPr>
          <w:spacing w:val="-2"/>
        </w:rPr>
        <w:t>的财务信息、审查内部控制的执行情况和外部审计的沟通、监督和核查工作，对公司日常经营管理、内部控制和公司关联交</w:t>
      </w:r>
      <w:r>
        <w:rPr>
          <w:spacing w:val="-64"/>
        </w:rPr>
        <w:t> </w:t>
      </w:r>
      <w:r>
        <w:rPr>
          <w:spacing w:val="-64"/>
        </w:rPr>
      </w:r>
      <w:r>
        <w:rPr>
          <w:spacing w:val="-4"/>
        </w:rPr>
        <w:t>易及对外担保进行了有效控制。报告期内，公司的内部审计机构发挥了强化内部控制、改善经营管理、提高经济效益的作用，</w:t>
      </w:r>
      <w:r>
        <w:rPr>
          <w:spacing w:val="-46"/>
        </w:rPr>
        <w:t> </w:t>
      </w:r>
      <w:r>
        <w:rPr>
          <w:spacing w:val="-46"/>
        </w:rPr>
      </w:r>
      <w:r>
        <w:rPr/>
        <w:t>对公司的日常运行进行了有效的内部监督，保护了投资者的合法权益。</w:t>
      </w:r>
    </w:p>
    <w:p>
      <w:pPr>
        <w:pStyle w:val="BodyText"/>
        <w:spacing w:line="316" w:lineRule="auto" w:before="19"/>
        <w:ind w:left="753" w:right="454"/>
        <w:jc w:val="left"/>
      </w:pPr>
      <w:r>
        <w:rPr/>
        <w:t>（九）投资者关系 </w:t>
      </w:r>
      <w:r>
        <w:rPr>
          <w:spacing w:val="-2"/>
        </w:rPr>
        <w:t>公司十分重视投资者关系管理工作，安排专人做好投资者来访接待工作，规范接待投资者的实地调研，客观、真实、准</w:t>
      </w:r>
    </w:p>
    <w:p>
      <w:pPr>
        <w:pStyle w:val="BodyText"/>
        <w:spacing w:line="314" w:lineRule="auto" w:before="19"/>
        <w:ind w:left="392" w:right="454"/>
        <w:jc w:val="left"/>
      </w:pPr>
      <w:r>
        <w:rPr>
          <w:spacing w:val="-2"/>
        </w:rPr>
        <w:t>确、完整地向投资者介绍和反映公司的实际状况，严格遵守相关法律法规的规定，注重尚未公布信息及内部信息的保密，并</w:t>
      </w:r>
      <w:r>
        <w:rPr>
          <w:spacing w:val="-64"/>
        </w:rPr>
        <w:t> </w:t>
      </w:r>
      <w:r>
        <w:rPr>
          <w:spacing w:val="-64"/>
        </w:rPr>
      </w:r>
      <w:r>
        <w:rPr>
          <w:spacing w:val="-2"/>
        </w:rPr>
        <w:t>做好各次接待的资料存档工作。公司采取多种形式实施投资者关系管理，充分保证广大投资者的知情权。报告期内，公司累</w:t>
      </w:r>
      <w:r>
        <w:rPr>
          <w:spacing w:val="-63"/>
        </w:rPr>
        <w:t> </w:t>
      </w:r>
      <w:r>
        <w:rPr>
          <w:spacing w:val="-63"/>
        </w:rPr>
      </w:r>
      <w:r>
        <w:rPr/>
        <w:t>计接待了</w:t>
      </w:r>
      <w:r>
        <w:rPr>
          <w:rFonts w:ascii="Times New Roman" w:hAnsi="Times New Roman" w:cs="Times New Roman" w:eastAsia="Times New Roman" w:hint="default"/>
        </w:rPr>
        <w:t>23</w:t>
      </w:r>
      <w:r>
        <w:rPr/>
        <w:t>家机构</w:t>
      </w:r>
      <w:r>
        <w:rPr>
          <w:rFonts w:ascii="Times New Roman" w:hAnsi="Times New Roman" w:cs="Times New Roman" w:eastAsia="Times New Roman" w:hint="default"/>
        </w:rPr>
        <w:t>11</w:t>
      </w:r>
      <w:r>
        <w:rPr/>
        <w:t>次实地调研，调研的主要内容为公司经营情况；通过公司网站、投资者关系管理热线电话、电子信箱、 </w:t>
      </w:r>
      <w:r>
        <w:rPr>
          <w:spacing w:val="-2"/>
        </w:rPr>
        <w:t>传真、巨潮资讯网、深圳交易所投资者互动易平台等多种渠道加强与投资者、潜在投资者之间的交流，尽可能解答投资者的</w:t>
      </w:r>
      <w:r>
        <w:rPr>
          <w:spacing w:val="-64"/>
        </w:rPr>
        <w:t> </w:t>
      </w:r>
      <w:r>
        <w:rPr>
          <w:spacing w:val="-64"/>
        </w:rPr>
      </w:r>
      <w:r>
        <w:rPr/>
        <w:t>疑问，增进投资者对公司的了解和信心。</w:t>
      </w:r>
    </w:p>
    <w:p>
      <w:pPr>
        <w:spacing w:line="240" w:lineRule="auto" w:before="0"/>
        <w:rPr>
          <w:rFonts w:ascii="宋体" w:hAnsi="宋体" w:cs="宋体" w:eastAsia="宋体" w:hint="default"/>
          <w:sz w:val="18"/>
          <w:szCs w:val="18"/>
        </w:rPr>
      </w:pPr>
    </w:p>
    <w:p>
      <w:pPr>
        <w:pStyle w:val="BodyText"/>
        <w:spacing w:line="240" w:lineRule="auto" w:before="138"/>
        <w:ind w:left="392" w:right="454"/>
        <w:jc w:val="left"/>
      </w:pPr>
      <w:r>
        <w:rPr/>
        <w:t>公司治理与《公司法》和中国证监会相关规定的要求是否存在差异</w:t>
      </w:r>
    </w:p>
    <w:p>
      <w:pPr>
        <w:pStyle w:val="BodyText"/>
        <w:spacing w:line="340" w:lineRule="auto" w:before="115"/>
        <w:ind w:left="392" w:right="49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公司治理与《公司法》和中国证监会相关规定的要求不存在差异。</w:t>
      </w:r>
    </w:p>
    <w:p>
      <w:pPr>
        <w:pStyle w:val="BodyText"/>
        <w:spacing w:line="240" w:lineRule="auto" w:before="41"/>
        <w:ind w:left="392" w:right="454"/>
        <w:jc w:val="left"/>
      </w:pPr>
      <w:r>
        <w:rPr/>
        <w:t>公司治理专项活动开展情况以及内幕信息知情人登记管理制度的制定、实施情况</w:t>
      </w:r>
    </w:p>
    <w:p>
      <w:pPr>
        <w:pStyle w:val="BodyText"/>
        <w:spacing w:line="360" w:lineRule="auto" w:before="115"/>
        <w:ind w:left="753" w:right="454"/>
        <w:jc w:val="left"/>
      </w:pPr>
      <w:r>
        <w:rPr/>
        <w:t>（一）公司治理专项活动开展情况 </w:t>
      </w:r>
      <w:r>
        <w:rPr>
          <w:spacing w:val="-3"/>
        </w:rPr>
        <w:t>根据广东监管局《关于深入学习贯彻</w:t>
      </w:r>
      <w:r>
        <w:rPr>
          <w:rFonts w:ascii="Times New Roman" w:hAnsi="Times New Roman" w:cs="Times New Roman" w:eastAsia="Times New Roman" w:hint="default"/>
          <w:spacing w:val="-3"/>
        </w:rPr>
        <w:t>&lt;</w:t>
      </w:r>
      <w:r>
        <w:rPr>
          <w:spacing w:val="-3"/>
        </w:rPr>
        <w:t>关于进一步加强资本市场中小投资者合法权益保护工作的意见</w:t>
      </w:r>
      <w:r>
        <w:rPr>
          <w:rFonts w:ascii="Times New Roman" w:hAnsi="Times New Roman" w:cs="Times New Roman" w:eastAsia="Times New Roman" w:hint="default"/>
          <w:spacing w:val="-3"/>
        </w:rPr>
        <w:t>&gt;</w:t>
      </w:r>
      <w:r>
        <w:rPr>
          <w:spacing w:val="-3"/>
        </w:rPr>
        <w:t>的通知》（广东证</w:t>
      </w:r>
    </w:p>
    <w:p>
      <w:pPr>
        <w:pStyle w:val="BodyText"/>
        <w:spacing w:line="213" w:lineRule="exact"/>
        <w:ind w:left="392" w:right="454"/>
        <w:jc w:val="left"/>
        <w:rPr>
          <w:rFonts w:ascii="Times New Roman" w:hAnsi="Times New Roman" w:cs="Times New Roman" w:eastAsia="Times New Roman" w:hint="default"/>
        </w:rPr>
      </w:pPr>
      <w:r>
        <w:rPr/>
        <w:t>监</w:t>
      </w:r>
      <w:r>
        <w:rPr>
          <w:rFonts w:ascii="Times New Roman" w:hAnsi="Times New Roman" w:cs="Times New Roman" w:eastAsia="Times New Roman" w:hint="default"/>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4</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号</w:t>
      </w:r>
      <w:r>
        <w:rPr>
          <w:spacing w:val="-20"/>
        </w:rPr>
        <w:t>）</w:t>
      </w:r>
      <w:r>
        <w:rPr/>
        <w:t>的相关要求</w:t>
      </w:r>
      <w:r>
        <w:rPr>
          <w:spacing w:val="-20"/>
        </w:rPr>
        <w:t>，</w:t>
      </w:r>
      <w:r>
        <w:rPr/>
        <w:t>结合公司实际情况</w:t>
      </w:r>
      <w:r>
        <w:rPr>
          <w:spacing w:val="-20"/>
        </w:rPr>
        <w:t>，</w:t>
      </w:r>
      <w:r>
        <w:rPr/>
        <w:t>公司完善修订</w:t>
      </w:r>
      <w:r>
        <w:rPr>
          <w:spacing w:val="-20"/>
        </w:rPr>
        <w:t>了</w:t>
      </w:r>
      <w:r>
        <w:rPr/>
        <w:t>《公司章程</w:t>
      </w:r>
      <w:r>
        <w:rPr>
          <w:spacing w:val="-92"/>
        </w:rPr>
        <w:t>》</w:t>
      </w:r>
      <w:r>
        <w:rPr>
          <w:spacing w:val="-108"/>
        </w:rPr>
        <w:t>、</w:t>
      </w:r>
      <w:r>
        <w:rPr/>
        <w:t>《投资者</w:t>
      </w:r>
      <w:r>
        <w:rPr>
          <w:spacing w:val="2"/>
        </w:rPr>
        <w:t>关</w:t>
      </w:r>
      <w:r>
        <w:rPr/>
        <w:t>系管理制度</w:t>
      </w:r>
      <w:r>
        <w:rPr>
          <w:spacing w:val="-92"/>
        </w:rPr>
        <w:t>》</w:t>
      </w:r>
      <w:r>
        <w:rPr>
          <w:spacing w:val="-20"/>
        </w:rPr>
        <w:t>，</w:t>
      </w:r>
      <w:r>
        <w:rPr/>
        <w:t>上述制度已于</w:t>
      </w:r>
      <w:r>
        <w:rPr>
          <w:spacing w:val="-43"/>
        </w:rPr>
        <w:t> </w:t>
      </w:r>
      <w:r>
        <w:rPr>
          <w:rFonts w:ascii="Times New Roman" w:hAnsi="Times New Roman" w:cs="Times New Roman" w:eastAsia="Times New Roman" w:hint="default"/>
          <w:spacing w:val="1"/>
        </w:rPr>
        <w:t>2014</w:t>
      </w:r>
      <w:r>
        <w:rPr>
          <w:rFonts w:ascii="Times New Roman" w:hAnsi="Times New Roman" w:cs="Times New Roman" w:eastAsia="Times New Roman" w:hint="default"/>
        </w:rPr>
      </w:r>
    </w:p>
    <w:p>
      <w:pPr>
        <w:pStyle w:val="BodyText"/>
        <w:spacing w:line="240" w:lineRule="auto" w:before="63"/>
        <w:ind w:left="392" w:right="5725"/>
        <w:jc w:val="left"/>
      </w:pP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25</w:t>
      </w:r>
      <w:r>
        <w:rPr>
          <w:rFonts w:ascii="Times New Roman" w:hAnsi="Times New Roman" w:cs="Times New Roman" w:eastAsia="Times New Roman" w:hint="default"/>
          <w:spacing w:val="38"/>
        </w:rPr>
        <w:t> </w:t>
      </w:r>
      <w:r>
        <w:rPr/>
        <w:t>日刊登于巨潮资讯网（</w:t>
      </w:r>
      <w:hyperlink r:id="rId11">
        <w:r>
          <w:rPr>
            <w:rFonts w:ascii="Times New Roman" w:hAnsi="Times New Roman" w:cs="Times New Roman" w:eastAsia="Times New Roman" w:hint="default"/>
          </w:rPr>
          <w:t>www.cninfo.com.cn</w:t>
        </w:r>
      </w:hyperlink>
      <w:r>
        <w:rPr>
          <w:rFonts w:ascii="Times New Roman" w:hAnsi="Times New Roman" w:cs="Times New Roman" w:eastAsia="Times New Roman" w:hint="default"/>
          <w:spacing w:val="42"/>
        </w:rPr>
        <w:t> </w:t>
      </w:r>
      <w:r>
        <w:rPr>
          <w:spacing w:val="-92"/>
        </w:rPr>
        <w:t>）。</w:t>
      </w:r>
      <w:r>
        <w:rPr/>
      </w:r>
    </w:p>
    <w:p>
      <w:pPr>
        <w:pStyle w:val="BodyText"/>
        <w:spacing w:line="357" w:lineRule="auto" w:before="103"/>
        <w:ind w:left="753" w:right="454"/>
        <w:jc w:val="left"/>
      </w:pPr>
      <w:r>
        <w:rPr/>
        <w:t>（二）内幕信息知情人登记管理制度的建立和执行情况 </w:t>
      </w:r>
      <w:r>
        <w:rPr>
          <w:spacing w:val="-2"/>
        </w:rPr>
        <w:t>报告期内，公司注重尚未公布信息及内部信息的保密，在接待特定对象（机构投资者、媒体）的过程中，公司严格按照</w:t>
      </w:r>
    </w:p>
    <w:p>
      <w:pPr>
        <w:pStyle w:val="BodyText"/>
        <w:spacing w:line="224" w:lineRule="exact"/>
        <w:ind w:left="392" w:right="0"/>
        <w:jc w:val="left"/>
      </w:pPr>
      <w:r>
        <w:rPr/>
        <w:t>《深圳证券交易所中小企业板上市公司规范运作指引》的要求，规范地接待投资者来访调研、媒体采访，进行直接沟通前，</w:t>
      </w:r>
    </w:p>
    <w:p>
      <w:pPr>
        <w:pStyle w:val="BodyText"/>
        <w:spacing w:line="316" w:lineRule="auto" w:before="76"/>
        <w:ind w:left="392" w:right="549"/>
        <w:jc w:val="both"/>
      </w:pPr>
      <w:r>
        <w:rPr>
          <w:spacing w:val="-2"/>
        </w:rPr>
        <w:t>要求对方签署《承诺书》，同时按照《投资者关系活动记录表》的格式记录谈话主要内容并及时报备深交所，披露于深交所</w:t>
      </w:r>
      <w:r>
        <w:rPr>
          <w:spacing w:val="-72"/>
        </w:rPr>
        <w:t> </w:t>
      </w:r>
      <w:r>
        <w:rPr>
          <w:spacing w:val="-72"/>
        </w:rPr>
      </w:r>
      <w:r>
        <w:rPr>
          <w:spacing w:val="-5"/>
        </w:rPr>
        <w:t>互动易平台。同时，公司按照《信息披露管理制度》、《内幕信息知情人登记管理制度》等的相关规定和要求，严格执行信息</w:t>
      </w:r>
      <w:r>
        <w:rPr>
          <w:spacing w:val="-82"/>
        </w:rPr>
        <w:t> </w:t>
      </w:r>
      <w:r>
        <w:rPr>
          <w:spacing w:val="-82"/>
        </w:rPr>
      </w:r>
      <w:r>
        <w:rPr>
          <w:spacing w:val="-2"/>
        </w:rPr>
        <w:t>外报流程的审批程序，积极做好内幕信息保密和管理工作，所有信息必须经公司董事会秘书批准后方可对外报送，同时向接</w:t>
      </w:r>
      <w:r>
        <w:rPr>
          <w:spacing w:val="-63"/>
        </w:rPr>
        <w:t> </w:t>
      </w:r>
      <w:r>
        <w:rPr>
          <w:spacing w:val="-63"/>
        </w:rPr>
      </w:r>
      <w:r>
        <w:rPr>
          <w:spacing w:val="-2"/>
        </w:rPr>
        <w:t>收人员提供保密提示函，并要求对方接收人员签署回执，回执中同时列明使用所报送信息的人员情况，并交由公司证券部保</w:t>
      </w:r>
      <w:r>
        <w:rPr>
          <w:spacing w:val="-62"/>
        </w:rPr>
        <w:t> </w:t>
      </w:r>
      <w:r>
        <w:rPr>
          <w:spacing w:val="-62"/>
        </w:rPr>
      </w:r>
      <w:r>
        <w:rPr>
          <w:spacing w:val="-2"/>
        </w:rPr>
        <w:t>留存档，证券部将外部单位相关人员作为内幕知情人登记备查。报告期内，公司无内幕信息知情人违规买卖公司股票的情形</w:t>
      </w:r>
      <w:r>
        <w:rPr>
          <w:spacing w:val="-66"/>
        </w:rPr>
        <w:t> </w:t>
      </w:r>
      <w:r>
        <w:rPr>
          <w:spacing w:val="-66"/>
        </w:rPr>
      </w:r>
      <w:r>
        <w:rPr/>
        <w:t>发生，无监管处罚记录。</w:t>
      </w:r>
    </w:p>
    <w:p>
      <w:pPr>
        <w:spacing w:line="240" w:lineRule="auto" w:before="12"/>
        <w:rPr>
          <w:rFonts w:ascii="宋体" w:hAnsi="宋体" w:cs="宋体" w:eastAsia="宋体" w:hint="default"/>
          <w:sz w:val="20"/>
          <w:szCs w:val="20"/>
        </w:rPr>
      </w:pPr>
    </w:p>
    <w:p>
      <w:pPr>
        <w:pStyle w:val="Heading2"/>
        <w:spacing w:line="240" w:lineRule="auto"/>
        <w:ind w:left="392" w:right="454"/>
        <w:jc w:val="left"/>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392" w:right="5725"/>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8"/>
        <w:rPr>
          <w:rFonts w:ascii="宋体" w:hAnsi="宋体" w:cs="宋体" w:eastAsia="宋体" w:hint="default"/>
          <w:b/>
          <w:bCs/>
          <w:sz w:val="25"/>
          <w:szCs w:val="25"/>
        </w:rPr>
      </w:pPr>
    </w:p>
    <w:tbl>
      <w:tblPr>
        <w:tblW w:w="0" w:type="auto"/>
        <w:jc w:val="left"/>
        <w:tblInd w:w="104" w:type="dxa"/>
        <w:tblLayout w:type="fixed"/>
        <w:tblCellMar>
          <w:top w:w="0" w:type="dxa"/>
          <w:left w:w="0" w:type="dxa"/>
          <w:bottom w:w="0" w:type="dxa"/>
          <w:right w:w="0" w:type="dxa"/>
        </w:tblCellMar>
        <w:tblLook w:val="01E0"/>
      </w:tblPr>
      <w:tblGrid>
        <w:gridCol w:w="1560"/>
        <w:gridCol w:w="1558"/>
        <w:gridCol w:w="2696"/>
        <w:gridCol w:w="850"/>
        <w:gridCol w:w="1594"/>
        <w:gridCol w:w="2093"/>
      </w:tblGrid>
      <w:tr>
        <w:trPr>
          <w:trHeight w:val="397"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696" w:type="dxa"/>
            <w:tcBorders>
              <w:top w:val="single" w:sz="4" w:space="0" w:color="000000"/>
              <w:left w:val="single" w:sz="4" w:space="0" w:color="000000"/>
              <w:bottom w:val="single" w:sz="12" w:space="0" w:color="C7EBCC"/>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1" w:right="0"/>
              <w:jc w:val="center"/>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093" w:type="dxa"/>
            <w:tcBorders>
              <w:top w:val="single" w:sz="4" w:space="0" w:color="000000"/>
              <w:left w:val="single" w:sz="4" w:space="0" w:color="000000"/>
              <w:bottom w:val="single" w:sz="12" w:space="0" w:color="C7EBCC"/>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397"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558" w:type="dxa"/>
            <w:tcBorders>
              <w:top w:val="single" w:sz="4" w:space="0" w:color="000000"/>
              <w:left w:val="single" w:sz="4" w:space="0" w:color="000000"/>
              <w:bottom w:val="single" w:sz="4" w:space="0" w:color="000000"/>
              <w:right w:val="single" w:sz="13" w:space="0" w:color="C7EBCC"/>
            </w:tcBorders>
          </w:tcPr>
          <w:p>
            <w:pPr>
              <w:pStyle w:val="TableParagraph"/>
              <w:spacing w:line="240" w:lineRule="auto" w:before="53"/>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2696"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73"/>
              <w:ind w:right="24"/>
              <w:jc w:val="center"/>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年度董事会工</w:t>
            </w:r>
            <w:r>
              <w:rPr>
                <w:rFonts w:ascii="宋体" w:hAnsi="宋体" w:cs="宋体" w:eastAsia="宋体" w:hint="default"/>
                <w:spacing w:val="-3"/>
                <w:sz w:val="18"/>
                <w:szCs w:val="18"/>
              </w:rPr>
              <w:t>作</w:t>
            </w:r>
            <w:r>
              <w:rPr>
                <w:rFonts w:ascii="宋体" w:hAnsi="宋体" w:cs="宋体" w:eastAsia="宋体" w:hint="default"/>
                <w:sz w:val="18"/>
                <w:szCs w:val="18"/>
              </w:rPr>
              <w:t>报</w:t>
            </w:r>
          </w:p>
        </w:tc>
        <w:tc>
          <w:tcPr>
            <w:tcW w:w="85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审议通过</w:t>
            </w:r>
          </w:p>
        </w:tc>
        <w:tc>
          <w:tcPr>
            <w:tcW w:w="1594" w:type="dxa"/>
            <w:tcBorders>
              <w:top w:val="single" w:sz="4" w:space="0" w:color="000000"/>
              <w:left w:val="single" w:sz="10" w:space="0" w:color="C7EBCC"/>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9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73"/>
              <w:ind w:right="53"/>
              <w:jc w:val="center"/>
              <w:rPr>
                <w:rFonts w:ascii="宋体" w:hAnsi="宋体" w:cs="宋体" w:eastAsia="宋体" w:hint="default"/>
                <w:sz w:val="18"/>
                <w:szCs w:val="18"/>
              </w:rPr>
            </w:pPr>
            <w:r>
              <w:rPr>
                <w:rFonts w:ascii="宋体" w:hAnsi="宋体" w:cs="宋体" w:eastAsia="宋体" w:hint="default"/>
                <w:sz w:val="18"/>
                <w:szCs w:val="18"/>
              </w:rPr>
              <w:t>具体内容详见巨潮资讯网</w:t>
            </w:r>
          </w:p>
        </w:tc>
      </w:tr>
    </w:tbl>
    <w:p>
      <w:pPr>
        <w:spacing w:after="0" w:line="240" w:lineRule="auto"/>
        <w:jc w:val="center"/>
        <w:rPr>
          <w:rFonts w:ascii="宋体" w:hAnsi="宋体" w:cs="宋体" w:eastAsia="宋体" w:hint="default"/>
          <w:sz w:val="18"/>
          <w:szCs w:val="18"/>
        </w:rPr>
        <w:sectPr>
          <w:pgSz w:w="11910" w:h="16840"/>
          <w:pgMar w:header="745" w:footer="980" w:top="1060" w:bottom="1160" w:left="740" w:right="580"/>
        </w:sectPr>
      </w:pPr>
    </w:p>
    <w:p>
      <w:pPr>
        <w:spacing w:line="240" w:lineRule="auto" w:before="6"/>
        <w:rPr>
          <w:rFonts w:ascii="宋体" w:hAnsi="宋体" w:cs="宋体" w:eastAsia="宋体" w:hint="default"/>
          <w:b/>
          <w:bCs/>
          <w:sz w:val="28"/>
          <w:szCs w:val="28"/>
        </w:rPr>
      </w:pPr>
    </w:p>
    <w:tbl>
      <w:tblPr>
        <w:tblW w:w="0" w:type="auto"/>
        <w:jc w:val="left"/>
        <w:tblInd w:w="104" w:type="dxa"/>
        <w:tblLayout w:type="fixed"/>
        <w:tblCellMar>
          <w:top w:w="0" w:type="dxa"/>
          <w:left w:w="0" w:type="dxa"/>
          <w:bottom w:w="0" w:type="dxa"/>
          <w:right w:w="0" w:type="dxa"/>
        </w:tblCellMar>
        <w:tblLook w:val="01E0"/>
      </w:tblPr>
      <w:tblGrid>
        <w:gridCol w:w="1560"/>
        <w:gridCol w:w="1559"/>
        <w:gridCol w:w="2694"/>
        <w:gridCol w:w="850"/>
        <w:gridCol w:w="1594"/>
        <w:gridCol w:w="2095"/>
      </w:tblGrid>
      <w:tr>
        <w:trPr>
          <w:trHeight w:val="4347" w:hRule="exact"/>
        </w:trPr>
        <w:tc>
          <w:tcPr>
            <w:tcW w:w="1560" w:type="dxa"/>
            <w:tcBorders>
              <w:top w:val="single" w:sz="4" w:space="0" w:color="000000"/>
              <w:left w:val="single" w:sz="4" w:space="0" w:color="000000"/>
              <w:bottom w:val="single" w:sz="4" w:space="0" w:color="000000"/>
              <w:right w:val="single" w:sz="4" w:space="0" w:color="000000"/>
            </w:tcBorders>
            <w:shd w:val="clear" w:color="auto" w:fill="C7EBCC"/>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告的议案</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300" w:lineRule="auto" w:before="117"/>
              <w:ind w:left="22" w:right="48"/>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年度监事会工</w:t>
            </w:r>
            <w:r>
              <w:rPr>
                <w:rFonts w:ascii="宋体" w:hAnsi="宋体" w:cs="宋体" w:eastAsia="宋体" w:hint="default"/>
                <w:spacing w:val="-3"/>
                <w:sz w:val="18"/>
                <w:szCs w:val="18"/>
              </w:rPr>
              <w:t>作</w:t>
            </w:r>
            <w:r>
              <w:rPr>
                <w:rFonts w:ascii="宋体" w:hAnsi="宋体" w:cs="宋体" w:eastAsia="宋体" w:hint="default"/>
                <w:sz w:val="18"/>
                <w:szCs w:val="18"/>
              </w:rPr>
              <w:t>报</w:t>
            </w:r>
            <w:r>
              <w:rPr>
                <w:rFonts w:ascii="宋体" w:hAnsi="宋体" w:cs="宋体" w:eastAsia="宋体" w:hint="default"/>
                <w:sz w:val="18"/>
                <w:szCs w:val="18"/>
              </w:rPr>
              <w:t> 告的议案</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300" w:lineRule="auto" w:before="70"/>
              <w:ind w:left="22" w:right="48"/>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92"/>
                <w:sz w:val="18"/>
                <w:szCs w:val="18"/>
              </w:rPr>
              <w:t>、</w:t>
            </w: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年度财务决算</w:t>
            </w:r>
            <w:r>
              <w:rPr>
                <w:rFonts w:ascii="宋体" w:hAnsi="宋体" w:cs="宋体" w:eastAsia="宋体" w:hint="default"/>
                <w:spacing w:val="-3"/>
                <w:sz w:val="18"/>
                <w:szCs w:val="18"/>
              </w:rPr>
              <w:t>报</w:t>
            </w:r>
            <w:r>
              <w:rPr>
                <w:rFonts w:ascii="宋体" w:hAnsi="宋体" w:cs="宋体" w:eastAsia="宋体" w:hint="default"/>
                <w:sz w:val="18"/>
                <w:szCs w:val="18"/>
              </w:rPr>
              <w:t>告</w:t>
            </w:r>
            <w:r>
              <w:rPr>
                <w:rFonts w:ascii="宋体" w:hAnsi="宋体" w:cs="宋体" w:eastAsia="宋体" w:hint="default"/>
                <w:sz w:val="18"/>
                <w:szCs w:val="18"/>
              </w:rPr>
              <w:t> 的议案</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300" w:lineRule="auto" w:before="72"/>
              <w:ind w:left="22" w:right="48"/>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92"/>
                <w:sz w:val="18"/>
                <w:szCs w:val="18"/>
              </w:rPr>
              <w:t>、</w:t>
            </w: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年度利润分配</w:t>
            </w:r>
            <w:r>
              <w:rPr>
                <w:rFonts w:ascii="宋体" w:hAnsi="宋体" w:cs="宋体" w:eastAsia="宋体" w:hint="default"/>
                <w:spacing w:val="-3"/>
                <w:sz w:val="18"/>
                <w:szCs w:val="18"/>
              </w:rPr>
              <w:t>及</w:t>
            </w:r>
            <w:r>
              <w:rPr>
                <w:rFonts w:ascii="宋体" w:hAnsi="宋体" w:cs="宋体" w:eastAsia="宋体" w:hint="default"/>
                <w:sz w:val="18"/>
                <w:szCs w:val="18"/>
              </w:rPr>
              <w:t>资</w:t>
            </w:r>
            <w:r>
              <w:rPr>
                <w:rFonts w:ascii="宋体" w:hAnsi="宋体" w:cs="宋体" w:eastAsia="宋体" w:hint="default"/>
                <w:sz w:val="18"/>
                <w:szCs w:val="18"/>
              </w:rPr>
              <w:t> 本公积金转增股本预案的议案</w:t>
            </w:r>
            <w:r>
              <w:rPr>
                <w:rFonts w:ascii="宋体" w:hAnsi="宋体" w:cs="宋体" w:eastAsia="宋体" w:hint="default"/>
                <w:spacing w:val="-89"/>
                <w:sz w:val="18"/>
                <w:szCs w:val="18"/>
              </w:rPr>
              <w:t>》</w:t>
            </w:r>
            <w:r>
              <w:rPr>
                <w:rFonts w:ascii="宋体" w:hAnsi="宋体" w:cs="宋体" w:eastAsia="宋体" w:hint="default"/>
                <w:sz w:val="18"/>
                <w:szCs w:val="18"/>
              </w:rPr>
              <w:t>；</w:t>
            </w:r>
          </w:p>
          <w:p>
            <w:pPr>
              <w:pStyle w:val="TableParagraph"/>
              <w:spacing w:line="300" w:lineRule="auto" w:before="72"/>
              <w:ind w:left="22" w:right="48"/>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92"/>
                <w:sz w:val="18"/>
                <w:szCs w:val="18"/>
              </w:rPr>
              <w:t>、</w:t>
            </w:r>
            <w:r>
              <w:rPr>
                <w:rFonts w:ascii="宋体" w:hAnsi="宋体" w:cs="宋体" w:eastAsia="宋体" w:hint="default"/>
                <w:sz w:val="18"/>
                <w:szCs w:val="18"/>
              </w:rPr>
              <w:t>《关于批准报出</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r>
              <w:rPr>
                <w:rFonts w:ascii="宋体" w:hAnsi="宋体" w:cs="宋体" w:eastAsia="宋体" w:hint="default"/>
                <w:spacing w:val="-3"/>
                <w:sz w:val="18"/>
                <w:szCs w:val="18"/>
              </w:rPr>
              <w:t>报</w:t>
            </w:r>
            <w:r>
              <w:rPr>
                <w:rFonts w:ascii="宋体" w:hAnsi="宋体" w:cs="宋体" w:eastAsia="宋体" w:hint="default"/>
                <w:sz w:val="18"/>
                <w:szCs w:val="18"/>
              </w:rPr>
              <w:t>告</w:t>
            </w:r>
            <w:r>
              <w:rPr>
                <w:rFonts w:ascii="宋体" w:hAnsi="宋体" w:cs="宋体" w:eastAsia="宋体" w:hint="default"/>
                <w:sz w:val="18"/>
                <w:szCs w:val="18"/>
              </w:rPr>
              <w:t> 及摘要的议案</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6</w:t>
            </w:r>
            <w:r>
              <w:rPr>
                <w:rFonts w:ascii="宋体" w:hAnsi="宋体" w:cs="宋体" w:eastAsia="宋体" w:hint="default"/>
                <w:spacing w:val="-92"/>
                <w:sz w:val="18"/>
                <w:szCs w:val="18"/>
              </w:rPr>
              <w:t>、</w:t>
            </w:r>
            <w:r>
              <w:rPr>
                <w:rFonts w:ascii="宋体" w:hAnsi="宋体" w:cs="宋体" w:eastAsia="宋体" w:hint="default"/>
                <w:sz w:val="18"/>
                <w:szCs w:val="18"/>
              </w:rPr>
              <w:t>《关于聘请立信会计师事务所</w:t>
            </w:r>
          </w:p>
          <w:p>
            <w:pPr>
              <w:pStyle w:val="TableParagraph"/>
              <w:spacing w:line="300"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（特殊普通合伙）为公司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宋体" w:hAnsi="宋体" w:cs="宋体" w:eastAsia="宋体" w:hint="default"/>
                <w:spacing w:val="-8"/>
                <w:sz w:val="18"/>
                <w:szCs w:val="18"/>
              </w:rPr>
              <w:t>度财务审计机构的议案》；</w:t>
            </w:r>
          </w:p>
          <w:p>
            <w:pPr>
              <w:pStyle w:val="TableParagraph"/>
              <w:spacing w:line="240" w:lineRule="auto" w:before="72"/>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7</w:t>
            </w:r>
            <w:r>
              <w:rPr>
                <w:rFonts w:ascii="宋体" w:hAnsi="宋体" w:cs="宋体" w:eastAsia="宋体" w:hint="default"/>
                <w:spacing w:val="-176"/>
                <w:sz w:val="18"/>
                <w:szCs w:val="18"/>
              </w:rPr>
              <w:t>、</w:t>
            </w:r>
            <w:r>
              <w:rPr>
                <w:rFonts w:ascii="宋体" w:hAnsi="宋体" w:cs="宋体" w:eastAsia="宋体" w:hint="default"/>
                <w:sz w:val="18"/>
                <w:szCs w:val="18"/>
              </w:rPr>
              <w:t>《关于修</w:t>
            </w:r>
            <w:r>
              <w:rPr>
                <w:rFonts w:ascii="宋体" w:hAnsi="宋体" w:cs="宋体" w:eastAsia="宋体" w:hint="default"/>
                <w:spacing w:val="-1"/>
                <w:sz w:val="18"/>
                <w:szCs w:val="18"/>
              </w:rPr>
              <w:t>订</w:t>
            </w:r>
            <w:r>
              <w:rPr>
                <w:rFonts w:ascii="Times New Roman" w:hAnsi="Times New Roman" w:cs="Times New Roman" w:eastAsia="Times New Roman" w:hint="default"/>
                <w:spacing w:val="-1"/>
                <w:sz w:val="18"/>
                <w:szCs w:val="18"/>
              </w:rPr>
              <w:t>&lt;</w:t>
            </w:r>
            <w:r>
              <w:rPr>
                <w:rFonts w:ascii="宋体" w:hAnsi="宋体" w:cs="宋体" w:eastAsia="宋体" w:hint="default"/>
                <w:sz w:val="18"/>
                <w:szCs w:val="18"/>
              </w:rPr>
              <w:t>公司章程</w:t>
            </w:r>
            <w:r>
              <w:rPr>
                <w:rFonts w:ascii="Times New Roman" w:hAnsi="Times New Roman" w:cs="Times New Roman" w:eastAsia="Times New Roman" w:hint="default"/>
                <w:spacing w:val="-1"/>
                <w:sz w:val="18"/>
                <w:szCs w:val="18"/>
              </w:rPr>
              <w:t>&gt;</w:t>
            </w:r>
            <w:r>
              <w:rPr>
                <w:rFonts w:ascii="宋体" w:hAnsi="宋体" w:cs="宋体" w:eastAsia="宋体" w:hint="default"/>
                <w:sz w:val="18"/>
                <w:szCs w:val="18"/>
              </w:rPr>
              <w:t>的议案》</w:t>
            </w:r>
          </w:p>
        </w:tc>
        <w:tc>
          <w:tcPr>
            <w:tcW w:w="850" w:type="dxa"/>
            <w:tcBorders>
              <w:top w:val="single" w:sz="4" w:space="0" w:color="000000"/>
              <w:left w:val="single" w:sz="4" w:space="0" w:color="000000"/>
              <w:bottom w:val="single" w:sz="4" w:space="0" w:color="000000"/>
              <w:right w:val="single" w:sz="4" w:space="0" w:color="000000"/>
            </w:tcBorders>
            <w:shd w:val="clear" w:color="auto" w:fill="C7EBCC"/>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2095"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0"/>
              <w:ind w:left="24" w:right="0"/>
              <w:jc w:val="both"/>
              <w:rPr>
                <w:rFonts w:ascii="Times New Roman" w:hAnsi="Times New Roman" w:cs="Times New Roman" w:eastAsia="Times New Roman" w:hint="default"/>
                <w:sz w:val="18"/>
                <w:szCs w:val="18"/>
              </w:rPr>
            </w:pPr>
            <w:hyperlink r:id="rId11">
              <w:r>
                <w:rPr>
                  <w:rFonts w:ascii="Times New Roman"/>
                  <w:sz w:val="18"/>
                </w:rPr>
                <w:t>(htt</w:t>
              </w:r>
            </w:hyperlink>
            <w:r>
              <w:rPr>
                <w:rFonts w:ascii="Times New Roman"/>
                <w:sz w:val="18"/>
              </w:rPr>
              <w:t>p</w:t>
            </w:r>
            <w:hyperlink r:id="rId11">
              <w:r>
                <w:rPr>
                  <w:rFonts w:ascii="Times New Roman"/>
                  <w:sz w:val="18"/>
                </w:rPr>
                <w:t>://www.cninfo.com.cn/</w:t>
              </w:r>
            </w:hyperlink>
          </w:p>
          <w:p>
            <w:pPr>
              <w:pStyle w:val="TableParagraph"/>
              <w:spacing w:line="307" w:lineRule="auto" w:before="63"/>
              <w:ind w:left="24" w:right="24"/>
              <w:jc w:val="both"/>
              <w:rPr>
                <w:rFonts w:ascii="宋体" w:hAnsi="宋体" w:cs="宋体" w:eastAsia="宋体" w:hint="default"/>
                <w:sz w:val="18"/>
                <w:szCs w:val="18"/>
              </w:rPr>
            </w:pPr>
            <w:r>
              <w:rPr>
                <w:rFonts w:ascii="Times New Roman" w:hAnsi="Times New Roman" w:cs="Times New Roman" w:eastAsia="Times New Roman" w:hint="default"/>
                <w:spacing w:val="-15"/>
                <w:w w:val="99"/>
                <w:sz w:val="18"/>
                <w:szCs w:val="18"/>
              </w:rPr>
              <w:t>)</w:t>
            </w:r>
            <w:r>
              <w:rPr>
                <w:rFonts w:ascii="宋体" w:hAnsi="宋体" w:cs="宋体" w:eastAsia="宋体" w:hint="default"/>
                <w:spacing w:val="-15"/>
                <w:w w:val="99"/>
                <w:sz w:val="18"/>
                <w:szCs w:val="18"/>
              </w:rPr>
              <w:t>及《证券时报》、《中国证</w:t>
            </w:r>
            <w:r>
              <w:rPr>
                <w:rFonts w:ascii="宋体" w:hAnsi="宋体" w:cs="宋体" w:eastAsia="宋体" w:hint="default"/>
                <w:spacing w:val="-82"/>
                <w:w w:val="99"/>
                <w:sz w:val="18"/>
                <w:szCs w:val="18"/>
              </w:rPr>
              <w:t> </w:t>
            </w:r>
            <w:r>
              <w:rPr>
                <w:rFonts w:ascii="宋体" w:hAnsi="宋体" w:cs="宋体" w:eastAsia="宋体" w:hint="default"/>
                <w:spacing w:val="-82"/>
                <w:w w:val="99"/>
                <w:sz w:val="18"/>
                <w:szCs w:val="18"/>
              </w:rPr>
            </w:r>
            <w:r>
              <w:rPr>
                <w:rFonts w:ascii="宋体" w:hAnsi="宋体" w:cs="宋体" w:eastAsia="宋体" w:hint="default"/>
                <w:spacing w:val="-16"/>
                <w:w w:val="99"/>
                <w:sz w:val="18"/>
                <w:szCs w:val="18"/>
              </w:rPr>
              <w:t>券报》、《上海证券报》上</w:t>
            </w:r>
            <w:r>
              <w:rPr>
                <w:rFonts w:ascii="宋体" w:hAnsi="宋体" w:cs="宋体" w:eastAsia="宋体" w:hint="default"/>
                <w:spacing w:val="-82"/>
                <w:w w:val="99"/>
                <w:sz w:val="18"/>
                <w:szCs w:val="18"/>
              </w:rPr>
              <w:t> </w:t>
            </w:r>
            <w:r>
              <w:rPr>
                <w:rFonts w:ascii="宋体" w:hAnsi="宋体" w:cs="宋体" w:eastAsia="宋体" w:hint="default"/>
                <w:spacing w:val="-82"/>
                <w:w w:val="99"/>
                <w:sz w:val="18"/>
                <w:szCs w:val="18"/>
              </w:rPr>
            </w:r>
            <w:r>
              <w:rPr>
                <w:rFonts w:ascii="宋体" w:hAnsi="宋体" w:cs="宋体" w:eastAsia="宋体" w:hint="default"/>
                <w:sz w:val="18"/>
                <w:szCs w:val="18"/>
              </w:rPr>
              <w:t>的《</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年度股东大会决</w:t>
            </w:r>
            <w:r>
              <w:rPr>
                <w:rFonts w:ascii="宋体" w:hAnsi="宋体" w:cs="宋体" w:eastAsia="宋体" w:hint="default"/>
                <w:w w:val="99"/>
                <w:sz w:val="18"/>
                <w:szCs w:val="18"/>
              </w:rPr>
              <w:t> </w:t>
            </w:r>
            <w:r>
              <w:rPr>
                <w:rFonts w:ascii="宋体" w:hAnsi="宋体" w:cs="宋体" w:eastAsia="宋体" w:hint="default"/>
                <w:spacing w:val="-11"/>
                <w:w w:val="99"/>
                <w:sz w:val="18"/>
                <w:szCs w:val="18"/>
              </w:rPr>
              <w:t>议公告》（公告编号</w:t>
            </w:r>
            <w:r>
              <w:rPr>
                <w:rFonts w:ascii="宋体" w:hAnsi="宋体" w:cs="宋体" w:eastAsia="宋体" w:hint="default"/>
                <w:spacing w:val="-11"/>
                <w:sz w:val="18"/>
                <w:szCs w:val="18"/>
              </w:rPr>
            </w:r>
          </w:p>
          <w:p>
            <w:pPr>
              <w:pStyle w:val="TableParagraph"/>
              <w:spacing w:line="240" w:lineRule="auto" w:before="26"/>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2014-019</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6"/>
        <w:ind w:left="392" w:right="5725"/>
        <w:jc w:val="left"/>
        <w:rPr>
          <w:b w:val="0"/>
          <w:bCs w:val="0"/>
        </w:rPr>
      </w:pPr>
      <w:r>
        <w:rPr/>
        <w:pict>
          <v:shape style="position:absolute;margin-left:327.166992pt;margin-top:-229.946335pt;width:48.3pt;height:216.9pt;mso-position-horizontal-relative:page;mso-position-vertical-relative:paragraph;z-index:-75025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7"/>
                      <w:szCs w:val="17"/>
                    </w:rPr>
                  </w:pPr>
                </w:p>
                <w:p>
                  <w:pPr>
                    <w:pStyle w:val="BodyText"/>
                    <w:spacing w:line="240" w:lineRule="auto"/>
                    <w:ind w:left="0" w:right="0"/>
                    <w:jc w:val="left"/>
                  </w:pPr>
                  <w:r>
                    <w:rPr/>
                    <w:t>。</w:t>
                  </w:r>
                </w:p>
              </w:txbxContent>
            </v:textbox>
            <w10:wrap type="none"/>
          </v:shape>
        </w:pict>
      </w:r>
      <w:r>
        <w:rPr>
          <w:rFonts w:ascii="Times New Roman" w:hAnsi="Times New Roman" w:cs="Times New Roman" w:eastAsia="Times New Roman" w:hint="default"/>
        </w:rPr>
        <w:t>2</w:t>
      </w:r>
      <w:r>
        <w:rPr/>
        <w:t>、本报告期临时股东大会情况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392" w:right="5725"/>
        <w:jc w:val="left"/>
      </w:pPr>
      <w:r>
        <w:rPr/>
        <w:t>本报告期内未发生临时股东大会情况</w:t>
      </w:r>
    </w:p>
    <w:p>
      <w:pPr>
        <w:spacing w:line="240" w:lineRule="auto" w:before="0"/>
        <w:rPr>
          <w:rFonts w:ascii="宋体" w:hAnsi="宋体" w:cs="宋体" w:eastAsia="宋体" w:hint="default"/>
          <w:sz w:val="18"/>
          <w:szCs w:val="18"/>
        </w:rPr>
      </w:pPr>
    </w:p>
    <w:p>
      <w:pPr>
        <w:pStyle w:val="Heading3"/>
        <w:spacing w:line="240" w:lineRule="auto" w:before="118"/>
        <w:ind w:left="392" w:right="454"/>
        <w:jc w:val="left"/>
        <w:rPr>
          <w:b w:val="0"/>
          <w:bCs w:val="0"/>
        </w:rPr>
      </w:pPr>
      <w:r>
        <w:rPr>
          <w:rFonts w:ascii="Times New Roman" w:hAnsi="Times New Roman" w:cs="Times New Roman" w:eastAsia="Times New Roman" w:hint="default"/>
        </w:rPr>
        <w:t>3</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392" w:right="572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392" w:right="5725"/>
        <w:jc w:val="left"/>
        <w:rPr>
          <w:b w:val="0"/>
          <w:bCs w:val="0"/>
        </w:rPr>
      </w:pPr>
      <w:r>
        <w:rPr/>
        <w:t>三、报告期内独立董事履行职责的情况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392" w:right="5725"/>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387"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77" w:right="27"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石本仁</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张华</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徐印州</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360" w:lineRule="auto" w:before="49"/>
        <w:ind w:left="392" w:right="5134"/>
        <w:jc w:val="left"/>
      </w:pPr>
      <w:r>
        <w:rPr/>
        <w:t>连续两次未亲自出席董事会的说明 报告期内，公司独立董事无连续两次未亲自出席董事会的情况。</w:t>
      </w:r>
    </w:p>
    <w:p>
      <w:pPr>
        <w:spacing w:line="240" w:lineRule="auto" w:before="2"/>
        <w:rPr>
          <w:rFonts w:ascii="宋体" w:hAnsi="宋体" w:cs="宋体" w:eastAsia="宋体" w:hint="default"/>
          <w:sz w:val="20"/>
          <w:szCs w:val="20"/>
        </w:rPr>
      </w:pPr>
    </w:p>
    <w:p>
      <w:pPr>
        <w:pStyle w:val="Heading3"/>
        <w:spacing w:line="240" w:lineRule="auto"/>
        <w:ind w:left="392" w:right="5725"/>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392" w:right="5725"/>
        <w:jc w:val="left"/>
      </w:pPr>
      <w:r>
        <w:rPr/>
        <w:t>独立董事对公司有关事项是否提出异议</w:t>
      </w:r>
    </w:p>
    <w:p>
      <w:pPr>
        <w:pStyle w:val="BodyText"/>
        <w:spacing w:line="340" w:lineRule="auto" w:before="117"/>
        <w:ind w:left="392" w:right="63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after="0" w:line="340" w:lineRule="auto"/>
        <w:jc w:val="left"/>
        <w:sectPr>
          <w:pgSz w:w="11910" w:h="16840"/>
          <w:pgMar w:header="745" w:footer="980" w:top="1060" w:bottom="1160" w:left="740" w:right="58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t>独立董事对公司有关建议是否被采纳</w:t>
      </w:r>
    </w:p>
    <w:p>
      <w:pPr>
        <w:pStyle w:val="BodyText"/>
        <w:spacing w:line="340" w:lineRule="auto" w:before="115"/>
        <w:ind w:right="58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316" w:lineRule="auto" w:before="41"/>
        <w:ind w:right="150" w:firstLine="360"/>
        <w:jc w:val="both"/>
      </w:pPr>
      <w:r>
        <w:rPr>
          <w:spacing w:val="-2"/>
        </w:rPr>
        <w:t>公司独立董事根据《公司法》、《证券法》、《公司章程》、《独立董事工作制度》和《深圳证券交易所中小企业板上</w:t>
      </w:r>
      <w:r>
        <w:rPr/>
        <w:t> </w:t>
      </w:r>
      <w:r>
        <w:rPr>
          <w:spacing w:val="-2"/>
        </w:rPr>
        <w:t>市公司规范运作指引》等法律法规的规定，独立履行职责，认真行使公司所赋予的权利，关注公司运作的规范性，及时了解</w:t>
      </w:r>
      <w:r>
        <w:rPr>
          <w:spacing w:val="-67"/>
        </w:rPr>
        <w:t> </w:t>
      </w:r>
      <w:r>
        <w:rPr>
          <w:spacing w:val="-67"/>
        </w:rPr>
      </w:r>
      <w:r>
        <w:rPr>
          <w:spacing w:val="-2"/>
        </w:rPr>
        <w:t>公司的生产经营信息和重大事项进展情况，为公司的制度完善和日常经营、发展提出了许多宝贵的专业性意见和建议。报告</w:t>
      </w:r>
      <w:r>
        <w:rPr>
          <w:spacing w:val="-63"/>
        </w:rPr>
        <w:t> </w:t>
      </w:r>
      <w:r>
        <w:rPr>
          <w:spacing w:val="-63"/>
        </w:rPr>
      </w:r>
      <w:r>
        <w:rPr>
          <w:spacing w:val="-2"/>
        </w:rPr>
        <w:t>期内，公司独立董事对公司的关联交易、对外担保、关联方占用资金情况、聘请年度报告审计机构、内部控制自我评价、年</w:t>
      </w:r>
      <w:r>
        <w:rPr>
          <w:spacing w:val="-70"/>
        </w:rPr>
        <w:t> </w:t>
      </w:r>
      <w:r>
        <w:rPr>
          <w:spacing w:val="-70"/>
        </w:rPr>
      </w:r>
      <w:r>
        <w:rPr>
          <w:spacing w:val="-2"/>
        </w:rPr>
        <w:t>度利润分配预案、股权激励调整与终止实施、设立全资子公司等需要独立董事发表意见的事项发表了独立、公正的独立董事</w:t>
      </w:r>
      <w:r>
        <w:rPr>
          <w:spacing w:val="-63"/>
        </w:rPr>
        <w:t> </w:t>
      </w:r>
      <w:r>
        <w:rPr>
          <w:spacing w:val="-63"/>
        </w:rPr>
      </w:r>
      <w:r>
        <w:rPr/>
        <w:t>意见，为完善公司监督机制，维护公司和全体股东的合法权益发挥了应有的作用。</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r>
        <w:rPr/>
        <w:t>四、董事会下设专门委员会在报告期内履行职责情况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3" w:firstLine="360"/>
        <w:jc w:val="both"/>
      </w:pPr>
      <w:r>
        <w:rPr>
          <w:spacing w:val="-2"/>
        </w:rPr>
        <w:t>公司董事会下设四个专门委员会分别为：审计委员会、战略发展委员会、薪酬与考核委员会、提名委员会。各专门委员</w:t>
      </w:r>
      <w:r>
        <w:rPr/>
        <w:t> </w:t>
      </w:r>
      <w:r>
        <w:rPr>
          <w:spacing w:val="-2"/>
        </w:rPr>
        <w:t>会依据公司董事会所制定的各专门委员会实施细则规定的职权范围，就专业性事项进行研究，提出意见及建议，供董事会决</w:t>
      </w:r>
      <w:r>
        <w:rPr>
          <w:spacing w:val="-66"/>
        </w:rPr>
        <w:t> </w:t>
      </w:r>
      <w:r>
        <w:rPr>
          <w:spacing w:val="-66"/>
        </w:rPr>
      </w:r>
      <w:r>
        <w:rPr/>
        <w:t>策参考。报告期内，各专门委员会在履行职责时所提出的重要意见和建议如下：</w:t>
      </w:r>
    </w:p>
    <w:p>
      <w:pPr>
        <w:pStyle w:val="BodyText"/>
        <w:spacing w:line="300" w:lineRule="auto" w:before="19"/>
        <w:ind w:left="513" w:right="146"/>
        <w:jc w:val="left"/>
      </w:pPr>
      <w:r>
        <w:rPr>
          <w:rFonts w:ascii="Times New Roman" w:hAnsi="Times New Roman" w:cs="Times New Roman" w:eastAsia="Times New Roman" w:hint="default"/>
        </w:rPr>
        <w:t>1</w:t>
      </w:r>
      <w:r>
        <w:rPr/>
        <w:t>、审计委员会： </w:t>
      </w:r>
      <w:r>
        <w:rPr>
          <w:spacing w:val="-2"/>
        </w:rPr>
        <w:t>审计委员会在年审注册会计师进场前发表审阅公司财务报表的重要书面意见如下：我们审阅了广州御银科技股份有限公</w:t>
      </w:r>
    </w:p>
    <w:p>
      <w:pPr>
        <w:pStyle w:val="BodyText"/>
        <w:spacing w:line="300" w:lineRule="auto" w:before="31"/>
        <w:ind w:right="149"/>
        <w:jc w:val="both"/>
      </w:pPr>
      <w:r>
        <w:rPr>
          <w:spacing w:val="-2"/>
        </w:rPr>
        <w:t>司审计报告（征求意见稿）中的</w:t>
      </w:r>
      <w:r>
        <w:rPr>
          <w:rFonts w:ascii="Times New Roman" w:hAnsi="Times New Roman" w:cs="Times New Roman" w:eastAsia="Times New Roman" w:hint="default"/>
          <w:spacing w:val="-2"/>
        </w:rPr>
        <w:t>2013</w:t>
      </w:r>
      <w:r>
        <w:rPr>
          <w:spacing w:val="-2"/>
        </w:rPr>
        <w:t>年度的财务报表，包括</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日的合并和公司资产负债表及合并和公司股东权益</w:t>
      </w:r>
      <w:r>
        <w:rPr>
          <w:spacing w:val="-59"/>
        </w:rPr>
        <w:t> </w:t>
      </w:r>
      <w:r>
        <w:rPr>
          <w:spacing w:val="-59"/>
        </w:rPr>
      </w:r>
      <w:r>
        <w:rPr>
          <w:spacing w:val="-2"/>
        </w:rPr>
        <w:t>变动表，</w:t>
      </w:r>
      <w:r>
        <w:rPr>
          <w:rFonts w:ascii="Times New Roman" w:hAnsi="Times New Roman" w:cs="Times New Roman" w:eastAsia="Times New Roman" w:hint="default"/>
          <w:spacing w:val="-2"/>
        </w:rPr>
        <w:t>2013</w:t>
      </w:r>
      <w:r>
        <w:rPr>
          <w:spacing w:val="-2"/>
        </w:rPr>
        <w:t>年度的合并和公司利润表，</w:t>
      </w:r>
      <w:r>
        <w:rPr>
          <w:rFonts w:ascii="Times New Roman" w:hAnsi="Times New Roman" w:cs="Times New Roman" w:eastAsia="Times New Roman" w:hint="default"/>
          <w:spacing w:val="-2"/>
        </w:rPr>
        <w:t>2013</w:t>
      </w:r>
      <w:r>
        <w:rPr>
          <w:spacing w:val="-2"/>
        </w:rPr>
        <w:t>年度的合并和公司现金流量表。我们认为公司管理层能够按照企业会计准则的</w:t>
      </w:r>
      <w:r>
        <w:rPr>
          <w:spacing w:val="-57"/>
        </w:rPr>
        <w:t> </w:t>
      </w:r>
      <w:r>
        <w:rPr>
          <w:spacing w:val="-57"/>
        </w:rPr>
      </w:r>
      <w:r>
        <w:rPr/>
        <w:t>规定设计、实施和维护财务报表，选择和运用恰当的会计政策、会计估计来编制财务报表，在所有重大方面反映公司</w:t>
      </w:r>
      <w:r>
        <w:rPr>
          <w:rFonts w:ascii="Times New Roman" w:hAnsi="Times New Roman" w:cs="Times New Roman" w:eastAsia="Times New Roman" w:hint="default"/>
        </w:rPr>
        <w:t>2013</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日的财务状况、</w:t>
      </w:r>
      <w:r>
        <w:rPr>
          <w:rFonts w:ascii="Times New Roman" w:hAnsi="Times New Roman" w:cs="Times New Roman" w:eastAsia="Times New Roman" w:hint="default"/>
        </w:rPr>
        <w:t>2013</w:t>
      </w:r>
      <w:r>
        <w:rPr/>
        <w:t>年度的经营成果和现金流量状况。</w:t>
      </w:r>
    </w:p>
    <w:p>
      <w:pPr>
        <w:pStyle w:val="BodyText"/>
        <w:spacing w:line="319" w:lineRule="auto" w:before="13"/>
        <w:ind w:right="149" w:firstLine="360"/>
        <w:jc w:val="both"/>
      </w:pPr>
      <w:r>
        <w:rPr>
          <w:spacing w:val="-2"/>
        </w:rPr>
        <w:t>报告期内，公司董事会审计委员会能够按照相关规定，审核了公司财务信息及其披露情况，定期了解公司财务状况和经</w:t>
      </w:r>
      <w:r>
        <w:rPr/>
        <w:t> </w:t>
      </w:r>
      <w:r>
        <w:rPr>
          <w:spacing w:val="-2"/>
        </w:rPr>
        <w:t>营情况，对公司审计部提交的年度季度经营审计报告、内部控制自我评价报告、内部审计工作计划、外部审计机构的工作总</w:t>
      </w:r>
      <w:r>
        <w:rPr>
          <w:spacing w:val="-65"/>
        </w:rPr>
        <w:t> </w:t>
      </w:r>
      <w:r>
        <w:rPr>
          <w:spacing w:val="-65"/>
        </w:rPr>
      </w:r>
      <w:r>
        <w:rPr>
          <w:spacing w:val="-2"/>
        </w:rPr>
        <w:t>结报告、续聘会计师事务所等事项进行审议等相关事项讨论后，形成决议提交公司董事会进行审议，督促和指导内部审计部</w:t>
      </w:r>
      <w:r>
        <w:rPr>
          <w:spacing w:val="-62"/>
        </w:rPr>
        <w:t> </w:t>
      </w:r>
      <w:r>
        <w:rPr>
          <w:spacing w:val="-62"/>
        </w:rPr>
      </w:r>
      <w:r>
        <w:rPr/>
        <w:t>门对公司的内部控制体系建设、运行情况及财务管理运行情况进行检查。</w:t>
      </w:r>
    </w:p>
    <w:p>
      <w:pPr>
        <w:pStyle w:val="BodyText"/>
        <w:spacing w:line="240" w:lineRule="auto" w:before="17"/>
        <w:ind w:left="513" w:right="146"/>
        <w:jc w:val="left"/>
      </w:pPr>
      <w:r>
        <w:rPr>
          <w:rFonts w:ascii="Times New Roman" w:hAnsi="Times New Roman" w:cs="Times New Roman" w:eastAsia="Times New Roman" w:hint="default"/>
        </w:rPr>
        <w:t>2</w:t>
      </w:r>
      <w:r>
        <w:rPr/>
        <w:t>、战略委员会：</w:t>
      </w:r>
    </w:p>
    <w:p>
      <w:pPr>
        <w:pStyle w:val="BodyText"/>
        <w:spacing w:line="300" w:lineRule="auto" w:before="63"/>
        <w:ind w:right="150" w:firstLine="360"/>
        <w:jc w:val="both"/>
      </w:pPr>
      <w:r>
        <w:rPr>
          <w:rFonts w:ascii="Times New Roman" w:hAnsi="Times New Roman" w:cs="Times New Roman" w:eastAsia="Times New Roman" w:hint="default"/>
          <w:spacing w:val="-2"/>
        </w:rPr>
        <w:t>2014</w:t>
      </w:r>
      <w:r>
        <w:rPr>
          <w:spacing w:val="-2"/>
        </w:rPr>
        <w:t>年第一次会议中提出：为推进公司互联网金融业务发展，抓住互联网金融产业蓬勃发展的机遇，公司拟设立全资子</w:t>
      </w:r>
      <w:r>
        <w:rPr/>
        <w:t> 公司广州御银信息科技有限公司，专注于互联网金融领域，注册资本为人民币</w:t>
      </w:r>
      <w:r>
        <w:rPr>
          <w:rFonts w:ascii="Times New Roman" w:hAnsi="Times New Roman" w:cs="Times New Roman" w:eastAsia="Times New Roman" w:hint="default"/>
        </w:rPr>
        <w:t>3,000</w:t>
      </w:r>
      <w:r>
        <w:rPr/>
        <w:t>万元。并审议通过广州御银信息科技有</w:t>
      </w:r>
      <w:r>
        <w:rPr>
          <w:spacing w:val="-40"/>
        </w:rPr>
        <w:t> </w:t>
      </w:r>
      <w:r>
        <w:rPr>
          <w:spacing w:val="-40"/>
        </w:rPr>
      </w:r>
      <w:r>
        <w:rPr/>
        <w:t>限公司章程。</w:t>
      </w:r>
    </w:p>
    <w:p>
      <w:pPr>
        <w:pStyle w:val="BodyText"/>
        <w:spacing w:line="240" w:lineRule="auto" w:before="31"/>
        <w:ind w:left="513" w:right="146"/>
        <w:jc w:val="left"/>
      </w:pPr>
      <w:r>
        <w:rPr>
          <w:rFonts w:ascii="Times New Roman" w:hAnsi="Times New Roman" w:cs="Times New Roman" w:eastAsia="Times New Roman" w:hint="default"/>
        </w:rPr>
        <w:t>3</w:t>
      </w:r>
      <w:r>
        <w:rPr/>
        <w:t>、薪酬与考核委员会</w:t>
      </w:r>
    </w:p>
    <w:p>
      <w:pPr>
        <w:pStyle w:val="BodyText"/>
        <w:spacing w:line="307" w:lineRule="auto" w:before="63"/>
        <w:ind w:right="148" w:firstLine="360"/>
        <w:jc w:val="both"/>
      </w:pPr>
      <w:r>
        <w:rPr>
          <w:rFonts w:ascii="Times New Roman" w:hAnsi="Times New Roman" w:cs="Times New Roman" w:eastAsia="Times New Roman" w:hint="default"/>
          <w:spacing w:val="-2"/>
        </w:rPr>
        <w:t>2014</w:t>
      </w:r>
      <w:r>
        <w:rPr>
          <w:spacing w:val="-2"/>
        </w:rPr>
        <w:t>年初，董事会薪酬与考核委员会依据法律、法规以及《公司章程》、《薪酬与考核委员会工作细则》的规定，结合</w:t>
      </w:r>
      <w:r>
        <w:rPr/>
        <w:t> </w:t>
      </w:r>
      <w:r>
        <w:rPr>
          <w:spacing w:val="-2"/>
        </w:rPr>
        <w:t>公司</w:t>
      </w:r>
      <w:r>
        <w:rPr>
          <w:rFonts w:ascii="Times New Roman" w:hAnsi="Times New Roman" w:cs="Times New Roman" w:eastAsia="Times New Roman" w:hint="default"/>
          <w:spacing w:val="-2"/>
        </w:rPr>
        <w:t>2013</w:t>
      </w:r>
      <w:r>
        <w:rPr>
          <w:spacing w:val="-2"/>
        </w:rPr>
        <w:t>年度经营管理目标、绩效考核标准和程序，对以下事项进行了审核并出具书面审核意见：对公司</w:t>
      </w:r>
      <w:r>
        <w:rPr>
          <w:rFonts w:ascii="Times New Roman" w:hAnsi="Times New Roman" w:cs="Times New Roman" w:eastAsia="Times New Roman" w:hint="default"/>
          <w:spacing w:val="-2"/>
        </w:rPr>
        <w:t>2013</w:t>
      </w:r>
      <w:r>
        <w:rPr>
          <w:spacing w:val="-2"/>
        </w:rPr>
        <w:t>年度定期报告</w:t>
      </w:r>
      <w:r>
        <w:rPr>
          <w:spacing w:val="-58"/>
        </w:rPr>
        <w:t> </w:t>
      </w:r>
      <w:r>
        <w:rPr>
          <w:spacing w:val="-58"/>
        </w:rPr>
      </w:r>
      <w:r>
        <w:rPr>
          <w:spacing w:val="-2"/>
        </w:rPr>
        <w:t>中披露的关于公司董事、监事和高级管理人员的薪酬进行了审核，出具书面审核意见认为：报告期内的薪酬支付符合公司的</w:t>
      </w:r>
      <w:r>
        <w:rPr>
          <w:spacing w:val="-63"/>
        </w:rPr>
        <w:t> </w:t>
      </w:r>
      <w:r>
        <w:rPr>
          <w:spacing w:val="-63"/>
        </w:rPr>
      </w:r>
      <w:r>
        <w:rPr/>
        <w:t>绩效考核体系，其薪酬总额包括了公司获得的各项报酬，真实反映了报告期公司董事、监事和高级管理人员的薪酬状况。</w:t>
      </w:r>
    </w:p>
    <w:p>
      <w:pPr>
        <w:pStyle w:val="BodyText"/>
        <w:spacing w:line="314" w:lineRule="auto" w:before="26"/>
        <w:ind w:right="148" w:firstLine="360"/>
        <w:jc w:val="both"/>
      </w:pPr>
      <w:r>
        <w:rPr>
          <w:rFonts w:ascii="Times New Roman" w:hAnsi="Times New Roman" w:cs="Times New Roman" w:eastAsia="Times New Roman" w:hint="default"/>
          <w:spacing w:val="-2"/>
        </w:rPr>
        <w:t>2014</w:t>
      </w:r>
      <w:r>
        <w:rPr>
          <w:spacing w:val="-2"/>
        </w:rPr>
        <w:t>年第一次会议中提出：公司实施股票期权激励计划的目的在于建立健全公司的激励约束机制，充分调动核心骨干员</w:t>
      </w:r>
      <w:r>
        <w:rPr/>
        <w:t> </w:t>
      </w:r>
      <w:r>
        <w:rPr>
          <w:spacing w:val="-2"/>
        </w:rPr>
        <w:t>工的积极性，促进公司持续、健康的发展。但是自公司推出股票期权激励计划以来，国内外宏观经济形势和资本市场环境发</w:t>
      </w:r>
      <w:r>
        <w:rPr>
          <w:spacing w:val="-62"/>
        </w:rPr>
        <w:t> </w:t>
      </w:r>
      <w:r>
        <w:rPr>
          <w:spacing w:val="-62"/>
        </w:rPr>
      </w:r>
      <w:r>
        <w:rPr>
          <w:spacing w:val="-2"/>
        </w:rPr>
        <w:t>生了较大变化，目前整体趋势仍不明朗，同时为加快主业拓展，公司也引进一批中高端的复合型管理、技术和销售人才，该</w:t>
      </w:r>
      <w:r>
        <w:rPr>
          <w:spacing w:val="-67"/>
        </w:rPr>
        <w:t> </w:t>
      </w:r>
      <w:r>
        <w:rPr>
          <w:spacing w:val="-67"/>
        </w:rPr>
      </w:r>
      <w:r>
        <w:rPr>
          <w:spacing w:val="-2"/>
        </w:rPr>
        <w:t>部分人才将为公司新产品研发、市场开拓等做出重要贡献，股权激励计划无法覆盖公司现任高管及新进骨干核心员工，若继</w:t>
      </w:r>
      <w:r>
        <w:rPr>
          <w:spacing w:val="-65"/>
        </w:rPr>
        <w:t> </w:t>
      </w:r>
      <w:r>
        <w:rPr>
          <w:spacing w:val="-65"/>
        </w:rPr>
      </w:r>
      <w:r>
        <w:rPr>
          <w:spacing w:val="-2"/>
        </w:rPr>
        <w:t>续实施公司股权激励计划将无法达到预期的激励效果。鉴于上述原因，拟终止正在实施的股票期权激励计划并注销首次授予</w:t>
      </w:r>
      <w:r>
        <w:rPr>
          <w:spacing w:val="-64"/>
        </w:rPr>
        <w:t> </w:t>
      </w:r>
      <w:r>
        <w:rPr>
          <w:spacing w:val="-64"/>
        </w:rPr>
      </w:r>
      <w:r>
        <w:rPr/>
        <w:t>股票期权的激励对象</w:t>
      </w:r>
      <w:r>
        <w:rPr>
          <w:rFonts w:ascii="Times New Roman" w:hAnsi="Times New Roman" w:cs="Times New Roman" w:eastAsia="Times New Roman" w:hint="default"/>
        </w:rPr>
        <w:t>17</w:t>
      </w:r>
      <w:r>
        <w:rPr/>
        <w:t>人的已授予未行权股票期权</w:t>
      </w:r>
      <w:r>
        <w:rPr>
          <w:rFonts w:ascii="Times New Roman" w:hAnsi="Times New Roman" w:cs="Times New Roman" w:eastAsia="Times New Roman" w:hint="default"/>
        </w:rPr>
        <w:t>149.396</w:t>
      </w:r>
      <w:r>
        <w:rPr/>
        <w:t>万份。</w:t>
      </w:r>
    </w:p>
    <w:p>
      <w:pPr>
        <w:pStyle w:val="BodyText"/>
        <w:spacing w:line="300" w:lineRule="auto" w:before="1"/>
        <w:ind w:left="513" w:right="146"/>
        <w:jc w:val="left"/>
      </w:pPr>
      <w:r>
        <w:rPr>
          <w:rFonts w:ascii="Times New Roman" w:hAnsi="Times New Roman" w:cs="Times New Roman" w:eastAsia="Times New Roman" w:hint="default"/>
        </w:rPr>
        <w:t>4</w:t>
      </w:r>
      <w:r>
        <w:rPr/>
        <w:t>、提名委员会： </w:t>
      </w:r>
      <w:r>
        <w:rPr>
          <w:spacing w:val="-2"/>
        </w:rPr>
        <w:t>报告期内，提名委员会委员根据公司《董事会提名委员会工作细则》规定履行职责，进一步完善公司治理结构，规范公</w:t>
      </w:r>
    </w:p>
    <w:p>
      <w:pPr>
        <w:spacing w:after="0" w:line="30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94"/>
        <w:jc w:val="left"/>
      </w:pPr>
      <w:r>
        <w:rPr/>
        <w:t>司董事和经理人员选聘程序。</w:t>
      </w:r>
    </w:p>
    <w:p>
      <w:pPr>
        <w:spacing w:line="240" w:lineRule="auto" w:before="4"/>
        <w:rPr>
          <w:rFonts w:ascii="宋体" w:hAnsi="宋体" w:cs="宋体" w:eastAsia="宋体" w:hint="default"/>
          <w:sz w:val="25"/>
          <w:szCs w:val="25"/>
        </w:rPr>
      </w:pPr>
    </w:p>
    <w:p>
      <w:pPr>
        <w:pStyle w:val="Heading2"/>
        <w:spacing w:line="240" w:lineRule="auto"/>
        <w:ind w:right="94"/>
        <w:jc w:val="left"/>
        <w:rPr>
          <w:b w:val="0"/>
          <w:bCs w:val="0"/>
        </w:rPr>
      </w:pPr>
      <w:r>
        <w:rPr/>
        <w:t>五、监事会工作情况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t>监事会在报告期内的监督活动中发现公司是否存在风险</w:t>
      </w:r>
    </w:p>
    <w:p>
      <w:pPr>
        <w:pStyle w:val="BodyText"/>
        <w:spacing w:line="340" w:lineRule="auto" w:before="115"/>
        <w:ind w:right="67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94"/>
        <w:jc w:val="left"/>
        <w:rPr>
          <w:b w:val="0"/>
          <w:bCs w:val="0"/>
        </w:rPr>
      </w:pPr>
      <w:r>
        <w:rPr/>
        <w:t>六、公司相对于控股股东在业务、人员、资产、机构、财务等方面的独立完整情况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2" w:firstLine="360"/>
        <w:jc w:val="both"/>
      </w:pPr>
      <w:r>
        <w:rPr>
          <w:spacing w:val="-2"/>
        </w:rPr>
        <w:t>公司自成立以来，严格按照《公司法》、《证券法》等相关法律法规的规定，以及《公司章程》的要求规范运作，在业</w:t>
      </w:r>
      <w:r>
        <w:rPr/>
        <w:t> </w:t>
      </w:r>
      <w:r>
        <w:rPr>
          <w:spacing w:val="-2"/>
        </w:rPr>
        <w:t>务、资产、人员、机构和财务等方面与控股股东完全分开和独立，公司具有独立的供应、生产和销售系统，具有独立、完整</w:t>
      </w:r>
      <w:r>
        <w:rPr>
          <w:spacing w:val="-73"/>
        </w:rPr>
        <w:t> </w:t>
      </w:r>
      <w:r>
        <w:rPr>
          <w:spacing w:val="-73"/>
        </w:rPr>
      </w:r>
      <w:r>
        <w:rPr/>
        <w:t>的业务体系和自主经营能力。</w:t>
      </w:r>
    </w:p>
    <w:p>
      <w:pPr>
        <w:pStyle w:val="BodyText"/>
        <w:spacing w:line="300" w:lineRule="auto" w:before="19"/>
        <w:ind w:right="201" w:firstLine="360"/>
        <w:jc w:val="both"/>
      </w:pPr>
      <w:r>
        <w:rPr>
          <w:rFonts w:ascii="Times New Roman" w:hAnsi="Times New Roman" w:cs="Times New Roman" w:eastAsia="Times New Roman" w:hint="default"/>
        </w:rPr>
        <w:t>1</w:t>
      </w:r>
      <w:r>
        <w:rPr/>
        <w:t>、业务方面：公司在拥有独立的研发、采购、生产和销售系统，业务机构完整，具有独立面向市场的能力。公司独立 于控股股东和其他关联方，独立开展业务，独立核算和决策，独立承担责任与风险。</w:t>
      </w:r>
    </w:p>
    <w:p>
      <w:pPr>
        <w:pStyle w:val="BodyText"/>
        <w:spacing w:line="300" w:lineRule="auto" w:before="31"/>
        <w:ind w:right="199" w:firstLine="360"/>
        <w:jc w:val="both"/>
      </w:pPr>
      <w:r>
        <w:rPr>
          <w:rFonts w:ascii="Times New Roman" w:hAnsi="Times New Roman" w:cs="Times New Roman" w:eastAsia="Times New Roman" w:hint="default"/>
        </w:rPr>
        <w:t>2</w:t>
      </w:r>
      <w:r>
        <w:rPr/>
        <w:t>、资产方面：公司的资产独立完整、权属明细，拥有独立的生产系统和辅助生产系统以及配套设施。公司与控股股东 的产权关系明确，不存在无偿占有或使用而损害公司利益的情况。</w:t>
      </w:r>
    </w:p>
    <w:p>
      <w:pPr>
        <w:pStyle w:val="BodyText"/>
        <w:spacing w:line="309" w:lineRule="auto" w:before="31"/>
        <w:ind w:right="191" w:firstLine="360"/>
        <w:jc w:val="both"/>
      </w:pPr>
      <w:r>
        <w:rPr>
          <w:rFonts w:ascii="Times New Roman" w:hAnsi="Times New Roman" w:cs="Times New Roman" w:eastAsia="Times New Roman" w:hint="default"/>
        </w:rPr>
        <w:t>3</w:t>
      </w:r>
      <w:r>
        <w:rPr/>
        <w:t>、人员方面：公司与控股股东在劳动、人事、工资管理上完全独立；公司的总经理、副总经理、董事会秘书、财务总 </w:t>
      </w:r>
      <w:r>
        <w:rPr>
          <w:spacing w:val="-2"/>
        </w:rPr>
        <w:t>监等高级管理人员均在本公司工作，并在本公司领取报酬，未在股东单位及其关联企业领取报酬或担任除董事、监事以外的</w:t>
      </w:r>
      <w:r>
        <w:rPr>
          <w:spacing w:val="-63"/>
        </w:rPr>
        <w:t> </w:t>
      </w:r>
      <w:r>
        <w:rPr>
          <w:spacing w:val="-63"/>
        </w:rPr>
      </w:r>
      <w:r>
        <w:rPr/>
        <w:t>职务。</w:t>
      </w:r>
    </w:p>
    <w:p>
      <w:pPr>
        <w:pStyle w:val="BodyText"/>
        <w:spacing w:line="312" w:lineRule="auto" w:before="24"/>
        <w:ind w:right="195" w:firstLine="360"/>
        <w:jc w:val="both"/>
      </w:pPr>
      <w:r>
        <w:rPr>
          <w:rFonts w:ascii="Times New Roman" w:hAnsi="Times New Roman" w:cs="Times New Roman" w:eastAsia="Times New Roman" w:hint="default"/>
        </w:rPr>
        <w:t>4</w:t>
      </w:r>
      <w:r>
        <w:rPr/>
        <w:t>、机构方面：公司根据《公司章程》和内部管理制度体系建立了规范的法人治理结构，设置了独立的、符合公司自身 </w:t>
      </w:r>
      <w:r>
        <w:rPr>
          <w:spacing w:val="-2"/>
        </w:rPr>
        <w:t>发展需求、符合公司实际情况的独立、完整的经营管理机构。公司各职能部门、各子公司组成了一个有机的整体，与控股股</w:t>
      </w:r>
      <w:r>
        <w:rPr>
          <w:spacing w:val="-67"/>
        </w:rPr>
        <w:t> </w:t>
      </w:r>
      <w:r>
        <w:rPr>
          <w:spacing w:val="-67"/>
        </w:rPr>
      </w:r>
      <w:r>
        <w:rPr>
          <w:spacing w:val="-2"/>
        </w:rPr>
        <w:t>东、实际控制人及其职能部门之间不存在上下级隶属关系。公司股东大会、董事会、监事会等内部机构独立运作，不存在与</w:t>
      </w:r>
      <w:r>
        <w:rPr>
          <w:spacing w:val="-67"/>
        </w:rPr>
        <w:t> </w:t>
      </w:r>
      <w:r>
        <w:rPr>
          <w:spacing w:val="-67"/>
        </w:rPr>
      </w:r>
      <w:r>
        <w:rPr/>
        <w:t>控股股东职能部门之间的从属关系。</w:t>
      </w:r>
    </w:p>
    <w:p>
      <w:pPr>
        <w:pStyle w:val="BodyText"/>
        <w:spacing w:line="309" w:lineRule="auto" w:before="63"/>
        <w:ind w:right="94" w:firstLine="360"/>
        <w:jc w:val="left"/>
      </w:pPr>
      <w:r>
        <w:rPr>
          <w:rFonts w:ascii="Times New Roman" w:hAnsi="Times New Roman" w:cs="Times New Roman" w:eastAsia="Times New Roman" w:hint="default"/>
          <w:spacing w:val="-2"/>
        </w:rPr>
        <w:t>5</w:t>
      </w:r>
      <w:r>
        <w:rPr>
          <w:spacing w:val="-2"/>
        </w:rPr>
        <w:t>、财务方面：公司按照《企业会计准则》的要求建立了一系列独立、完整、规范的财务会计核算体系和财务管理制度，</w:t>
      </w:r>
      <w:r>
        <w:rPr/>
        <w:t> </w:t>
      </w:r>
      <w:r>
        <w:rPr>
          <w:spacing w:val="-2"/>
        </w:rPr>
        <w:t>并建立了相应的内部控制制度，独立做出财务决策。公司设立了独立的财务会计部门和内部审计部门。公司在银行单独开立</w:t>
      </w:r>
      <w:r>
        <w:rPr>
          <w:spacing w:val="-66"/>
        </w:rPr>
        <w:t> </w:t>
      </w:r>
      <w:r>
        <w:rPr>
          <w:spacing w:val="-66"/>
        </w:rPr>
      </w:r>
      <w:r>
        <w:rPr/>
        <w:t>账户，拥有独立的银行账号；公司作为独立的纳税人，依法独立纳税。</w:t>
      </w:r>
    </w:p>
    <w:p>
      <w:pPr>
        <w:spacing w:line="240" w:lineRule="auto" w:before="3"/>
        <w:rPr>
          <w:rFonts w:ascii="宋体" w:hAnsi="宋体" w:cs="宋体" w:eastAsia="宋体" w:hint="default"/>
          <w:sz w:val="21"/>
          <w:szCs w:val="21"/>
        </w:rPr>
      </w:pPr>
    </w:p>
    <w:p>
      <w:pPr>
        <w:pStyle w:val="Heading2"/>
        <w:spacing w:line="240" w:lineRule="auto"/>
        <w:ind w:right="94"/>
        <w:jc w:val="left"/>
        <w:rPr>
          <w:b w:val="0"/>
          <w:bCs w:val="0"/>
        </w:rPr>
      </w:pPr>
      <w:r>
        <w:rPr/>
        <w:t>七、同业竞争情况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4"/>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90" w:firstLine="360"/>
        <w:jc w:val="both"/>
      </w:pPr>
      <w:r>
        <w:rPr>
          <w:spacing w:val="-2"/>
        </w:rPr>
        <w:t>公司建立了比较完善的绩效考评机制和激励制度，建立健全高级管理人员的考评体系和薪酬制度。公司对高级管理人员</w:t>
      </w:r>
      <w:r>
        <w:rPr/>
        <w:t> </w:t>
      </w:r>
      <w:r>
        <w:rPr>
          <w:spacing w:val="-2"/>
        </w:rPr>
        <w:t>实行年薪制，对高级管理人员以量化的考核指标定期进行业绩考核，使高级管理人员的收入与其工作绩效直接挂钩。经过考</w:t>
      </w:r>
      <w:r>
        <w:rPr>
          <w:spacing w:val="-63"/>
        </w:rPr>
        <w:t> </w:t>
      </w:r>
      <w:r>
        <w:rPr>
          <w:spacing w:val="-63"/>
        </w:rPr>
      </w:r>
      <w:r>
        <w:rPr/>
        <w:t>评，</w:t>
      </w:r>
      <w:r>
        <w:rPr>
          <w:rFonts w:ascii="Times New Roman" w:hAnsi="Times New Roman" w:cs="Times New Roman" w:eastAsia="Times New Roman" w:hint="default"/>
        </w:rPr>
        <w:t>2014</w:t>
      </w:r>
      <w:r>
        <w:rPr/>
        <w:t>年度公司高级管理人员认真履行了工作职责，工作业绩良好，较好地完成了本年度所确定的各项任务。</w:t>
      </w:r>
    </w:p>
    <w:p>
      <w:pPr>
        <w:spacing w:after="0" w:line="316" w:lineRule="auto"/>
        <w:jc w:val="both"/>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751" w:right="3887"/>
        <w:jc w:val="center"/>
        <w:rPr>
          <w:b w:val="0"/>
          <w:bCs w:val="0"/>
        </w:rPr>
      </w:pPr>
      <w:bookmarkStart w:name="_TOC_250002" w:id="10"/>
      <w:r>
        <w:rPr/>
        <w:t>第十节</w:t>
      </w:r>
      <w:r>
        <w:rPr>
          <w:spacing w:val="-2"/>
        </w:rPr>
        <w:t> </w:t>
      </w:r>
      <w:r>
        <w:rPr/>
        <w:t>内部控制</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3794"/>
        <w:jc w:val="left"/>
        <w:rPr>
          <w:b w:val="0"/>
          <w:bCs w:val="0"/>
        </w:rPr>
      </w:pPr>
      <w:r>
        <w:rPr/>
        <w:t>一、内部控制建设情况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290" w:firstLine="360"/>
        <w:jc w:val="both"/>
      </w:pPr>
      <w:r>
        <w:rPr>
          <w:spacing w:val="-2"/>
        </w:rPr>
        <w:t>报告期内，公司严格按照《公司法》、《证券法》、《上市公司治理准则》、《深圳证券交易所股票上市规则》及《企</w:t>
      </w:r>
      <w:r>
        <w:rPr/>
        <w:t> </w:t>
      </w:r>
      <w:r>
        <w:rPr>
          <w:spacing w:val="-2"/>
        </w:rPr>
        <w:t>业内部控制基本规范》等有关公司治理的法律、法规和规范性文件的要求，结合公司的实际情况、自身特点和需求，不断地</w:t>
      </w:r>
      <w:r>
        <w:rPr>
          <w:spacing w:val="-67"/>
        </w:rPr>
        <w:t> </w:t>
      </w:r>
      <w:r>
        <w:rPr>
          <w:spacing w:val="-67"/>
        </w:rPr>
      </w:r>
      <w:r>
        <w:rPr>
          <w:spacing w:val="-2"/>
        </w:rPr>
        <w:t>完善公司治理结构，严格管理公司的生产经营控制、财务管理控制、信息披露控制等，进一步规范公司运作，努力提高公司</w:t>
      </w:r>
      <w:r>
        <w:rPr>
          <w:spacing w:val="-67"/>
        </w:rPr>
        <w:t> </w:t>
      </w:r>
      <w:r>
        <w:rPr>
          <w:spacing w:val="-67"/>
        </w:rPr>
      </w:r>
      <w:r>
        <w:rPr>
          <w:spacing w:val="-2"/>
        </w:rPr>
        <w:t>治理水平。公司建立健全内部控制管理制度，内部审计部向董事会审计委员会负责并报告工作，审计部将在检查中发现的内</w:t>
      </w:r>
      <w:r>
        <w:rPr>
          <w:spacing w:val="-63"/>
        </w:rPr>
        <w:t> </w:t>
      </w:r>
      <w:r>
        <w:rPr>
          <w:spacing w:val="-63"/>
        </w:rPr>
      </w:r>
      <w:r>
        <w:rPr>
          <w:spacing w:val="-2"/>
        </w:rPr>
        <w:t>部控制缺陷和异常事项、改进建议及解决进展情况等形成内部审计报告，报送管理层并跟进后续改正事宜，定期检查改进情</w:t>
      </w:r>
      <w:r>
        <w:rPr>
          <w:spacing w:val="-63"/>
        </w:rPr>
        <w:t> </w:t>
      </w:r>
      <w:r>
        <w:rPr>
          <w:spacing w:val="-63"/>
        </w:rPr>
      </w:r>
      <w:r>
        <w:rPr/>
        <w:t>况。截至报告期末，公司治理实际情况符合中国证监会发布的有关上市公司治理的规范性文件的要求。</w:t>
      </w:r>
    </w:p>
    <w:p>
      <w:pPr>
        <w:spacing w:line="240" w:lineRule="auto" w:before="12"/>
        <w:rPr>
          <w:rFonts w:ascii="宋体" w:hAnsi="宋体" w:cs="宋体" w:eastAsia="宋体" w:hint="default"/>
          <w:sz w:val="20"/>
          <w:szCs w:val="20"/>
        </w:rPr>
      </w:pPr>
    </w:p>
    <w:p>
      <w:pPr>
        <w:pStyle w:val="Heading2"/>
        <w:spacing w:line="240" w:lineRule="auto"/>
        <w:ind w:right="3794"/>
        <w:jc w:val="left"/>
        <w:rPr>
          <w:b w:val="0"/>
          <w:bCs w:val="0"/>
        </w:rPr>
      </w:pPr>
      <w:r>
        <w:rPr/>
        <w:t>二、董事会关于内部控制责任的声明</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292" w:firstLine="360"/>
        <w:jc w:val="both"/>
      </w:pPr>
      <w:r>
        <w:rPr>
          <w:spacing w:val="-2"/>
        </w:rPr>
        <w:t>本公司董事会及全体董事保证内部控制自我评价报告内容不存在任何虚假记载、误导性陈述或重大遗漏，并对其内容的</w:t>
      </w:r>
      <w:r>
        <w:rPr/>
        <w:t> 真实性、准确性和完整性承担个别及连带责任。</w:t>
      </w:r>
    </w:p>
    <w:p>
      <w:pPr>
        <w:spacing w:line="240" w:lineRule="auto" w:before="11"/>
        <w:rPr>
          <w:rFonts w:ascii="宋体" w:hAnsi="宋体" w:cs="宋体" w:eastAsia="宋体" w:hint="default"/>
          <w:sz w:val="20"/>
          <w:szCs w:val="20"/>
        </w:rPr>
      </w:pPr>
    </w:p>
    <w:p>
      <w:pPr>
        <w:pStyle w:val="Heading2"/>
        <w:spacing w:line="240" w:lineRule="auto"/>
        <w:ind w:right="3794"/>
        <w:jc w:val="left"/>
        <w:rPr>
          <w:b w:val="0"/>
          <w:bCs w:val="0"/>
        </w:rPr>
      </w:pPr>
      <w:r>
        <w:rPr/>
        <w:t>三、建立财务报告内部控制的依据</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301" w:firstLine="360"/>
        <w:jc w:val="both"/>
      </w:pPr>
      <w:r>
        <w:rPr/>
        <w:t>公司依据</w:t>
      </w:r>
      <w:r>
        <w:rPr>
          <w:spacing w:val="1"/>
        </w:rPr>
        <w:t> </w:t>
      </w:r>
      <w:r>
        <w:rPr/>
        <w:t>《公司法》、《会计法》、《企业会计准则》和《企业内部控制基本规范》以及监管部门的相关规范性文件</w:t>
      </w:r>
      <w:r>
        <w:rPr/>
        <w:t> 为依据，建立了财务报告内部控制。报告期内，公司财务报告内部控制不存在重大缺陷。</w:t>
      </w:r>
    </w:p>
    <w:p>
      <w:pPr>
        <w:spacing w:line="240" w:lineRule="auto" w:before="11"/>
        <w:rPr>
          <w:rFonts w:ascii="宋体" w:hAnsi="宋体" w:cs="宋体" w:eastAsia="宋体" w:hint="default"/>
          <w:sz w:val="20"/>
          <w:szCs w:val="20"/>
        </w:rPr>
      </w:pPr>
    </w:p>
    <w:p>
      <w:pPr>
        <w:pStyle w:val="Heading2"/>
        <w:spacing w:line="240" w:lineRule="auto"/>
        <w:ind w:right="3794"/>
        <w:jc w:val="left"/>
        <w:rPr>
          <w:b w:val="0"/>
          <w:bCs w:val="0"/>
        </w:rPr>
      </w:pPr>
      <w:r>
        <w:rPr/>
        <w:t>四、内部控制评价报告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9"/>
          <w:szCs w:val="19"/>
        </w:rPr>
      </w:pPr>
    </w:p>
    <w:p>
      <w:pPr>
        <w:pStyle w:val="BodyText"/>
        <w:spacing w:line="240" w:lineRule="auto" w:before="44"/>
        <w:ind w:left="0" w:right="102"/>
        <w:jc w:val="right"/>
      </w:pPr>
      <w:r>
        <w:rPr/>
        <w:pict>
          <v:shape style="position:absolute;margin-left:56.400002pt;margin-top:-61.050297pt;width:489.85pt;height:80.95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62"/>
                    <w:gridCol w:w="7120"/>
                  </w:tblGrid>
                  <w:tr>
                    <w:trPr>
                      <w:trHeight w:val="402" w:hRule="exact"/>
                    </w:trPr>
                    <w:tc>
                      <w:tcPr>
                        <w:tcW w:w="97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75"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401" w:hRule="exact"/>
                    </w:trPr>
                    <w:tc>
                      <w:tcPr>
                        <w:tcW w:w="9782" w:type="dxa"/>
                        <w:gridSpan w:val="2"/>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2"/>
                          <w:jc w:val="center"/>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7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14" w:space="0" w:color="C7EBCC"/>
                        </w:tcBorders>
                        <w:shd w:val="clear" w:color="auto" w:fill="D2D2D2"/>
                      </w:tcPr>
                      <w:p>
                        <w:pPr>
                          <w:pStyle w:val="TableParagraph"/>
                          <w:spacing w:line="240" w:lineRule="auto" w:before="49"/>
                          <w:ind w:right="70"/>
                          <w:jc w:val="center"/>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712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具体内容详见巨潮资讯网</w:t>
                        </w:r>
                        <w:hyperlink r:id="rId13">
                          <w:r>
                            <w:rPr>
                              <w:rFonts w:ascii="Times New Roman" w:hAnsi="Times New Roman" w:cs="Times New Roman" w:eastAsia="Times New Roman" w:hint="default"/>
                              <w:sz w:val="18"/>
                              <w:szCs w:val="18"/>
                            </w:rPr>
                            <w:t>(htt</w:t>
                          </w:r>
                        </w:hyperlink>
                        <w:r>
                          <w:rPr>
                            <w:rFonts w:ascii="Times New Roman" w:hAnsi="Times New Roman" w:cs="Times New Roman" w:eastAsia="Times New Roman" w:hint="default"/>
                            <w:sz w:val="18"/>
                            <w:szCs w:val="18"/>
                          </w:rPr>
                          <w:t>p</w:t>
                        </w:r>
                        <w:hyperlink r:id="rId13">
                          <w:r>
                            <w:rPr>
                              <w:rFonts w:ascii="Times New Roman" w:hAnsi="Times New Roman" w:cs="Times New Roman" w:eastAsia="Times New Roman" w:hint="default"/>
                              <w:sz w:val="18"/>
                              <w:szCs w:val="18"/>
                            </w:rPr>
                            <w:t>://www.cninfo.com.cn/)</w:t>
                          </w:r>
                          <w:r>
                            <w:rPr>
                              <w:rFonts w:ascii="宋体" w:hAnsi="宋体" w:cs="宋体" w:eastAsia="宋体" w:hint="default"/>
                              <w:sz w:val="18"/>
                              <w:szCs w:val="18"/>
                            </w:rPr>
                            <w:t>的《</w:t>
                          </w:r>
                        </w:hyperlink>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年度内部控制自我评价报告</w:t>
                        </w:r>
                      </w:p>
                    </w:tc>
                  </w:tr>
                </w:tbl>
                <w:p>
                  <w:pPr/>
                </w:p>
              </w:txbxContent>
            </v:textbox>
            <w10:wrap type="none"/>
          </v:shape>
        </w:pict>
      </w:r>
      <w:r>
        <w:rPr/>
        <w:t>》</w:t>
      </w:r>
    </w:p>
    <w:p>
      <w:pPr>
        <w:spacing w:line="240" w:lineRule="auto" w:before="2"/>
        <w:rPr>
          <w:rFonts w:ascii="宋体" w:hAnsi="宋体" w:cs="宋体" w:eastAsia="宋体" w:hint="default"/>
          <w:sz w:val="27"/>
          <w:szCs w:val="27"/>
        </w:rPr>
      </w:pPr>
    </w:p>
    <w:p>
      <w:pPr>
        <w:pStyle w:val="Heading2"/>
        <w:spacing w:line="240" w:lineRule="auto" w:before="26"/>
        <w:ind w:right="3794"/>
        <w:jc w:val="left"/>
        <w:rPr>
          <w:b w:val="0"/>
          <w:bCs w:val="0"/>
        </w:rPr>
      </w:pPr>
      <w:r>
        <w:rPr/>
        <w:t>五、内部控制审计报告或鉴证报告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3794"/>
        <w:jc w:val="left"/>
      </w:pPr>
      <w:r>
        <w:rPr/>
        <w:t>内部控制审计报告</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62"/>
        <w:gridCol w:w="6909"/>
      </w:tblGrid>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00"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我们认为，贵公司按照财政部等五部委颁发的《企业内部控制基本规范》及相关规定于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 面保持了与财务报表相关的有效的内部控制。本结论是在受到鉴证报告中指出的固有限制的条件下形成的。</w:t>
            </w: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2"/>
              <w:jc w:val="center"/>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403" w:hRule="exact"/>
        </w:trPr>
        <w:tc>
          <w:tcPr>
            <w:tcW w:w="2662" w:type="dxa"/>
            <w:tcBorders>
              <w:top w:val="single" w:sz="4" w:space="0" w:color="000000"/>
              <w:left w:val="single" w:sz="4" w:space="0" w:color="000000"/>
              <w:bottom w:val="single" w:sz="4" w:space="0" w:color="000000"/>
              <w:right w:val="single" w:sz="14" w:space="0" w:color="C7EBCC"/>
            </w:tcBorders>
            <w:shd w:val="clear" w:color="auto" w:fill="D2D2D2"/>
          </w:tcPr>
          <w:p>
            <w:pPr>
              <w:pStyle w:val="TableParagraph"/>
              <w:spacing w:line="240" w:lineRule="auto" w:before="49"/>
              <w:ind w:right="70"/>
              <w:jc w:val="center"/>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具体内容详见巨潮资讯网</w:t>
            </w:r>
            <w:hyperlink r:id="rId13">
              <w:r>
                <w:rPr>
                  <w:rFonts w:ascii="Times New Roman" w:hAnsi="Times New Roman" w:cs="Times New Roman" w:eastAsia="Times New Roman" w:hint="default"/>
                  <w:sz w:val="18"/>
                  <w:szCs w:val="18"/>
                </w:rPr>
                <w:t>(htt</w:t>
              </w:r>
            </w:hyperlink>
            <w:r>
              <w:rPr>
                <w:rFonts w:ascii="Times New Roman" w:hAnsi="Times New Roman" w:cs="Times New Roman" w:eastAsia="Times New Roman" w:hint="default"/>
                <w:sz w:val="18"/>
                <w:szCs w:val="18"/>
              </w:rPr>
              <w:t>p</w:t>
            </w:r>
            <w:hyperlink r:id="rId13">
              <w:r>
                <w:rPr>
                  <w:rFonts w:ascii="Times New Roman" w:hAnsi="Times New Roman" w:cs="Times New Roman" w:eastAsia="Times New Roman" w:hint="default"/>
                  <w:sz w:val="18"/>
                  <w:szCs w:val="18"/>
                </w:rPr>
                <w:t>://www.cninfo.com.cn/)</w:t>
              </w:r>
              <w:r>
                <w:rPr>
                  <w:rFonts w:ascii="宋体" w:hAnsi="宋体" w:cs="宋体" w:eastAsia="宋体" w:hint="default"/>
                  <w:sz w:val="18"/>
                  <w:szCs w:val="18"/>
                </w:rPr>
                <w:t>的《内部控制鉴证报告》</w:t>
              </w:r>
            </w:hyperlink>
          </w:p>
        </w:tc>
      </w:tr>
    </w:tbl>
    <w:p>
      <w:pPr>
        <w:pStyle w:val="BodyText"/>
        <w:spacing w:line="240" w:lineRule="auto" w:before="49"/>
        <w:ind w:right="3794"/>
        <w:jc w:val="left"/>
      </w:pPr>
      <w:r>
        <w:rPr/>
        <w:t>会计师事务所是否出具非标准意见的内部控制审计报告</w:t>
      </w:r>
    </w:p>
    <w:p>
      <w:pPr>
        <w:pStyle w:val="BodyText"/>
        <w:spacing w:line="340" w:lineRule="auto" w:before="115"/>
        <w:ind w:right="3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会计师事务所出具的内部控制审计报告与董事会的自我评价报告意见是否一致</w:t>
      </w:r>
    </w:p>
    <w:p>
      <w:pPr>
        <w:spacing w:after="0" w:line="340" w:lineRule="auto"/>
        <w:jc w:val="left"/>
        <w:sectPr>
          <w:pgSz w:w="11910" w:h="16840"/>
          <w:pgMar w:header="745" w:footer="980" w:top="1060" w:bottom="1160" w:left="980" w:right="840"/>
        </w:sectPr>
      </w:pPr>
    </w:p>
    <w:p>
      <w:pPr>
        <w:spacing w:line="240" w:lineRule="auto" w:before="9"/>
        <w:rPr>
          <w:rFonts w:ascii="宋体" w:hAnsi="宋体" w:cs="宋体" w:eastAsia="宋体" w:hint="default"/>
          <w:sz w:val="25"/>
          <w:szCs w:val="25"/>
        </w:rPr>
      </w:pPr>
    </w:p>
    <w:p>
      <w:pPr>
        <w:pStyle w:val="BodyText"/>
        <w:spacing w:line="340" w:lineRule="auto" w:before="44"/>
        <w:ind w:right="2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会计师事务所出具的内部控制审计报告与董事会的自我评价报告意见不一致的原因说明</w:t>
      </w:r>
    </w:p>
    <w:p>
      <w:pPr>
        <w:pStyle w:val="BodyText"/>
        <w:spacing w:line="240" w:lineRule="auto" w:before="39"/>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4"/>
        <w:jc w:val="left"/>
        <w:rPr>
          <w:b w:val="0"/>
          <w:bCs w:val="0"/>
        </w:rPr>
      </w:pPr>
      <w:r>
        <w:rPr/>
        <w:t>六、年度报告重大差错责任追究制度的建立与执行情况</w:t>
      </w:r>
      <w:r>
        <w:rPr>
          <w:b w:val="0"/>
          <w:bCs w:val="0"/>
        </w:rPr>
      </w:r>
    </w:p>
    <w:p>
      <w:pPr>
        <w:spacing w:line="240" w:lineRule="auto" w:before="6"/>
        <w:rPr>
          <w:rFonts w:ascii="宋体" w:hAnsi="宋体" w:cs="宋体" w:eastAsia="宋体" w:hint="default"/>
          <w:b/>
          <w:bCs/>
          <w:sz w:val="26"/>
          <w:szCs w:val="26"/>
        </w:rPr>
      </w:pPr>
    </w:p>
    <w:p>
      <w:pPr>
        <w:pStyle w:val="BodyText"/>
        <w:spacing w:line="312" w:lineRule="auto"/>
        <w:ind w:right="94" w:firstLine="360"/>
        <w:jc w:val="left"/>
      </w:pPr>
      <w:r>
        <w:rPr/>
        <w:t>为提高公司的规范运作水平，增强信息披露的真实性、准确性、完整性和及时性，提高年报信息披露的质量和透明度， </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4</w:t>
      </w:r>
      <w:r>
        <w:rPr>
          <w:spacing w:val="-2"/>
        </w:rPr>
        <w:t>日，公司第三届董事会第七次会议审议通过《年报信息披露重大差错责任追究制度》，对财务报告重大差错的认</w:t>
      </w:r>
      <w:r>
        <w:rPr>
          <w:spacing w:val="-60"/>
        </w:rPr>
        <w:t> </w:t>
      </w:r>
      <w:r>
        <w:rPr>
          <w:spacing w:val="-60"/>
        </w:rPr>
      </w:r>
      <w:r>
        <w:rPr>
          <w:spacing w:val="-2"/>
        </w:rPr>
        <w:t>定及处理程序、重大差错的责任追究做出了明确规定。报告期内，公司未发生重大会计差错更正、重大遗漏信息补充以及业</w:t>
      </w:r>
      <w:r>
        <w:rPr>
          <w:spacing w:val="-64"/>
        </w:rPr>
        <w:t> </w:t>
      </w:r>
      <w:r>
        <w:rPr>
          <w:spacing w:val="-64"/>
        </w:rPr>
      </w:r>
      <w:r>
        <w:rPr/>
        <w:t>绩预告修正等情况。</w:t>
      </w:r>
    </w:p>
    <w:p>
      <w:pPr>
        <w:spacing w:after="0" w:line="312" w:lineRule="auto"/>
        <w:jc w:val="left"/>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3631"/>
        <w:jc w:val="center"/>
        <w:rPr>
          <w:b w:val="0"/>
          <w:bCs w:val="0"/>
        </w:rPr>
      </w:pPr>
      <w:bookmarkStart w:name="_TOC_250001" w:id="11"/>
      <w:r>
        <w:rPr/>
        <w:t>第十一节</w:t>
      </w:r>
      <w:r>
        <w:rPr>
          <w:spacing w:val="-6"/>
        </w:rPr>
        <w:t> </w:t>
      </w:r>
      <w:r>
        <w:rPr/>
        <w:t>财务报告</w:t>
      </w:r>
      <w:bookmarkEnd w:id="11"/>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94"/>
        <w:jc w:val="left"/>
        <w:rPr>
          <w:b w:val="0"/>
          <w:bCs w:val="0"/>
        </w:rPr>
      </w:pP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4781" w:type="dxa"/>
            <w:tcBorders>
              <w:top w:val="single" w:sz="4" w:space="0" w:color="000000"/>
              <w:left w:val="single" w:sz="4" w:space="0" w:color="000000"/>
              <w:bottom w:val="single" w:sz="4" w:space="0" w:color="000000"/>
              <w:right w:val="single" w:sz="13" w:space="0" w:color="C7EBCC"/>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410312 </w:t>
            </w:r>
            <w:r>
              <w:rPr>
                <w:rFonts w:ascii="宋体" w:hAnsi="宋体" w:cs="宋体" w:eastAsia="宋体" w:hint="default"/>
                <w:sz w:val="18"/>
                <w:szCs w:val="18"/>
              </w:rPr>
              <w:t>号</w:t>
            </w:r>
          </w:p>
        </w:tc>
      </w:tr>
      <w:tr>
        <w:trPr>
          <w:trHeight w:val="401" w:hRule="exact"/>
        </w:trPr>
        <w:tc>
          <w:tcPr>
            <w:tcW w:w="4781" w:type="dxa"/>
            <w:tcBorders>
              <w:top w:val="single" w:sz="4" w:space="0" w:color="000000"/>
              <w:left w:val="single" w:sz="4" w:space="0" w:color="000000"/>
              <w:bottom w:val="single" w:sz="4" w:space="0" w:color="000000"/>
              <w:right w:val="single" w:sz="13" w:space="0" w:color="C7EBCC"/>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张锦坤、关敏洁</w:t>
            </w:r>
          </w:p>
        </w:tc>
      </w:tr>
    </w:tbl>
    <w:p>
      <w:pPr>
        <w:pStyle w:val="BodyText"/>
        <w:spacing w:line="240" w:lineRule="auto" w:before="49"/>
        <w:ind w:left="3590" w:right="3628"/>
        <w:jc w:val="center"/>
      </w:pPr>
      <w:r>
        <w:rPr/>
        <w:t>审计报告正文</w:t>
      </w:r>
    </w:p>
    <w:p>
      <w:pPr>
        <w:pStyle w:val="BodyText"/>
        <w:spacing w:line="240" w:lineRule="auto" w:before="117"/>
        <w:ind w:left="0" w:right="188"/>
        <w:jc w:val="right"/>
      </w:pPr>
      <w:r>
        <w:rPr>
          <w:spacing w:val="-1"/>
        </w:rPr>
        <w:t>信会师报字</w:t>
      </w:r>
      <w:r>
        <w:rPr>
          <w:rFonts w:ascii="Times New Roman" w:hAnsi="Times New Roman" w:cs="Times New Roman" w:eastAsia="Times New Roman" w:hint="default"/>
          <w:spacing w:val="-1"/>
        </w:rPr>
        <w:t>[2015]</w:t>
      </w:r>
      <w:r>
        <w:rPr>
          <w:spacing w:val="-1"/>
        </w:rPr>
        <w:t>第</w:t>
      </w:r>
      <w:r>
        <w:rPr>
          <w:rFonts w:ascii="Times New Roman" w:hAnsi="Times New Roman" w:cs="Times New Roman" w:eastAsia="Times New Roman" w:hint="default"/>
          <w:spacing w:val="-1"/>
        </w:rPr>
        <w:t>410312</w:t>
      </w:r>
      <w:r>
        <w:rPr>
          <w:spacing w:val="-1"/>
        </w:rPr>
        <w:t>号</w:t>
      </w:r>
    </w:p>
    <w:p>
      <w:pPr>
        <w:spacing w:line="240" w:lineRule="auto" w:before="3"/>
        <w:rPr>
          <w:rFonts w:ascii="宋体" w:hAnsi="宋体" w:cs="宋体" w:eastAsia="宋体" w:hint="default"/>
          <w:sz w:val="25"/>
          <w:szCs w:val="25"/>
        </w:rPr>
      </w:pPr>
    </w:p>
    <w:p>
      <w:pPr>
        <w:spacing w:line="316" w:lineRule="auto" w:before="44"/>
        <w:ind w:left="513" w:right="94" w:firstLine="0"/>
        <w:jc w:val="left"/>
        <w:rPr>
          <w:rFonts w:ascii="宋体" w:hAnsi="宋体" w:cs="宋体" w:eastAsia="宋体" w:hint="default"/>
          <w:sz w:val="18"/>
          <w:szCs w:val="18"/>
        </w:rPr>
      </w:pPr>
      <w:r>
        <w:rPr>
          <w:rFonts w:ascii="宋体" w:hAnsi="宋体" w:cs="宋体" w:eastAsia="宋体" w:hint="default"/>
          <w:b/>
          <w:bCs/>
          <w:sz w:val="18"/>
          <w:szCs w:val="18"/>
        </w:rPr>
        <w:t>广州御银科技股份有限公司全体股东：</w:t>
      </w:r>
      <w:r>
        <w:rPr>
          <w:rFonts w:ascii="宋体" w:hAnsi="宋体" w:cs="宋体" w:eastAsia="宋体" w:hint="default"/>
          <w:b/>
          <w:bCs/>
          <w:w w:val="99"/>
          <w:sz w:val="18"/>
          <w:szCs w:val="18"/>
        </w:rPr>
        <w:t> </w:t>
      </w:r>
      <w:r>
        <w:rPr>
          <w:rFonts w:ascii="宋体" w:hAnsi="宋体" w:cs="宋体" w:eastAsia="宋体" w:hint="default"/>
          <w:spacing w:val="-2"/>
          <w:sz w:val="18"/>
          <w:szCs w:val="18"/>
        </w:rPr>
        <w:t>我们审计了后附的广州御银科技股份有限公司（以下简称“贵公司”）财务报表，包括</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日的合并资产负债</w:t>
      </w:r>
    </w:p>
    <w:p>
      <w:pPr>
        <w:pStyle w:val="BodyText"/>
        <w:spacing w:line="300" w:lineRule="auto"/>
        <w:ind w:right="94"/>
        <w:jc w:val="left"/>
      </w:pPr>
      <w:r>
        <w:rPr>
          <w:spacing w:val="-2"/>
        </w:rPr>
        <w:t>表和资产负债表、</w:t>
      </w:r>
      <w:r>
        <w:rPr>
          <w:rFonts w:ascii="Times New Roman" w:hAnsi="Times New Roman" w:cs="Times New Roman" w:eastAsia="Times New Roman" w:hint="default"/>
          <w:spacing w:val="-2"/>
        </w:rPr>
        <w:t>2014</w:t>
      </w:r>
      <w:r>
        <w:rPr>
          <w:spacing w:val="-2"/>
        </w:rPr>
        <w:t>年度的合并利润表和利润表、</w:t>
      </w:r>
      <w:r>
        <w:rPr>
          <w:rFonts w:ascii="Times New Roman" w:hAnsi="Times New Roman" w:cs="Times New Roman" w:eastAsia="Times New Roman" w:hint="default"/>
          <w:spacing w:val="-2"/>
        </w:rPr>
        <w:t>2014</w:t>
      </w:r>
      <w:r>
        <w:rPr>
          <w:spacing w:val="-2"/>
        </w:rPr>
        <w:t>年度的合并现金流量表和现金流量表、</w:t>
      </w:r>
      <w:r>
        <w:rPr>
          <w:rFonts w:ascii="Times New Roman" w:hAnsi="Times New Roman" w:cs="Times New Roman" w:eastAsia="Times New Roman" w:hint="default"/>
          <w:spacing w:val="-2"/>
        </w:rPr>
        <w:t>2014</w:t>
      </w:r>
      <w:r>
        <w:rPr>
          <w:spacing w:val="-2"/>
        </w:rPr>
        <w:t>年度的合并所有者权益</w:t>
      </w:r>
      <w:r>
        <w:rPr>
          <w:spacing w:val="-54"/>
        </w:rPr>
        <w:t> </w:t>
      </w:r>
      <w:r>
        <w:rPr>
          <w:spacing w:val="-54"/>
        </w:rPr>
      </w:r>
      <w:r>
        <w:rPr/>
        <w:t>变动表和所有者权益变动表以及财务报表附注。</w:t>
      </w:r>
    </w:p>
    <w:p>
      <w:pPr>
        <w:spacing w:line="624" w:lineRule="exact" w:before="54"/>
        <w:ind w:left="513" w:right="183" w:firstLine="0"/>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z w:val="18"/>
          <w:szCs w:val="18"/>
        </w:rPr>
        <w:t>编制和公允列报财务报表是贵公司管理层的责任。这种责任包括：（</w:t>
      </w:r>
      <w:r>
        <w:rPr>
          <w:rFonts w:ascii="Times New Roman" w:hAnsi="Times New Roman" w:cs="Times New Roman" w:eastAsia="Times New Roman" w:hint="default"/>
          <w:sz w:val="18"/>
          <w:szCs w:val="18"/>
        </w:rPr>
        <w:t>1</w:t>
      </w:r>
      <w:r>
        <w:rPr>
          <w:rFonts w:ascii="宋体" w:hAnsi="宋体" w:cs="宋体" w:eastAsia="宋体" w:hint="default"/>
          <w:sz w:val="18"/>
          <w:szCs w:val="18"/>
        </w:rPr>
        <w:t>）按照企业会计准则的规定编制财务报表，并使</w:t>
      </w:r>
    </w:p>
    <w:p>
      <w:pPr>
        <w:pStyle w:val="BodyText"/>
        <w:spacing w:line="226" w:lineRule="exact"/>
        <w:ind w:right="94"/>
        <w:jc w:val="left"/>
      </w:pPr>
      <w:r>
        <w:rPr/>
        <w:t>其实现公允反映；（</w:t>
      </w:r>
      <w:r>
        <w:rPr>
          <w:rFonts w:ascii="Times New Roman" w:hAnsi="Times New Roman" w:cs="Times New Roman" w:eastAsia="Times New Roman" w:hint="default"/>
        </w:rPr>
        <w:t>2</w:t>
      </w:r>
      <w:r>
        <w:rPr/>
        <w:t>）设计、执行和维护必要的内部控制，以使财务报表不存在由于舞弊或错误导致的重大错报。</w:t>
      </w:r>
    </w:p>
    <w:p>
      <w:pPr>
        <w:pStyle w:val="BodyText"/>
        <w:spacing w:line="624" w:lineRule="exact" w:before="86"/>
        <w:ind w:left="513" w:right="94"/>
        <w:jc w:val="left"/>
      </w:pPr>
      <w:r>
        <w:rPr>
          <w:rFonts w:ascii="宋体" w:hAnsi="宋体" w:cs="宋体" w:eastAsia="宋体" w:hint="default"/>
          <w:b/>
          <w:bCs/>
        </w:rPr>
        <w:t>二、注册会计师的责任</w:t>
      </w:r>
      <w:r>
        <w:rPr>
          <w:rFonts w:ascii="宋体" w:hAnsi="宋体" w:cs="宋体" w:eastAsia="宋体" w:hint="default"/>
          <w:b/>
          <w:bCs/>
          <w:w w:val="99"/>
        </w:rPr>
        <w:t> </w:t>
      </w:r>
      <w:r>
        <w:rPr>
          <w:spacing w:val="-2"/>
        </w:rPr>
        <w:t>我们的责任是在执行审计工作的基础上对财务报表发表审计意见。我们按照中国注册会计师审计准则的规定执行了审计</w:t>
      </w:r>
    </w:p>
    <w:p>
      <w:pPr>
        <w:pStyle w:val="BodyText"/>
        <w:spacing w:line="213" w:lineRule="exact"/>
        <w:ind w:right="0"/>
        <w:jc w:val="left"/>
      </w:pPr>
      <w:r>
        <w:rPr/>
        <w:t>工作。中国注册会计师审计准则要求我们遵守中国注册会计师职业道德守则，计划和执行审计工作以对财务报表是否不存在</w:t>
      </w:r>
    </w:p>
    <w:p>
      <w:pPr>
        <w:pStyle w:val="BodyText"/>
        <w:spacing w:line="240" w:lineRule="auto" w:before="76"/>
        <w:ind w:right="94"/>
        <w:jc w:val="left"/>
      </w:pPr>
      <w:r>
        <w:rPr/>
        <w:t>重大错报获取合理保证。</w:t>
      </w:r>
    </w:p>
    <w:p>
      <w:pPr>
        <w:spacing w:line="240" w:lineRule="auto" w:before="0"/>
        <w:rPr>
          <w:rFonts w:ascii="宋体" w:hAnsi="宋体" w:cs="宋体" w:eastAsia="宋体" w:hint="default"/>
          <w:sz w:val="18"/>
          <w:szCs w:val="18"/>
        </w:rPr>
      </w:pPr>
    </w:p>
    <w:p>
      <w:pPr>
        <w:pStyle w:val="BodyText"/>
        <w:spacing w:line="316" w:lineRule="auto" w:before="153"/>
        <w:ind w:right="94"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3"/>
        </w:rPr>
        <w:t> </w:t>
      </w:r>
      <w:r>
        <w:rPr>
          <w:spacing w:val="-63"/>
        </w:rPr>
      </w:r>
      <w:r>
        <w:rPr/>
        <w:t>计政策的恰当性和作出会计估计的合理性，以及评价财务报表的总体列报。</w:t>
      </w:r>
    </w:p>
    <w:p>
      <w:pPr>
        <w:spacing w:line="240" w:lineRule="auto" w:before="4"/>
        <w:rPr>
          <w:rFonts w:ascii="宋体" w:hAnsi="宋体" w:cs="宋体" w:eastAsia="宋体" w:hint="default"/>
          <w:sz w:val="25"/>
          <w:szCs w:val="25"/>
        </w:rPr>
      </w:pPr>
    </w:p>
    <w:p>
      <w:pPr>
        <w:pStyle w:val="BodyText"/>
        <w:spacing w:line="636" w:lineRule="auto"/>
        <w:ind w:left="513" w:right="3153"/>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300" w:lineRule="auto" w:before="91"/>
        <w:ind w:right="94" w:firstLine="360"/>
        <w:jc w:val="left"/>
      </w:pPr>
      <w:r>
        <w:rPr>
          <w:spacing w:val="-2"/>
        </w:rPr>
        <w:t>我们认为，贵公司财务报表在所有重大方面按照企业会计准则的规定编制，公允反映了贵公司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日的财务状</w:t>
      </w:r>
      <w:r>
        <w:rPr/>
        <w:t> 况以及</w:t>
      </w:r>
      <w:r>
        <w:rPr>
          <w:rFonts w:ascii="Times New Roman" w:hAnsi="Times New Roman" w:cs="Times New Roman" w:eastAsia="Times New Roman" w:hint="default"/>
        </w:rPr>
        <w:t>2014</w:t>
      </w:r>
      <w:r>
        <w:rPr/>
        <w:t>年度的经营成果和现金流量。</w:t>
      </w:r>
    </w:p>
    <w:p>
      <w:pPr>
        <w:spacing w:after="0" w:line="300" w:lineRule="auto"/>
        <w:jc w:val="left"/>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4"/>
        <w:tabs>
          <w:tab w:pos="6360" w:val="left" w:leader="none"/>
        </w:tabs>
        <w:spacing w:line="240" w:lineRule="auto" w:before="44"/>
        <w:ind w:left="6411" w:right="146" w:hanging="5337"/>
        <w:jc w:val="left"/>
        <w:rPr>
          <w:b w:val="0"/>
          <w:bCs w:val="0"/>
        </w:rPr>
      </w:pPr>
      <w:r>
        <w:rPr>
          <w:w w:val="95"/>
        </w:rPr>
        <w:t>立信会计师事务所（特殊普通合伙）</w:t>
        <w:tab/>
      </w:r>
      <w:r>
        <w:rPr/>
        <w:t>中国注册会计师：张锦坤</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0"/>
          <w:szCs w:val="20"/>
        </w:rPr>
      </w:pPr>
    </w:p>
    <w:p>
      <w:pPr>
        <w:pStyle w:val="Heading4"/>
        <w:spacing w:line="240" w:lineRule="auto"/>
        <w:ind w:left="6411" w:right="146"/>
        <w:jc w:val="left"/>
        <w:rPr>
          <w:b w:val="0"/>
          <w:bCs w:val="0"/>
        </w:rPr>
      </w:pPr>
      <w:r>
        <w:rPr/>
        <w:t>中国注册会计师：关敏洁</w:t>
      </w:r>
      <w:r>
        <w:rPr>
          <w:b w:val="0"/>
          <w:bCs w:val="0"/>
        </w:rPr>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3"/>
          <w:szCs w:val="23"/>
        </w:rPr>
      </w:pPr>
    </w:p>
    <w:p>
      <w:pPr>
        <w:pStyle w:val="Heading2"/>
        <w:spacing w:line="240" w:lineRule="auto" w:before="26"/>
        <w:ind w:right="146"/>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46"/>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20"/>
        <w:ind w:right="146"/>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80"/>
        </w:sectPr>
      </w:pPr>
    </w:p>
    <w:p>
      <w:pPr>
        <w:pStyle w:val="BodyText"/>
        <w:spacing w:line="240" w:lineRule="auto" w:before="44"/>
        <w:ind w:right="-20"/>
        <w:jc w:val="left"/>
      </w:pPr>
      <w:r>
        <w:rPr/>
        <w:t>编制单位：广州御银科技股份有限公司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3" w:equalWidth="0">
            <w:col w:w="3213" w:space="863"/>
            <w:col w:w="1642" w:space="3202"/>
            <w:col w:w="1030"/>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73"/>
        <w:gridCol w:w="2598"/>
        <w:gridCol w:w="2588"/>
      </w:tblGrid>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290,223,319.40</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163,835,716.70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33,000,750.00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320,701,697.63</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237,897,056.53</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10,756,532.78</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12,184,521.39</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16,544,909.77</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26,297,338.01</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272,079,634.21</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255,142,098.34</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65,155,184.11</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52,285,122.41</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2,607,681.29</w:t>
            </w: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978,068,959.19</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780,642,603.38</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33,851,000.00</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93,363,236.40</w:t>
            </w: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373"/>
        <w:gridCol w:w="2598"/>
        <w:gridCol w:w="2588"/>
      </w:tblGrid>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205,482,775.34</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164,612,561.43</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335,039,953.14</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398,437,917.16</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210,040,029.10</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204,620,194.16</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72,673,598.45</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72,219,563.85</w:t>
            </w: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4,734,876.81</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1,411,478.48</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459,966.00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10,900,121.97</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9,969,268.21</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5,309,140.68</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6,514,493.17</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874,708,097.16</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954,932,077.19</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1,852,777,056.35</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1,735,574,680.57</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6,054,000.00</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9,000,524.00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109,370,949.21</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87,490,113.87</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6,578,438.99</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12,558,711.63</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6,858,832.03</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2,528,224.16</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45,837,610.21</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14,058,601.42</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10,690,351.19</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17,539,784.87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373"/>
        <w:gridCol w:w="2598"/>
        <w:gridCol w:w="2588"/>
      </w:tblGrid>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185,390,181.63</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143,175,959.95</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17,837,604.21</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43,548,591.89</w:t>
            </w: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39,676,419.00</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40,918,419.00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723,362.17</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6,646,683.07</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58,237,385.38</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91,113,693.96</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243,627,567.01</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234,289,653.91</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761,191,294.00</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761,191,294.00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29,679,547.28</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28,651,129.28</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-16,242.10</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17,543,598.68</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41,988,458.22</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38,360,216.89</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776,306,431.94</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655,538,787.81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394"/>
        <w:gridCol w:w="2588"/>
        <w:gridCol w:w="2588"/>
      </w:tblGrid>
      <w:tr>
        <w:trPr>
          <w:trHeight w:val="402"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1,609,149,489.34</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1,501,285,026.66</w:t>
            </w:r>
          </w:p>
        </w:tc>
      </w:tr>
      <w:tr>
        <w:trPr>
          <w:trHeight w:val="402"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588" w:type="dxa"/>
            <w:tcBorders>
              <w:top w:val="single" w:sz="4" w:space="0" w:color="000000"/>
              <w:left w:val="single" w:sz="4" w:space="0" w:color="000000"/>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1,609,149,489.34</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1,501,285,026.66</w:t>
            </w:r>
          </w:p>
        </w:tc>
      </w:tr>
      <w:tr>
        <w:trPr>
          <w:trHeight w:val="402"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1,852,777,056.35</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1,735,574,680.57</w:t>
            </w:r>
          </w:p>
        </w:tc>
      </w:tr>
    </w:tbl>
    <w:p>
      <w:pPr>
        <w:spacing w:line="240" w:lineRule="auto" w:before="11"/>
        <w:rPr>
          <w:rFonts w:ascii="Times New Roman" w:hAnsi="Times New Roman" w:cs="Times New Roman" w:eastAsia="Times New Roman" w:hint="default"/>
          <w:sz w:val="22"/>
          <w:szCs w:val="22"/>
        </w:rPr>
      </w:pPr>
    </w:p>
    <w:p>
      <w:pPr>
        <w:pStyle w:val="BodyText"/>
        <w:tabs>
          <w:tab w:pos="3398" w:val="left" w:leader="none"/>
          <w:tab w:pos="7356" w:val="left" w:leader="none"/>
        </w:tabs>
        <w:spacing w:line="240" w:lineRule="auto" w:before="44"/>
        <w:ind w:right="146"/>
        <w:jc w:val="left"/>
      </w:pPr>
      <w:r>
        <w:rPr/>
        <w:t>法定代表人：杨文江</w:t>
        <w:tab/>
      </w:r>
      <w:r>
        <w:rPr>
          <w:spacing w:val="-1"/>
        </w:rPr>
        <w:t>主管会计工作负责人：陈国军</w:t>
        <w:tab/>
      </w:r>
      <w:r>
        <w:rPr/>
        <w:t>会计机构负责人：陈国军</w:t>
      </w:r>
    </w:p>
    <w:p>
      <w:pPr>
        <w:spacing w:line="240" w:lineRule="auto" w:before="0"/>
        <w:rPr>
          <w:rFonts w:ascii="宋体" w:hAnsi="宋体" w:cs="宋体" w:eastAsia="宋体" w:hint="default"/>
          <w:sz w:val="18"/>
          <w:szCs w:val="18"/>
        </w:rPr>
      </w:pPr>
    </w:p>
    <w:p>
      <w:pPr>
        <w:pStyle w:val="Heading3"/>
        <w:spacing w:line="240" w:lineRule="auto" w:before="120"/>
        <w:ind w:right="146"/>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73"/>
        <w:gridCol w:w="2598"/>
        <w:gridCol w:w="2588"/>
      </w:tblGrid>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279,773,102.02</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153,014,058.80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321,150,004.81</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255,314,236.69</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10,413,318.42</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11,399,403.48</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31,332,655.21</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17,883,371.87</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266,717,347.33</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248,717,934.74</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61,884,560.11</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52,285,122.41</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2,607,681.29</w:t>
            </w: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973,878,669.19</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738,614,127.99</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25,060,000.00</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25,060,000.00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202,643,848.31</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158,503,010.40</w:t>
            </w: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68,662,718.86</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53,662,718.86</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223,095,693.23</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289,000,570.41</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210,040,029.10</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204,620,194.16</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373"/>
        <w:gridCol w:w="2598"/>
        <w:gridCol w:w="2588"/>
      </w:tblGrid>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61,363,655.31</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60,382,944.79</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4,734,876.81</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891,025.65</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459,966.00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10,330,124.42</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9,897,229.83</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5,309,140.68</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5,263,035.66</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807,396,235.56</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811,584,546.92</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1,781,274,904.75</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1,550,198,674.91</w:t>
            </w: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6,054,000.00</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9,000,524.00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294,274,723.47</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163,055,852.50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6,399,549.21</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9,836,251.74</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5,809,413.74</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2,080,111.84</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31,984,121.54</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4,380,051.75</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301,858,715.15</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252,541,176.79</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646,380,523.11</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440,893,968.62</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373"/>
        <w:gridCol w:w="2598"/>
        <w:gridCol w:w="2588"/>
      </w:tblGrid>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38,871,219.00</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39,966,819.00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723,362.17</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3,737,005.14</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44,594,581.17</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48,703,824.14</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690,975,104.28</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489,597,792.76</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761,191,294.00</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761,191,294.00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29,679,547.28</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28,651,129.28</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598" w:type="dxa"/>
            <w:tcBorders>
              <w:top w:val="single" w:sz="4" w:space="0" w:color="000000"/>
              <w:left w:val="single" w:sz="10" w:space="0" w:color="D2D2D2"/>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41,988,458.22</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38,360,216.89</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257,440,500.97</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232,398,241.98</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1,090,299,800.47</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1,060,600,882.15</w:t>
            </w: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1,781,274,904.75</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1,550,198,674.91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46"/>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1"/>
        <w:gridCol w:w="2668"/>
        <w:gridCol w:w="2660"/>
      </w:tblGrid>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971,711,483.42</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848,671,277.67</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971,711,483.42</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848,671,277.67</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668" w:type="dxa"/>
            <w:tcBorders>
              <w:top w:val="single" w:sz="4" w:space="0" w:color="000000"/>
              <w:left w:val="single" w:sz="12" w:space="0" w:color="D2D2D2"/>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668" w:type="dxa"/>
            <w:tcBorders>
              <w:top w:val="single" w:sz="4" w:space="0" w:color="000000"/>
              <w:left w:val="single" w:sz="12" w:space="0" w:color="D2D2D2"/>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868"/>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668" w:type="dxa"/>
            <w:tcBorders>
              <w:top w:val="single" w:sz="4" w:space="0" w:color="000000"/>
              <w:left w:val="single" w:sz="12" w:space="0" w:color="D2D2D2"/>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857,471,582.57</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704,746,397.92</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581,090,436.34</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462,544,086.04</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668" w:type="dxa"/>
            <w:tcBorders>
              <w:top w:val="single" w:sz="4" w:space="0" w:color="000000"/>
              <w:left w:val="single" w:sz="12" w:space="0" w:color="D2D2D2"/>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868"/>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668" w:type="dxa"/>
            <w:tcBorders>
              <w:top w:val="single" w:sz="4" w:space="0" w:color="000000"/>
              <w:left w:val="single" w:sz="12" w:space="0" w:color="D2D2D2"/>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668" w:type="dxa"/>
            <w:tcBorders>
              <w:top w:val="single" w:sz="4" w:space="0" w:color="000000"/>
              <w:left w:val="single" w:sz="12" w:space="0" w:color="D2D2D2"/>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668" w:type="dxa"/>
            <w:tcBorders>
              <w:top w:val="single" w:sz="4" w:space="0" w:color="000000"/>
              <w:left w:val="single" w:sz="12" w:space="0" w:color="D2D2D2"/>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253"/>
        <w:gridCol w:w="2657"/>
        <w:gridCol w:w="2660"/>
      </w:tblGrid>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657"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657"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657"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6,270,963.14</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7,333,626.45</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91,817,629.43</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94,842,651.90</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171,877,610.96</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131,084,728.02</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1,437,529.83</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-133,344.39</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4,977,412.87</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9,074,649.90</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78"/>
              <w:jc w:val="right"/>
              <w:rPr>
                <w:rFonts w:ascii="宋体" w:hAnsi="宋体" w:cs="宋体" w:eastAsia="宋体" w:hint="default"/>
                <w:sz w:val="18"/>
                <w:szCs w:val="18"/>
              </w:rPr>
            </w:pPr>
            <w:r>
              <w:rPr>
                <w:rFonts w:ascii="宋体" w:hAnsi="宋体" w:cs="宋体" w:eastAsia="宋体" w:hint="default"/>
                <w:spacing w:val="-1"/>
                <w:sz w:val="18"/>
                <w:szCs w:val="18"/>
              </w:rPr>
              <w:t>加：公允价值变动收益（损失以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657"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30,189,425.82</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16,883,926.70</w:t>
            </w:r>
          </w:p>
        </w:tc>
      </w:tr>
      <w:tr>
        <w:trPr>
          <w:trHeight w:val="403"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7"/>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657"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57"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144,429,326.67</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160,808,806.45</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21,853,641.89</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20,164,910.41</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214,259.60</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128,741.72</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17,331,991.27</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27,425,886.11</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13,914,779.08</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14,935,045.48</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148,950,977.29</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153,547,830.75</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16,943,178.89</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29,165,380.38</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132,007,798.40</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124,382,450.37</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132,007,798.40</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124,382,450.37</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657"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-17,559,840.78</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4,972,469.07</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-17,559,840.78</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4,972,469.07</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7"/>
              <w:jc w:val="righ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657"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的变动</w:t>
            </w:r>
          </w:p>
        </w:tc>
        <w:tc>
          <w:tcPr>
            <w:tcW w:w="2657"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 益的其他综合收益中享有的份额</w:t>
            </w:r>
          </w:p>
        </w:tc>
        <w:tc>
          <w:tcPr>
            <w:tcW w:w="2657"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-17,559,840.78</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4,972,469.07</w:t>
            </w:r>
          </w:p>
        </w:tc>
      </w:tr>
      <w:tr>
        <w:trPr>
          <w:trHeight w:val="714"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 损益的其他综合收益中享有的份额</w:t>
            </w:r>
          </w:p>
        </w:tc>
        <w:tc>
          <w:tcPr>
            <w:tcW w:w="2657"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0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可供出售金融资产公允价值变动损益</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-17,561,272.66</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4,999,842.33</w:t>
            </w:r>
          </w:p>
        </w:tc>
      </w:tr>
      <w:tr>
        <w:trPr>
          <w:trHeight w:val="715"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w:t>
            </w:r>
          </w:p>
          <w:p>
            <w:pPr>
              <w:pStyle w:val="TableParagraph"/>
              <w:spacing w:line="240" w:lineRule="auto" w:before="62"/>
              <w:ind w:left="22" w:right="0"/>
              <w:jc w:val="left"/>
              <w:rPr>
                <w:rFonts w:ascii="宋体" w:hAnsi="宋体" w:cs="宋体" w:eastAsia="宋体" w:hint="default"/>
                <w:sz w:val="18"/>
                <w:szCs w:val="18"/>
              </w:rPr>
            </w:pPr>
            <w:r>
              <w:rPr>
                <w:rFonts w:ascii="宋体" w:hAnsi="宋体" w:cs="宋体" w:eastAsia="宋体" w:hint="default"/>
                <w:sz w:val="18"/>
                <w:szCs w:val="18"/>
              </w:rPr>
              <w:t>资产损益</w:t>
            </w:r>
          </w:p>
        </w:tc>
        <w:tc>
          <w:tcPr>
            <w:tcW w:w="2657"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231"/>
        <w:gridCol w:w="2668"/>
        <w:gridCol w:w="2660"/>
      </w:tblGrid>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668" w:type="dxa"/>
            <w:tcBorders>
              <w:top w:val="single" w:sz="4" w:space="0" w:color="000000"/>
              <w:left w:val="single" w:sz="12" w:space="0" w:color="D2D2D2"/>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1,431.88</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-27,373.26</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668" w:type="dxa"/>
            <w:tcBorders>
              <w:top w:val="single" w:sz="4" w:space="0" w:color="000000"/>
              <w:left w:val="single" w:sz="12" w:space="0" w:color="D2D2D2"/>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668" w:type="dxa"/>
            <w:tcBorders>
              <w:top w:val="single" w:sz="4" w:space="0" w:color="000000"/>
              <w:left w:val="single" w:sz="12" w:space="0" w:color="D2D2D2"/>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114,447,957.62</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129,354,919.44</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114,447,957.62</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129,354,919.44</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668" w:type="dxa"/>
            <w:tcBorders>
              <w:top w:val="single" w:sz="4" w:space="0" w:color="000000"/>
              <w:left w:val="single" w:sz="12" w:space="0" w:color="D2D2D2"/>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6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0.17</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0.16</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0.17</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0.16</w:t>
            </w:r>
          </w:p>
        </w:tc>
      </w:tr>
    </w:tbl>
    <w:p>
      <w:pPr>
        <w:pStyle w:val="BodyText"/>
        <w:tabs>
          <w:tab w:pos="3398" w:val="left" w:leader="none"/>
          <w:tab w:pos="7356" w:val="left" w:leader="none"/>
        </w:tabs>
        <w:spacing w:line="595" w:lineRule="auto" w:before="49"/>
        <w:ind w:right="252"/>
        <w:jc w:val="left"/>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 </w:t>
      </w:r>
      <w:r>
        <w:rPr>
          <w:spacing w:val="-3"/>
        </w:rPr>
        <w:t>元。 </w:t>
      </w:r>
      <w:r>
        <w:rPr/>
        <w:t>法定代表人：杨文江</w:t>
        <w:tab/>
      </w:r>
      <w:r>
        <w:rPr>
          <w:spacing w:val="-1"/>
        </w:rPr>
        <w:t>主管会计工作负责人：陈国军</w:t>
        <w:tab/>
      </w:r>
      <w:r>
        <w:rPr/>
        <w:t>会计机构负责人：陈国军</w:t>
      </w:r>
      <w:r>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1"/>
        <w:gridCol w:w="2668"/>
        <w:gridCol w:w="2660"/>
      </w:tblGrid>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908,307,498.29</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763,051,975.51</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643,279,370.41</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504,361,073.82</w:t>
            </w: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3,614,721.44</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4,766,177.42</w:t>
            </w:r>
          </w:p>
        </w:tc>
      </w:tr>
      <w:tr>
        <w:trPr>
          <w:trHeight w:val="404"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67,054,069.69</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76,182,094.70</w:t>
            </w: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143,394,353.05</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114,436,556.20</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-686,002.58</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-995,720.42</w:t>
            </w: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5,235,284.23</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10,065,175.66</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9"/>
              <w:jc w:val="right"/>
              <w:rPr>
                <w:rFonts w:ascii="宋体" w:hAnsi="宋体" w:cs="宋体" w:eastAsia="宋体" w:hint="default"/>
                <w:sz w:val="18"/>
                <w:szCs w:val="18"/>
              </w:rPr>
            </w:pPr>
            <w:r>
              <w:rPr>
                <w:rFonts w:ascii="宋体" w:hAnsi="宋体" w:cs="宋体" w:eastAsia="宋体" w:hint="default"/>
                <w:spacing w:val="-1"/>
                <w:sz w:val="18"/>
                <w:szCs w:val="18"/>
              </w:rPr>
              <w:t>加：公允价值变动收益（损失以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668" w:type="dxa"/>
            <w:tcBorders>
              <w:top w:val="single" w:sz="4" w:space="0" w:color="000000"/>
              <w:left w:val="single" w:sz="12" w:space="0" w:color="D2D2D2"/>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1,517,941.41</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895,200.76</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6"/>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668" w:type="dxa"/>
            <w:tcBorders>
              <w:top w:val="single" w:sz="4" w:space="0" w:color="000000"/>
              <w:left w:val="single" w:sz="12" w:space="0" w:color="D2D2D2"/>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47,933,643.46</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55,131,818.89</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4,623,927.91</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4,983,600.54</w:t>
            </w: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214,259.60</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128,741.72</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16,213,793.28</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25,580,923.62</w:t>
            </w: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13,914,779.08</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14,934,675.58</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36,343,778.09</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34,534,495.81</w:t>
            </w: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61,364.83</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8,676,830.95</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36,282,413.26</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25,857,664.86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231"/>
        <w:gridCol w:w="2668"/>
        <w:gridCol w:w="2660"/>
      </w:tblGrid>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668" w:type="dxa"/>
            <w:tcBorders>
              <w:top w:val="single" w:sz="4" w:space="0" w:color="000000"/>
              <w:left w:val="single" w:sz="12" w:space="0" w:color="D2D2D2"/>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46"/>
              <w:jc w:val="righ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668" w:type="dxa"/>
            <w:tcBorders>
              <w:top w:val="single" w:sz="4" w:space="0" w:color="000000"/>
              <w:left w:val="single" w:sz="12" w:space="0" w:color="D2D2D2"/>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的变动</w:t>
            </w:r>
          </w:p>
        </w:tc>
        <w:tc>
          <w:tcPr>
            <w:tcW w:w="2668" w:type="dxa"/>
            <w:tcBorders>
              <w:top w:val="single" w:sz="4" w:space="0" w:color="000000"/>
              <w:left w:val="single" w:sz="12" w:space="0" w:color="D2D2D2"/>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12" w:right="11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 益的其他综合收益中享有的份额</w:t>
            </w:r>
          </w:p>
        </w:tc>
        <w:tc>
          <w:tcPr>
            <w:tcW w:w="2668" w:type="dxa"/>
            <w:tcBorders>
              <w:top w:val="single" w:sz="4" w:space="0" w:color="000000"/>
              <w:left w:val="single" w:sz="12" w:space="0" w:color="D2D2D2"/>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668" w:type="dxa"/>
            <w:tcBorders>
              <w:top w:val="single" w:sz="4" w:space="0" w:color="000000"/>
              <w:left w:val="single" w:sz="12" w:space="0" w:color="D2D2D2"/>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12" w:right="11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 损益的其他综合收益中享有的份额</w:t>
            </w:r>
          </w:p>
        </w:tc>
        <w:tc>
          <w:tcPr>
            <w:tcW w:w="2668" w:type="dxa"/>
            <w:tcBorders>
              <w:top w:val="single" w:sz="4" w:space="0" w:color="000000"/>
              <w:left w:val="single" w:sz="12" w:space="0" w:color="D2D2D2"/>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9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可供出售金融资产公允价值变动损益</w:t>
            </w:r>
          </w:p>
        </w:tc>
        <w:tc>
          <w:tcPr>
            <w:tcW w:w="2668" w:type="dxa"/>
            <w:tcBorders>
              <w:top w:val="single" w:sz="4" w:space="0" w:color="000000"/>
              <w:left w:val="single" w:sz="12" w:space="0" w:color="D2D2D2"/>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w:t>
            </w:r>
          </w:p>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资产损益</w:t>
            </w:r>
          </w:p>
        </w:tc>
        <w:tc>
          <w:tcPr>
            <w:tcW w:w="2668" w:type="dxa"/>
            <w:tcBorders>
              <w:top w:val="single" w:sz="4" w:space="0" w:color="000000"/>
              <w:left w:val="single" w:sz="12" w:space="0" w:color="D2D2D2"/>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668" w:type="dxa"/>
            <w:tcBorders>
              <w:top w:val="single" w:sz="4" w:space="0" w:color="000000"/>
              <w:left w:val="single" w:sz="12" w:space="0" w:color="D2D2D2"/>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668" w:type="dxa"/>
            <w:tcBorders>
              <w:top w:val="single" w:sz="4" w:space="0" w:color="000000"/>
              <w:left w:val="single" w:sz="12" w:space="0" w:color="D2D2D2"/>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668" w:type="dxa"/>
            <w:tcBorders>
              <w:top w:val="single" w:sz="4" w:space="0" w:color="000000"/>
              <w:left w:val="single" w:sz="12" w:space="0" w:color="D2D2D2"/>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6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left="1591" w:right="0"/>
              <w:jc w:val="left"/>
              <w:rPr>
                <w:rFonts w:ascii="Times New Roman" w:hAnsi="Times New Roman" w:cs="Times New Roman" w:eastAsia="Times New Roman" w:hint="default"/>
                <w:sz w:val="18"/>
                <w:szCs w:val="18"/>
              </w:rPr>
            </w:pPr>
            <w:r>
              <w:rPr>
                <w:rFonts w:ascii="Times New Roman"/>
                <w:sz w:val="18"/>
              </w:rPr>
              <w:t>36,282,413.26</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91" w:right="0"/>
              <w:jc w:val="left"/>
              <w:rPr>
                <w:rFonts w:ascii="Times New Roman" w:hAnsi="Times New Roman" w:cs="Times New Roman" w:eastAsia="Times New Roman" w:hint="default"/>
                <w:sz w:val="18"/>
                <w:szCs w:val="18"/>
              </w:rPr>
            </w:pPr>
            <w:r>
              <w:rPr>
                <w:rFonts w:ascii="Times New Roman"/>
                <w:sz w:val="18"/>
              </w:rPr>
              <w:t>25,857,664.86</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6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668" w:type="dxa"/>
            <w:tcBorders>
              <w:top w:val="single" w:sz="4" w:space="0" w:color="000000"/>
              <w:left w:val="single" w:sz="12" w:space="0" w:color="D2D2D2"/>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668" w:type="dxa"/>
            <w:tcBorders>
              <w:top w:val="single" w:sz="4" w:space="0" w:color="000000"/>
              <w:left w:val="single" w:sz="12" w:space="0" w:color="D2D2D2"/>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46"/>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948"/>
        <w:gridCol w:w="2810"/>
        <w:gridCol w:w="2801"/>
      </w:tblGrid>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8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8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641" w:right="0"/>
              <w:jc w:val="left"/>
              <w:rPr>
                <w:rFonts w:ascii="Times New Roman" w:hAnsi="Times New Roman" w:cs="Times New Roman" w:eastAsia="Times New Roman" w:hint="default"/>
                <w:sz w:val="18"/>
                <w:szCs w:val="18"/>
              </w:rPr>
            </w:pPr>
            <w:r>
              <w:rPr>
                <w:rFonts w:ascii="Times New Roman"/>
                <w:sz w:val="18"/>
              </w:rPr>
              <w:t>965,905,868.72</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42" w:right="0"/>
              <w:jc w:val="left"/>
              <w:rPr>
                <w:rFonts w:ascii="Times New Roman" w:hAnsi="Times New Roman" w:cs="Times New Roman" w:eastAsia="Times New Roman" w:hint="default"/>
                <w:sz w:val="18"/>
                <w:szCs w:val="18"/>
              </w:rPr>
            </w:pPr>
            <w:r>
              <w:rPr>
                <w:rFonts w:ascii="Times New Roman"/>
                <w:sz w:val="18"/>
              </w:rPr>
              <w:t>775,570,039.81</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863"/>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810" w:type="dxa"/>
            <w:tcBorders>
              <w:top w:val="single" w:sz="4" w:space="0" w:color="000000"/>
              <w:left w:val="single" w:sz="12" w:space="0" w:color="D2D2D2"/>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810" w:type="dxa"/>
            <w:tcBorders>
              <w:top w:val="single" w:sz="4" w:space="0" w:color="000000"/>
              <w:left w:val="single" w:sz="12" w:space="0" w:color="D2D2D2"/>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863"/>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810" w:type="dxa"/>
            <w:tcBorders>
              <w:top w:val="single" w:sz="4" w:space="0" w:color="000000"/>
              <w:left w:val="single" w:sz="12" w:space="0" w:color="D2D2D2"/>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810" w:type="dxa"/>
            <w:tcBorders>
              <w:top w:val="single" w:sz="4" w:space="0" w:color="000000"/>
              <w:left w:val="single" w:sz="12" w:space="0" w:color="D2D2D2"/>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810" w:type="dxa"/>
            <w:tcBorders>
              <w:top w:val="single" w:sz="4" w:space="0" w:color="000000"/>
              <w:left w:val="single" w:sz="12" w:space="0" w:color="D2D2D2"/>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810" w:type="dxa"/>
            <w:tcBorders>
              <w:top w:val="single" w:sz="4" w:space="0" w:color="000000"/>
              <w:left w:val="single" w:sz="12" w:space="0" w:color="D2D2D2"/>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143"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 的金融资产净增加额</w:t>
            </w:r>
          </w:p>
        </w:tc>
        <w:tc>
          <w:tcPr>
            <w:tcW w:w="2810" w:type="dxa"/>
            <w:tcBorders>
              <w:top w:val="single" w:sz="4" w:space="0" w:color="000000"/>
              <w:left w:val="single" w:sz="12" w:space="0" w:color="D2D2D2"/>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810" w:type="dxa"/>
            <w:tcBorders>
              <w:top w:val="single" w:sz="4" w:space="0" w:color="000000"/>
              <w:left w:val="single" w:sz="12" w:space="0" w:color="D2D2D2"/>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810" w:type="dxa"/>
            <w:tcBorders>
              <w:top w:val="single" w:sz="4" w:space="0" w:color="000000"/>
              <w:left w:val="single" w:sz="12" w:space="0" w:color="D2D2D2"/>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948"/>
        <w:gridCol w:w="2810"/>
        <w:gridCol w:w="2801"/>
      </w:tblGrid>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810" w:type="dxa"/>
            <w:tcBorders>
              <w:top w:val="single" w:sz="4" w:space="0" w:color="000000"/>
              <w:left w:val="single" w:sz="12" w:space="0" w:color="D2D2D2"/>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8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20,316,552.78</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18,128,461.06</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8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58,539,285.43</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23,968,067.61</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8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1,044,761,706.93</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817,666,568.48</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8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535,648,034.49</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376,434,130.26</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810" w:type="dxa"/>
            <w:tcBorders>
              <w:top w:val="single" w:sz="4" w:space="0" w:color="000000"/>
              <w:left w:val="single" w:sz="12" w:space="0" w:color="D2D2D2"/>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810" w:type="dxa"/>
            <w:tcBorders>
              <w:top w:val="single" w:sz="4" w:space="0" w:color="000000"/>
              <w:left w:val="single" w:sz="12" w:space="0" w:color="D2D2D2"/>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810" w:type="dxa"/>
            <w:tcBorders>
              <w:top w:val="single" w:sz="4" w:space="0" w:color="000000"/>
              <w:left w:val="single" w:sz="12" w:space="0" w:color="D2D2D2"/>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810" w:type="dxa"/>
            <w:tcBorders>
              <w:top w:val="single" w:sz="4" w:space="0" w:color="000000"/>
              <w:left w:val="single" w:sz="12" w:space="0" w:color="D2D2D2"/>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810" w:type="dxa"/>
            <w:tcBorders>
              <w:top w:val="single" w:sz="4" w:space="0" w:color="000000"/>
              <w:left w:val="single" w:sz="12" w:space="0" w:color="D2D2D2"/>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8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112,612,000.99</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51,470,496.75</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8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58,895,739.79</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86,026,243.40</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8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161,178,817.60</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204,133,520.57</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8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868,334,592.87</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718,064,390.98</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8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176,427,114.06</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99,602,177.50</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8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8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637,219,665.62</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33,562,056.65</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8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30,189,425.82</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16,941,072.09</w:t>
            </w:r>
          </w:p>
        </w:tc>
      </w:tr>
      <w:tr>
        <w:trPr>
          <w:trHeight w:val="714"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处置固定资产、无形资产和其他长期资产收回</w:t>
            </w:r>
            <w:r>
              <w:rPr>
                <w:rFonts w:ascii="宋体" w:hAnsi="宋体" w:cs="宋体" w:eastAsia="宋体" w:hint="default"/>
                <w:sz w:val="18"/>
                <w:szCs w:val="18"/>
              </w:rPr>
              <w:t> 的现金净额</w:t>
            </w:r>
          </w:p>
        </w:tc>
        <w:tc>
          <w:tcPr>
            <w:tcW w:w="28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280,802.00</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1,412,750.00</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43"/>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810" w:type="dxa"/>
            <w:tcBorders>
              <w:top w:val="single" w:sz="4" w:space="0" w:color="000000"/>
              <w:left w:val="single" w:sz="12" w:space="0" w:color="D2D2D2"/>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810" w:type="dxa"/>
            <w:tcBorders>
              <w:top w:val="single" w:sz="4" w:space="0" w:color="000000"/>
              <w:left w:val="single" w:sz="12" w:space="0" w:color="D2D2D2"/>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8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667,689,893.44</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51,915,878.74</w:t>
            </w:r>
          </w:p>
        </w:tc>
      </w:tr>
      <w:tr>
        <w:trPr>
          <w:trHeight w:val="714"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购建固定资产、无形资产和其他长期资产支付</w:t>
            </w:r>
            <w:r>
              <w:rPr>
                <w:rFonts w:ascii="宋体" w:hAnsi="宋体" w:cs="宋体" w:eastAsia="宋体" w:hint="default"/>
                <w:sz w:val="18"/>
                <w:szCs w:val="18"/>
              </w:rPr>
              <w:t> 的现金</w:t>
            </w:r>
          </w:p>
        </w:tc>
        <w:tc>
          <w:tcPr>
            <w:tcW w:w="28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129,142,429.33</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112,459,843.69</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8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565,367,000.00</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35,085,840.91</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810" w:type="dxa"/>
            <w:tcBorders>
              <w:top w:val="single" w:sz="4" w:space="0" w:color="000000"/>
              <w:left w:val="single" w:sz="12" w:space="0" w:color="D2D2D2"/>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43"/>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810" w:type="dxa"/>
            <w:tcBorders>
              <w:top w:val="single" w:sz="4" w:space="0" w:color="000000"/>
              <w:left w:val="single" w:sz="12" w:space="0" w:color="D2D2D2"/>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810" w:type="dxa"/>
            <w:tcBorders>
              <w:top w:val="single" w:sz="4" w:space="0" w:color="000000"/>
              <w:left w:val="single" w:sz="12" w:space="0" w:color="D2D2D2"/>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8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694,509,429.33</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147,545,684.60</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8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-26,819,535.89</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-95,629,805.86</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8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810" w:type="dxa"/>
            <w:tcBorders>
              <w:top w:val="single" w:sz="4" w:space="0" w:color="000000"/>
              <w:left w:val="single" w:sz="12" w:space="0" w:color="D2D2D2"/>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43"/>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810" w:type="dxa"/>
            <w:tcBorders>
              <w:top w:val="single" w:sz="4" w:space="0" w:color="000000"/>
              <w:left w:val="single" w:sz="12" w:space="0" w:color="D2D2D2"/>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810" w:type="dxa"/>
            <w:tcBorders>
              <w:top w:val="single" w:sz="4" w:space="0" w:color="000000"/>
              <w:left w:val="single" w:sz="12" w:space="0" w:color="D2D2D2"/>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969"/>
        <w:gridCol w:w="2799"/>
        <w:gridCol w:w="2801"/>
      </w:tblGrid>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799" w:type="dxa"/>
            <w:tcBorders>
              <w:top w:val="single" w:sz="4" w:space="0" w:color="000000"/>
              <w:left w:val="single" w:sz="4" w:space="0" w:color="000000"/>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799" w:type="dxa"/>
            <w:tcBorders>
              <w:top w:val="single" w:sz="4" w:space="0" w:color="000000"/>
              <w:left w:val="single" w:sz="4" w:space="0" w:color="000000"/>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799" w:type="dxa"/>
            <w:tcBorders>
              <w:top w:val="single" w:sz="4" w:space="0" w:color="000000"/>
              <w:left w:val="single" w:sz="4" w:space="0" w:color="000000"/>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25,710,987.68</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127,046,142.98</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10,038,583.21</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9,482,717.64</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799" w:type="dxa"/>
            <w:tcBorders>
              <w:top w:val="single" w:sz="4" w:space="0" w:color="000000"/>
              <w:left w:val="single" w:sz="4" w:space="0" w:color="000000"/>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799" w:type="dxa"/>
            <w:tcBorders>
              <w:top w:val="single" w:sz="4" w:space="0" w:color="000000"/>
              <w:left w:val="single" w:sz="4" w:space="0" w:color="000000"/>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35,749,570.89</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136,528,860.62</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-35,749,570.89</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-131,528,860.62</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799" w:type="dxa"/>
            <w:tcBorders>
              <w:top w:val="single" w:sz="4" w:space="0" w:color="000000"/>
              <w:left w:val="single" w:sz="4" w:space="0" w:color="000000"/>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113,858,007.28</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-127,556,488.98</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154,381,976.18</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281,938,465.16</w:t>
            </w:r>
          </w:p>
        </w:tc>
      </w:tr>
      <w:tr>
        <w:trPr>
          <w:trHeight w:val="403"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268,239,983.46</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154,381,976.18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46"/>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948"/>
        <w:gridCol w:w="2810"/>
        <w:gridCol w:w="2801"/>
      </w:tblGrid>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8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8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906,961,461.40</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666,117,460.74</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8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2,503,080.62</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4,430,833.24</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8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377,492,866.21</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78,375,015.17</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8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1,286,957,408.23</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748,923,309.15</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8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503,151,379.29</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363,099,742.99</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8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89,480,802.90</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44,493,590.40</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8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21,442,785.42</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49,943,227.01</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8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416,478,585.80</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213,430,064.17</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8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1,030,553,553.41</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670,966,624.57</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8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256,403,854.82</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77,956,684.58</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8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8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565,100,000.00</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16,326,234.88</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8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1,517,941.41</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891,236.37</w:t>
            </w:r>
          </w:p>
        </w:tc>
      </w:tr>
      <w:tr>
        <w:trPr>
          <w:trHeight w:val="714"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11"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处置固定资产、无形资产和其他长期资产收回</w:t>
            </w:r>
            <w:r>
              <w:rPr>
                <w:rFonts w:ascii="宋体" w:hAnsi="宋体" w:cs="宋体" w:eastAsia="宋体" w:hint="default"/>
                <w:sz w:val="18"/>
                <w:szCs w:val="18"/>
              </w:rPr>
              <w:t> 的现金净额</w:t>
            </w:r>
          </w:p>
        </w:tc>
        <w:tc>
          <w:tcPr>
            <w:tcW w:w="28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280,802.00</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1,412,750.00</w:t>
            </w: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810" w:type="dxa"/>
            <w:tcBorders>
              <w:top w:val="single" w:sz="4" w:space="0" w:color="000000"/>
              <w:left w:val="single" w:sz="12" w:space="0" w:color="D2D2D2"/>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960" w:type="dxa"/>
        <w:tblLayout w:type="fixed"/>
        <w:tblCellMar>
          <w:top w:w="0" w:type="dxa"/>
          <w:left w:w="0" w:type="dxa"/>
          <w:bottom w:w="0" w:type="dxa"/>
          <w:right w:w="0" w:type="dxa"/>
        </w:tblCellMar>
        <w:tblLook w:val="01E0"/>
      </w:tblPr>
      <w:tblGrid>
        <w:gridCol w:w="3948"/>
        <w:gridCol w:w="2810"/>
        <w:gridCol w:w="2801"/>
      </w:tblGrid>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810" w:type="dxa"/>
            <w:tcBorders>
              <w:top w:val="single" w:sz="4" w:space="0" w:color="000000"/>
              <w:left w:val="single" w:sz="12" w:space="0" w:color="D2D2D2"/>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8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566,898,743.41</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18,630,221.25</w:t>
            </w:r>
          </w:p>
        </w:tc>
      </w:tr>
      <w:tr>
        <w:trPr>
          <w:trHeight w:val="714"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购建固定资产、无形资产和其他长期资产支付</w:t>
            </w:r>
            <w:r>
              <w:rPr>
                <w:rFonts w:ascii="宋体" w:hAnsi="宋体" w:cs="宋体" w:eastAsia="宋体" w:hint="default"/>
                <w:sz w:val="18"/>
                <w:szCs w:val="18"/>
              </w:rPr>
              <w:t> 的现金</w:t>
            </w:r>
          </w:p>
        </w:tc>
        <w:tc>
          <w:tcPr>
            <w:tcW w:w="28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121,048,015.24</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57,580,471.00</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8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580,100,000.00</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2,085,090.91</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810" w:type="dxa"/>
            <w:tcBorders>
              <w:top w:val="single" w:sz="4" w:space="0" w:color="000000"/>
              <w:left w:val="single" w:sz="12" w:space="0" w:color="D2D2D2"/>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810" w:type="dxa"/>
            <w:tcBorders>
              <w:top w:val="single" w:sz="4" w:space="0" w:color="000000"/>
              <w:left w:val="single" w:sz="12" w:space="0" w:color="D2D2D2"/>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8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701,148,015.24</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59,665,561.91</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8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-134,249,271.83</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-41,035,340.66</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8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810" w:type="dxa"/>
            <w:tcBorders>
              <w:top w:val="single" w:sz="4" w:space="0" w:color="000000"/>
              <w:left w:val="single" w:sz="12" w:space="0" w:color="D2D2D2"/>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810" w:type="dxa"/>
            <w:tcBorders>
              <w:top w:val="single" w:sz="4" w:space="0" w:color="000000"/>
              <w:left w:val="single" w:sz="12" w:space="0" w:color="D2D2D2"/>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810" w:type="dxa"/>
            <w:tcBorders>
              <w:top w:val="single" w:sz="4" w:space="0" w:color="000000"/>
              <w:left w:val="single" w:sz="12" w:space="0" w:color="D2D2D2"/>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810" w:type="dxa"/>
            <w:tcBorders>
              <w:top w:val="single" w:sz="4" w:space="0" w:color="000000"/>
              <w:left w:val="single" w:sz="12" w:space="0" w:color="D2D2D2"/>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810" w:type="dxa"/>
            <w:tcBorders>
              <w:top w:val="single" w:sz="4" w:space="0" w:color="000000"/>
              <w:left w:val="single" w:sz="12" w:space="0" w:color="D2D2D2"/>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810" w:type="dxa"/>
            <w:tcBorders>
              <w:top w:val="single" w:sz="4" w:space="0" w:color="000000"/>
              <w:left w:val="single" w:sz="12" w:space="0" w:color="D2D2D2"/>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106,286,082.58</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8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7,925,135.19</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6,208,442.35</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810" w:type="dxa"/>
            <w:tcBorders>
              <w:top w:val="single" w:sz="4" w:space="0" w:color="000000"/>
              <w:left w:val="single" w:sz="12" w:space="0" w:color="D2D2D2"/>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8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7,925,135.19</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112,494,524.93</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8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-7,925,135.19</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-107,494,524.93</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810" w:type="dxa"/>
            <w:tcBorders>
              <w:top w:val="single" w:sz="4" w:space="0" w:color="000000"/>
              <w:left w:val="single" w:sz="12" w:space="0" w:color="D2D2D2"/>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8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114,229,447.80</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-70,573,181.01</w:t>
            </w: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8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143,560,318.28</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214,133,499.29</w:t>
            </w: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8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257,789,766.08</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143,560,318.28</w:t>
            </w:r>
          </w:p>
        </w:tc>
      </w:tr>
    </w:tbl>
    <w:p>
      <w:pPr>
        <w:spacing w:line="240" w:lineRule="auto" w:before="3"/>
        <w:rPr>
          <w:rFonts w:ascii="宋体" w:hAnsi="宋体" w:cs="宋体" w:eastAsia="宋体" w:hint="default"/>
          <w:sz w:val="19"/>
          <w:szCs w:val="19"/>
        </w:rPr>
      </w:pPr>
    </w:p>
    <w:p>
      <w:pPr>
        <w:pStyle w:val="Heading3"/>
        <w:spacing w:line="240" w:lineRule="auto" w:before="36"/>
        <w:ind w:left="952"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952" w:right="0"/>
        <w:jc w:val="left"/>
      </w:pPr>
      <w:r>
        <w:rPr/>
        <w:t>本期金额</w:t>
      </w:r>
    </w:p>
    <w:p>
      <w:pPr>
        <w:pStyle w:val="BodyText"/>
        <w:spacing w:line="240" w:lineRule="auto" w:before="117"/>
        <w:ind w:left="0" w:right="971"/>
        <w:jc w:val="right"/>
      </w:pPr>
      <w:r>
        <w:rPr/>
        <w:t>单位：元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47"/>
        <w:gridCol w:w="852"/>
        <w:gridCol w:w="708"/>
        <w:gridCol w:w="709"/>
        <w:gridCol w:w="569"/>
        <w:gridCol w:w="708"/>
        <w:gridCol w:w="566"/>
        <w:gridCol w:w="711"/>
        <w:gridCol w:w="566"/>
        <w:gridCol w:w="850"/>
        <w:gridCol w:w="636"/>
        <w:gridCol w:w="1208"/>
        <w:gridCol w:w="425"/>
        <w:gridCol w:w="1277"/>
      </w:tblGrid>
      <w:tr>
        <w:trPr>
          <w:trHeight w:val="401" w:hRule="exact"/>
        </w:trPr>
        <w:tc>
          <w:tcPr>
            <w:tcW w:w="1547" w:type="dxa"/>
            <w:vMerge w:val="restart"/>
            <w:tcBorders>
              <w:top w:val="single" w:sz="4" w:space="0" w:color="000000"/>
              <w:left w:val="single" w:sz="4" w:space="0" w:color="000000"/>
              <w:right w:val="single" w:sz="4" w:space="0" w:color="000000"/>
            </w:tcBorders>
            <w:shd w:val="clear" w:color="auto" w:fill="D2D2D2"/>
          </w:tcPr>
          <w:p>
            <w:pPr/>
          </w:p>
        </w:tc>
        <w:tc>
          <w:tcPr>
            <w:tcW w:w="978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96" w:hRule="exact"/>
        </w:trPr>
        <w:tc>
          <w:tcPr>
            <w:tcW w:w="1547" w:type="dxa"/>
            <w:vMerge/>
            <w:tcBorders>
              <w:left w:val="single" w:sz="4" w:space="0" w:color="000000"/>
              <w:right w:val="single" w:sz="4" w:space="0" w:color="000000"/>
            </w:tcBorders>
            <w:shd w:val="clear" w:color="auto" w:fill="D2D2D2"/>
          </w:tcPr>
          <w:p>
            <w:pPr/>
          </w:p>
        </w:tc>
        <w:tc>
          <w:tcPr>
            <w:tcW w:w="808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
        </w:tc>
      </w:tr>
      <w:tr>
        <w:trPr>
          <w:trHeight w:val="134" w:hRule="exact"/>
        </w:trPr>
        <w:tc>
          <w:tcPr>
            <w:tcW w:w="1547" w:type="dxa"/>
            <w:vMerge/>
            <w:tcBorders>
              <w:left w:val="single" w:sz="4" w:space="0" w:color="000000"/>
              <w:bottom w:val="nil" w:sz="6" w:space="0" w:color="auto"/>
              <w:right w:val="single" w:sz="4" w:space="0" w:color="000000"/>
            </w:tcBorders>
            <w:shd w:val="clear" w:color="auto" w:fill="D2D2D2"/>
          </w:tcPr>
          <w:p>
            <w:pPr/>
          </w:p>
        </w:tc>
        <w:tc>
          <w:tcPr>
            <w:tcW w:w="8082" w:type="dxa"/>
            <w:gridSpan w:val="11"/>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8" w:right="24"/>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1277" w:type="dxa"/>
            <w:vMerge/>
            <w:tcBorders>
              <w:left w:val="single" w:sz="4" w:space="0" w:color="000000"/>
              <w:bottom w:val="nil" w:sz="6" w:space="0" w:color="auto"/>
              <w:right w:val="single" w:sz="4" w:space="0" w:color="000000"/>
            </w:tcBorders>
            <w:shd w:val="clear" w:color="auto" w:fill="D2D2D2"/>
          </w:tcPr>
          <w:p>
            <w:pPr/>
          </w:p>
        </w:tc>
      </w:tr>
      <w:tr>
        <w:trPr>
          <w:trHeight w:val="174" w:hRule="exact"/>
        </w:trPr>
        <w:tc>
          <w:tcPr>
            <w:tcW w:w="154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 w:right="6"/>
              <w:jc w:val="center"/>
              <w:rPr>
                <w:rFonts w:ascii="宋体" w:hAnsi="宋体" w:cs="宋体" w:eastAsia="宋体" w:hint="default"/>
                <w:sz w:val="18"/>
                <w:szCs w:val="18"/>
              </w:rPr>
            </w:pPr>
            <w:r>
              <w:rPr>
                <w:rFonts w:ascii="宋体" w:hAnsi="宋体" w:cs="宋体" w:eastAsia="宋体" w:hint="default"/>
                <w:sz w:val="18"/>
                <w:szCs w:val="18"/>
              </w:rPr>
              <w:t>项目</w:t>
            </w:r>
          </w:p>
        </w:tc>
        <w:tc>
          <w:tcPr>
            <w:tcW w:w="8082" w:type="dxa"/>
            <w:gridSpan w:val="11"/>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71"/>
              <w:ind w:left="542" w:right="93" w:hanging="449"/>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99" w:hRule="exact"/>
        </w:trPr>
        <w:tc>
          <w:tcPr>
            <w:tcW w:w="1547" w:type="dxa"/>
            <w:vMerge/>
            <w:tcBorders>
              <w:left w:val="single" w:sz="4" w:space="0" w:color="000000"/>
              <w:bottom w:val="nil" w:sz="6" w:space="0" w:color="auto"/>
              <w:right w:val="single" w:sz="4" w:space="0" w:color="000000"/>
            </w:tcBorders>
            <w:shd w:val="clear" w:color="auto" w:fill="D2D2D2"/>
          </w:tcPr>
          <w:p>
            <w:pP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259" w:right="77"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98" w:right="19" w:hanging="75"/>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79" w:right="81"/>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98" w:right="9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6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43" w:right="41"/>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r>
      <w:tr>
        <w:trPr>
          <w:trHeight w:val="194" w:hRule="exact"/>
        </w:trPr>
        <w:tc>
          <w:tcPr>
            <w:tcW w:w="1547" w:type="dxa"/>
            <w:vMerge w:val="restart"/>
            <w:tcBorders>
              <w:top w:val="nil" w:sz="6" w:space="0" w:color="auto"/>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4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85" w:type="dxa"/>
            <w:gridSpan w:val="3"/>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36"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42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r>
      <w:tr>
        <w:trPr>
          <w:trHeight w:val="179" w:hRule="exact"/>
        </w:trPr>
        <w:tc>
          <w:tcPr>
            <w:tcW w:w="1547"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636"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r>
      <w:tr>
        <w:trPr>
          <w:trHeight w:val="116" w:hRule="exact"/>
        </w:trPr>
        <w:tc>
          <w:tcPr>
            <w:tcW w:w="1547"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636"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r>
      <w:tr>
        <w:trPr>
          <w:trHeight w:val="96" w:hRule="exact"/>
        </w:trPr>
        <w:tc>
          <w:tcPr>
            <w:tcW w:w="1547"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636" w:type="dxa"/>
            <w:vMerge/>
            <w:tcBorders>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547"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vMerge w:val="restart"/>
            <w:tcBorders>
              <w:top w:val="single" w:sz="4" w:space="0" w:color="000000"/>
              <w:left w:val="single" w:sz="10"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761,191,2</w:t>
            </w:r>
          </w:p>
          <w:p>
            <w:pPr>
              <w:pStyle w:val="TableParagraph"/>
              <w:spacing w:line="240" w:lineRule="auto" w:before="102"/>
              <w:ind w:left="407" w:right="0"/>
              <w:jc w:val="left"/>
              <w:rPr>
                <w:rFonts w:ascii="Times New Roman" w:hAnsi="Times New Roman" w:cs="Times New Roman" w:eastAsia="Times New Roman" w:hint="default"/>
                <w:sz w:val="18"/>
                <w:szCs w:val="18"/>
              </w:rPr>
            </w:pPr>
            <w:r>
              <w:rPr>
                <w:rFonts w:ascii="Times New Roman"/>
                <w:sz w:val="18"/>
              </w:rPr>
              <w:t>94.00</w:t>
            </w:r>
          </w:p>
        </w:tc>
        <w:tc>
          <w:tcPr>
            <w:tcW w:w="708" w:type="dxa"/>
            <w:vMerge w:val="restart"/>
            <w:tcBorders>
              <w:top w:val="single" w:sz="4" w:space="0" w:color="000000"/>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18" w:space="0" w:color="D2D2D2"/>
              <w:left w:val="single" w:sz="4" w:space="0" w:color="000000"/>
              <w:right w:val="single" w:sz="4" w:space="0" w:color="000000"/>
            </w:tcBorders>
          </w:tcPr>
          <w:p>
            <w:pPr>
              <w:pStyle w:val="TableParagraph"/>
              <w:spacing w:line="240" w:lineRule="auto" w:before="73"/>
              <w:ind w:left="45" w:right="0"/>
              <w:jc w:val="left"/>
              <w:rPr>
                <w:rFonts w:ascii="Times New Roman" w:hAnsi="Times New Roman" w:cs="Times New Roman" w:eastAsia="Times New Roman" w:hint="default"/>
                <w:sz w:val="18"/>
                <w:szCs w:val="18"/>
              </w:rPr>
            </w:pPr>
            <w:r>
              <w:rPr>
                <w:rFonts w:ascii="Times New Roman"/>
                <w:sz w:val="18"/>
              </w:rPr>
              <w:t>28,651,1</w:t>
            </w:r>
          </w:p>
          <w:p>
            <w:pPr>
              <w:pStyle w:val="TableParagraph"/>
              <w:spacing w:line="240" w:lineRule="auto" w:before="102"/>
              <w:ind w:left="271" w:right="0"/>
              <w:jc w:val="left"/>
              <w:rPr>
                <w:rFonts w:ascii="Times New Roman" w:hAnsi="Times New Roman" w:cs="Times New Roman" w:eastAsia="Times New Roman" w:hint="default"/>
                <w:sz w:val="18"/>
                <w:szCs w:val="18"/>
              </w:rPr>
            </w:pPr>
            <w:r>
              <w:rPr>
                <w:rFonts w:ascii="Times New Roman"/>
                <w:sz w:val="18"/>
              </w:rPr>
              <w:t>29.28</w:t>
            </w:r>
          </w:p>
        </w:tc>
        <w:tc>
          <w:tcPr>
            <w:tcW w:w="566" w:type="dxa"/>
            <w:vMerge w:val="restart"/>
            <w:tcBorders>
              <w:top w:val="single" w:sz="18" w:space="0" w:color="D2D2D2"/>
              <w:left w:val="single" w:sz="4" w:space="0" w:color="000000"/>
              <w:right w:val="single" w:sz="4" w:space="0" w:color="000000"/>
            </w:tcBorders>
          </w:tcPr>
          <w:p>
            <w:pPr/>
          </w:p>
        </w:tc>
        <w:tc>
          <w:tcPr>
            <w:tcW w:w="711" w:type="dxa"/>
            <w:vMerge w:val="restart"/>
            <w:tcBorders>
              <w:top w:val="single" w:sz="18" w:space="0" w:color="D2D2D2"/>
              <w:left w:val="single" w:sz="4" w:space="0" w:color="000000"/>
              <w:right w:val="single" w:sz="4" w:space="0" w:color="000000"/>
            </w:tcBorders>
          </w:tcPr>
          <w:p>
            <w:pPr>
              <w:pStyle w:val="TableParagraph"/>
              <w:spacing w:line="240" w:lineRule="auto" w:before="73"/>
              <w:ind w:left="45" w:right="0"/>
              <w:jc w:val="left"/>
              <w:rPr>
                <w:rFonts w:ascii="Times New Roman" w:hAnsi="Times New Roman" w:cs="Times New Roman" w:eastAsia="Times New Roman" w:hint="default"/>
                <w:sz w:val="18"/>
                <w:szCs w:val="18"/>
              </w:rPr>
            </w:pPr>
            <w:r>
              <w:rPr>
                <w:rFonts w:ascii="Times New Roman"/>
                <w:sz w:val="18"/>
              </w:rPr>
              <w:t>17,543,5</w:t>
            </w:r>
          </w:p>
          <w:p>
            <w:pPr>
              <w:pStyle w:val="TableParagraph"/>
              <w:spacing w:line="240" w:lineRule="auto" w:before="102"/>
              <w:ind w:left="271" w:right="0"/>
              <w:jc w:val="left"/>
              <w:rPr>
                <w:rFonts w:ascii="Times New Roman" w:hAnsi="Times New Roman" w:cs="Times New Roman" w:eastAsia="Times New Roman" w:hint="default"/>
                <w:sz w:val="18"/>
                <w:szCs w:val="18"/>
              </w:rPr>
            </w:pPr>
            <w:r>
              <w:rPr>
                <w:rFonts w:ascii="Times New Roman"/>
                <w:sz w:val="18"/>
              </w:rPr>
              <w:t>98.68</w:t>
            </w:r>
          </w:p>
        </w:tc>
        <w:tc>
          <w:tcPr>
            <w:tcW w:w="566" w:type="dxa"/>
            <w:vMerge w:val="restart"/>
            <w:tcBorders>
              <w:top w:val="single" w:sz="18" w:space="0" w:color="D2D2D2"/>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38,360,21</w:t>
            </w:r>
          </w:p>
          <w:p>
            <w:pPr>
              <w:pStyle w:val="TableParagraph"/>
              <w:spacing w:line="240" w:lineRule="auto" w:before="102"/>
              <w:ind w:left="503" w:right="0"/>
              <w:jc w:val="left"/>
              <w:rPr>
                <w:rFonts w:ascii="Times New Roman" w:hAnsi="Times New Roman" w:cs="Times New Roman" w:eastAsia="Times New Roman" w:hint="default"/>
                <w:sz w:val="18"/>
                <w:szCs w:val="18"/>
              </w:rPr>
            </w:pPr>
            <w:r>
              <w:rPr>
                <w:rFonts w:ascii="Times New Roman"/>
                <w:sz w:val="18"/>
              </w:rPr>
              <w:t>6.89</w:t>
            </w:r>
          </w:p>
        </w:tc>
        <w:tc>
          <w:tcPr>
            <w:tcW w:w="636" w:type="dxa"/>
            <w:vMerge w:val="restart"/>
            <w:tcBorders>
              <w:top w:val="single" w:sz="18" w:space="0" w:color="D2D2D2"/>
              <w:left w:val="single" w:sz="4" w:space="0" w:color="000000"/>
              <w:right w:val="single" w:sz="4" w:space="0" w:color="000000"/>
            </w:tcBorders>
          </w:tcPr>
          <w:p>
            <w:pPr/>
          </w:p>
        </w:tc>
        <w:tc>
          <w:tcPr>
            <w:tcW w:w="120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655,538,787.81</w:t>
            </w:r>
          </w:p>
        </w:tc>
        <w:tc>
          <w:tcPr>
            <w:tcW w:w="425" w:type="dxa"/>
            <w:vMerge w:val="restart"/>
            <w:tcBorders>
              <w:top w:val="single" w:sz="36" w:space="0" w:color="D2D2D2"/>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1,501,285,026.6</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6</w:t>
            </w:r>
          </w:p>
        </w:tc>
      </w:tr>
      <w:tr>
        <w:trPr>
          <w:trHeight w:val="391" w:hRule="exact"/>
        </w:trPr>
        <w:tc>
          <w:tcPr>
            <w:tcW w:w="15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82"/>
              <w:jc w:val="right"/>
              <w:rPr>
                <w:rFonts w:ascii="宋体" w:hAnsi="宋体" w:cs="宋体" w:eastAsia="宋体" w:hint="default"/>
                <w:sz w:val="18"/>
                <w:szCs w:val="18"/>
              </w:rPr>
            </w:pPr>
            <w:r>
              <w:rPr>
                <w:rFonts w:ascii="宋体" w:hAnsi="宋体" w:cs="宋体" w:eastAsia="宋体" w:hint="default"/>
                <w:sz w:val="18"/>
                <w:szCs w:val="18"/>
              </w:rPr>
              <w:t>一、上年期末余额</w:t>
            </w:r>
          </w:p>
        </w:tc>
        <w:tc>
          <w:tcPr>
            <w:tcW w:w="852" w:type="dxa"/>
            <w:vMerge/>
            <w:tcBorders>
              <w:left w:val="single" w:sz="10" w:space="0" w:color="D2D2D2"/>
              <w:right w:val="single" w:sz="4" w:space="0" w:color="000000"/>
            </w:tcBorders>
          </w:tcPr>
          <w:p>
            <w:pP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1208"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r>
      <w:tr>
        <w:trPr>
          <w:trHeight w:val="161" w:hRule="exact"/>
        </w:trPr>
        <w:tc>
          <w:tcPr>
            <w:tcW w:w="1547"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vMerge/>
            <w:tcBorders>
              <w:left w:val="single" w:sz="10" w:space="0" w:color="D2D2D2"/>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c>
          <w:tcPr>
            <w:tcW w:w="1208"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r>
      <w:tr>
        <w:trPr>
          <w:trHeight w:val="403" w:hRule="exact"/>
        </w:trPr>
        <w:tc>
          <w:tcPr>
            <w:tcW w:w="1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82"/>
              <w:jc w:val="right"/>
              <w:rPr>
                <w:rFonts w:ascii="宋体" w:hAnsi="宋体" w:cs="宋体" w:eastAsia="宋体" w:hint="default"/>
                <w:sz w:val="18"/>
                <w:szCs w:val="18"/>
              </w:rPr>
            </w:pPr>
            <w:r>
              <w:rPr>
                <w:rFonts w:ascii="宋体" w:hAnsi="宋体" w:cs="宋体" w:eastAsia="宋体" w:hint="default"/>
                <w:sz w:val="18"/>
                <w:szCs w:val="18"/>
              </w:rPr>
              <w:t>加：会计政策</w:t>
            </w:r>
          </w:p>
        </w:tc>
        <w:tc>
          <w:tcPr>
            <w:tcW w:w="852" w:type="dxa"/>
            <w:tcBorders>
              <w:top w:val="single" w:sz="4" w:space="0" w:color="000000"/>
              <w:left w:val="single" w:sz="10"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180" w:right="16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1559"/>
        <w:gridCol w:w="852"/>
        <w:gridCol w:w="708"/>
        <w:gridCol w:w="709"/>
        <w:gridCol w:w="569"/>
        <w:gridCol w:w="708"/>
        <w:gridCol w:w="566"/>
        <w:gridCol w:w="711"/>
        <w:gridCol w:w="566"/>
        <w:gridCol w:w="850"/>
        <w:gridCol w:w="636"/>
        <w:gridCol w:w="1208"/>
        <w:gridCol w:w="425"/>
        <w:gridCol w:w="1277"/>
      </w:tblGrid>
      <w:tr>
        <w:trPr>
          <w:trHeight w:val="362"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5"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5" w:right="0"/>
              <w:jc w:val="left"/>
              <w:rPr>
                <w:rFonts w:ascii="宋体" w:hAnsi="宋体" w:cs="宋体" w:eastAsia="宋体" w:hint="default"/>
                <w:sz w:val="18"/>
                <w:szCs w:val="18"/>
              </w:rPr>
            </w:pPr>
            <w:r>
              <w:rPr>
                <w:rFonts w:ascii="宋体" w:hAnsi="宋体" w:cs="宋体" w:eastAsia="宋体" w:hint="default"/>
                <w:sz w:val="18"/>
                <w:szCs w:val="18"/>
              </w:rPr>
              <w:t>前期差错</w:t>
            </w:r>
          </w:p>
          <w:p>
            <w:pPr>
              <w:pStyle w:val="TableParagraph"/>
              <w:spacing w:line="240" w:lineRule="auto" w:before="76"/>
              <w:ind w:left="25" w:right="0"/>
              <w:jc w:val="left"/>
              <w:rPr>
                <w:rFonts w:ascii="宋体" w:hAnsi="宋体" w:cs="宋体" w:eastAsia="宋体" w:hint="default"/>
                <w:sz w:val="18"/>
                <w:szCs w:val="18"/>
              </w:rPr>
            </w:pPr>
            <w:r>
              <w:rPr>
                <w:rFonts w:ascii="宋体" w:hAnsi="宋体" w:cs="宋体" w:eastAsia="宋体" w:hint="default"/>
                <w:sz w:val="18"/>
                <w:szCs w:val="18"/>
              </w:rPr>
              <w:t>更正</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 w:right="82" w:firstLine="720"/>
              <w:jc w:val="left"/>
              <w:rPr>
                <w:rFonts w:ascii="宋体" w:hAnsi="宋体" w:cs="宋体" w:eastAsia="宋体" w:hint="default"/>
                <w:sz w:val="18"/>
                <w:szCs w:val="18"/>
              </w:rPr>
            </w:pPr>
            <w:r>
              <w:rPr>
                <w:rFonts w:ascii="宋体" w:hAnsi="宋体" w:cs="宋体" w:eastAsia="宋体" w:hint="default"/>
                <w:sz w:val="18"/>
                <w:szCs w:val="18"/>
              </w:rPr>
              <w:t>同一控制 下企业合并</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761,191,2</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94.00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28,651,1</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29.28</w:t>
            </w: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17,543,5</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98.68</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38,360,21</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6.89</w:t>
            </w:r>
          </w:p>
        </w:tc>
        <w:tc>
          <w:tcPr>
            <w:tcW w:w="63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655,538,787.81</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1,501,285,026.6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r>
        <w:trPr>
          <w:trHeight w:val="1025"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5" w:right="82"/>
              <w:jc w:val="both"/>
              <w:rPr>
                <w:rFonts w:ascii="宋体" w:hAnsi="宋体" w:cs="宋体" w:eastAsia="宋体" w:hint="default"/>
                <w:sz w:val="18"/>
                <w:szCs w:val="18"/>
              </w:rPr>
            </w:pPr>
            <w:r>
              <w:rPr>
                <w:rFonts w:ascii="宋体" w:hAnsi="宋体" w:cs="宋体" w:eastAsia="宋体" w:hint="default"/>
                <w:sz w:val="18"/>
                <w:szCs w:val="18"/>
              </w:rPr>
              <w:t>三、本期增减变动 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1,028,41</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8.00</w:t>
            </w: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-17,559,</w:t>
            </w:r>
          </w:p>
          <w:p>
            <w:pPr>
              <w:pStyle w:val="TableParagraph"/>
              <w:spacing w:line="240" w:lineRule="auto" w:before="105"/>
              <w:ind w:left="158" w:right="0"/>
              <w:jc w:val="center"/>
              <w:rPr>
                <w:rFonts w:ascii="Times New Roman" w:hAnsi="Times New Roman" w:cs="Times New Roman" w:eastAsia="Times New Roman" w:hint="default"/>
                <w:sz w:val="18"/>
                <w:szCs w:val="18"/>
              </w:rPr>
            </w:pPr>
            <w:r>
              <w:rPr>
                <w:rFonts w:ascii="Times New Roman"/>
                <w:sz w:val="18"/>
              </w:rPr>
              <w:t>840.78</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3,628,241.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33</w:t>
            </w:r>
          </w:p>
        </w:tc>
        <w:tc>
          <w:tcPr>
            <w:tcW w:w="63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120,767,644.13</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107,864,462.68</w:t>
            </w:r>
          </w:p>
        </w:tc>
      </w:tr>
      <w:tr>
        <w:trPr>
          <w:trHeight w:val="716"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5" w:right="82"/>
              <w:jc w:val="left"/>
              <w:rPr>
                <w:rFonts w:ascii="宋体" w:hAnsi="宋体" w:cs="宋体" w:eastAsia="宋体" w:hint="default"/>
                <w:sz w:val="18"/>
                <w:szCs w:val="18"/>
              </w:rPr>
            </w:pPr>
            <w:r>
              <w:rPr>
                <w:rFonts w:ascii="宋体" w:hAnsi="宋体" w:cs="宋体" w:eastAsia="宋体" w:hint="default"/>
                <w:sz w:val="18"/>
                <w:szCs w:val="18"/>
              </w:rPr>
              <w:t>（一）综合收益总 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-17,559,</w:t>
            </w:r>
          </w:p>
          <w:p>
            <w:pPr>
              <w:pStyle w:val="TableParagraph"/>
              <w:spacing w:line="240" w:lineRule="auto" w:before="105"/>
              <w:ind w:left="158" w:right="0"/>
              <w:jc w:val="center"/>
              <w:rPr>
                <w:rFonts w:ascii="Times New Roman" w:hAnsi="Times New Roman" w:cs="Times New Roman" w:eastAsia="Times New Roman" w:hint="default"/>
                <w:sz w:val="18"/>
                <w:szCs w:val="18"/>
              </w:rPr>
            </w:pPr>
            <w:r>
              <w:rPr>
                <w:rFonts w:ascii="Times New Roman"/>
                <w:sz w:val="18"/>
              </w:rPr>
              <w:t>840.78</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132,007,798.40</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114,447,957.62</w:t>
            </w:r>
          </w:p>
        </w:tc>
      </w:tr>
      <w:tr>
        <w:trPr>
          <w:trHeight w:val="71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 w:right="82"/>
              <w:jc w:val="left"/>
              <w:rPr>
                <w:rFonts w:ascii="宋体" w:hAnsi="宋体" w:cs="宋体" w:eastAsia="宋体" w:hint="default"/>
                <w:sz w:val="18"/>
                <w:szCs w:val="18"/>
              </w:rPr>
            </w:pPr>
            <w:r>
              <w:rPr>
                <w:rFonts w:ascii="宋体" w:hAnsi="宋体" w:cs="宋体" w:eastAsia="宋体" w:hint="default"/>
                <w:sz w:val="18"/>
                <w:szCs w:val="18"/>
              </w:rPr>
              <w:t>（二）所有者投入 和减少资本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1,028,41</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8.00</w:t>
            </w: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1,028,418.00</w:t>
            </w:r>
          </w:p>
        </w:tc>
      </w:tr>
      <w:tr>
        <w:trPr>
          <w:trHeight w:val="715"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5" w:right="1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．股东投入的普通</w:t>
            </w:r>
            <w:r>
              <w:rPr>
                <w:rFonts w:ascii="宋体" w:hAnsi="宋体" w:cs="宋体" w:eastAsia="宋体" w:hint="default"/>
                <w:sz w:val="18"/>
                <w:szCs w:val="18"/>
              </w:rPr>
              <w:t> 股</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5" w:right="1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．其他权益工具持</w:t>
            </w:r>
            <w:r>
              <w:rPr>
                <w:rFonts w:ascii="宋体" w:hAnsi="宋体" w:cs="宋体" w:eastAsia="宋体" w:hint="default"/>
                <w:sz w:val="18"/>
                <w:szCs w:val="18"/>
              </w:rPr>
              <w:t> 有者投入资本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5" w:right="1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．股份支付计入所</w:t>
            </w:r>
            <w:r>
              <w:rPr>
                <w:rFonts w:ascii="宋体" w:hAnsi="宋体" w:cs="宋体" w:eastAsia="宋体" w:hint="default"/>
                <w:sz w:val="18"/>
                <w:szCs w:val="18"/>
              </w:rPr>
              <w:t> 有者权益的金额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1,028,41</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8.00</w:t>
            </w: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1,028,418.00</w:t>
            </w:r>
          </w:p>
        </w:tc>
      </w:tr>
      <w:tr>
        <w:trPr>
          <w:trHeight w:val="401"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3,628,241.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33</w:t>
            </w:r>
          </w:p>
        </w:tc>
        <w:tc>
          <w:tcPr>
            <w:tcW w:w="63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-11,240,154.27</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-7,611,912.94</w:t>
            </w:r>
          </w:p>
        </w:tc>
      </w:tr>
      <w:tr>
        <w:trPr>
          <w:trHeight w:val="71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3,628,241.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33</w:t>
            </w:r>
          </w:p>
        </w:tc>
        <w:tc>
          <w:tcPr>
            <w:tcW w:w="63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-3,628,241.33</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5" w:right="1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．提取一般风险准</w:t>
            </w:r>
            <w:r>
              <w:rPr>
                <w:rFonts w:ascii="宋体" w:hAnsi="宋体" w:cs="宋体" w:eastAsia="宋体" w:hint="default"/>
                <w:sz w:val="18"/>
                <w:szCs w:val="18"/>
              </w:rPr>
              <w:t> 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5" w:right="15"/>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．对所有者（或股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东）的分配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-7,611,912.94</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-7,611,912.94</w:t>
            </w:r>
          </w:p>
        </w:tc>
      </w:tr>
      <w:tr>
        <w:trPr>
          <w:trHeight w:val="40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 w:right="82"/>
              <w:jc w:val="left"/>
              <w:rPr>
                <w:rFonts w:ascii="宋体" w:hAnsi="宋体" w:cs="宋体" w:eastAsia="宋体" w:hint="default"/>
                <w:sz w:val="18"/>
                <w:szCs w:val="18"/>
              </w:rPr>
            </w:pPr>
            <w:r>
              <w:rPr>
                <w:rFonts w:ascii="宋体" w:hAnsi="宋体" w:cs="宋体" w:eastAsia="宋体" w:hint="default"/>
                <w:sz w:val="18"/>
                <w:szCs w:val="18"/>
              </w:rPr>
              <w:t>（四）所有者权益 内部结转</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5" w:right="1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．资本公积转增资</w:t>
            </w:r>
            <w:r>
              <w:rPr>
                <w:rFonts w:ascii="宋体" w:hAnsi="宋体" w:cs="宋体" w:eastAsia="宋体" w:hint="default"/>
                <w:sz w:val="18"/>
                <w:szCs w:val="18"/>
              </w:rPr>
              <w:t> 本（或股本）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5" w:right="1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．盈余公积转增资</w:t>
            </w:r>
            <w:r>
              <w:rPr>
                <w:rFonts w:ascii="宋体" w:hAnsi="宋体" w:cs="宋体" w:eastAsia="宋体" w:hint="default"/>
                <w:sz w:val="18"/>
                <w:szCs w:val="18"/>
              </w:rPr>
              <w:t> 本（或股本）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．盈余公积弥补亏</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160" w:right="16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1559"/>
        <w:gridCol w:w="852"/>
        <w:gridCol w:w="708"/>
        <w:gridCol w:w="709"/>
        <w:gridCol w:w="569"/>
        <w:gridCol w:w="708"/>
        <w:gridCol w:w="566"/>
        <w:gridCol w:w="711"/>
        <w:gridCol w:w="566"/>
        <w:gridCol w:w="850"/>
        <w:gridCol w:w="636"/>
        <w:gridCol w:w="1208"/>
        <w:gridCol w:w="425"/>
        <w:gridCol w:w="1277"/>
      </w:tblGrid>
      <w:tr>
        <w:trPr>
          <w:trHeight w:val="362"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5" w:right="0"/>
              <w:jc w:val="left"/>
              <w:rPr>
                <w:rFonts w:ascii="宋体" w:hAnsi="宋体" w:cs="宋体" w:eastAsia="宋体" w:hint="default"/>
                <w:sz w:val="18"/>
                <w:szCs w:val="18"/>
              </w:rPr>
            </w:pPr>
            <w:r>
              <w:rPr>
                <w:rFonts w:ascii="宋体" w:hAnsi="宋体" w:cs="宋体" w:eastAsia="宋体" w:hint="default"/>
                <w:sz w:val="18"/>
                <w:szCs w:val="18"/>
              </w:rPr>
              <w:t>损</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761,191,2</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94.00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29,679,5</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47.28</w:t>
            </w:r>
          </w:p>
        </w:tc>
        <w:tc>
          <w:tcPr>
            <w:tcW w:w="56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-16,242.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41,988,45</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8.22</w:t>
            </w:r>
          </w:p>
        </w:tc>
        <w:tc>
          <w:tcPr>
            <w:tcW w:w="63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776,306,431.94</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1,609,149,489.3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bl>
    <w:p>
      <w:pPr>
        <w:pStyle w:val="BodyText"/>
        <w:spacing w:line="240" w:lineRule="auto" w:before="49"/>
        <w:ind w:left="972" w:right="0"/>
        <w:jc w:val="left"/>
      </w:pPr>
      <w:r>
        <w:rPr/>
        <w:t>上期金额</w:t>
      </w:r>
    </w:p>
    <w:p>
      <w:pPr>
        <w:pStyle w:val="BodyText"/>
        <w:spacing w:line="240" w:lineRule="auto" w:before="115"/>
        <w:ind w:left="0" w:right="971"/>
        <w:jc w:val="right"/>
      </w:pPr>
      <w:r>
        <w:rPr/>
        <w:t>单位：元</w:t>
      </w:r>
    </w:p>
    <w:p>
      <w:pPr>
        <w:spacing w:line="240" w:lineRule="auto" w:before="4"/>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547"/>
        <w:gridCol w:w="852"/>
        <w:gridCol w:w="708"/>
        <w:gridCol w:w="709"/>
        <w:gridCol w:w="569"/>
        <w:gridCol w:w="710"/>
        <w:gridCol w:w="564"/>
        <w:gridCol w:w="711"/>
        <w:gridCol w:w="566"/>
        <w:gridCol w:w="850"/>
        <w:gridCol w:w="634"/>
        <w:gridCol w:w="1210"/>
        <w:gridCol w:w="425"/>
        <w:gridCol w:w="1277"/>
      </w:tblGrid>
      <w:tr>
        <w:trPr>
          <w:trHeight w:val="403" w:hRule="exact"/>
        </w:trPr>
        <w:tc>
          <w:tcPr>
            <w:tcW w:w="1547" w:type="dxa"/>
            <w:vMerge w:val="restart"/>
            <w:tcBorders>
              <w:top w:val="single" w:sz="4" w:space="0" w:color="000000"/>
              <w:left w:val="single" w:sz="4" w:space="0" w:color="000000"/>
              <w:right w:val="single" w:sz="4" w:space="0" w:color="000000"/>
            </w:tcBorders>
            <w:shd w:val="clear" w:color="auto" w:fill="D2D2D2"/>
          </w:tcPr>
          <w:p>
            <w:pPr/>
          </w:p>
        </w:tc>
        <w:tc>
          <w:tcPr>
            <w:tcW w:w="978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95" w:hRule="exact"/>
        </w:trPr>
        <w:tc>
          <w:tcPr>
            <w:tcW w:w="1547" w:type="dxa"/>
            <w:vMerge/>
            <w:tcBorders>
              <w:left w:val="single" w:sz="4" w:space="0" w:color="000000"/>
              <w:right w:val="single" w:sz="4" w:space="0" w:color="000000"/>
            </w:tcBorders>
            <w:shd w:val="clear" w:color="auto" w:fill="D2D2D2"/>
          </w:tcPr>
          <w:p>
            <w:pPr/>
          </w:p>
        </w:tc>
        <w:tc>
          <w:tcPr>
            <w:tcW w:w="808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
        </w:tc>
      </w:tr>
      <w:tr>
        <w:trPr>
          <w:trHeight w:val="133" w:hRule="exact"/>
        </w:trPr>
        <w:tc>
          <w:tcPr>
            <w:tcW w:w="1547" w:type="dxa"/>
            <w:vMerge/>
            <w:tcBorders>
              <w:left w:val="single" w:sz="4" w:space="0" w:color="000000"/>
              <w:bottom w:val="nil" w:sz="6" w:space="0" w:color="auto"/>
              <w:right w:val="single" w:sz="4" w:space="0" w:color="000000"/>
            </w:tcBorders>
            <w:shd w:val="clear" w:color="auto" w:fill="D2D2D2"/>
          </w:tcPr>
          <w:p>
            <w:pPr/>
          </w:p>
        </w:tc>
        <w:tc>
          <w:tcPr>
            <w:tcW w:w="8082" w:type="dxa"/>
            <w:gridSpan w:val="11"/>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8" w:right="24"/>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1277" w:type="dxa"/>
            <w:vMerge/>
            <w:tcBorders>
              <w:left w:val="single" w:sz="4" w:space="0" w:color="000000"/>
              <w:bottom w:val="nil" w:sz="6" w:space="0" w:color="auto"/>
              <w:right w:val="single" w:sz="4" w:space="0" w:color="000000"/>
            </w:tcBorders>
            <w:shd w:val="clear" w:color="auto" w:fill="D2D2D2"/>
          </w:tcPr>
          <w:p>
            <w:pPr/>
          </w:p>
        </w:tc>
      </w:tr>
      <w:tr>
        <w:trPr>
          <w:trHeight w:val="174" w:hRule="exact"/>
        </w:trPr>
        <w:tc>
          <w:tcPr>
            <w:tcW w:w="154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 w:right="6"/>
              <w:jc w:val="center"/>
              <w:rPr>
                <w:rFonts w:ascii="宋体" w:hAnsi="宋体" w:cs="宋体" w:eastAsia="宋体" w:hint="default"/>
                <w:sz w:val="18"/>
                <w:szCs w:val="18"/>
              </w:rPr>
            </w:pPr>
            <w:r>
              <w:rPr>
                <w:rFonts w:ascii="宋体" w:hAnsi="宋体" w:cs="宋体" w:eastAsia="宋体" w:hint="default"/>
                <w:sz w:val="18"/>
                <w:szCs w:val="18"/>
              </w:rPr>
              <w:t>项目</w:t>
            </w:r>
          </w:p>
        </w:tc>
        <w:tc>
          <w:tcPr>
            <w:tcW w:w="8082" w:type="dxa"/>
            <w:gridSpan w:val="11"/>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542" w:right="93" w:hanging="449"/>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202" w:hRule="exact"/>
        </w:trPr>
        <w:tc>
          <w:tcPr>
            <w:tcW w:w="1547" w:type="dxa"/>
            <w:vMerge/>
            <w:tcBorders>
              <w:left w:val="single" w:sz="4" w:space="0" w:color="000000"/>
              <w:bottom w:val="nil" w:sz="6" w:space="0" w:color="auto"/>
              <w:right w:val="single" w:sz="4" w:space="0" w:color="000000"/>
            </w:tcBorders>
            <w:shd w:val="clear" w:color="auto" w:fill="D2D2D2"/>
          </w:tcPr>
          <w:p>
            <w:pP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1" w:right="77"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5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98" w:right="19" w:hanging="75"/>
              <w:jc w:val="left"/>
              <w:rPr>
                <w:rFonts w:ascii="宋体" w:hAnsi="宋体" w:cs="宋体" w:eastAsia="宋体" w:hint="default"/>
                <w:sz w:val="18"/>
                <w:szCs w:val="18"/>
              </w:rPr>
            </w:pPr>
            <w:r>
              <w:rPr>
                <w:rFonts w:ascii="宋体" w:hAnsi="宋体" w:cs="宋体" w:eastAsia="宋体" w:hint="default"/>
                <w:spacing w:val="-11"/>
                <w:sz w:val="18"/>
                <w:szCs w:val="18"/>
              </w:rPr>
              <w:t>减：库</w:t>
            </w:r>
            <w:r>
              <w:rPr>
                <w:rFonts w:ascii="宋体" w:hAnsi="宋体" w:cs="宋体" w:eastAsia="宋体" w:hint="default"/>
                <w:sz w:val="18"/>
                <w:szCs w:val="18"/>
              </w:rPr>
              <w:t> 存股</w:t>
            </w: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79" w:right="81"/>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98" w:right="9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63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43" w:right="3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r>
      <w:tr>
        <w:trPr>
          <w:trHeight w:val="198" w:hRule="exact"/>
        </w:trPr>
        <w:tc>
          <w:tcPr>
            <w:tcW w:w="1547" w:type="dxa"/>
            <w:vMerge w:val="restart"/>
            <w:tcBorders>
              <w:top w:val="nil" w:sz="6" w:space="0" w:color="auto"/>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4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85" w:type="dxa"/>
            <w:gridSpan w:val="3"/>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564"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34" w:type="dxa"/>
            <w:vMerge/>
            <w:tcBorders>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42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r>
      <w:tr>
        <w:trPr>
          <w:trHeight w:val="173" w:hRule="exact"/>
        </w:trPr>
        <w:tc>
          <w:tcPr>
            <w:tcW w:w="1547"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7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7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0" w:type="dxa"/>
            <w:vMerge/>
            <w:tcBorders>
              <w:left w:val="single" w:sz="4" w:space="0" w:color="000000"/>
              <w:right w:val="single" w:sz="4" w:space="0" w:color="000000"/>
            </w:tcBorders>
            <w:shd w:val="clear" w:color="auto" w:fill="D2D2D2"/>
          </w:tcPr>
          <w:p>
            <w:pPr/>
          </w:p>
        </w:tc>
        <w:tc>
          <w:tcPr>
            <w:tcW w:w="564"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634" w:type="dxa"/>
            <w:vMerge/>
            <w:tcBorders>
              <w:left w:val="single" w:sz="4" w:space="0" w:color="000000"/>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r>
      <w:tr>
        <w:trPr>
          <w:trHeight w:val="116" w:hRule="exact"/>
        </w:trPr>
        <w:tc>
          <w:tcPr>
            <w:tcW w:w="1547"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564"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634" w:type="dxa"/>
            <w:vMerge/>
            <w:tcBorders>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r>
      <w:tr>
        <w:trPr>
          <w:trHeight w:val="96" w:hRule="exact"/>
        </w:trPr>
        <w:tc>
          <w:tcPr>
            <w:tcW w:w="1547"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564" w:type="dxa"/>
            <w:vMerge/>
            <w:tcBorders>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634" w:type="dxa"/>
            <w:vMerge/>
            <w:tcBorders>
              <w:left w:val="single" w:sz="4" w:space="0" w:color="000000"/>
              <w:bottom w:val="single" w:sz="4" w:space="0" w:color="000000"/>
              <w:right w:val="single" w:sz="4" w:space="0" w:color="000000"/>
            </w:tcBorders>
            <w:shd w:val="clear" w:color="auto" w:fill="D2D2D2"/>
          </w:tcPr>
          <w:p>
            <w:pPr/>
          </w:p>
        </w:tc>
        <w:tc>
          <w:tcPr>
            <w:tcW w:w="1210"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547"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vMerge w:val="restart"/>
            <w:tcBorders>
              <w:top w:val="single" w:sz="4" w:space="0" w:color="000000"/>
              <w:left w:val="single" w:sz="10"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585,531,7</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65.00</w:t>
            </w:r>
          </w:p>
        </w:tc>
        <w:tc>
          <w:tcPr>
            <w:tcW w:w="708" w:type="dxa"/>
            <w:vMerge w:val="restart"/>
            <w:tcBorders>
              <w:top w:val="single" w:sz="4" w:space="0" w:color="000000"/>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18" w:space="0" w:color="D2D2D2"/>
              <w:left w:val="single" w:sz="4" w:space="0" w:color="000000"/>
              <w:right w:val="single" w:sz="4" w:space="0" w:color="000000"/>
            </w:tcBorders>
          </w:tcPr>
          <w:p>
            <w:pPr>
              <w:pStyle w:val="TableParagraph"/>
              <w:spacing w:line="240" w:lineRule="auto" w:before="73"/>
              <w:ind w:left="27" w:right="0"/>
              <w:jc w:val="center"/>
              <w:rPr>
                <w:rFonts w:ascii="Times New Roman" w:hAnsi="Times New Roman" w:cs="Times New Roman" w:eastAsia="Times New Roman" w:hint="default"/>
                <w:sz w:val="18"/>
                <w:szCs w:val="18"/>
              </w:rPr>
            </w:pPr>
            <w:r>
              <w:rPr>
                <w:rFonts w:ascii="Times New Roman"/>
                <w:sz w:val="18"/>
              </w:rPr>
              <w:t>215,176,</w:t>
            </w:r>
          </w:p>
          <w:p>
            <w:pPr>
              <w:pStyle w:val="TableParagraph"/>
              <w:spacing w:line="240" w:lineRule="auto" w:before="105"/>
              <w:ind w:left="163" w:right="0"/>
              <w:jc w:val="center"/>
              <w:rPr>
                <w:rFonts w:ascii="Times New Roman" w:hAnsi="Times New Roman" w:cs="Times New Roman" w:eastAsia="Times New Roman" w:hint="default"/>
                <w:sz w:val="18"/>
                <w:szCs w:val="18"/>
              </w:rPr>
            </w:pPr>
            <w:r>
              <w:rPr>
                <w:rFonts w:ascii="Times New Roman"/>
                <w:sz w:val="18"/>
              </w:rPr>
              <w:t>702.61</w:t>
            </w:r>
          </w:p>
        </w:tc>
        <w:tc>
          <w:tcPr>
            <w:tcW w:w="564" w:type="dxa"/>
            <w:vMerge w:val="restart"/>
            <w:tcBorders>
              <w:top w:val="single" w:sz="18" w:space="0" w:color="D2D2D2"/>
              <w:left w:val="single" w:sz="4" w:space="0" w:color="000000"/>
              <w:right w:val="single" w:sz="4" w:space="0" w:color="000000"/>
            </w:tcBorders>
          </w:tcPr>
          <w:p>
            <w:pPr/>
          </w:p>
        </w:tc>
        <w:tc>
          <w:tcPr>
            <w:tcW w:w="711" w:type="dxa"/>
            <w:vMerge w:val="restart"/>
            <w:tcBorders>
              <w:top w:val="single" w:sz="18" w:space="0" w:color="D2D2D2"/>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9,699.28</w:t>
            </w:r>
          </w:p>
        </w:tc>
        <w:tc>
          <w:tcPr>
            <w:tcW w:w="566" w:type="dxa"/>
            <w:vMerge w:val="restart"/>
            <w:tcBorders>
              <w:top w:val="single" w:sz="18" w:space="0" w:color="D2D2D2"/>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35,774,45</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0.40</w:t>
            </w:r>
          </w:p>
        </w:tc>
        <w:tc>
          <w:tcPr>
            <w:tcW w:w="634" w:type="dxa"/>
            <w:vMerge w:val="restart"/>
            <w:tcBorders>
              <w:top w:val="single" w:sz="18" w:space="0" w:color="D2D2D2"/>
              <w:left w:val="single" w:sz="4" w:space="0" w:color="000000"/>
              <w:right w:val="single" w:sz="4" w:space="0" w:color="000000"/>
            </w:tcBorders>
          </w:tcPr>
          <w:p>
            <w:pPr/>
          </w:p>
        </w:tc>
        <w:tc>
          <w:tcPr>
            <w:tcW w:w="121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539,597,421.58</w:t>
            </w:r>
          </w:p>
        </w:tc>
        <w:tc>
          <w:tcPr>
            <w:tcW w:w="425" w:type="dxa"/>
            <w:vMerge w:val="restart"/>
            <w:tcBorders>
              <w:top w:val="single" w:sz="36" w:space="0" w:color="D2D2D2"/>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1,376,090,038.8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r>
        <w:trPr>
          <w:trHeight w:val="391" w:hRule="exact"/>
        </w:trPr>
        <w:tc>
          <w:tcPr>
            <w:tcW w:w="15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852" w:type="dxa"/>
            <w:vMerge/>
            <w:tcBorders>
              <w:left w:val="single" w:sz="10" w:space="0" w:color="D2D2D2"/>
              <w:right w:val="single" w:sz="4" w:space="0" w:color="000000"/>
            </w:tcBorders>
          </w:tcPr>
          <w:p>
            <w:pP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634" w:type="dxa"/>
            <w:vMerge/>
            <w:tcBorders>
              <w:left w:val="single" w:sz="4" w:space="0" w:color="000000"/>
              <w:right w:val="single" w:sz="4" w:space="0" w:color="000000"/>
            </w:tcBorders>
          </w:tcPr>
          <w:p>
            <w:pPr/>
          </w:p>
        </w:tc>
        <w:tc>
          <w:tcPr>
            <w:tcW w:w="1210"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r>
      <w:tr>
        <w:trPr>
          <w:trHeight w:val="161" w:hRule="exact"/>
        </w:trPr>
        <w:tc>
          <w:tcPr>
            <w:tcW w:w="1547"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vMerge/>
            <w:tcBorders>
              <w:left w:val="single" w:sz="10" w:space="0" w:color="D2D2D2"/>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564"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634" w:type="dxa"/>
            <w:vMerge/>
            <w:tcBorders>
              <w:left w:val="single" w:sz="4" w:space="0" w:color="000000"/>
              <w:bottom w:val="single" w:sz="4" w:space="0" w:color="000000"/>
              <w:right w:val="single" w:sz="4" w:space="0" w:color="000000"/>
            </w:tcBorders>
          </w:tcPr>
          <w:p>
            <w:pPr/>
          </w:p>
        </w:tc>
        <w:tc>
          <w:tcPr>
            <w:tcW w:w="1210"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r>
      <w:tr>
        <w:trPr>
          <w:trHeight w:val="715" w:hRule="exact"/>
        </w:trPr>
        <w:tc>
          <w:tcPr>
            <w:tcW w:w="1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3" w:right="82" w:firstLine="360"/>
              <w:jc w:val="left"/>
              <w:rPr>
                <w:rFonts w:ascii="宋体" w:hAnsi="宋体" w:cs="宋体" w:eastAsia="宋体" w:hint="default"/>
                <w:sz w:val="18"/>
                <w:szCs w:val="18"/>
              </w:rPr>
            </w:pPr>
            <w:r>
              <w:rPr>
                <w:rFonts w:ascii="宋体" w:hAnsi="宋体" w:cs="宋体" w:eastAsia="宋体" w:hint="default"/>
                <w:sz w:val="18"/>
                <w:szCs w:val="18"/>
              </w:rPr>
              <w:t>加：会计政策 变更</w:t>
            </w:r>
          </w:p>
        </w:tc>
        <w:tc>
          <w:tcPr>
            <w:tcW w:w="852" w:type="dxa"/>
            <w:tcBorders>
              <w:top w:val="single" w:sz="4" w:space="0" w:color="000000"/>
              <w:left w:val="single" w:sz="10"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8" w:right="0"/>
              <w:jc w:val="center"/>
              <w:rPr>
                <w:rFonts w:ascii="Times New Roman" w:hAnsi="Times New Roman" w:cs="Times New Roman" w:eastAsia="Times New Roman" w:hint="default"/>
                <w:sz w:val="18"/>
                <w:szCs w:val="18"/>
              </w:rPr>
            </w:pPr>
            <w:r>
              <w:rPr>
                <w:rFonts w:ascii="Times New Roman"/>
                <w:sz w:val="18"/>
              </w:rPr>
              <w:t>-12,561,</w:t>
            </w:r>
          </w:p>
          <w:p>
            <w:pPr>
              <w:pStyle w:val="TableParagraph"/>
              <w:spacing w:line="240" w:lineRule="auto" w:before="102"/>
              <w:ind w:left="163" w:right="0"/>
              <w:jc w:val="center"/>
              <w:rPr>
                <w:rFonts w:ascii="Times New Roman" w:hAnsi="Times New Roman" w:cs="Times New Roman" w:eastAsia="Times New Roman" w:hint="default"/>
                <w:sz w:val="18"/>
                <w:szCs w:val="18"/>
              </w:rPr>
            </w:pPr>
            <w:r>
              <w:rPr>
                <w:rFonts w:ascii="Times New Roman"/>
                <w:sz w:val="18"/>
              </w:rPr>
              <w:t>430.33</w:t>
            </w:r>
          </w:p>
        </w:tc>
        <w:tc>
          <w:tcPr>
            <w:tcW w:w="56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12,561,4</w:t>
            </w:r>
          </w:p>
          <w:p>
            <w:pPr>
              <w:pStyle w:val="TableParagraph"/>
              <w:spacing w:line="240" w:lineRule="auto" w:before="102"/>
              <w:ind w:left="271" w:right="0"/>
              <w:jc w:val="left"/>
              <w:rPr>
                <w:rFonts w:ascii="Times New Roman" w:hAnsi="Times New Roman" w:cs="Times New Roman" w:eastAsia="Times New Roman" w:hint="default"/>
                <w:sz w:val="18"/>
                <w:szCs w:val="18"/>
              </w:rPr>
            </w:pPr>
            <w:r>
              <w:rPr>
                <w:rFonts w:ascii="Times New Roman"/>
                <w:sz w:val="18"/>
              </w:rPr>
              <w:t>30.33</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3" w:right="0"/>
              <w:jc w:val="left"/>
              <w:rPr>
                <w:rFonts w:ascii="宋体" w:hAnsi="宋体" w:cs="宋体" w:eastAsia="宋体" w:hint="default"/>
                <w:sz w:val="18"/>
                <w:szCs w:val="18"/>
              </w:rPr>
            </w:pPr>
            <w:r>
              <w:rPr>
                <w:rFonts w:ascii="宋体" w:hAnsi="宋体" w:cs="宋体" w:eastAsia="宋体" w:hint="default"/>
                <w:sz w:val="18"/>
                <w:szCs w:val="18"/>
              </w:rPr>
              <w:t>前期差错</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更正</w:t>
            </w:r>
          </w:p>
        </w:tc>
        <w:tc>
          <w:tcPr>
            <w:tcW w:w="852" w:type="dxa"/>
            <w:tcBorders>
              <w:top w:val="single" w:sz="4" w:space="0" w:color="000000"/>
              <w:left w:val="single" w:sz="10"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 w:right="82" w:firstLine="720"/>
              <w:jc w:val="left"/>
              <w:rPr>
                <w:rFonts w:ascii="宋体" w:hAnsi="宋体" w:cs="宋体" w:eastAsia="宋体" w:hint="default"/>
                <w:sz w:val="18"/>
                <w:szCs w:val="18"/>
              </w:rPr>
            </w:pPr>
            <w:r>
              <w:rPr>
                <w:rFonts w:ascii="宋体" w:hAnsi="宋体" w:cs="宋体" w:eastAsia="宋体" w:hint="default"/>
                <w:sz w:val="18"/>
                <w:szCs w:val="18"/>
              </w:rPr>
              <w:t>同一控制 下企业合并</w:t>
            </w:r>
          </w:p>
        </w:tc>
        <w:tc>
          <w:tcPr>
            <w:tcW w:w="852" w:type="dxa"/>
            <w:tcBorders>
              <w:top w:val="single" w:sz="4" w:space="0" w:color="000000"/>
              <w:left w:val="single" w:sz="10"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tcBorders>
              <w:top w:val="single" w:sz="4" w:space="0" w:color="000000"/>
              <w:left w:val="single" w:sz="10"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547"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vMerge w:val="restart"/>
            <w:tcBorders>
              <w:top w:val="single" w:sz="4" w:space="0" w:color="000000"/>
              <w:left w:val="single" w:sz="10" w:space="0" w:color="D2D2D2"/>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585,531,7</w:t>
            </w:r>
          </w:p>
          <w:p>
            <w:pPr>
              <w:pStyle w:val="TableParagraph"/>
              <w:spacing w:line="240" w:lineRule="auto" w:before="102"/>
              <w:ind w:left="407" w:right="0"/>
              <w:jc w:val="left"/>
              <w:rPr>
                <w:rFonts w:ascii="Times New Roman" w:hAnsi="Times New Roman" w:cs="Times New Roman" w:eastAsia="Times New Roman" w:hint="default"/>
                <w:sz w:val="18"/>
                <w:szCs w:val="18"/>
              </w:rPr>
            </w:pPr>
            <w:r>
              <w:rPr>
                <w:rFonts w:ascii="Times New Roman"/>
                <w:sz w:val="18"/>
              </w:rPr>
              <w:t>65.00</w:t>
            </w:r>
          </w:p>
        </w:tc>
        <w:tc>
          <w:tcPr>
            <w:tcW w:w="708" w:type="dxa"/>
            <w:vMerge w:val="restart"/>
            <w:tcBorders>
              <w:top w:val="single" w:sz="4" w:space="0" w:color="000000"/>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93"/>
              <w:ind w:left="27" w:right="0"/>
              <w:jc w:val="center"/>
              <w:rPr>
                <w:rFonts w:ascii="Times New Roman" w:hAnsi="Times New Roman" w:cs="Times New Roman" w:eastAsia="Times New Roman" w:hint="default"/>
                <w:sz w:val="18"/>
                <w:szCs w:val="18"/>
              </w:rPr>
            </w:pPr>
            <w:r>
              <w:rPr>
                <w:rFonts w:ascii="Times New Roman"/>
                <w:sz w:val="18"/>
              </w:rPr>
              <w:t>202,615,</w:t>
            </w:r>
          </w:p>
          <w:p>
            <w:pPr>
              <w:pStyle w:val="TableParagraph"/>
              <w:spacing w:line="240" w:lineRule="auto" w:before="102"/>
              <w:ind w:left="163" w:right="0"/>
              <w:jc w:val="center"/>
              <w:rPr>
                <w:rFonts w:ascii="Times New Roman" w:hAnsi="Times New Roman" w:cs="Times New Roman" w:eastAsia="Times New Roman" w:hint="default"/>
                <w:sz w:val="18"/>
                <w:szCs w:val="18"/>
              </w:rPr>
            </w:pPr>
            <w:r>
              <w:rPr>
                <w:rFonts w:ascii="Times New Roman"/>
                <w:sz w:val="18"/>
              </w:rPr>
              <w:t>272.28</w:t>
            </w:r>
          </w:p>
        </w:tc>
        <w:tc>
          <w:tcPr>
            <w:tcW w:w="564" w:type="dxa"/>
            <w:vMerge w:val="restart"/>
            <w:tcBorders>
              <w:top w:val="single" w:sz="4" w:space="0" w:color="000000"/>
              <w:left w:val="single" w:sz="4" w:space="0" w:color="000000"/>
              <w:right w:val="single" w:sz="4" w:space="0" w:color="000000"/>
            </w:tcBorders>
          </w:tcPr>
          <w:p>
            <w:pP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12,571,1</w:t>
            </w:r>
          </w:p>
          <w:p>
            <w:pPr>
              <w:pStyle w:val="TableParagraph"/>
              <w:spacing w:line="240" w:lineRule="auto" w:before="102"/>
              <w:ind w:left="271" w:right="0"/>
              <w:jc w:val="left"/>
              <w:rPr>
                <w:rFonts w:ascii="Times New Roman" w:hAnsi="Times New Roman" w:cs="Times New Roman" w:eastAsia="Times New Roman" w:hint="default"/>
                <w:sz w:val="18"/>
                <w:szCs w:val="18"/>
              </w:rPr>
            </w:pPr>
            <w:r>
              <w:rPr>
                <w:rFonts w:ascii="Times New Roman"/>
                <w:sz w:val="18"/>
              </w:rPr>
              <w:t>29.61</w:t>
            </w:r>
          </w:p>
        </w:tc>
        <w:tc>
          <w:tcPr>
            <w:tcW w:w="566"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35,774,45</w:t>
            </w:r>
          </w:p>
          <w:p>
            <w:pPr>
              <w:pStyle w:val="TableParagraph"/>
              <w:spacing w:line="240" w:lineRule="auto" w:before="102"/>
              <w:ind w:left="503" w:right="0"/>
              <w:jc w:val="left"/>
              <w:rPr>
                <w:rFonts w:ascii="Times New Roman" w:hAnsi="Times New Roman" w:cs="Times New Roman" w:eastAsia="Times New Roman" w:hint="default"/>
                <w:sz w:val="18"/>
                <w:szCs w:val="18"/>
              </w:rPr>
            </w:pPr>
            <w:r>
              <w:rPr>
                <w:rFonts w:ascii="Times New Roman"/>
                <w:sz w:val="18"/>
              </w:rPr>
              <w:t>0.40</w:t>
            </w:r>
          </w:p>
        </w:tc>
        <w:tc>
          <w:tcPr>
            <w:tcW w:w="634" w:type="dxa"/>
            <w:vMerge w:val="restart"/>
            <w:tcBorders>
              <w:top w:val="single" w:sz="4" w:space="0" w:color="000000"/>
              <w:left w:val="single" w:sz="4" w:space="0" w:color="000000"/>
              <w:right w:val="single" w:sz="4" w:space="0" w:color="000000"/>
            </w:tcBorders>
          </w:tcPr>
          <w:p>
            <w:pPr/>
          </w:p>
        </w:tc>
        <w:tc>
          <w:tcPr>
            <w:tcW w:w="121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539,597,421.58</w:t>
            </w:r>
          </w:p>
        </w:tc>
        <w:tc>
          <w:tcPr>
            <w:tcW w:w="425"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1,376,090,038.8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7</w:t>
            </w:r>
          </w:p>
        </w:tc>
      </w:tr>
      <w:tr>
        <w:trPr>
          <w:trHeight w:val="391" w:hRule="exact"/>
        </w:trPr>
        <w:tc>
          <w:tcPr>
            <w:tcW w:w="15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52" w:type="dxa"/>
            <w:vMerge/>
            <w:tcBorders>
              <w:left w:val="single" w:sz="10" w:space="0" w:color="D2D2D2"/>
              <w:right w:val="single" w:sz="4" w:space="0" w:color="000000"/>
            </w:tcBorders>
          </w:tcPr>
          <w:p>
            <w:pP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564"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634" w:type="dxa"/>
            <w:vMerge/>
            <w:tcBorders>
              <w:left w:val="single" w:sz="4" w:space="0" w:color="000000"/>
              <w:right w:val="single" w:sz="4" w:space="0" w:color="000000"/>
            </w:tcBorders>
          </w:tcPr>
          <w:p>
            <w:pPr/>
          </w:p>
        </w:tc>
        <w:tc>
          <w:tcPr>
            <w:tcW w:w="1210"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r>
      <w:tr>
        <w:trPr>
          <w:trHeight w:val="161" w:hRule="exact"/>
        </w:trPr>
        <w:tc>
          <w:tcPr>
            <w:tcW w:w="1547"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vMerge/>
            <w:tcBorders>
              <w:left w:val="single" w:sz="10" w:space="0" w:color="D2D2D2"/>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564"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634" w:type="dxa"/>
            <w:vMerge/>
            <w:tcBorders>
              <w:left w:val="single" w:sz="4" w:space="0" w:color="000000"/>
              <w:bottom w:val="single" w:sz="4" w:space="0" w:color="000000"/>
              <w:right w:val="single" w:sz="4" w:space="0" w:color="000000"/>
            </w:tcBorders>
          </w:tcPr>
          <w:p>
            <w:pPr/>
          </w:p>
        </w:tc>
        <w:tc>
          <w:tcPr>
            <w:tcW w:w="1210"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r>
      <w:tr>
        <w:trPr>
          <w:trHeight w:val="1025" w:hRule="exact"/>
        </w:trPr>
        <w:tc>
          <w:tcPr>
            <w:tcW w:w="1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3" w:right="82"/>
              <w:jc w:val="both"/>
              <w:rPr>
                <w:rFonts w:ascii="宋体" w:hAnsi="宋体" w:cs="宋体" w:eastAsia="宋体" w:hint="default"/>
                <w:sz w:val="18"/>
                <w:szCs w:val="18"/>
              </w:rPr>
            </w:pPr>
            <w:r>
              <w:rPr>
                <w:rFonts w:ascii="宋体" w:hAnsi="宋体" w:cs="宋体" w:eastAsia="宋体" w:hint="default"/>
                <w:sz w:val="18"/>
                <w:szCs w:val="18"/>
              </w:rPr>
              <w:t>三、本期增减变动 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85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175,659,5</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29.00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-173,964</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,143.00</w:t>
            </w:r>
          </w:p>
        </w:tc>
        <w:tc>
          <w:tcPr>
            <w:tcW w:w="56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4,972,46</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9.07</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2,585,766.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49</w:t>
            </w:r>
          </w:p>
        </w:tc>
        <w:tc>
          <w:tcPr>
            <w:tcW w:w="63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115,941,366.23</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125,194,987.79</w:t>
            </w:r>
          </w:p>
        </w:tc>
      </w:tr>
      <w:tr>
        <w:trPr>
          <w:trHeight w:val="715" w:hRule="exact"/>
        </w:trPr>
        <w:tc>
          <w:tcPr>
            <w:tcW w:w="1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3" w:right="82"/>
              <w:jc w:val="left"/>
              <w:rPr>
                <w:rFonts w:ascii="宋体" w:hAnsi="宋体" w:cs="宋体" w:eastAsia="宋体" w:hint="default"/>
                <w:sz w:val="18"/>
                <w:szCs w:val="18"/>
              </w:rPr>
            </w:pPr>
            <w:r>
              <w:rPr>
                <w:rFonts w:ascii="宋体" w:hAnsi="宋体" w:cs="宋体" w:eastAsia="宋体" w:hint="default"/>
                <w:sz w:val="18"/>
                <w:szCs w:val="18"/>
              </w:rPr>
              <w:t>（一）综合收益总 额</w:t>
            </w:r>
          </w:p>
        </w:tc>
        <w:tc>
          <w:tcPr>
            <w:tcW w:w="852" w:type="dxa"/>
            <w:tcBorders>
              <w:top w:val="single" w:sz="4" w:space="0" w:color="000000"/>
              <w:left w:val="single" w:sz="10"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4,972,46</w:t>
            </w:r>
          </w:p>
          <w:p>
            <w:pPr>
              <w:pStyle w:val="TableParagraph"/>
              <w:spacing w:line="240" w:lineRule="auto" w:before="102"/>
              <w:ind w:left="362" w:right="0"/>
              <w:jc w:val="left"/>
              <w:rPr>
                <w:rFonts w:ascii="Times New Roman" w:hAnsi="Times New Roman" w:cs="Times New Roman" w:eastAsia="Times New Roman" w:hint="default"/>
                <w:sz w:val="18"/>
                <w:szCs w:val="18"/>
              </w:rPr>
            </w:pPr>
            <w:r>
              <w:rPr>
                <w:rFonts w:ascii="Times New Roman"/>
                <w:sz w:val="18"/>
              </w:rPr>
              <w:t>9.07</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124,382,450.37</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129,354,919.44</w:t>
            </w:r>
          </w:p>
        </w:tc>
      </w:tr>
      <w:tr>
        <w:trPr>
          <w:trHeight w:val="713" w:hRule="exact"/>
        </w:trPr>
        <w:tc>
          <w:tcPr>
            <w:tcW w:w="1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 w:right="82"/>
              <w:jc w:val="left"/>
              <w:rPr>
                <w:rFonts w:ascii="宋体" w:hAnsi="宋体" w:cs="宋体" w:eastAsia="宋体" w:hint="default"/>
                <w:sz w:val="18"/>
                <w:szCs w:val="18"/>
              </w:rPr>
            </w:pPr>
            <w:r>
              <w:rPr>
                <w:rFonts w:ascii="宋体" w:hAnsi="宋体" w:cs="宋体" w:eastAsia="宋体" w:hint="default"/>
                <w:sz w:val="18"/>
                <w:szCs w:val="18"/>
              </w:rPr>
              <w:t>（二）所有者投入 和减少资本</w:t>
            </w:r>
          </w:p>
        </w:tc>
        <w:tc>
          <w:tcPr>
            <w:tcW w:w="852" w:type="dxa"/>
            <w:tcBorders>
              <w:top w:val="single" w:sz="4" w:space="0" w:color="000000"/>
              <w:left w:val="single" w:sz="10"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1,695,38</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6.00</w:t>
            </w:r>
          </w:p>
        </w:tc>
        <w:tc>
          <w:tcPr>
            <w:tcW w:w="56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1,695,386.00</w:t>
            </w:r>
          </w:p>
        </w:tc>
      </w:tr>
      <w:tr>
        <w:trPr>
          <w:trHeight w:val="715" w:hRule="exact"/>
        </w:trPr>
        <w:tc>
          <w:tcPr>
            <w:tcW w:w="1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3" w:right="1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．股东投入的普通</w:t>
            </w:r>
            <w:r>
              <w:rPr>
                <w:rFonts w:ascii="宋体" w:hAnsi="宋体" w:cs="宋体" w:eastAsia="宋体" w:hint="default"/>
                <w:sz w:val="18"/>
                <w:szCs w:val="18"/>
              </w:rPr>
              <w:t> 股</w:t>
            </w:r>
          </w:p>
        </w:tc>
        <w:tc>
          <w:tcPr>
            <w:tcW w:w="852" w:type="dxa"/>
            <w:tcBorders>
              <w:top w:val="single" w:sz="4" w:space="0" w:color="000000"/>
              <w:left w:val="single" w:sz="10"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3" w:right="1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．其他权益工具持</w:t>
            </w:r>
            <w:r>
              <w:rPr>
                <w:rFonts w:ascii="宋体" w:hAnsi="宋体" w:cs="宋体" w:eastAsia="宋体" w:hint="default"/>
                <w:sz w:val="18"/>
                <w:szCs w:val="18"/>
              </w:rPr>
              <w:t> 有者投入资本</w:t>
            </w:r>
          </w:p>
        </w:tc>
        <w:tc>
          <w:tcPr>
            <w:tcW w:w="852" w:type="dxa"/>
            <w:tcBorders>
              <w:top w:val="single" w:sz="4" w:space="0" w:color="000000"/>
              <w:left w:val="single" w:sz="10"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．股份支付计入所</w:t>
            </w:r>
          </w:p>
        </w:tc>
        <w:tc>
          <w:tcPr>
            <w:tcW w:w="852" w:type="dxa"/>
            <w:tcBorders>
              <w:top w:val="single" w:sz="4" w:space="0" w:color="000000"/>
              <w:left w:val="single" w:sz="10"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7" w:right="0"/>
              <w:jc w:val="left"/>
              <w:rPr>
                <w:rFonts w:ascii="Times New Roman" w:hAnsi="Times New Roman" w:cs="Times New Roman" w:eastAsia="Times New Roman" w:hint="default"/>
                <w:sz w:val="18"/>
                <w:szCs w:val="18"/>
              </w:rPr>
            </w:pPr>
            <w:r>
              <w:rPr>
                <w:rFonts w:ascii="Times New Roman"/>
                <w:sz w:val="18"/>
              </w:rPr>
              <w:t>1,695,38</w:t>
            </w:r>
          </w:p>
        </w:tc>
        <w:tc>
          <w:tcPr>
            <w:tcW w:w="56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1,695,386.00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160" w:right="160"/>
        </w:sectPr>
      </w:pPr>
    </w:p>
    <w:p>
      <w:pPr>
        <w:spacing w:line="240" w:lineRule="auto" w:before="6"/>
        <w:rPr>
          <w:rFonts w:ascii="宋体" w:hAnsi="宋体" w:cs="宋体" w:eastAsia="宋体" w:hint="default"/>
          <w:sz w:val="28"/>
          <w:szCs w:val="28"/>
        </w:rPr>
      </w:pPr>
    </w:p>
    <w:tbl>
      <w:tblPr>
        <w:tblW w:w="0" w:type="auto"/>
        <w:jc w:val="left"/>
        <w:tblInd w:w="117" w:type="dxa"/>
        <w:tblLayout w:type="fixed"/>
        <w:tblCellMar>
          <w:top w:w="0" w:type="dxa"/>
          <w:left w:w="0" w:type="dxa"/>
          <w:bottom w:w="0" w:type="dxa"/>
          <w:right w:w="0" w:type="dxa"/>
        </w:tblCellMar>
        <w:tblLook w:val="01E0"/>
      </w:tblPr>
      <w:tblGrid>
        <w:gridCol w:w="1559"/>
        <w:gridCol w:w="852"/>
        <w:gridCol w:w="708"/>
        <w:gridCol w:w="709"/>
        <w:gridCol w:w="569"/>
        <w:gridCol w:w="710"/>
        <w:gridCol w:w="564"/>
        <w:gridCol w:w="711"/>
        <w:gridCol w:w="566"/>
        <w:gridCol w:w="850"/>
        <w:gridCol w:w="634"/>
        <w:gridCol w:w="1210"/>
        <w:gridCol w:w="425"/>
        <w:gridCol w:w="1277"/>
      </w:tblGrid>
      <w:tr>
        <w:trPr>
          <w:trHeight w:val="362"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5" w:right="0"/>
              <w:jc w:val="left"/>
              <w:rPr>
                <w:rFonts w:ascii="宋体" w:hAnsi="宋体" w:cs="宋体" w:eastAsia="宋体" w:hint="default"/>
                <w:sz w:val="18"/>
                <w:szCs w:val="18"/>
              </w:rPr>
            </w:pPr>
            <w:r>
              <w:rPr>
                <w:rFonts w:ascii="宋体" w:hAnsi="宋体" w:cs="宋体" w:eastAsia="宋体" w:hint="default"/>
                <w:sz w:val="18"/>
                <w:szCs w:val="18"/>
              </w:rPr>
              <w:t>有者权益的金额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64" w:right="0"/>
              <w:jc w:val="left"/>
              <w:rPr>
                <w:rFonts w:ascii="Times New Roman" w:hAnsi="Times New Roman" w:cs="Times New Roman" w:eastAsia="Times New Roman" w:hint="default"/>
                <w:sz w:val="18"/>
                <w:szCs w:val="18"/>
              </w:rPr>
            </w:pPr>
            <w:r>
              <w:rPr>
                <w:rFonts w:ascii="Times New Roman"/>
                <w:sz w:val="18"/>
              </w:rPr>
              <w:t>6.00</w:t>
            </w:r>
          </w:p>
        </w:tc>
        <w:tc>
          <w:tcPr>
            <w:tcW w:w="56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2,585,766.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49</w:t>
            </w:r>
          </w:p>
        </w:tc>
        <w:tc>
          <w:tcPr>
            <w:tcW w:w="63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-8,441,084.14</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-5,855,317.65</w:t>
            </w:r>
          </w:p>
        </w:tc>
      </w:tr>
      <w:tr>
        <w:trPr>
          <w:trHeight w:val="71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2,585,766.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49</w:t>
            </w:r>
          </w:p>
        </w:tc>
        <w:tc>
          <w:tcPr>
            <w:tcW w:w="63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-2,585,766.49</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5" w:right="1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．提取一般风险准</w:t>
            </w:r>
            <w:r>
              <w:rPr>
                <w:rFonts w:ascii="宋体" w:hAnsi="宋体" w:cs="宋体" w:eastAsia="宋体" w:hint="default"/>
                <w:sz w:val="18"/>
                <w:szCs w:val="18"/>
              </w:rPr>
              <w:t> 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5" w:right="15"/>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．对所有者（或股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东）的分配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-5,855,317.65</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-5,855,317.65</w:t>
            </w:r>
          </w:p>
        </w:tc>
      </w:tr>
      <w:tr>
        <w:trPr>
          <w:trHeight w:val="40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 w:right="82"/>
              <w:jc w:val="left"/>
              <w:rPr>
                <w:rFonts w:ascii="宋体" w:hAnsi="宋体" w:cs="宋体" w:eastAsia="宋体" w:hint="default"/>
                <w:sz w:val="18"/>
                <w:szCs w:val="18"/>
              </w:rPr>
            </w:pPr>
            <w:r>
              <w:rPr>
                <w:rFonts w:ascii="宋体" w:hAnsi="宋体" w:cs="宋体" w:eastAsia="宋体" w:hint="default"/>
                <w:sz w:val="18"/>
                <w:szCs w:val="18"/>
              </w:rPr>
              <w:t>（四）所有者权益 内部结转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175,659,5</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29.00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-175,659</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,529.00</w:t>
            </w:r>
          </w:p>
        </w:tc>
        <w:tc>
          <w:tcPr>
            <w:tcW w:w="56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5" w:right="1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．资本公积转增资</w:t>
            </w:r>
            <w:r>
              <w:rPr>
                <w:rFonts w:ascii="宋体" w:hAnsi="宋体" w:cs="宋体" w:eastAsia="宋体" w:hint="default"/>
                <w:sz w:val="18"/>
                <w:szCs w:val="18"/>
              </w:rPr>
              <w:t> 本（或股本）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175,659,5</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29.00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-175,659</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,529.00</w:t>
            </w:r>
          </w:p>
        </w:tc>
        <w:tc>
          <w:tcPr>
            <w:tcW w:w="56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5" w:right="1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．盈余公积转增资</w:t>
            </w:r>
            <w:r>
              <w:rPr>
                <w:rFonts w:ascii="宋体" w:hAnsi="宋体" w:cs="宋体" w:eastAsia="宋体" w:hint="default"/>
                <w:sz w:val="18"/>
                <w:szCs w:val="18"/>
              </w:rPr>
              <w:t> 本（或股本）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5" w:right="1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．盈余公积弥补亏</w:t>
            </w:r>
            <w:r>
              <w:rPr>
                <w:rFonts w:ascii="宋体" w:hAnsi="宋体" w:cs="宋体" w:eastAsia="宋体" w:hint="default"/>
                <w:sz w:val="18"/>
                <w:szCs w:val="18"/>
              </w:rPr>
              <w:t> 损</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761,191,2</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94.00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28,651,1</w:t>
            </w:r>
          </w:p>
          <w:p>
            <w:pPr>
              <w:pStyle w:val="TableParagraph"/>
              <w:spacing w:line="240" w:lineRule="auto" w:before="105"/>
              <w:ind w:left="273" w:right="0"/>
              <w:jc w:val="left"/>
              <w:rPr>
                <w:rFonts w:ascii="Times New Roman" w:hAnsi="Times New Roman" w:cs="Times New Roman" w:eastAsia="Times New Roman" w:hint="default"/>
                <w:sz w:val="18"/>
                <w:szCs w:val="18"/>
              </w:rPr>
            </w:pPr>
            <w:r>
              <w:rPr>
                <w:rFonts w:ascii="Times New Roman"/>
                <w:sz w:val="18"/>
              </w:rPr>
              <w:t>29.28</w:t>
            </w:r>
          </w:p>
        </w:tc>
        <w:tc>
          <w:tcPr>
            <w:tcW w:w="56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17,543,5</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98.68</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38,360,21</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6.89</w:t>
            </w:r>
          </w:p>
        </w:tc>
        <w:tc>
          <w:tcPr>
            <w:tcW w:w="63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655,538,787.81</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1,501,285,026.6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bl>
    <w:p>
      <w:pPr>
        <w:spacing w:line="240" w:lineRule="auto" w:before="3"/>
        <w:rPr>
          <w:rFonts w:ascii="宋体" w:hAnsi="宋体" w:cs="宋体" w:eastAsia="宋体" w:hint="default"/>
          <w:sz w:val="19"/>
          <w:szCs w:val="19"/>
        </w:rPr>
      </w:pPr>
    </w:p>
    <w:p>
      <w:pPr>
        <w:pStyle w:val="Heading3"/>
        <w:spacing w:line="240" w:lineRule="auto" w:before="36"/>
        <w:ind w:left="972"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972" w:right="0"/>
        <w:jc w:val="left"/>
      </w:pPr>
      <w:r>
        <w:rPr/>
        <w:t>本期金额</w:t>
      </w:r>
    </w:p>
    <w:p>
      <w:pPr>
        <w:pStyle w:val="BodyText"/>
        <w:spacing w:line="240" w:lineRule="auto" w:before="115"/>
        <w:ind w:left="0" w:right="971"/>
        <w:jc w:val="right"/>
      </w:pPr>
      <w:r>
        <w:rPr/>
        <w:t>单位：元</w:t>
      </w:r>
    </w:p>
    <w:p>
      <w:pPr>
        <w:spacing w:line="240" w:lineRule="auto" w:before="4"/>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536"/>
        <w:gridCol w:w="1004"/>
        <w:gridCol w:w="708"/>
        <w:gridCol w:w="711"/>
        <w:gridCol w:w="566"/>
        <w:gridCol w:w="1133"/>
        <w:gridCol w:w="569"/>
        <w:gridCol w:w="708"/>
        <w:gridCol w:w="566"/>
        <w:gridCol w:w="1136"/>
        <w:gridCol w:w="1274"/>
        <w:gridCol w:w="1419"/>
      </w:tblGrid>
      <w:tr>
        <w:trPr>
          <w:trHeight w:val="396" w:hRule="exact"/>
        </w:trPr>
        <w:tc>
          <w:tcPr>
            <w:tcW w:w="15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79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2" w:hRule="exact"/>
        </w:trPr>
        <w:tc>
          <w:tcPr>
            <w:tcW w:w="15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0"/>
              <w:ind w:left="98" w:right="22" w:hanging="75"/>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0"/>
              <w:ind w:left="79" w:right="7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0"/>
              <w:ind w:left="98" w:right="9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36" w:type="dxa"/>
            <w:vMerge/>
            <w:tcBorders>
              <w:left w:val="single" w:sz="4" w:space="0" w:color="000000"/>
              <w:bottom w:val="nil" w:sz="6" w:space="0" w:color="auto"/>
              <w:right w:val="single" w:sz="4" w:space="0" w:color="000000"/>
            </w:tcBorders>
            <w:shd w:val="clear" w:color="auto" w:fill="D2D2D2"/>
          </w:tcPr>
          <w:p>
            <w:pPr/>
          </w:p>
        </w:tc>
        <w:tc>
          <w:tcPr>
            <w:tcW w:w="10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85" w:type="dxa"/>
            <w:gridSpan w:val="3"/>
            <w:vMerge/>
            <w:tcBorders>
              <w:left w:val="single" w:sz="4" w:space="0" w:color="000000"/>
              <w:bottom w:val="single" w:sz="4" w:space="0" w:color="000000"/>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9"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1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2" w:hRule="exact"/>
        </w:trPr>
        <w:tc>
          <w:tcPr>
            <w:tcW w:w="1536" w:type="dxa"/>
            <w:vMerge w:val="restart"/>
            <w:tcBorders>
              <w:top w:val="nil" w:sz="6" w:space="0" w:color="auto"/>
              <w:left w:val="single" w:sz="4" w:space="0" w:color="000000"/>
              <w:right w:val="single" w:sz="4" w:space="0" w:color="000000"/>
            </w:tcBorders>
            <w:shd w:val="clear" w:color="auto" w:fill="D2D2D2"/>
          </w:tcPr>
          <w:p>
            <w:pPr/>
          </w:p>
        </w:tc>
        <w:tc>
          <w:tcPr>
            <w:tcW w:w="1004" w:type="dxa"/>
            <w:vMerge/>
            <w:tcBorders>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3"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136" w:type="dxa"/>
            <w:vMerge/>
            <w:tcBorders>
              <w:left w:val="single" w:sz="4" w:space="0" w:color="000000"/>
              <w:bottom w:val="nil" w:sz="6" w:space="0" w:color="auto"/>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536" w:type="dxa"/>
            <w:vMerge/>
            <w:tcBorders>
              <w:left w:val="single" w:sz="4" w:space="0" w:color="000000"/>
              <w:bottom w:val="single" w:sz="4" w:space="0" w:color="000000"/>
              <w:right w:val="single" w:sz="4" w:space="0" w:color="000000"/>
            </w:tcBorders>
            <w:shd w:val="clear" w:color="auto" w:fill="D2D2D2"/>
          </w:tcPr>
          <w:p>
            <w:pPr/>
          </w:p>
        </w:tc>
        <w:tc>
          <w:tcPr>
            <w:tcW w:w="100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1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15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4" w:type="dxa"/>
            <w:vMerge w:val="restart"/>
            <w:tcBorders>
              <w:top w:val="single" w:sz="4" w:space="0" w:color="000000"/>
              <w:left w:val="single" w:sz="10"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761,191,294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08" w:type="dxa"/>
            <w:vMerge w:val="restart"/>
            <w:tcBorders>
              <w:top w:val="single" w:sz="4" w:space="0" w:color="000000"/>
              <w:left w:val="single" w:sz="4" w:space="0" w:color="000000"/>
              <w:right w:val="single" w:sz="4" w:space="0" w:color="000000"/>
            </w:tcBorders>
          </w:tcPr>
          <w:p>
            <w:pPr/>
          </w:p>
        </w:tc>
        <w:tc>
          <w:tcPr>
            <w:tcW w:w="711"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28,651,129.28</w:t>
            </w:r>
          </w:p>
        </w:tc>
        <w:tc>
          <w:tcPr>
            <w:tcW w:w="569" w:type="dxa"/>
            <w:vMerge w:val="restart"/>
            <w:tcBorders>
              <w:top w:val="single" w:sz="17" w:space="0" w:color="D2D2D2"/>
              <w:left w:val="single" w:sz="4" w:space="0" w:color="000000"/>
              <w:right w:val="single" w:sz="4" w:space="0" w:color="000000"/>
            </w:tcBorders>
          </w:tcPr>
          <w:p>
            <w:pPr/>
          </w:p>
        </w:tc>
        <w:tc>
          <w:tcPr>
            <w:tcW w:w="708" w:type="dxa"/>
            <w:vMerge w:val="restart"/>
            <w:tcBorders>
              <w:top w:val="single" w:sz="17" w:space="0" w:color="D2D2D2"/>
              <w:left w:val="single" w:sz="4" w:space="0" w:color="000000"/>
              <w:right w:val="single" w:sz="4" w:space="0" w:color="000000"/>
            </w:tcBorders>
          </w:tcPr>
          <w:p>
            <w:pPr/>
          </w:p>
        </w:tc>
        <w:tc>
          <w:tcPr>
            <w:tcW w:w="566" w:type="dxa"/>
            <w:vMerge w:val="restart"/>
            <w:tcBorders>
              <w:top w:val="single" w:sz="17" w:space="0" w:color="D2D2D2"/>
              <w:left w:val="single" w:sz="4" w:space="0" w:color="000000"/>
              <w:right w:val="single" w:sz="4" w:space="0" w:color="000000"/>
            </w:tcBorders>
          </w:tcPr>
          <w:p>
            <w:pP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38,360,216.89</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232,398,241.98</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1,060,600,882.15</w:t>
            </w:r>
          </w:p>
        </w:tc>
      </w:tr>
      <w:tr>
        <w:trPr>
          <w:trHeight w:val="391" w:hRule="exact"/>
        </w:trPr>
        <w:tc>
          <w:tcPr>
            <w:tcW w:w="15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04" w:type="dxa"/>
            <w:vMerge/>
            <w:tcBorders>
              <w:left w:val="single" w:sz="10" w:space="0" w:color="D2D2D2"/>
              <w:right w:val="single" w:sz="4" w:space="0" w:color="000000"/>
            </w:tcBorders>
          </w:tcPr>
          <w:p>
            <w:pPr/>
          </w:p>
        </w:tc>
        <w:tc>
          <w:tcPr>
            <w:tcW w:w="708"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r>
      <w:tr>
        <w:trPr>
          <w:trHeight w:val="161" w:hRule="exact"/>
        </w:trPr>
        <w:tc>
          <w:tcPr>
            <w:tcW w:w="15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4" w:type="dxa"/>
            <w:vMerge/>
            <w:tcBorders>
              <w:left w:val="single" w:sz="10" w:space="0" w:color="D2D2D2"/>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r>
      <w:tr>
        <w:trPr>
          <w:trHeight w:val="713" w:hRule="exact"/>
        </w:trPr>
        <w:tc>
          <w:tcPr>
            <w:tcW w:w="1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 w:right="71" w:firstLine="360"/>
              <w:jc w:val="left"/>
              <w:rPr>
                <w:rFonts w:ascii="宋体" w:hAnsi="宋体" w:cs="宋体" w:eastAsia="宋体" w:hint="default"/>
                <w:sz w:val="18"/>
                <w:szCs w:val="18"/>
              </w:rPr>
            </w:pPr>
            <w:r>
              <w:rPr>
                <w:rFonts w:ascii="宋体" w:hAnsi="宋体" w:cs="宋体" w:eastAsia="宋体" w:hint="default"/>
                <w:sz w:val="18"/>
                <w:szCs w:val="18"/>
              </w:rPr>
              <w:t>加：会计政策 变更</w:t>
            </w:r>
          </w:p>
        </w:tc>
        <w:tc>
          <w:tcPr>
            <w:tcW w:w="1004" w:type="dxa"/>
            <w:tcBorders>
              <w:top w:val="single" w:sz="4" w:space="0" w:color="000000"/>
              <w:left w:val="single" w:sz="10"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160" w:right="16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1559"/>
        <w:gridCol w:w="994"/>
        <w:gridCol w:w="708"/>
        <w:gridCol w:w="711"/>
        <w:gridCol w:w="566"/>
        <w:gridCol w:w="1133"/>
        <w:gridCol w:w="569"/>
        <w:gridCol w:w="708"/>
        <w:gridCol w:w="566"/>
        <w:gridCol w:w="1136"/>
        <w:gridCol w:w="1274"/>
        <w:gridCol w:w="1419"/>
      </w:tblGrid>
      <w:tr>
        <w:trPr>
          <w:trHeight w:val="71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5" w:right="0"/>
              <w:jc w:val="left"/>
              <w:rPr>
                <w:rFonts w:ascii="宋体" w:hAnsi="宋体" w:cs="宋体" w:eastAsia="宋体" w:hint="default"/>
                <w:sz w:val="18"/>
                <w:szCs w:val="18"/>
              </w:rPr>
            </w:pPr>
            <w:r>
              <w:rPr>
                <w:rFonts w:ascii="宋体" w:hAnsi="宋体" w:cs="宋体" w:eastAsia="宋体" w:hint="default"/>
                <w:sz w:val="18"/>
                <w:szCs w:val="18"/>
              </w:rPr>
              <w:t>前期差错</w:t>
            </w:r>
          </w:p>
          <w:p>
            <w:pPr>
              <w:pStyle w:val="TableParagraph"/>
              <w:spacing w:line="240" w:lineRule="auto" w:before="77"/>
              <w:ind w:left="25" w:right="0"/>
              <w:jc w:val="left"/>
              <w:rPr>
                <w:rFonts w:ascii="宋体" w:hAnsi="宋体" w:cs="宋体" w:eastAsia="宋体" w:hint="default"/>
                <w:sz w:val="18"/>
                <w:szCs w:val="18"/>
              </w:rPr>
            </w:pPr>
            <w:r>
              <w:rPr>
                <w:rFonts w:ascii="宋体" w:hAnsi="宋体" w:cs="宋体" w:eastAsia="宋体" w:hint="default"/>
                <w:sz w:val="18"/>
                <w:szCs w:val="18"/>
              </w:rPr>
              <w:t>更正</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761,191,294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28,651,129.28</w:t>
            </w: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38,360,216.89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232,398,241.98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1,060,600,882.15</w:t>
            </w:r>
          </w:p>
        </w:tc>
      </w:tr>
      <w:tr>
        <w:trPr>
          <w:trHeight w:val="1027"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5" w:right="82"/>
              <w:jc w:val="both"/>
              <w:rPr>
                <w:rFonts w:ascii="宋体" w:hAnsi="宋体" w:cs="宋体" w:eastAsia="宋体" w:hint="default"/>
                <w:sz w:val="18"/>
                <w:szCs w:val="18"/>
              </w:rPr>
            </w:pPr>
            <w:r>
              <w:rPr>
                <w:rFonts w:ascii="宋体" w:hAnsi="宋体" w:cs="宋体" w:eastAsia="宋体" w:hint="default"/>
                <w:sz w:val="18"/>
                <w:szCs w:val="18"/>
              </w:rPr>
              <w:t>三、本期增减变动 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1,028,418.00</w:t>
            </w: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31" w:right="0"/>
              <w:jc w:val="center"/>
              <w:rPr>
                <w:rFonts w:ascii="Times New Roman" w:hAnsi="Times New Roman" w:cs="Times New Roman" w:eastAsia="Times New Roman" w:hint="default"/>
                <w:sz w:val="18"/>
                <w:szCs w:val="18"/>
              </w:rPr>
            </w:pPr>
            <w:r>
              <w:rPr>
                <w:rFonts w:ascii="Times New Roman"/>
                <w:sz w:val="18"/>
              </w:rPr>
              <w:t>3,628,241.33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25,042,258.99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29,698,918.32</w:t>
            </w:r>
          </w:p>
        </w:tc>
      </w:tr>
      <w:tr>
        <w:trPr>
          <w:trHeight w:val="71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 w:right="82"/>
              <w:jc w:val="left"/>
              <w:rPr>
                <w:rFonts w:ascii="宋体" w:hAnsi="宋体" w:cs="宋体" w:eastAsia="宋体" w:hint="default"/>
                <w:sz w:val="18"/>
                <w:szCs w:val="18"/>
              </w:rPr>
            </w:pPr>
            <w:r>
              <w:rPr>
                <w:rFonts w:ascii="宋体" w:hAnsi="宋体" w:cs="宋体" w:eastAsia="宋体" w:hint="default"/>
                <w:sz w:val="18"/>
                <w:szCs w:val="18"/>
              </w:rPr>
              <w:t>（一）综合收益总 额</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36,282,413.26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36,282,413.26</w:t>
            </w:r>
          </w:p>
        </w:tc>
      </w:tr>
      <w:tr>
        <w:trPr>
          <w:trHeight w:val="716"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5" w:right="82"/>
              <w:jc w:val="left"/>
              <w:rPr>
                <w:rFonts w:ascii="宋体" w:hAnsi="宋体" w:cs="宋体" w:eastAsia="宋体" w:hint="default"/>
                <w:sz w:val="18"/>
                <w:szCs w:val="18"/>
              </w:rPr>
            </w:pPr>
            <w:r>
              <w:rPr>
                <w:rFonts w:ascii="宋体" w:hAnsi="宋体" w:cs="宋体" w:eastAsia="宋体" w:hint="default"/>
                <w:sz w:val="18"/>
                <w:szCs w:val="18"/>
              </w:rPr>
              <w:t>（二）所有者投入 和减少资本</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1,028,418.00</w:t>
            </w: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1,028,418.00</w:t>
            </w:r>
          </w:p>
        </w:tc>
      </w:tr>
      <w:tr>
        <w:trPr>
          <w:trHeight w:val="71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5" w:right="1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．股东投入的普通</w:t>
            </w:r>
            <w:r>
              <w:rPr>
                <w:rFonts w:ascii="宋体" w:hAnsi="宋体" w:cs="宋体" w:eastAsia="宋体" w:hint="default"/>
                <w:sz w:val="18"/>
                <w:szCs w:val="18"/>
              </w:rPr>
              <w:t> 股</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5" w:right="1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．其他权益工具持</w:t>
            </w:r>
            <w:r>
              <w:rPr>
                <w:rFonts w:ascii="宋体" w:hAnsi="宋体" w:cs="宋体" w:eastAsia="宋体" w:hint="default"/>
                <w:sz w:val="18"/>
                <w:szCs w:val="18"/>
              </w:rPr>
              <w:t> 有者投入资本</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5" w:right="1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．股份支付计入所</w:t>
            </w:r>
            <w:r>
              <w:rPr>
                <w:rFonts w:ascii="宋体" w:hAnsi="宋体" w:cs="宋体" w:eastAsia="宋体" w:hint="default"/>
                <w:sz w:val="18"/>
                <w:szCs w:val="18"/>
              </w:rPr>
              <w:t> 有者权益的金额</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1,028,418.00</w:t>
            </w: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1,028,418.00</w:t>
            </w:r>
          </w:p>
        </w:tc>
      </w:tr>
      <w:tr>
        <w:trPr>
          <w:trHeight w:val="40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 w:right="0"/>
              <w:jc w:val="center"/>
              <w:rPr>
                <w:rFonts w:ascii="Times New Roman" w:hAnsi="Times New Roman" w:cs="Times New Roman" w:eastAsia="Times New Roman" w:hint="default"/>
                <w:sz w:val="18"/>
                <w:szCs w:val="18"/>
              </w:rPr>
            </w:pPr>
            <w:r>
              <w:rPr>
                <w:rFonts w:ascii="Times New Roman"/>
                <w:sz w:val="18"/>
              </w:rPr>
              <w:t>3,628,241.33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-11,240,154.27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-7,611,912.94</w:t>
            </w:r>
          </w:p>
        </w:tc>
      </w:tr>
      <w:tr>
        <w:trPr>
          <w:trHeight w:val="40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1" w:right="0"/>
              <w:jc w:val="center"/>
              <w:rPr>
                <w:rFonts w:ascii="Times New Roman" w:hAnsi="Times New Roman" w:cs="Times New Roman" w:eastAsia="Times New Roman" w:hint="default"/>
                <w:sz w:val="18"/>
                <w:szCs w:val="18"/>
              </w:rPr>
            </w:pPr>
            <w:r>
              <w:rPr>
                <w:rFonts w:ascii="Times New Roman"/>
                <w:sz w:val="18"/>
              </w:rPr>
              <w:t>3,628,241.33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-3,628,241.33</w:t>
            </w: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5" w:right="15"/>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．对所有者（或股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东）的分配</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-7,611,912.94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-7,611,912.94</w:t>
            </w:r>
          </w:p>
        </w:tc>
      </w:tr>
      <w:tr>
        <w:trPr>
          <w:trHeight w:val="71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 w:right="82"/>
              <w:jc w:val="left"/>
              <w:rPr>
                <w:rFonts w:ascii="宋体" w:hAnsi="宋体" w:cs="宋体" w:eastAsia="宋体" w:hint="default"/>
                <w:sz w:val="18"/>
                <w:szCs w:val="18"/>
              </w:rPr>
            </w:pPr>
            <w:r>
              <w:rPr>
                <w:rFonts w:ascii="宋体" w:hAnsi="宋体" w:cs="宋体" w:eastAsia="宋体" w:hint="default"/>
                <w:sz w:val="18"/>
                <w:szCs w:val="18"/>
              </w:rPr>
              <w:t>（四）所有者权益 内部结转</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5" w:right="1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．资本公积转增资</w:t>
            </w:r>
            <w:r>
              <w:rPr>
                <w:rFonts w:ascii="宋体" w:hAnsi="宋体" w:cs="宋体" w:eastAsia="宋体" w:hint="default"/>
                <w:sz w:val="18"/>
                <w:szCs w:val="18"/>
              </w:rPr>
              <w:t> 本（或股本）</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5" w:right="1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．盈余公积转增资</w:t>
            </w:r>
            <w:r>
              <w:rPr>
                <w:rFonts w:ascii="宋体" w:hAnsi="宋体" w:cs="宋体" w:eastAsia="宋体" w:hint="default"/>
                <w:sz w:val="18"/>
                <w:szCs w:val="18"/>
              </w:rPr>
              <w:t> 本（或股本）</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5" w:right="1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．盈余公积弥补亏</w:t>
            </w:r>
            <w:r>
              <w:rPr>
                <w:rFonts w:ascii="宋体" w:hAnsi="宋体" w:cs="宋体" w:eastAsia="宋体" w:hint="default"/>
                <w:sz w:val="18"/>
                <w:szCs w:val="18"/>
              </w:rPr>
              <w:t> 损</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160" w:right="16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1559"/>
        <w:gridCol w:w="994"/>
        <w:gridCol w:w="708"/>
        <w:gridCol w:w="711"/>
        <w:gridCol w:w="566"/>
        <w:gridCol w:w="1133"/>
        <w:gridCol w:w="569"/>
        <w:gridCol w:w="708"/>
        <w:gridCol w:w="566"/>
        <w:gridCol w:w="1136"/>
        <w:gridCol w:w="1274"/>
        <w:gridCol w:w="1419"/>
      </w:tblGrid>
      <w:tr>
        <w:trPr>
          <w:trHeight w:val="716"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761,191,294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29,679,547.28</w:t>
            </w: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41,988,458.22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257,440,500.97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1,090,299,800.47</w:t>
            </w:r>
          </w:p>
        </w:tc>
      </w:tr>
    </w:tbl>
    <w:p>
      <w:pPr>
        <w:pStyle w:val="BodyText"/>
        <w:spacing w:line="240" w:lineRule="auto" w:before="49"/>
        <w:ind w:left="972" w:right="0"/>
        <w:jc w:val="left"/>
      </w:pPr>
      <w:r>
        <w:rPr/>
        <w:t>上期金额</w:t>
      </w:r>
    </w:p>
    <w:p>
      <w:pPr>
        <w:pStyle w:val="BodyText"/>
        <w:spacing w:line="240" w:lineRule="auto" w:before="115"/>
        <w:ind w:left="0" w:right="971"/>
        <w:jc w:val="right"/>
      </w:pPr>
      <w:r>
        <w:rPr/>
        <w:t>单位：元</w:t>
      </w:r>
    </w:p>
    <w:p>
      <w:pPr>
        <w:spacing w:line="240" w:lineRule="auto" w:before="4"/>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536"/>
        <w:gridCol w:w="1004"/>
        <w:gridCol w:w="708"/>
        <w:gridCol w:w="711"/>
        <w:gridCol w:w="566"/>
        <w:gridCol w:w="1133"/>
        <w:gridCol w:w="569"/>
        <w:gridCol w:w="708"/>
        <w:gridCol w:w="566"/>
        <w:gridCol w:w="1136"/>
        <w:gridCol w:w="1274"/>
        <w:gridCol w:w="1419"/>
      </w:tblGrid>
      <w:tr>
        <w:trPr>
          <w:trHeight w:val="396" w:hRule="exact"/>
        </w:trPr>
        <w:tc>
          <w:tcPr>
            <w:tcW w:w="15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79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5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98" w:right="22" w:hanging="75"/>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79" w:right="7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98" w:right="9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36" w:type="dxa"/>
            <w:vMerge/>
            <w:tcBorders>
              <w:left w:val="single" w:sz="4" w:space="0" w:color="000000"/>
              <w:bottom w:val="nil" w:sz="6" w:space="0" w:color="auto"/>
              <w:right w:val="single" w:sz="4" w:space="0" w:color="000000"/>
            </w:tcBorders>
            <w:shd w:val="clear" w:color="auto" w:fill="D2D2D2"/>
          </w:tcPr>
          <w:p>
            <w:pPr/>
          </w:p>
        </w:tc>
        <w:tc>
          <w:tcPr>
            <w:tcW w:w="10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85" w:type="dxa"/>
            <w:gridSpan w:val="3"/>
            <w:vMerge/>
            <w:tcBorders>
              <w:left w:val="single" w:sz="4" w:space="0" w:color="000000"/>
              <w:bottom w:val="single" w:sz="4" w:space="0" w:color="000000"/>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9"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1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9" w:hRule="exact"/>
        </w:trPr>
        <w:tc>
          <w:tcPr>
            <w:tcW w:w="1536" w:type="dxa"/>
            <w:vMerge w:val="restart"/>
            <w:tcBorders>
              <w:top w:val="nil" w:sz="6" w:space="0" w:color="auto"/>
              <w:left w:val="single" w:sz="4" w:space="0" w:color="000000"/>
              <w:right w:val="single" w:sz="4" w:space="0" w:color="000000"/>
            </w:tcBorders>
            <w:shd w:val="clear" w:color="auto" w:fill="D2D2D2"/>
          </w:tcPr>
          <w:p>
            <w:pPr/>
          </w:p>
        </w:tc>
        <w:tc>
          <w:tcPr>
            <w:tcW w:w="1004" w:type="dxa"/>
            <w:vMerge/>
            <w:tcBorders>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3"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136" w:type="dxa"/>
            <w:vMerge/>
            <w:tcBorders>
              <w:left w:val="single" w:sz="4" w:space="0" w:color="000000"/>
              <w:bottom w:val="nil" w:sz="6" w:space="0" w:color="auto"/>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36" w:type="dxa"/>
            <w:vMerge/>
            <w:tcBorders>
              <w:left w:val="single" w:sz="4" w:space="0" w:color="000000"/>
              <w:bottom w:val="single" w:sz="4" w:space="0" w:color="000000"/>
              <w:right w:val="single" w:sz="4" w:space="0" w:color="000000"/>
            </w:tcBorders>
            <w:shd w:val="clear" w:color="auto" w:fill="D2D2D2"/>
          </w:tcPr>
          <w:p>
            <w:pPr/>
          </w:p>
        </w:tc>
        <w:tc>
          <w:tcPr>
            <w:tcW w:w="100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1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4"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585,531,765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08" w:type="dxa"/>
            <w:vMerge w:val="restart"/>
            <w:tcBorders>
              <w:top w:val="single" w:sz="4" w:space="0" w:color="000000"/>
              <w:left w:val="single" w:sz="4" w:space="0" w:color="000000"/>
              <w:right w:val="single" w:sz="4" w:space="0" w:color="000000"/>
            </w:tcBorders>
          </w:tcPr>
          <w:p>
            <w:pPr/>
          </w:p>
        </w:tc>
        <w:tc>
          <w:tcPr>
            <w:tcW w:w="711"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202,615,272.2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69" w:type="dxa"/>
            <w:vMerge w:val="restart"/>
            <w:tcBorders>
              <w:top w:val="single" w:sz="18" w:space="0" w:color="D2D2D2"/>
              <w:left w:val="single" w:sz="4" w:space="0" w:color="000000"/>
              <w:right w:val="single" w:sz="4" w:space="0" w:color="000000"/>
            </w:tcBorders>
          </w:tcPr>
          <w:p>
            <w:pPr/>
          </w:p>
        </w:tc>
        <w:tc>
          <w:tcPr>
            <w:tcW w:w="708" w:type="dxa"/>
            <w:vMerge w:val="restart"/>
            <w:tcBorders>
              <w:top w:val="single" w:sz="18" w:space="0" w:color="D2D2D2"/>
              <w:left w:val="single" w:sz="4" w:space="0" w:color="000000"/>
              <w:right w:val="single" w:sz="4" w:space="0" w:color="000000"/>
            </w:tcBorders>
          </w:tcPr>
          <w:p>
            <w:pPr/>
          </w:p>
        </w:tc>
        <w:tc>
          <w:tcPr>
            <w:tcW w:w="566" w:type="dxa"/>
            <w:vMerge w:val="restart"/>
            <w:tcBorders>
              <w:top w:val="single" w:sz="18" w:space="0" w:color="D2D2D2"/>
              <w:left w:val="single" w:sz="4" w:space="0" w:color="000000"/>
              <w:right w:val="single" w:sz="4" w:space="0" w:color="000000"/>
            </w:tcBorders>
          </w:tcPr>
          <w:p>
            <w:pP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35,774,450.40</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214,981,661.26</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1,038,903,148.94</w:t>
            </w:r>
          </w:p>
        </w:tc>
      </w:tr>
      <w:tr>
        <w:trPr>
          <w:trHeight w:val="394" w:hRule="exact"/>
        </w:trPr>
        <w:tc>
          <w:tcPr>
            <w:tcW w:w="15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04" w:type="dxa"/>
            <w:vMerge/>
            <w:tcBorders>
              <w:left w:val="single" w:sz="10" w:space="0" w:color="D2D2D2"/>
              <w:right w:val="single" w:sz="4" w:space="0" w:color="000000"/>
            </w:tcBorders>
          </w:tcPr>
          <w:p>
            <w:pPr/>
          </w:p>
        </w:tc>
        <w:tc>
          <w:tcPr>
            <w:tcW w:w="708"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r>
      <w:tr>
        <w:trPr>
          <w:trHeight w:val="161" w:hRule="exact"/>
        </w:trPr>
        <w:tc>
          <w:tcPr>
            <w:tcW w:w="15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4" w:type="dxa"/>
            <w:vMerge/>
            <w:tcBorders>
              <w:left w:val="single" w:sz="10" w:space="0" w:color="D2D2D2"/>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r>
      <w:tr>
        <w:trPr>
          <w:trHeight w:val="713" w:hRule="exact"/>
        </w:trPr>
        <w:tc>
          <w:tcPr>
            <w:tcW w:w="1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3" w:right="71" w:firstLine="360"/>
              <w:jc w:val="left"/>
              <w:rPr>
                <w:rFonts w:ascii="宋体" w:hAnsi="宋体" w:cs="宋体" w:eastAsia="宋体" w:hint="default"/>
                <w:sz w:val="18"/>
                <w:szCs w:val="18"/>
              </w:rPr>
            </w:pPr>
            <w:r>
              <w:rPr>
                <w:rFonts w:ascii="宋体" w:hAnsi="宋体" w:cs="宋体" w:eastAsia="宋体" w:hint="default"/>
                <w:sz w:val="18"/>
                <w:szCs w:val="18"/>
              </w:rPr>
              <w:t>加：会计政策 变更</w:t>
            </w:r>
          </w:p>
        </w:tc>
        <w:tc>
          <w:tcPr>
            <w:tcW w:w="1004" w:type="dxa"/>
            <w:tcBorders>
              <w:top w:val="single" w:sz="4" w:space="0" w:color="000000"/>
              <w:left w:val="single" w:sz="10"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3" w:right="0"/>
              <w:jc w:val="left"/>
              <w:rPr>
                <w:rFonts w:ascii="宋体" w:hAnsi="宋体" w:cs="宋体" w:eastAsia="宋体" w:hint="default"/>
                <w:sz w:val="18"/>
                <w:szCs w:val="18"/>
              </w:rPr>
            </w:pPr>
            <w:r>
              <w:rPr>
                <w:rFonts w:ascii="宋体" w:hAnsi="宋体" w:cs="宋体" w:eastAsia="宋体" w:hint="default"/>
                <w:sz w:val="18"/>
                <w:szCs w:val="18"/>
              </w:rPr>
              <w:t>前期差错</w:t>
            </w:r>
          </w:p>
          <w:p>
            <w:pPr>
              <w:pStyle w:val="TableParagraph"/>
              <w:spacing w:line="240" w:lineRule="auto" w:before="76"/>
              <w:ind w:left="13" w:right="0"/>
              <w:jc w:val="left"/>
              <w:rPr>
                <w:rFonts w:ascii="宋体" w:hAnsi="宋体" w:cs="宋体" w:eastAsia="宋体" w:hint="default"/>
                <w:sz w:val="18"/>
                <w:szCs w:val="18"/>
              </w:rPr>
            </w:pPr>
            <w:r>
              <w:rPr>
                <w:rFonts w:ascii="宋体" w:hAnsi="宋体" w:cs="宋体" w:eastAsia="宋体" w:hint="default"/>
                <w:sz w:val="18"/>
                <w:szCs w:val="18"/>
              </w:rPr>
              <w:t>更正</w:t>
            </w:r>
          </w:p>
        </w:tc>
        <w:tc>
          <w:tcPr>
            <w:tcW w:w="1004" w:type="dxa"/>
            <w:tcBorders>
              <w:top w:val="single" w:sz="4" w:space="0" w:color="000000"/>
              <w:left w:val="single" w:sz="10"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04" w:type="dxa"/>
            <w:tcBorders>
              <w:top w:val="single" w:sz="4" w:space="0" w:color="000000"/>
              <w:left w:val="single" w:sz="10"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5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4"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585,531,765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08" w:type="dxa"/>
            <w:vMerge w:val="restart"/>
            <w:tcBorders>
              <w:top w:val="single" w:sz="4" w:space="0" w:color="000000"/>
              <w:left w:val="single" w:sz="4" w:space="0" w:color="000000"/>
              <w:right w:val="single" w:sz="4" w:space="0" w:color="000000"/>
            </w:tcBorders>
          </w:tcPr>
          <w:p>
            <w:pPr/>
          </w:p>
        </w:tc>
        <w:tc>
          <w:tcPr>
            <w:tcW w:w="711"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202,615,272.2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69"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35,774,450.40</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214,981,661.26</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1,038,903,148.94</w:t>
            </w:r>
          </w:p>
        </w:tc>
      </w:tr>
      <w:tr>
        <w:trPr>
          <w:trHeight w:val="394" w:hRule="exact"/>
        </w:trPr>
        <w:tc>
          <w:tcPr>
            <w:tcW w:w="15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04" w:type="dxa"/>
            <w:vMerge/>
            <w:tcBorders>
              <w:left w:val="single" w:sz="10" w:space="0" w:color="D2D2D2"/>
              <w:right w:val="single" w:sz="4" w:space="0" w:color="000000"/>
            </w:tcBorders>
          </w:tcPr>
          <w:p>
            <w:pPr/>
          </w:p>
        </w:tc>
        <w:tc>
          <w:tcPr>
            <w:tcW w:w="708"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r>
      <w:tr>
        <w:trPr>
          <w:trHeight w:val="161" w:hRule="exact"/>
        </w:trPr>
        <w:tc>
          <w:tcPr>
            <w:tcW w:w="15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4" w:type="dxa"/>
            <w:vMerge/>
            <w:tcBorders>
              <w:left w:val="single" w:sz="10" w:space="0" w:color="D2D2D2"/>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r>
      <w:tr>
        <w:trPr>
          <w:trHeight w:val="1025" w:hRule="exact"/>
        </w:trPr>
        <w:tc>
          <w:tcPr>
            <w:tcW w:w="1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3" w:right="71"/>
              <w:jc w:val="both"/>
              <w:rPr>
                <w:rFonts w:ascii="宋体" w:hAnsi="宋体" w:cs="宋体" w:eastAsia="宋体" w:hint="default"/>
                <w:sz w:val="18"/>
                <w:szCs w:val="18"/>
              </w:rPr>
            </w:pPr>
            <w:r>
              <w:rPr>
                <w:rFonts w:ascii="宋体" w:hAnsi="宋体" w:cs="宋体" w:eastAsia="宋体" w:hint="default"/>
                <w:sz w:val="18"/>
                <w:szCs w:val="18"/>
              </w:rPr>
              <w:t>三、本期增减变动 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10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175,659,529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-173,964,143.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2,585,766.49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17,416,580.72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21,697,733.21</w:t>
            </w:r>
          </w:p>
        </w:tc>
      </w:tr>
      <w:tr>
        <w:trPr>
          <w:trHeight w:val="715" w:hRule="exact"/>
        </w:trPr>
        <w:tc>
          <w:tcPr>
            <w:tcW w:w="1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 w:right="71"/>
              <w:jc w:val="left"/>
              <w:rPr>
                <w:rFonts w:ascii="宋体" w:hAnsi="宋体" w:cs="宋体" w:eastAsia="宋体" w:hint="default"/>
                <w:sz w:val="18"/>
                <w:szCs w:val="18"/>
              </w:rPr>
            </w:pPr>
            <w:r>
              <w:rPr>
                <w:rFonts w:ascii="宋体" w:hAnsi="宋体" w:cs="宋体" w:eastAsia="宋体" w:hint="default"/>
                <w:sz w:val="18"/>
                <w:szCs w:val="18"/>
              </w:rPr>
              <w:t>（一）综合收益总 额</w:t>
            </w:r>
          </w:p>
        </w:tc>
        <w:tc>
          <w:tcPr>
            <w:tcW w:w="1004" w:type="dxa"/>
            <w:tcBorders>
              <w:top w:val="single" w:sz="4" w:space="0" w:color="000000"/>
              <w:left w:val="single" w:sz="10"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25,857,664.86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25,857,664.86</w:t>
            </w:r>
          </w:p>
        </w:tc>
      </w:tr>
      <w:tr>
        <w:trPr>
          <w:trHeight w:val="713" w:hRule="exact"/>
        </w:trPr>
        <w:tc>
          <w:tcPr>
            <w:tcW w:w="1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 w:right="71"/>
              <w:jc w:val="left"/>
              <w:rPr>
                <w:rFonts w:ascii="宋体" w:hAnsi="宋体" w:cs="宋体" w:eastAsia="宋体" w:hint="default"/>
                <w:sz w:val="18"/>
                <w:szCs w:val="18"/>
              </w:rPr>
            </w:pPr>
            <w:r>
              <w:rPr>
                <w:rFonts w:ascii="宋体" w:hAnsi="宋体" w:cs="宋体" w:eastAsia="宋体" w:hint="default"/>
                <w:sz w:val="18"/>
                <w:szCs w:val="18"/>
              </w:rPr>
              <w:t>（二）所有者投入 和减少资本</w:t>
            </w:r>
          </w:p>
        </w:tc>
        <w:tc>
          <w:tcPr>
            <w:tcW w:w="1004" w:type="dxa"/>
            <w:tcBorders>
              <w:top w:val="single" w:sz="4" w:space="0" w:color="000000"/>
              <w:left w:val="single" w:sz="10"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1,695,386.00</w:t>
            </w: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1,695,386.00</w:t>
            </w:r>
          </w:p>
        </w:tc>
      </w:tr>
      <w:tr>
        <w:trPr>
          <w:trHeight w:val="715" w:hRule="exact"/>
        </w:trPr>
        <w:tc>
          <w:tcPr>
            <w:tcW w:w="1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3" w:right="6"/>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．股东投入的普通</w:t>
            </w:r>
            <w:r>
              <w:rPr>
                <w:rFonts w:ascii="宋体" w:hAnsi="宋体" w:cs="宋体" w:eastAsia="宋体" w:hint="default"/>
                <w:sz w:val="18"/>
                <w:szCs w:val="18"/>
              </w:rPr>
              <w:t> 股</w:t>
            </w:r>
          </w:p>
        </w:tc>
        <w:tc>
          <w:tcPr>
            <w:tcW w:w="1004" w:type="dxa"/>
            <w:tcBorders>
              <w:top w:val="single" w:sz="4" w:space="0" w:color="000000"/>
              <w:left w:val="single" w:sz="10"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3" w:right="6"/>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．其他权益工具持</w:t>
            </w:r>
            <w:r>
              <w:rPr>
                <w:rFonts w:ascii="宋体" w:hAnsi="宋体" w:cs="宋体" w:eastAsia="宋体" w:hint="default"/>
                <w:sz w:val="18"/>
                <w:szCs w:val="18"/>
              </w:rPr>
              <w:t> 有者投入资本</w:t>
            </w:r>
          </w:p>
        </w:tc>
        <w:tc>
          <w:tcPr>
            <w:tcW w:w="1004" w:type="dxa"/>
            <w:tcBorders>
              <w:top w:val="single" w:sz="4" w:space="0" w:color="000000"/>
              <w:left w:val="single" w:sz="10"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3" w:right="6"/>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．股份支付计入所</w:t>
            </w:r>
            <w:r>
              <w:rPr>
                <w:rFonts w:ascii="宋体" w:hAnsi="宋体" w:cs="宋体" w:eastAsia="宋体" w:hint="default"/>
                <w:sz w:val="18"/>
                <w:szCs w:val="18"/>
              </w:rPr>
              <w:t> 有者权益的金额</w:t>
            </w:r>
          </w:p>
        </w:tc>
        <w:tc>
          <w:tcPr>
            <w:tcW w:w="1004" w:type="dxa"/>
            <w:tcBorders>
              <w:top w:val="single" w:sz="4" w:space="0" w:color="000000"/>
              <w:left w:val="single" w:sz="10"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1,695,386.00</w:t>
            </w: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1,695,386.00</w:t>
            </w:r>
          </w:p>
        </w:tc>
      </w:tr>
      <w:tr>
        <w:trPr>
          <w:trHeight w:val="401" w:hRule="exact"/>
        </w:trPr>
        <w:tc>
          <w:tcPr>
            <w:tcW w:w="1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04" w:type="dxa"/>
            <w:tcBorders>
              <w:top w:val="single" w:sz="4" w:space="0" w:color="000000"/>
              <w:left w:val="single" w:sz="10"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04" w:type="dxa"/>
            <w:tcBorders>
              <w:top w:val="single" w:sz="4" w:space="0" w:color="000000"/>
              <w:left w:val="single" w:sz="10"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2,585,766.49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-8,441,084.14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-5,855,317.65</w:t>
            </w:r>
          </w:p>
        </w:tc>
      </w:tr>
      <w:tr>
        <w:trPr>
          <w:trHeight w:val="401" w:hRule="exact"/>
        </w:trPr>
        <w:tc>
          <w:tcPr>
            <w:tcW w:w="1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004" w:type="dxa"/>
            <w:tcBorders>
              <w:top w:val="single" w:sz="4" w:space="0" w:color="000000"/>
              <w:left w:val="single" w:sz="10"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2,585,766.49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-2,585,766.49</w:t>
            </w: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3" w:right="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．对所有者（或股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东）的分配</w:t>
            </w:r>
          </w:p>
        </w:tc>
        <w:tc>
          <w:tcPr>
            <w:tcW w:w="1004" w:type="dxa"/>
            <w:tcBorders>
              <w:top w:val="single" w:sz="4" w:space="0" w:color="000000"/>
              <w:left w:val="single" w:sz="10"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-5,855,317.65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-5,855,317.65</w:t>
            </w:r>
          </w:p>
        </w:tc>
      </w:tr>
      <w:tr>
        <w:trPr>
          <w:trHeight w:val="401" w:hRule="exact"/>
        </w:trPr>
        <w:tc>
          <w:tcPr>
            <w:tcW w:w="1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004" w:type="dxa"/>
            <w:tcBorders>
              <w:top w:val="single" w:sz="4" w:space="0" w:color="000000"/>
              <w:left w:val="single" w:sz="10"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 w:right="71"/>
              <w:jc w:val="left"/>
              <w:rPr>
                <w:rFonts w:ascii="宋体" w:hAnsi="宋体" w:cs="宋体" w:eastAsia="宋体" w:hint="default"/>
                <w:sz w:val="18"/>
                <w:szCs w:val="18"/>
              </w:rPr>
            </w:pPr>
            <w:r>
              <w:rPr>
                <w:rFonts w:ascii="宋体" w:hAnsi="宋体" w:cs="宋体" w:eastAsia="宋体" w:hint="default"/>
                <w:sz w:val="18"/>
                <w:szCs w:val="18"/>
              </w:rPr>
              <w:t>（四）所有者权益 内部结转</w:t>
            </w:r>
          </w:p>
        </w:tc>
        <w:tc>
          <w:tcPr>
            <w:tcW w:w="10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175,659,529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-175,659,529.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160" w:right="160"/>
        </w:sectPr>
      </w:pPr>
    </w:p>
    <w:p>
      <w:pPr>
        <w:spacing w:line="240" w:lineRule="auto" w:before="6"/>
        <w:rPr>
          <w:rFonts w:ascii="宋体" w:hAnsi="宋体" w:cs="宋体" w:eastAsia="宋体" w:hint="default"/>
          <w:sz w:val="28"/>
          <w:szCs w:val="28"/>
        </w:rPr>
      </w:pPr>
    </w:p>
    <w:tbl>
      <w:tblPr>
        <w:tblW w:w="0" w:type="auto"/>
        <w:jc w:val="left"/>
        <w:tblInd w:w="117" w:type="dxa"/>
        <w:tblLayout w:type="fixed"/>
        <w:tblCellMar>
          <w:top w:w="0" w:type="dxa"/>
          <w:left w:w="0" w:type="dxa"/>
          <w:bottom w:w="0" w:type="dxa"/>
          <w:right w:w="0" w:type="dxa"/>
        </w:tblCellMar>
        <w:tblLook w:val="01E0"/>
      </w:tblPr>
      <w:tblGrid>
        <w:gridCol w:w="1559"/>
        <w:gridCol w:w="994"/>
        <w:gridCol w:w="708"/>
        <w:gridCol w:w="711"/>
        <w:gridCol w:w="566"/>
        <w:gridCol w:w="1133"/>
        <w:gridCol w:w="569"/>
        <w:gridCol w:w="708"/>
        <w:gridCol w:w="566"/>
        <w:gridCol w:w="1136"/>
        <w:gridCol w:w="1274"/>
        <w:gridCol w:w="1419"/>
      </w:tblGrid>
      <w:tr>
        <w:trPr>
          <w:trHeight w:val="71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5" w:right="1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．资本公积转增资</w:t>
            </w:r>
            <w:r>
              <w:rPr>
                <w:rFonts w:ascii="宋体" w:hAnsi="宋体" w:cs="宋体" w:eastAsia="宋体" w:hint="default"/>
                <w:sz w:val="18"/>
                <w:szCs w:val="18"/>
              </w:rPr>
              <w:t> 本（或股本）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175,659,529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-175,659,529.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5" w:right="1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．盈余公积转增资</w:t>
            </w:r>
            <w:r>
              <w:rPr>
                <w:rFonts w:ascii="宋体" w:hAnsi="宋体" w:cs="宋体" w:eastAsia="宋体" w:hint="default"/>
                <w:sz w:val="18"/>
                <w:szCs w:val="18"/>
              </w:rPr>
              <w:t> 本（或股本）</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5" w:right="1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．盈余公积弥补亏</w:t>
            </w:r>
            <w:r>
              <w:rPr>
                <w:rFonts w:ascii="宋体" w:hAnsi="宋体" w:cs="宋体" w:eastAsia="宋体" w:hint="default"/>
                <w:sz w:val="18"/>
                <w:szCs w:val="18"/>
              </w:rPr>
              <w:t> 损</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761,191,294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28,651,129.28</w:t>
            </w: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38,360,216.89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232,398,241.98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1,060,600,882.15</w:t>
            </w:r>
          </w:p>
        </w:tc>
      </w:tr>
    </w:tbl>
    <w:p>
      <w:pPr>
        <w:spacing w:line="240" w:lineRule="auto" w:before="1"/>
        <w:rPr>
          <w:rFonts w:ascii="宋体" w:hAnsi="宋体" w:cs="宋体" w:eastAsia="宋体" w:hint="default"/>
          <w:sz w:val="18"/>
          <w:szCs w:val="18"/>
        </w:rPr>
      </w:pPr>
    </w:p>
    <w:p>
      <w:pPr>
        <w:pStyle w:val="Heading2"/>
        <w:spacing w:line="240" w:lineRule="auto" w:before="26"/>
        <w:ind w:left="972" w:right="0"/>
        <w:jc w:val="both"/>
        <w:rPr>
          <w:b w:val="0"/>
          <w:bCs w:val="0"/>
        </w:rPr>
      </w:pPr>
      <w:r>
        <w:rPr/>
        <w:t>三、公司基本情况</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1333" w:right="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公司概况</w:t>
      </w:r>
      <w:r>
        <w:rPr>
          <w:w w:val="99"/>
        </w:rPr>
        <w:t> </w:t>
      </w:r>
      <w:r>
        <w:rPr>
          <w:spacing w:val="-2"/>
        </w:rPr>
        <w:t>广州御银科技股份有限公司（以下简称“公司”或“本公司”）前身广州御银科技有限责任公司由杨文江、增城市御银</w:t>
      </w:r>
    </w:p>
    <w:p>
      <w:pPr>
        <w:pStyle w:val="BodyText"/>
        <w:spacing w:line="300" w:lineRule="auto" w:before="31"/>
        <w:ind w:left="972" w:right="973"/>
        <w:jc w:val="both"/>
      </w:pPr>
      <w:r>
        <w:rPr/>
        <w:t>实业有限公司共同出资组建，注册资本人民币</w:t>
      </w:r>
      <w:r>
        <w:rPr>
          <w:rFonts w:ascii="Times New Roman" w:hAnsi="Times New Roman" w:cs="Times New Roman" w:eastAsia="Times New Roman" w:hint="default"/>
        </w:rPr>
        <w:t>15,000,000.00</w:t>
      </w:r>
      <w:r>
        <w:rPr/>
        <w:t>元，于</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日取得广州市工商行政管理局核发的企业法 人营业执照（注册号为：</w:t>
      </w:r>
      <w:r>
        <w:rPr>
          <w:rFonts w:ascii="Times New Roman" w:hAnsi="Times New Roman" w:cs="Times New Roman" w:eastAsia="Times New Roman" w:hint="default"/>
        </w:rPr>
        <w:t>4401011108228</w:t>
      </w:r>
      <w:r>
        <w:rPr/>
        <w:t>），</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日工商变更登记，注册号变更为</w:t>
      </w:r>
      <w:r>
        <w:rPr>
          <w:rFonts w:ascii="Times New Roman" w:hAnsi="Times New Roman" w:cs="Times New Roman" w:eastAsia="Times New Roman" w:hint="default"/>
        </w:rPr>
        <w:t>440101000034373</w:t>
      </w:r>
      <w:r>
        <w:rPr/>
        <w:t>，公司的实际控 制人为杨文江。</w:t>
      </w:r>
    </w:p>
    <w:p>
      <w:pPr>
        <w:pStyle w:val="BodyText"/>
        <w:spacing w:line="240" w:lineRule="auto" w:before="31"/>
        <w:ind w:left="1333" w:right="0"/>
        <w:jc w:val="left"/>
      </w:pPr>
      <w:r>
        <w:rPr/>
        <w:t>公司经广州市经济委员会穗经</w:t>
      </w:r>
      <w:r>
        <w:rPr>
          <w:rFonts w:ascii="Times New Roman" w:hAnsi="Times New Roman" w:cs="Times New Roman" w:eastAsia="Times New Roman" w:hint="default"/>
        </w:rPr>
        <w:t>[2003]88</w:t>
      </w:r>
      <w:r>
        <w:rPr/>
        <w:t>号《关于同意设立广州御银科技股份有限公司的批复》批准，以公司截至</w:t>
      </w:r>
      <w:r>
        <w:rPr>
          <w:rFonts w:ascii="Times New Roman" w:hAnsi="Times New Roman" w:cs="Times New Roman" w:eastAsia="Times New Roman" w:hint="default"/>
        </w:rPr>
        <w:t>2003</w:t>
      </w:r>
      <w:r>
        <w:rPr/>
        <w:t>年</w:t>
      </w:r>
    </w:p>
    <w:p>
      <w:pPr>
        <w:pStyle w:val="BodyText"/>
        <w:spacing w:line="240" w:lineRule="auto" w:before="63"/>
        <w:ind w:left="972" w:right="0"/>
        <w:jc w:val="both"/>
      </w:pP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日经审计净资产</w:t>
      </w:r>
      <w:r>
        <w:rPr>
          <w:rFonts w:ascii="Times New Roman" w:hAnsi="Times New Roman" w:cs="Times New Roman" w:eastAsia="Times New Roman" w:hint="default"/>
        </w:rPr>
        <w:t>30,200,000.00</w:t>
      </w:r>
      <w:r>
        <w:rPr/>
        <w:t>元按</w:t>
      </w:r>
      <w:r>
        <w:rPr>
          <w:rFonts w:ascii="Times New Roman" w:hAnsi="Times New Roman" w:cs="Times New Roman" w:eastAsia="Times New Roman" w:hint="default"/>
        </w:rPr>
        <w:t>1</w:t>
      </w:r>
      <w:r>
        <w:rPr/>
        <w:t>：</w:t>
      </w:r>
      <w:r>
        <w:rPr>
          <w:rFonts w:ascii="Times New Roman" w:hAnsi="Times New Roman" w:cs="Times New Roman" w:eastAsia="Times New Roman" w:hint="default"/>
        </w:rPr>
        <w:t>1</w:t>
      </w:r>
      <w:r>
        <w:rPr/>
        <w:t>比例折股，整体变更为股份公司。改制后，公司的股本总额为</w:t>
      </w:r>
      <w:r>
        <w:rPr>
          <w:rFonts w:ascii="Times New Roman" w:hAnsi="Times New Roman" w:cs="Times New Roman" w:eastAsia="Times New Roman" w:hint="default"/>
        </w:rPr>
        <w:t>30,200,000.00</w:t>
      </w:r>
      <w:r>
        <w:rPr/>
        <w:t>元。</w:t>
      </w:r>
    </w:p>
    <w:p>
      <w:pPr>
        <w:pStyle w:val="BodyText"/>
        <w:spacing w:line="300" w:lineRule="auto" w:before="63"/>
        <w:ind w:left="972" w:right="971" w:firstLine="360"/>
        <w:jc w:val="both"/>
      </w:pPr>
      <w:r>
        <w:rPr>
          <w:rFonts w:ascii="Times New Roman" w:hAnsi="Times New Roman" w:cs="Times New Roman" w:eastAsia="Times New Roman" w:hint="default"/>
        </w:rPr>
        <w:t>2006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日，发行人召开</w:t>
      </w:r>
      <w:r>
        <w:rPr>
          <w:rFonts w:ascii="Times New Roman" w:hAnsi="Times New Roman" w:cs="Times New Roman" w:eastAsia="Times New Roman" w:hint="default"/>
        </w:rPr>
        <w:t>2005</w:t>
      </w:r>
      <w:r>
        <w:rPr/>
        <w:t>年度股东大会，审议通过了</w:t>
      </w:r>
      <w:r>
        <w:rPr>
          <w:rFonts w:ascii="Times New Roman" w:hAnsi="Times New Roman" w:cs="Times New Roman" w:eastAsia="Times New Roman" w:hint="default"/>
        </w:rPr>
        <w:t>2005</w:t>
      </w:r>
      <w:r>
        <w:rPr/>
        <w:t>年度利润分配方案，决定以</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日股份公司 </w:t>
      </w:r>
      <w:r>
        <w:rPr>
          <w:spacing w:val="-1"/>
        </w:rPr>
        <w:t>总股本</w:t>
      </w:r>
      <w:r>
        <w:rPr>
          <w:rFonts w:ascii="Times New Roman" w:hAnsi="Times New Roman" w:cs="Times New Roman" w:eastAsia="Times New Roman" w:hint="default"/>
          <w:spacing w:val="-1"/>
        </w:rPr>
        <w:t>30,200,000</w:t>
      </w:r>
      <w:r>
        <w:rPr>
          <w:spacing w:val="-1"/>
        </w:rPr>
        <w:t>股为基数，向全体股东每</w:t>
      </w:r>
      <w:r>
        <w:rPr>
          <w:rFonts w:ascii="Times New Roman" w:hAnsi="Times New Roman" w:cs="Times New Roman" w:eastAsia="Times New Roman" w:hint="default"/>
          <w:spacing w:val="-1"/>
        </w:rPr>
        <w:t>10</w:t>
      </w:r>
      <w:r>
        <w:rPr>
          <w:spacing w:val="-1"/>
        </w:rPr>
        <w:t>股送股票红利</w:t>
      </w:r>
      <w:r>
        <w:rPr>
          <w:rFonts w:ascii="Times New Roman" w:hAnsi="Times New Roman" w:cs="Times New Roman" w:eastAsia="Times New Roman" w:hint="default"/>
          <w:spacing w:val="-1"/>
        </w:rPr>
        <w:t>6.56</w:t>
      </w:r>
      <w:r>
        <w:rPr>
          <w:spacing w:val="-1"/>
        </w:rPr>
        <w:t>股，共向股东派送股票股利</w:t>
      </w:r>
      <w:r>
        <w:rPr>
          <w:rFonts w:ascii="Times New Roman" w:hAnsi="Times New Roman" w:cs="Times New Roman" w:eastAsia="Times New Roman" w:hint="default"/>
          <w:spacing w:val="-1"/>
        </w:rPr>
        <w:t>19,811,200</w:t>
      </w:r>
      <w:r>
        <w:rPr>
          <w:spacing w:val="-1"/>
        </w:rPr>
        <w:t>股，本次利润分配完成</w:t>
      </w:r>
      <w:r>
        <w:rPr>
          <w:spacing w:val="-73"/>
        </w:rPr>
        <w:t> </w:t>
      </w:r>
      <w:r>
        <w:rPr>
          <w:spacing w:val="-73"/>
        </w:rPr>
      </w:r>
      <w:r>
        <w:rPr/>
        <w:t>后，公司的股本总额为</w:t>
      </w:r>
      <w:r>
        <w:rPr>
          <w:rFonts w:ascii="Times New Roman" w:hAnsi="Times New Roman" w:cs="Times New Roman" w:eastAsia="Times New Roman" w:hint="default"/>
        </w:rPr>
        <w:t>50,011,200.00</w:t>
      </w:r>
      <w:r>
        <w:rPr/>
        <w:t>元。</w:t>
      </w:r>
    </w:p>
    <w:p>
      <w:pPr>
        <w:pStyle w:val="BodyText"/>
        <w:spacing w:line="300" w:lineRule="auto" w:before="13"/>
        <w:ind w:left="972" w:right="968" w:firstLine="360"/>
        <w:jc w:val="both"/>
      </w:pP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日，发行人召开</w:t>
      </w:r>
      <w:r>
        <w:rPr>
          <w:rFonts w:ascii="Times New Roman" w:hAnsi="Times New Roman" w:cs="Times New Roman" w:eastAsia="Times New Roman" w:hint="default"/>
        </w:rPr>
        <w:t>2006</w:t>
      </w:r>
      <w:r>
        <w:rPr/>
        <w:t>年第二次临时股东大会，审议通过了《关于增资扩股议案》，同意公司以每股</w:t>
      </w:r>
      <w:r>
        <w:rPr>
          <w:rFonts w:ascii="Times New Roman" w:hAnsi="Times New Roman" w:cs="Times New Roman" w:eastAsia="Times New Roman" w:hint="default"/>
        </w:rPr>
        <w:t>2.88</w:t>
      </w:r>
      <w:r>
        <w:rPr>
          <w:rFonts w:ascii="Times New Roman" w:hAnsi="Times New Roman" w:cs="Times New Roman" w:eastAsia="Times New Roman" w:hint="default"/>
          <w:spacing w:val="7"/>
        </w:rPr>
        <w:t> </w:t>
      </w:r>
      <w:r>
        <w:rPr/>
        <w:t>元 的发行价格，增发</w:t>
      </w:r>
      <w:r>
        <w:rPr>
          <w:rFonts w:ascii="Times New Roman" w:hAnsi="Times New Roman" w:cs="Times New Roman" w:eastAsia="Times New Roman" w:hint="default"/>
        </w:rPr>
        <w:t>5,556,800</w:t>
      </w:r>
      <w:r>
        <w:rPr/>
        <w:t>股新股。本次增资扩股后股本总额为</w:t>
      </w:r>
      <w:r>
        <w:rPr>
          <w:rFonts w:ascii="Times New Roman" w:hAnsi="Times New Roman" w:cs="Times New Roman" w:eastAsia="Times New Roman" w:hint="default"/>
        </w:rPr>
        <w:t>55,568,000.00</w:t>
      </w:r>
      <w:r>
        <w:rPr/>
        <w:t>元。</w:t>
      </w:r>
    </w:p>
    <w:p>
      <w:pPr>
        <w:pStyle w:val="BodyText"/>
        <w:spacing w:line="240" w:lineRule="auto" w:before="13"/>
        <w:ind w:left="1333" w:right="0"/>
        <w:jc w:val="left"/>
      </w:pPr>
      <w:r>
        <w:rPr/>
        <w:t>经中国证券监督管理委员会以证监发行字</w:t>
      </w:r>
      <w:r>
        <w:rPr>
          <w:rFonts w:ascii="Times New Roman" w:hAnsi="Times New Roman" w:cs="Times New Roman" w:eastAsia="Times New Roman" w:hint="default"/>
        </w:rPr>
        <w:t>[2007]</w:t>
      </w:r>
      <w:r>
        <w:rPr/>
        <w:t>号</w:t>
      </w:r>
      <w:r>
        <w:rPr>
          <w:rFonts w:ascii="Times New Roman" w:hAnsi="Times New Roman" w:cs="Times New Roman" w:eastAsia="Times New Roman" w:hint="default"/>
        </w:rPr>
        <w:t>350</w:t>
      </w:r>
      <w:r>
        <w:rPr/>
        <w:t>文核准，于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22</w:t>
      </w:r>
      <w:r>
        <w:rPr/>
        <w:t>日发行</w:t>
      </w:r>
      <w:r>
        <w:rPr>
          <w:rFonts w:ascii="Times New Roman" w:hAnsi="Times New Roman" w:cs="Times New Roman" w:eastAsia="Times New Roman" w:hint="default"/>
        </w:rPr>
        <w:t>19,000,000</w:t>
      </w:r>
      <w:r>
        <w:rPr/>
        <w:t>股，本公司股票已于</w:t>
      </w:r>
    </w:p>
    <w:p>
      <w:pPr>
        <w:pStyle w:val="BodyText"/>
        <w:spacing w:line="300" w:lineRule="auto" w:before="63"/>
        <w:ind w:left="1333" w:right="5374" w:hanging="361"/>
        <w:jc w:val="left"/>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月在深圳证券交易所上市，所属行业为专用设备制造业。 截止</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日公司的股本总额为</w:t>
      </w:r>
      <w:r>
        <w:rPr>
          <w:rFonts w:ascii="Times New Roman" w:hAnsi="Times New Roman" w:cs="Times New Roman" w:eastAsia="Times New Roman" w:hint="default"/>
        </w:rPr>
        <w:t>74,568,000.00</w:t>
      </w:r>
      <w:r>
        <w:rPr/>
        <w:t>元。</w:t>
      </w:r>
    </w:p>
    <w:p>
      <w:pPr>
        <w:pStyle w:val="BodyText"/>
        <w:spacing w:line="300" w:lineRule="auto" w:before="13"/>
        <w:ind w:left="972" w:right="875" w:firstLine="360"/>
        <w:jc w:val="both"/>
      </w:pP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10</w:t>
      </w:r>
      <w:r>
        <w:rPr>
          <w:spacing w:val="-2"/>
        </w:rPr>
        <w:t>日通过股东大会决议</w:t>
      </w:r>
      <w:r>
        <w:rPr>
          <w:rFonts w:ascii="Times New Roman" w:hAnsi="Times New Roman" w:cs="Times New Roman" w:eastAsia="Times New Roman" w:hint="default"/>
          <w:spacing w:val="-2"/>
        </w:rPr>
        <w:t>:</w:t>
      </w:r>
      <w:r>
        <w:rPr>
          <w:spacing w:val="-2"/>
        </w:rPr>
        <w:t>资本公积转增股本方案</w:t>
      </w:r>
      <w:r>
        <w:rPr>
          <w:rFonts w:ascii="Times New Roman" w:hAnsi="Times New Roman" w:cs="Times New Roman" w:eastAsia="Times New Roman" w:hint="default"/>
          <w:spacing w:val="-2"/>
        </w:rPr>
        <w:t>,</w:t>
      </w:r>
      <w:r>
        <w:rPr>
          <w:spacing w:val="-2"/>
        </w:rPr>
        <w:t>以</w:t>
      </w:r>
      <w:r>
        <w:rPr>
          <w:rFonts w:ascii="Times New Roman" w:hAnsi="Times New Roman" w:cs="Times New Roman" w:eastAsia="Times New Roman" w:hint="default"/>
          <w:spacing w:val="-2"/>
        </w:rPr>
        <w:t>2007</w:t>
      </w:r>
      <w:r>
        <w:rPr>
          <w:spacing w:val="-2"/>
        </w:rPr>
        <w:t>年末公司总股本</w:t>
      </w:r>
      <w:r>
        <w:rPr>
          <w:rFonts w:ascii="Times New Roman" w:hAnsi="Times New Roman" w:cs="Times New Roman" w:eastAsia="Times New Roman" w:hint="default"/>
          <w:spacing w:val="-2"/>
        </w:rPr>
        <w:t>74,568,000</w:t>
      </w:r>
      <w:r>
        <w:rPr>
          <w:spacing w:val="-2"/>
        </w:rPr>
        <w:t>股为基数，每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w:t>
      </w:r>
      <w:r>
        <w:rPr/>
        <w:t> 截止</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日公司的股本总额为</w:t>
      </w:r>
      <w:r>
        <w:rPr>
          <w:rFonts w:ascii="Times New Roman" w:hAnsi="Times New Roman" w:cs="Times New Roman" w:eastAsia="Times New Roman" w:hint="default"/>
        </w:rPr>
        <w:t>149,136,000.00</w:t>
      </w:r>
      <w:r>
        <w:rPr/>
        <w:t>元。</w:t>
      </w:r>
    </w:p>
    <w:p>
      <w:pPr>
        <w:pStyle w:val="BodyText"/>
        <w:spacing w:line="300" w:lineRule="auto" w:before="13"/>
        <w:ind w:left="972" w:right="973" w:firstLine="360"/>
        <w:jc w:val="both"/>
      </w:pPr>
      <w:r>
        <w:rPr/>
        <w:t>经公司</w:t>
      </w:r>
      <w:r>
        <w:rPr>
          <w:rFonts w:ascii="Times New Roman" w:hAnsi="Times New Roman" w:cs="Times New Roman" w:eastAsia="Times New Roman" w:hint="default"/>
        </w:rPr>
        <w:t>2008</w:t>
      </w:r>
      <w:r>
        <w:rPr/>
        <w:t>年度股东大会审议通过，以</w:t>
      </w:r>
      <w:r>
        <w:rPr>
          <w:rFonts w:ascii="Times New Roman" w:hAnsi="Times New Roman" w:cs="Times New Roman" w:eastAsia="Times New Roman" w:hint="default"/>
        </w:rPr>
        <w:t>2008</w:t>
      </w:r>
      <w:r>
        <w:rPr/>
        <w:t>年年末总股本</w:t>
      </w:r>
      <w:r>
        <w:rPr>
          <w:rFonts w:ascii="Times New Roman" w:hAnsi="Times New Roman" w:cs="Times New Roman" w:eastAsia="Times New Roman" w:hint="default"/>
        </w:rPr>
        <w:t>149,136,000</w:t>
      </w:r>
      <w:r>
        <w:rPr/>
        <w:t>股为基数向全体股东按每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股的比例转增 股本，送转完成后公司总股本增至 </w:t>
      </w:r>
      <w:r>
        <w:rPr>
          <w:rFonts w:ascii="Times New Roman" w:hAnsi="Times New Roman" w:cs="Times New Roman" w:eastAsia="Times New Roman" w:hint="default"/>
        </w:rPr>
        <w:t>223,704,000</w:t>
      </w:r>
      <w:r>
        <w:rPr>
          <w:rFonts w:ascii="Times New Roman" w:hAnsi="Times New Roman" w:cs="Times New Roman" w:eastAsia="Times New Roman" w:hint="default"/>
          <w:spacing w:val="43"/>
        </w:rPr>
        <w:t> </w:t>
      </w:r>
      <w:r>
        <w:rPr/>
        <w:t>股。资本公积金转增股本的方案已于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w:t>
      </w:r>
      <w:r>
        <w:rPr/>
        <w:t>日实施。</w:t>
      </w:r>
    </w:p>
    <w:p>
      <w:pPr>
        <w:pStyle w:val="BodyText"/>
        <w:spacing w:line="300" w:lineRule="auto" w:before="13"/>
        <w:ind w:left="972" w:right="969" w:firstLine="360"/>
        <w:jc w:val="both"/>
      </w:pPr>
      <w:r>
        <w:rPr>
          <w:spacing w:val="-1"/>
        </w:rPr>
        <w:t>经中国证券监督管理委员会证监许可</w:t>
      </w:r>
      <w:r>
        <w:rPr>
          <w:rFonts w:ascii="Times New Roman" w:hAnsi="Times New Roman" w:cs="Times New Roman" w:eastAsia="Times New Roman" w:hint="default"/>
          <w:spacing w:val="-1"/>
        </w:rPr>
        <w:t>[2009]962</w:t>
      </w:r>
      <w:r>
        <w:rPr>
          <w:spacing w:val="-1"/>
        </w:rPr>
        <w:t>号文核准，公司于</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13</w:t>
      </w:r>
      <w:r>
        <w:rPr>
          <w:spacing w:val="-1"/>
        </w:rPr>
        <w:t>日以非公开发行股票的方式向</w:t>
      </w:r>
      <w:r>
        <w:rPr>
          <w:rFonts w:ascii="Times New Roman" w:hAnsi="Times New Roman" w:cs="Times New Roman" w:eastAsia="Times New Roman" w:hint="default"/>
          <w:spacing w:val="-1"/>
        </w:rPr>
        <w:t>7</w:t>
      </w:r>
      <w:r>
        <w:rPr>
          <w:spacing w:val="-1"/>
        </w:rPr>
        <w:t>家特定投</w:t>
      </w:r>
      <w:r>
        <w:rPr/>
        <w:t> </w:t>
      </w:r>
      <w:r>
        <w:rPr>
          <w:spacing w:val="-1"/>
        </w:rPr>
        <w:t>资者发行了</w:t>
      </w:r>
      <w:r>
        <w:rPr>
          <w:rFonts w:ascii="Times New Roman" w:hAnsi="Times New Roman" w:cs="Times New Roman" w:eastAsia="Times New Roman" w:hint="default"/>
          <w:spacing w:val="-1"/>
        </w:rPr>
        <w:t>41,242,500</w:t>
      </w:r>
      <w:r>
        <w:rPr>
          <w:spacing w:val="-1"/>
        </w:rPr>
        <w:t>股人民币普通股（</w:t>
      </w:r>
      <w:r>
        <w:rPr>
          <w:rFonts w:ascii="Times New Roman" w:hAnsi="Times New Roman" w:cs="Times New Roman" w:eastAsia="Times New Roman" w:hint="default"/>
          <w:spacing w:val="-1"/>
        </w:rPr>
        <w:t>A</w:t>
      </w:r>
      <w:r>
        <w:rPr>
          <w:spacing w:val="-1"/>
        </w:rPr>
        <w:t>股），发行价为人民币</w:t>
      </w:r>
      <w:r>
        <w:rPr>
          <w:rFonts w:ascii="Times New Roman" w:hAnsi="Times New Roman" w:cs="Times New Roman" w:eastAsia="Times New Roman" w:hint="default"/>
          <w:spacing w:val="-1"/>
        </w:rPr>
        <w:t>12.00</w:t>
      </w:r>
      <w:r>
        <w:rPr>
          <w:spacing w:val="-1"/>
        </w:rPr>
        <w:t>元</w:t>
      </w:r>
      <w:r>
        <w:rPr>
          <w:rFonts w:ascii="Times New Roman" w:hAnsi="Times New Roman" w:cs="Times New Roman" w:eastAsia="Times New Roman" w:hint="default"/>
          <w:spacing w:val="-1"/>
        </w:rPr>
        <w:t>/</w:t>
      </w:r>
      <w:r>
        <w:rPr>
          <w:spacing w:val="-1"/>
        </w:rPr>
        <w:t>股。经深圳证券交易所同意，公司非公开发行的股</w:t>
      </w:r>
      <w:r>
        <w:rPr>
          <w:spacing w:val="-71"/>
        </w:rPr>
        <w:t> </w:t>
      </w:r>
      <w:r>
        <w:rPr>
          <w:spacing w:val="-71"/>
        </w:rPr>
      </w:r>
      <w:r>
        <w:rPr>
          <w:spacing w:val="-2"/>
        </w:rPr>
        <w:t>票于</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30</w:t>
      </w:r>
      <w:r>
        <w:rPr>
          <w:spacing w:val="-2"/>
        </w:rPr>
        <w:t>日在深圳证券交易所挂牌上市。非公开发行后公司总股本增至</w:t>
      </w:r>
      <w:r>
        <w:rPr>
          <w:rFonts w:ascii="Times New Roman" w:hAnsi="Times New Roman" w:cs="Times New Roman" w:eastAsia="Times New Roman" w:hint="default"/>
          <w:spacing w:val="-2"/>
        </w:rPr>
        <w:t>264,946,500</w:t>
      </w:r>
      <w:r>
        <w:rPr>
          <w:spacing w:val="-2"/>
        </w:rPr>
        <w:t>股。截止</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日公司的</w:t>
      </w:r>
      <w:r>
        <w:rPr>
          <w:spacing w:val="-48"/>
        </w:rPr>
        <w:t> </w:t>
      </w:r>
      <w:r>
        <w:rPr>
          <w:spacing w:val="-48"/>
        </w:rPr>
      </w:r>
      <w:r>
        <w:rPr/>
        <w:t>股本总额为</w:t>
      </w:r>
      <w:r>
        <w:rPr>
          <w:rFonts w:ascii="Times New Roman" w:hAnsi="Times New Roman" w:cs="Times New Roman" w:eastAsia="Times New Roman" w:hint="default"/>
        </w:rPr>
        <w:t>264,946,500.00</w:t>
      </w:r>
      <w:r>
        <w:rPr/>
        <w:t>元。</w:t>
      </w:r>
    </w:p>
    <w:p>
      <w:pPr>
        <w:pStyle w:val="BodyText"/>
        <w:spacing w:line="240" w:lineRule="auto" w:before="13"/>
        <w:ind w:left="1333" w:right="0"/>
        <w:jc w:val="left"/>
      </w:pPr>
      <w:r>
        <w:rPr/>
        <w:t>经公司</w:t>
      </w:r>
      <w:r>
        <w:rPr>
          <w:rFonts w:ascii="Times New Roman" w:hAnsi="Times New Roman" w:cs="Times New Roman" w:eastAsia="Times New Roman" w:hint="default"/>
        </w:rPr>
        <w:t>2010</w:t>
      </w:r>
      <w:r>
        <w:rPr/>
        <w:t>年度股东大会审议通过，以</w:t>
      </w:r>
      <w:r>
        <w:rPr>
          <w:rFonts w:ascii="Times New Roman" w:hAnsi="Times New Roman" w:cs="Times New Roman" w:eastAsia="Times New Roman" w:hint="default"/>
        </w:rPr>
        <w:t>2010</w:t>
      </w:r>
      <w:r>
        <w:rPr/>
        <w:t>年年末总股本</w:t>
      </w:r>
      <w:r>
        <w:rPr>
          <w:rFonts w:ascii="Times New Roman" w:hAnsi="Times New Roman" w:cs="Times New Roman" w:eastAsia="Times New Roman" w:hint="default"/>
        </w:rPr>
        <w:t>26,494.65</w:t>
      </w:r>
      <w:r>
        <w:rPr/>
        <w:t>万股为基数，向全体股东以资本公积金按每</w:t>
      </w:r>
      <w:r>
        <w:rPr>
          <w:rFonts w:ascii="Times New Roman" w:hAnsi="Times New Roman" w:cs="Times New Roman" w:eastAsia="Times New Roman" w:hint="default"/>
        </w:rPr>
        <w:t>10</w:t>
      </w:r>
      <w:r>
        <w:rPr/>
        <w:t>股转增</w:t>
      </w:r>
    </w:p>
    <w:p>
      <w:pPr>
        <w:pStyle w:val="BodyText"/>
        <w:spacing w:line="300" w:lineRule="auto" w:before="62"/>
        <w:ind w:left="1333" w:right="1054" w:hanging="361"/>
        <w:jc w:val="left"/>
      </w:pPr>
      <w:r>
        <w:rPr>
          <w:rFonts w:ascii="Times New Roman" w:hAnsi="Times New Roman" w:cs="Times New Roman" w:eastAsia="Times New Roman" w:hint="default"/>
        </w:rPr>
        <w:t>3</w:t>
      </w:r>
      <w:r>
        <w:rPr/>
        <w:t>股的比例转增股本，送转完成后，公司总股本增至</w:t>
      </w:r>
      <w:r>
        <w:rPr>
          <w:rFonts w:ascii="Times New Roman" w:hAnsi="Times New Roman" w:cs="Times New Roman" w:eastAsia="Times New Roman" w:hint="default"/>
        </w:rPr>
        <w:t>34,443.045</w:t>
      </w:r>
      <w:r>
        <w:rPr/>
        <w:t>万股。资本公积金转增股本的方案已于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7</w:t>
      </w:r>
      <w:r>
        <w:rPr/>
        <w:t>日实施。 截止</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日公司注册资本为</w:t>
      </w:r>
      <w:r>
        <w:rPr>
          <w:spacing w:val="-8"/>
        </w:rPr>
        <w:t> </w:t>
      </w:r>
      <w:r>
        <w:rPr>
          <w:rFonts w:ascii="Times New Roman" w:hAnsi="Times New Roman" w:cs="Times New Roman" w:eastAsia="Times New Roman" w:hint="default"/>
        </w:rPr>
        <w:t>344,430,450.00</w:t>
      </w:r>
      <w:r>
        <w:rPr/>
        <w:t>元。</w:t>
      </w:r>
    </w:p>
    <w:p>
      <w:pPr>
        <w:spacing w:after="0" w:line="300" w:lineRule="auto"/>
        <w:jc w:val="left"/>
        <w:sectPr>
          <w:pgSz w:w="11910" w:h="16840"/>
          <w:pgMar w:header="745" w:footer="980" w:top="1060" w:bottom="1160" w:left="160" w:right="160"/>
        </w:sectPr>
      </w:pPr>
    </w:p>
    <w:p>
      <w:pPr>
        <w:spacing w:line="240" w:lineRule="auto" w:before="9"/>
        <w:rPr>
          <w:rFonts w:ascii="宋体" w:hAnsi="宋体" w:cs="宋体" w:eastAsia="宋体" w:hint="default"/>
          <w:sz w:val="25"/>
          <w:szCs w:val="25"/>
        </w:rPr>
      </w:pPr>
    </w:p>
    <w:p>
      <w:pPr>
        <w:pStyle w:val="BodyText"/>
        <w:spacing w:line="300" w:lineRule="auto" w:before="44"/>
        <w:ind w:right="94" w:firstLine="360"/>
        <w:jc w:val="left"/>
      </w:pPr>
      <w:r>
        <w:rPr/>
        <w:t>经公司</w:t>
      </w:r>
      <w:r>
        <w:rPr>
          <w:rFonts w:ascii="Times New Roman" w:hAnsi="Times New Roman" w:cs="Times New Roman" w:eastAsia="Times New Roman" w:hint="default"/>
        </w:rPr>
        <w:t>2011</w:t>
      </w:r>
      <w:r>
        <w:rPr/>
        <w:t>年度股东大会审议通过，以</w:t>
      </w:r>
      <w:r>
        <w:rPr>
          <w:rFonts w:ascii="Times New Roman" w:hAnsi="Times New Roman" w:cs="Times New Roman" w:eastAsia="Times New Roman" w:hint="default"/>
        </w:rPr>
        <w:t>2011</w:t>
      </w:r>
      <w:r>
        <w:rPr/>
        <w:t>年年末总股本</w:t>
      </w:r>
      <w:r>
        <w:rPr>
          <w:rFonts w:ascii="Times New Roman" w:hAnsi="Times New Roman" w:cs="Times New Roman" w:eastAsia="Times New Roman" w:hint="default"/>
        </w:rPr>
        <w:t>34,443.045</w:t>
      </w:r>
      <w:r>
        <w:rPr/>
        <w:t>万股为基数，向全体股东以资本公积金按每</w:t>
      </w:r>
      <w:r>
        <w:rPr>
          <w:rFonts w:ascii="Times New Roman" w:hAnsi="Times New Roman" w:cs="Times New Roman" w:eastAsia="Times New Roman" w:hint="default"/>
        </w:rPr>
        <w:t>10</w:t>
      </w:r>
      <w:r>
        <w:rPr/>
        <w:t>股转 </w:t>
      </w:r>
      <w:r>
        <w:rPr>
          <w:spacing w:val="-2"/>
        </w:rPr>
        <w:t>增</w:t>
      </w:r>
      <w:r>
        <w:rPr>
          <w:rFonts w:ascii="Times New Roman" w:hAnsi="Times New Roman" w:cs="Times New Roman" w:eastAsia="Times New Roman" w:hint="default"/>
          <w:spacing w:val="-2"/>
        </w:rPr>
        <w:t>7</w:t>
      </w:r>
      <w:r>
        <w:rPr>
          <w:spacing w:val="-2"/>
        </w:rPr>
        <w:t>股的比例转增股本，送转完成后，公司总股本增至</w:t>
      </w:r>
      <w:r>
        <w:rPr>
          <w:rFonts w:ascii="Times New Roman" w:hAnsi="Times New Roman" w:cs="Times New Roman" w:eastAsia="Times New Roman" w:hint="default"/>
          <w:spacing w:val="-2"/>
        </w:rPr>
        <w:t>58,553.1765</w:t>
      </w:r>
      <w:r>
        <w:rPr>
          <w:spacing w:val="-2"/>
        </w:rPr>
        <w:t>万股。资本公积金转增股本的方案已于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9</w:t>
      </w:r>
      <w:r>
        <w:rPr>
          <w:spacing w:val="-2"/>
        </w:rPr>
        <w:t>日实施。</w:t>
      </w:r>
    </w:p>
    <w:p>
      <w:pPr>
        <w:pStyle w:val="BodyText"/>
        <w:spacing w:line="300" w:lineRule="auto" w:before="13"/>
        <w:ind w:left="513" w:right="94"/>
        <w:jc w:val="left"/>
      </w:pPr>
      <w:r>
        <w:rPr/>
        <w:t>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日公司注册资本为</w:t>
      </w:r>
      <w:r>
        <w:rPr>
          <w:rFonts w:ascii="Times New Roman" w:hAnsi="Times New Roman" w:cs="Times New Roman" w:eastAsia="Times New Roman" w:hint="default"/>
        </w:rPr>
        <w:t>585,531,765.00</w:t>
      </w:r>
      <w:r>
        <w:rPr/>
        <w:t>元。 </w:t>
      </w:r>
      <w:r>
        <w:rPr>
          <w:spacing w:val="-2"/>
        </w:rPr>
        <w:t>经公司</w:t>
      </w:r>
      <w:r>
        <w:rPr>
          <w:rFonts w:ascii="Times New Roman" w:hAnsi="Times New Roman" w:cs="Times New Roman" w:eastAsia="Times New Roman" w:hint="default"/>
          <w:spacing w:val="-2"/>
        </w:rPr>
        <w:t>2012</w:t>
      </w:r>
      <w:r>
        <w:rPr>
          <w:spacing w:val="-2"/>
        </w:rPr>
        <w:t>年度股东大会审议通过，以</w:t>
      </w:r>
      <w:r>
        <w:rPr>
          <w:rFonts w:ascii="Times New Roman" w:hAnsi="Times New Roman" w:cs="Times New Roman" w:eastAsia="Times New Roman" w:hint="default"/>
          <w:spacing w:val="-2"/>
        </w:rPr>
        <w:t>2012</w:t>
      </w:r>
      <w:r>
        <w:rPr>
          <w:spacing w:val="-2"/>
        </w:rPr>
        <w:t>年年末总股本</w:t>
      </w:r>
      <w:r>
        <w:rPr>
          <w:rFonts w:ascii="Times New Roman" w:hAnsi="Times New Roman" w:cs="Times New Roman" w:eastAsia="Times New Roman" w:hint="default"/>
          <w:spacing w:val="-2"/>
        </w:rPr>
        <w:t>58,553.1765</w:t>
      </w:r>
      <w:r>
        <w:rPr>
          <w:spacing w:val="-2"/>
        </w:rPr>
        <w:t>万股为基数，向全体股东以资本公积金按每</w:t>
      </w:r>
      <w:r>
        <w:rPr>
          <w:rFonts w:ascii="Times New Roman" w:hAnsi="Times New Roman" w:cs="Times New Roman" w:eastAsia="Times New Roman" w:hint="default"/>
          <w:spacing w:val="-2"/>
        </w:rPr>
        <w:t>10</w:t>
      </w:r>
      <w:r>
        <w:rPr>
          <w:spacing w:val="-2"/>
        </w:rPr>
        <w:t>股转</w:t>
      </w:r>
    </w:p>
    <w:p>
      <w:pPr>
        <w:pStyle w:val="BodyText"/>
        <w:spacing w:line="300" w:lineRule="auto" w:before="13"/>
        <w:ind w:left="513" w:right="93" w:hanging="361"/>
        <w:jc w:val="left"/>
      </w:pPr>
      <w:r>
        <w:rPr>
          <w:spacing w:val="-3"/>
        </w:rPr>
        <w:t>增</w:t>
      </w:r>
      <w:r>
        <w:rPr>
          <w:rFonts w:ascii="Times New Roman" w:hAnsi="Times New Roman" w:cs="Times New Roman" w:eastAsia="Times New Roman" w:hint="default"/>
          <w:spacing w:val="-3"/>
        </w:rPr>
        <w:t>3</w:t>
      </w:r>
      <w:r>
        <w:rPr>
          <w:spacing w:val="-3"/>
        </w:rPr>
        <w:t>股的比例转增股本，送转完成后，公司总股本增至</w:t>
      </w:r>
      <w:r>
        <w:rPr>
          <w:rFonts w:ascii="Times New Roman" w:hAnsi="Times New Roman" w:cs="Times New Roman" w:eastAsia="Times New Roman" w:hint="default"/>
          <w:spacing w:val="-3"/>
        </w:rPr>
        <w:t>76,119.1294</w:t>
      </w:r>
      <w:r>
        <w:rPr>
          <w:spacing w:val="-3"/>
        </w:rPr>
        <w:t>万股。资本公积金转增股本的方案已于</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28</w:t>
      </w:r>
      <w:r>
        <w:rPr>
          <w:spacing w:val="-3"/>
        </w:rPr>
        <w:t>日实施。</w:t>
      </w:r>
      <w:r>
        <w:rPr>
          <w:spacing w:val="-74"/>
        </w:rPr>
        <w:t> </w:t>
      </w:r>
      <w:r>
        <w:rPr>
          <w:spacing w:val="-74"/>
        </w:rPr>
      </w:r>
      <w:r>
        <w:rPr/>
        <w:t>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日公司注册资本为</w:t>
      </w:r>
      <w:r>
        <w:rPr>
          <w:rFonts w:ascii="Times New Roman" w:hAnsi="Times New Roman" w:cs="Times New Roman" w:eastAsia="Times New Roman" w:hint="default"/>
        </w:rPr>
        <w:t>761,191,294.00</w:t>
      </w:r>
      <w:r>
        <w:rPr/>
        <w:t>元。 公司属专用设备制造业，主要的经营业务包括：自动售货机、售票机、柜员机及零配件的批发；自动售货机、售票机、</w:t>
      </w:r>
    </w:p>
    <w:p>
      <w:pPr>
        <w:pStyle w:val="BodyText"/>
        <w:spacing w:line="319" w:lineRule="auto" w:before="31"/>
        <w:ind w:right="94"/>
        <w:jc w:val="left"/>
      </w:pPr>
      <w:r>
        <w:rPr>
          <w:spacing w:val="-2"/>
        </w:rPr>
        <w:t>柜员机及零配件的零售；信息系统集成服务；集成电路设计；密钥管理类设备和系统制造；安全系统监控服务；安全技术防</w:t>
      </w:r>
      <w:r>
        <w:rPr>
          <w:spacing w:val="-67"/>
        </w:rPr>
        <w:t> </w:t>
      </w:r>
      <w:r>
        <w:rPr>
          <w:spacing w:val="-67"/>
        </w:rPr>
      </w:r>
      <w:r>
        <w:rPr>
          <w:spacing w:val="-2"/>
        </w:rPr>
        <w:t>范产品制造；安全技术防范系统设计、施工、维修；安全技术防范产品批发；安全技术防范产品零售；安全智能卡类设备和</w:t>
      </w:r>
      <w:r>
        <w:rPr>
          <w:spacing w:val="-70"/>
        </w:rPr>
        <w:t> </w:t>
      </w:r>
      <w:r>
        <w:rPr>
          <w:spacing w:val="-70"/>
        </w:rPr>
      </w:r>
      <w:r>
        <w:rPr>
          <w:spacing w:val="-2"/>
        </w:rPr>
        <w:t>系统制造；受金融企业委托提供非金融业务服务；电子、通信与自动控制技术研究、开发；计算器及货币专用设备制造；计</w:t>
      </w:r>
      <w:r>
        <w:rPr>
          <w:spacing w:val="-70"/>
        </w:rPr>
        <w:t> </w:t>
      </w:r>
      <w:r>
        <w:rPr>
          <w:spacing w:val="-70"/>
        </w:rPr>
      </w:r>
      <w:r>
        <w:rPr>
          <w:spacing w:val="-4"/>
        </w:rPr>
        <w:t>算机技术开发、技术服务；计算机应用电子设备制造；计算机信息安全设备制造；信息电子技术服务；软件开发；软件批发；</w:t>
      </w:r>
      <w:r>
        <w:rPr>
          <w:spacing w:val="-44"/>
        </w:rPr>
        <w:t> </w:t>
      </w:r>
      <w:r>
        <w:rPr>
          <w:spacing w:val="-44"/>
        </w:rPr>
      </w:r>
      <w:r>
        <w:rPr>
          <w:spacing w:val="-2"/>
        </w:rPr>
        <w:t>软件零售；软件服务；软件测试服务；电子产品批发；电子产品零售；电子设备工程安装服务；电子产品设计服务；机械设</w:t>
      </w:r>
      <w:r>
        <w:rPr>
          <w:spacing w:val="-70"/>
        </w:rPr>
        <w:t> </w:t>
      </w:r>
      <w:r>
        <w:rPr>
          <w:spacing w:val="-70"/>
        </w:rPr>
      </w:r>
      <w:r>
        <w:rPr>
          <w:spacing w:val="-2"/>
        </w:rPr>
        <w:t>备租赁；工程技术咨询服务；技术进出口；货物进出口（专营专控商品除外）；自有房地产经营活动；房地产开发经营；房</w:t>
      </w:r>
      <w:r>
        <w:rPr>
          <w:spacing w:val="-65"/>
        </w:rPr>
        <w:t> </w:t>
      </w:r>
      <w:r>
        <w:rPr>
          <w:spacing w:val="-65"/>
        </w:rPr>
      </w:r>
      <w:r>
        <w:rPr/>
        <w:t>地产咨询服务；房地产中介服务；房屋租赁；场地租赁（不含仓储）；物业管理；汽车租赁；汽车援救服务；代驾服务。</w:t>
      </w:r>
    </w:p>
    <w:p>
      <w:pPr>
        <w:pStyle w:val="BodyText"/>
        <w:spacing w:line="309" w:lineRule="auto" w:before="17"/>
        <w:ind w:left="513" w:right="3873"/>
        <w:jc w:val="left"/>
      </w:pPr>
      <w:r>
        <w:rPr/>
        <w:t>主要产品为自动柜员机，报告期内生产经营良好。 公司住所：广州市天河区五山路</w:t>
      </w:r>
      <w:r>
        <w:rPr>
          <w:rFonts w:ascii="Times New Roman" w:hAnsi="Times New Roman" w:cs="Times New Roman" w:eastAsia="Times New Roman" w:hint="default"/>
        </w:rPr>
        <w:t>246</w:t>
      </w:r>
      <w:r>
        <w:rPr/>
        <w:t>、</w:t>
      </w:r>
      <w:r>
        <w:rPr>
          <w:rFonts w:ascii="Times New Roman" w:hAnsi="Times New Roman" w:cs="Times New Roman" w:eastAsia="Times New Roman" w:hint="default"/>
        </w:rPr>
        <w:t>248</w:t>
      </w:r>
      <w:r>
        <w:rPr/>
        <w:t>、</w:t>
      </w:r>
      <w:r>
        <w:rPr>
          <w:rFonts w:ascii="Times New Roman" w:hAnsi="Times New Roman" w:cs="Times New Roman" w:eastAsia="Times New Roman" w:hint="default"/>
        </w:rPr>
        <w:t>250</w:t>
      </w:r>
      <w:r>
        <w:rPr/>
        <w:t>号</w:t>
      </w:r>
      <w:r>
        <w:rPr>
          <w:rFonts w:ascii="Times New Roman" w:hAnsi="Times New Roman" w:cs="Times New Roman" w:eastAsia="Times New Roman" w:hint="default"/>
        </w:rPr>
        <w:t>2602</w:t>
      </w:r>
      <w:r>
        <w:rPr/>
        <w:t>房自编</w:t>
      </w:r>
      <w:r>
        <w:rPr>
          <w:rFonts w:ascii="Times New Roman" w:hAnsi="Times New Roman" w:cs="Times New Roman" w:eastAsia="Times New Roman" w:hint="default"/>
        </w:rPr>
        <w:t>04</w:t>
      </w:r>
      <w:r>
        <w:rPr/>
        <w:t>、</w:t>
      </w:r>
      <w:r>
        <w:rPr>
          <w:rFonts w:ascii="Times New Roman" w:hAnsi="Times New Roman" w:cs="Times New Roman" w:eastAsia="Times New Roman" w:hint="default"/>
        </w:rPr>
        <w:t>05</w:t>
      </w:r>
      <w:r>
        <w:rPr/>
        <w:t>。 公司法定代表人：杨文江。 本财务报表业经公司全体董事（董事会）于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04</w:t>
      </w:r>
      <w:r>
        <w:rPr/>
        <w:t>月</w:t>
      </w:r>
      <w:r>
        <w:rPr>
          <w:rFonts w:ascii="Times New Roman" w:hAnsi="Times New Roman" w:cs="Times New Roman" w:eastAsia="Times New Roman" w:hint="default"/>
        </w:rPr>
        <w:t>28</w:t>
      </w:r>
      <w:r>
        <w:rPr/>
        <w:t>日批准报出。 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日止，本公司合并财务报表范围内子公司如下：</w:t>
      </w:r>
    </w:p>
    <w:tbl>
      <w:tblPr>
        <w:tblW w:w="0" w:type="auto"/>
        <w:jc w:val="left"/>
        <w:tblInd w:w="770" w:type="dxa"/>
        <w:tblLayout w:type="fixed"/>
        <w:tblCellMar>
          <w:top w:w="0" w:type="dxa"/>
          <w:left w:w="0" w:type="dxa"/>
          <w:bottom w:w="0" w:type="dxa"/>
          <w:right w:w="0" w:type="dxa"/>
        </w:tblCellMar>
        <w:tblLook w:val="01E0"/>
      </w:tblPr>
      <w:tblGrid>
        <w:gridCol w:w="7770"/>
      </w:tblGrid>
      <w:tr>
        <w:trPr>
          <w:trHeight w:val="355" w:hRule="exact"/>
        </w:trPr>
        <w:tc>
          <w:tcPr>
            <w:tcW w:w="7770" w:type="dxa"/>
            <w:tcBorders>
              <w:top w:val="single" w:sz="6" w:space="0" w:color="000000"/>
              <w:left w:val="nil" w:sz="6" w:space="0" w:color="auto"/>
              <w:bottom w:val="single" w:sz="12" w:space="0" w:color="000000"/>
              <w:right w:val="nil" w:sz="6" w:space="0" w:color="auto"/>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350" w:hRule="exact"/>
        </w:trPr>
        <w:tc>
          <w:tcPr>
            <w:tcW w:w="77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
              <w:ind w:left="9" w:right="0"/>
              <w:jc w:val="left"/>
              <w:rPr>
                <w:rFonts w:ascii="宋体" w:hAnsi="宋体" w:cs="宋体" w:eastAsia="宋体" w:hint="default"/>
                <w:sz w:val="18"/>
                <w:szCs w:val="18"/>
              </w:rPr>
            </w:pPr>
            <w:r>
              <w:rPr>
                <w:rFonts w:ascii="宋体" w:hAnsi="宋体" w:cs="宋体" w:eastAsia="宋体" w:hint="default"/>
                <w:sz w:val="18"/>
                <w:szCs w:val="18"/>
              </w:rPr>
              <w:t>广州御新软件有限公司</w:t>
            </w:r>
          </w:p>
        </w:tc>
      </w:tr>
      <w:tr>
        <w:trPr>
          <w:trHeight w:val="353" w:hRule="exact"/>
        </w:trPr>
        <w:tc>
          <w:tcPr>
            <w:tcW w:w="77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7"/>
              <w:ind w:left="9" w:right="0"/>
              <w:jc w:val="left"/>
              <w:rPr>
                <w:rFonts w:ascii="宋体" w:hAnsi="宋体" w:cs="宋体" w:eastAsia="宋体" w:hint="default"/>
                <w:sz w:val="18"/>
                <w:szCs w:val="18"/>
              </w:rPr>
            </w:pPr>
            <w:r>
              <w:rPr>
                <w:rFonts w:ascii="宋体" w:hAnsi="宋体" w:cs="宋体" w:eastAsia="宋体" w:hint="default"/>
                <w:sz w:val="18"/>
                <w:szCs w:val="18"/>
              </w:rPr>
              <w:t>广州御银自动柜员机技术有限公司</w:t>
            </w:r>
          </w:p>
        </w:tc>
      </w:tr>
      <w:tr>
        <w:trPr>
          <w:trHeight w:val="353" w:hRule="exact"/>
        </w:trPr>
        <w:tc>
          <w:tcPr>
            <w:tcW w:w="77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
              <w:ind w:left="9" w:right="0"/>
              <w:jc w:val="left"/>
              <w:rPr>
                <w:rFonts w:ascii="宋体" w:hAnsi="宋体" w:cs="宋体" w:eastAsia="宋体" w:hint="default"/>
                <w:sz w:val="18"/>
                <w:szCs w:val="18"/>
              </w:rPr>
            </w:pPr>
            <w:r>
              <w:rPr>
                <w:rFonts w:ascii="宋体" w:hAnsi="宋体" w:cs="宋体" w:eastAsia="宋体" w:hint="default"/>
                <w:sz w:val="18"/>
                <w:szCs w:val="18"/>
              </w:rPr>
              <w:t>广州御银金融服务有限公司</w:t>
            </w:r>
          </w:p>
        </w:tc>
      </w:tr>
      <w:tr>
        <w:trPr>
          <w:trHeight w:val="350" w:hRule="exact"/>
        </w:trPr>
        <w:tc>
          <w:tcPr>
            <w:tcW w:w="77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
              <w:ind w:left="9" w:right="0"/>
              <w:jc w:val="left"/>
              <w:rPr>
                <w:rFonts w:ascii="宋体" w:hAnsi="宋体" w:cs="宋体" w:eastAsia="宋体" w:hint="default"/>
                <w:sz w:val="18"/>
                <w:szCs w:val="18"/>
              </w:rPr>
            </w:pPr>
            <w:r>
              <w:rPr>
                <w:rFonts w:ascii="宋体" w:hAnsi="宋体" w:cs="宋体" w:eastAsia="宋体" w:hint="default"/>
                <w:sz w:val="18"/>
                <w:szCs w:val="18"/>
              </w:rPr>
              <w:t>御银（中国）科技国际有限公司</w:t>
            </w:r>
          </w:p>
        </w:tc>
      </w:tr>
      <w:tr>
        <w:trPr>
          <w:trHeight w:val="353" w:hRule="exact"/>
        </w:trPr>
        <w:tc>
          <w:tcPr>
            <w:tcW w:w="77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7"/>
              <w:ind w:left="9" w:right="0"/>
              <w:jc w:val="left"/>
              <w:rPr>
                <w:rFonts w:ascii="宋体" w:hAnsi="宋体" w:cs="宋体" w:eastAsia="宋体" w:hint="default"/>
                <w:sz w:val="18"/>
                <w:szCs w:val="18"/>
              </w:rPr>
            </w:pPr>
            <w:r>
              <w:rPr>
                <w:rFonts w:ascii="宋体" w:hAnsi="宋体" w:cs="宋体" w:eastAsia="宋体" w:hint="default"/>
                <w:sz w:val="18"/>
                <w:szCs w:val="18"/>
              </w:rPr>
              <w:t>御银科技（香港）有限公司</w:t>
            </w:r>
          </w:p>
        </w:tc>
      </w:tr>
      <w:tr>
        <w:trPr>
          <w:trHeight w:val="353" w:hRule="exact"/>
        </w:trPr>
        <w:tc>
          <w:tcPr>
            <w:tcW w:w="77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
              <w:ind w:left="9" w:right="0"/>
              <w:jc w:val="left"/>
              <w:rPr>
                <w:rFonts w:ascii="宋体" w:hAnsi="宋体" w:cs="宋体" w:eastAsia="宋体" w:hint="default"/>
                <w:sz w:val="18"/>
                <w:szCs w:val="18"/>
              </w:rPr>
            </w:pPr>
            <w:r>
              <w:rPr>
                <w:rFonts w:ascii="宋体" w:hAnsi="宋体" w:cs="宋体" w:eastAsia="宋体" w:hint="default"/>
                <w:sz w:val="18"/>
                <w:szCs w:val="18"/>
              </w:rPr>
              <w:t>广州御银自动柜员机科技有限公司</w:t>
            </w:r>
          </w:p>
        </w:tc>
      </w:tr>
      <w:tr>
        <w:trPr>
          <w:trHeight w:val="350" w:hRule="exact"/>
        </w:trPr>
        <w:tc>
          <w:tcPr>
            <w:tcW w:w="77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
              <w:ind w:left="9" w:right="0"/>
              <w:jc w:val="left"/>
              <w:rPr>
                <w:rFonts w:ascii="宋体" w:hAnsi="宋体" w:cs="宋体" w:eastAsia="宋体" w:hint="default"/>
                <w:sz w:val="18"/>
                <w:szCs w:val="18"/>
              </w:rPr>
            </w:pPr>
            <w:r>
              <w:rPr>
                <w:rFonts w:ascii="宋体" w:hAnsi="宋体" w:cs="宋体" w:eastAsia="宋体" w:hint="default"/>
                <w:sz w:val="18"/>
                <w:szCs w:val="18"/>
              </w:rPr>
              <w:t>安徽御银电子科技有限公司</w:t>
            </w:r>
          </w:p>
        </w:tc>
      </w:tr>
      <w:tr>
        <w:trPr>
          <w:trHeight w:val="353" w:hRule="exact"/>
        </w:trPr>
        <w:tc>
          <w:tcPr>
            <w:tcW w:w="77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7"/>
              <w:ind w:left="9" w:right="0"/>
              <w:jc w:val="left"/>
              <w:rPr>
                <w:rFonts w:ascii="宋体" w:hAnsi="宋体" w:cs="宋体" w:eastAsia="宋体" w:hint="default"/>
                <w:sz w:val="18"/>
                <w:szCs w:val="18"/>
              </w:rPr>
            </w:pPr>
            <w:r>
              <w:rPr>
                <w:rFonts w:ascii="宋体" w:hAnsi="宋体" w:cs="宋体" w:eastAsia="宋体" w:hint="default"/>
                <w:sz w:val="18"/>
                <w:szCs w:val="18"/>
              </w:rPr>
              <w:t>北京青年御银科技有限责任公司</w:t>
            </w:r>
          </w:p>
        </w:tc>
      </w:tr>
      <w:tr>
        <w:trPr>
          <w:trHeight w:val="353" w:hRule="exact"/>
        </w:trPr>
        <w:tc>
          <w:tcPr>
            <w:tcW w:w="77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
              <w:ind w:left="9" w:right="0"/>
              <w:jc w:val="left"/>
              <w:rPr>
                <w:rFonts w:ascii="宋体" w:hAnsi="宋体" w:cs="宋体" w:eastAsia="宋体" w:hint="default"/>
                <w:sz w:val="18"/>
                <w:szCs w:val="18"/>
              </w:rPr>
            </w:pPr>
            <w:r>
              <w:rPr>
                <w:rFonts w:ascii="宋体" w:hAnsi="宋体" w:cs="宋体" w:eastAsia="宋体" w:hint="default"/>
                <w:sz w:val="18"/>
                <w:szCs w:val="18"/>
              </w:rPr>
              <w:t>广州御银信息科技有限公司</w:t>
            </w:r>
          </w:p>
        </w:tc>
      </w:tr>
    </w:tbl>
    <w:p>
      <w:pPr>
        <w:pStyle w:val="BodyText"/>
        <w:spacing w:line="240" w:lineRule="auto" w:before="5"/>
        <w:ind w:left="513" w:right="94"/>
        <w:jc w:val="left"/>
      </w:pPr>
      <w:r>
        <w:rPr/>
        <w:t>本期合并财务报表范围及其变化情况详见本财务报告“八、合并范围的变更”和“九、在其他主体中的权益”。</w:t>
      </w:r>
    </w:p>
    <w:p>
      <w:pPr>
        <w:spacing w:line="240" w:lineRule="auto" w:before="3"/>
        <w:rPr>
          <w:rFonts w:ascii="宋体" w:hAnsi="宋体" w:cs="宋体" w:eastAsia="宋体" w:hint="default"/>
          <w:sz w:val="25"/>
          <w:szCs w:val="25"/>
        </w:rPr>
      </w:pPr>
    </w:p>
    <w:p>
      <w:pPr>
        <w:pStyle w:val="Heading2"/>
        <w:spacing w:line="240" w:lineRule="auto"/>
        <w:ind w:right="94"/>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2"/>
        <w:rPr>
          <w:rFonts w:ascii="宋体" w:hAnsi="宋体" w:cs="宋体" w:eastAsia="宋体" w:hint="default"/>
          <w:b/>
          <w:bCs/>
          <w:sz w:val="26"/>
          <w:szCs w:val="26"/>
        </w:rPr>
      </w:pPr>
    </w:p>
    <w:p>
      <w:pPr>
        <w:pStyle w:val="BodyText"/>
        <w:spacing w:line="309" w:lineRule="auto"/>
        <w:ind w:right="191" w:firstLine="360"/>
        <w:jc w:val="both"/>
      </w:pPr>
      <w:r>
        <w:rPr>
          <w:spacing w:val="-2"/>
        </w:rPr>
        <w:t>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基本准则》和各项具体会</w:t>
      </w:r>
      <w:r>
        <w:rPr/>
        <w:t> </w:t>
      </w:r>
      <w:r>
        <w:rPr>
          <w:spacing w:val="-2"/>
        </w:rPr>
        <w:t>计准则、企业会计准则应用指南、企业会计准则解释及其他相关规定（以下合称“企业会计准则”），以及中国证券监督管</w:t>
      </w:r>
      <w:r>
        <w:rPr>
          <w:spacing w:val="-70"/>
        </w:rPr>
        <w:t> </w:t>
      </w:r>
      <w:r>
        <w:rPr>
          <w:spacing w:val="-70"/>
        </w:rPr>
      </w:r>
      <w:r>
        <w:rPr/>
        <w:t>理委员会《公开发行证券的公司信息披露编报规则第</w:t>
      </w:r>
      <w:r>
        <w:rPr>
          <w:rFonts w:ascii="Times New Roman" w:hAnsi="Times New Roman" w:cs="Times New Roman" w:eastAsia="Times New Roman" w:hint="default"/>
        </w:rPr>
        <w:t>15 </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财务报告的一般规定》的披露规定编制财务报表。</w:t>
      </w:r>
    </w:p>
    <w:p>
      <w:pPr>
        <w:spacing w:line="240" w:lineRule="auto" w:before="10"/>
        <w:rPr>
          <w:rFonts w:ascii="宋体" w:hAnsi="宋体" w:cs="宋体" w:eastAsia="宋体" w:hint="default"/>
          <w:sz w:val="21"/>
          <w:szCs w:val="21"/>
        </w:rPr>
      </w:pPr>
    </w:p>
    <w:p>
      <w:pPr>
        <w:pStyle w:val="Heading3"/>
        <w:spacing w:line="240" w:lineRule="auto"/>
        <w:ind w:right="94"/>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公司自报告期末起</w:t>
      </w:r>
      <w:r>
        <w:rPr>
          <w:rFonts w:ascii="Times New Roman" w:hAnsi="Times New Roman" w:cs="Times New Roman" w:eastAsia="Times New Roman" w:hint="default"/>
        </w:rPr>
        <w:t>12</w:t>
      </w:r>
      <w:r>
        <w:rPr/>
        <w:t>个月内不存在影响持续经营能力的重大因素。</w:t>
      </w:r>
    </w:p>
    <w:p>
      <w:pPr>
        <w:spacing w:after="0" w:line="240" w:lineRule="auto"/>
        <w:jc w:val="left"/>
        <w:sectPr>
          <w:pgSz w:w="11910" w:h="16840"/>
          <w:pgMar w:header="745" w:footer="980"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94"/>
        <w:jc w:val="left"/>
        <w:rPr>
          <w:b w:val="0"/>
          <w:bCs w:val="0"/>
        </w:rPr>
      </w:pP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2974"/>
        <w:jc w:val="left"/>
      </w:pPr>
      <w:r>
        <w:rPr/>
        <w:t>具体会计政策和会计估计提示： 以下披露内容已涵盖了本公司根据实际生产经营特点制定的具体会计政策和会计估计。</w:t>
      </w:r>
    </w:p>
    <w:p>
      <w:pPr>
        <w:spacing w:line="240" w:lineRule="auto" w:before="6"/>
        <w:rPr>
          <w:rFonts w:ascii="宋体" w:hAnsi="宋体" w:cs="宋体" w:eastAsia="宋体" w:hint="default"/>
          <w:sz w:val="20"/>
          <w:szCs w:val="20"/>
        </w:rPr>
      </w:pPr>
    </w:p>
    <w:p>
      <w:pPr>
        <w:pStyle w:val="Heading3"/>
        <w:spacing w:line="240" w:lineRule="auto"/>
        <w:ind w:right="94"/>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jc w:val="left"/>
      </w:pPr>
      <w:r>
        <w:rPr>
          <w:spacing w:val="-2"/>
        </w:rPr>
        <w:t>公司所编制的财务报表符合企业会计准则的要求，真实、完整地反映了报告期公司的财务状况、经营成果、现金流量等有关</w:t>
      </w:r>
      <w:r>
        <w:rPr>
          <w:spacing w:val="-65"/>
        </w:rPr>
        <w:t> </w:t>
      </w:r>
      <w:r>
        <w:rPr>
          <w:spacing w:val="-65"/>
        </w:rPr>
      </w:r>
      <w:r>
        <w:rPr/>
        <w:t>信息。</w:t>
      </w:r>
    </w:p>
    <w:p>
      <w:pPr>
        <w:spacing w:line="240" w:lineRule="auto" w:before="10"/>
        <w:rPr>
          <w:rFonts w:ascii="宋体" w:hAnsi="宋体" w:cs="宋体" w:eastAsia="宋体" w:hint="default"/>
          <w:sz w:val="22"/>
          <w:szCs w:val="22"/>
        </w:rPr>
      </w:pPr>
    </w:p>
    <w:p>
      <w:pPr>
        <w:spacing w:line="547" w:lineRule="auto" w:before="0"/>
        <w:ind w:left="152" w:right="62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spacing w:val="-104"/>
          <w:sz w:val="21"/>
          <w:szCs w:val="21"/>
        </w:rPr>
        <w:t> </w:t>
      </w:r>
      <w:r>
        <w:rPr>
          <w:rFonts w:ascii="宋体" w:hAnsi="宋体" w:cs="宋体" w:eastAsia="宋体" w:hint="default"/>
          <w:sz w:val="18"/>
          <w:szCs w:val="18"/>
        </w:rPr>
        <w:t>自公历</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日止为一个会计年度。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spacing w:line="544" w:lineRule="auto" w:before="46"/>
        <w:ind w:left="152" w:right="7114" w:firstLine="0"/>
        <w:jc w:val="left"/>
        <w:rPr>
          <w:rFonts w:ascii="宋体" w:hAnsi="宋体" w:cs="宋体" w:eastAsia="宋体" w:hint="default"/>
          <w:sz w:val="18"/>
          <w:szCs w:val="18"/>
        </w:rPr>
      </w:pPr>
      <w:r>
        <w:rPr>
          <w:rFonts w:ascii="宋体" w:hAnsi="宋体" w:cs="宋体" w:eastAsia="宋体" w:hint="default"/>
          <w:sz w:val="18"/>
          <w:szCs w:val="18"/>
        </w:rPr>
        <w:t>本公司营业周期为</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spacing w:val="-103"/>
          <w:sz w:val="21"/>
          <w:szCs w:val="21"/>
        </w:rPr>
        <w:t> </w:t>
      </w:r>
      <w:r>
        <w:rPr>
          <w:rFonts w:ascii="宋体" w:hAnsi="宋体" w:cs="宋体" w:eastAsia="宋体" w:hint="default"/>
          <w:sz w:val="18"/>
          <w:szCs w:val="18"/>
        </w:rPr>
        <w:t>本公司采用人民币为记账本位币。</w:t>
      </w:r>
    </w:p>
    <w:p>
      <w:pPr>
        <w:pStyle w:val="Heading3"/>
        <w:spacing w:line="240" w:lineRule="auto" w:before="127"/>
        <w:ind w:right="94"/>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93" w:firstLine="360"/>
        <w:jc w:val="both"/>
      </w:pPr>
      <w:r>
        <w:rPr>
          <w:spacing w:val="-2"/>
        </w:rPr>
        <w:t>同一控制下企业合并：本公司在企业合并中取得的资产和负债，按照合并日在被合并方资产、负债（包括最终控制方收</w:t>
      </w:r>
      <w:r>
        <w:rPr/>
        <w:t> </w:t>
      </w:r>
      <w:r>
        <w:rPr>
          <w:spacing w:val="-2"/>
        </w:rPr>
        <w:t>购被合并方而形成的商誉）在最终控制方合并财务报表中的账面价值计量。在合并中取得的净资产账面价值与支付的合并对</w:t>
      </w:r>
      <w:r>
        <w:rPr>
          <w:spacing w:val="-64"/>
        </w:rPr>
        <w:t> </w:t>
      </w:r>
      <w:r>
        <w:rPr>
          <w:spacing w:val="-64"/>
        </w:rPr>
      </w:r>
      <w:r>
        <w:rPr>
          <w:spacing w:val="-2"/>
        </w:rPr>
        <w:t>价账面价值（或发行股份面值总额）的差额，调整资本公积中的股本溢价，资本公积中的股本溢价不足冲减的，调整留存收</w:t>
      </w:r>
      <w:r>
        <w:rPr>
          <w:spacing w:val="-67"/>
        </w:rPr>
        <w:t> </w:t>
      </w:r>
      <w:r>
        <w:rPr>
          <w:spacing w:val="-67"/>
        </w:rPr>
      </w:r>
      <w:r>
        <w:rPr/>
        <w:t>益。</w:t>
      </w:r>
    </w:p>
    <w:p>
      <w:pPr>
        <w:pStyle w:val="BodyText"/>
        <w:spacing w:line="316" w:lineRule="auto" w:before="17"/>
        <w:ind w:right="94" w:firstLine="360"/>
        <w:jc w:val="left"/>
      </w:pPr>
      <w:r>
        <w:rPr>
          <w:spacing w:val="-2"/>
        </w:rPr>
        <w:t>非同一控制下企业合并：本公司在购买日对作为企业合并对价付出的资产、发生或承担的负债按照公允价值计量，公允</w:t>
      </w:r>
      <w:r>
        <w:rPr/>
        <w:t> </w:t>
      </w:r>
      <w:r>
        <w:rPr>
          <w:spacing w:val="-4"/>
        </w:rPr>
        <w:t>价值与其账面价值的差额，计入当期损益。本公司对合并成本大于合并中取得的被购买方可辨认净资产公允价值份额的差额，</w:t>
      </w:r>
      <w:r>
        <w:rPr>
          <w:spacing w:val="-44"/>
        </w:rPr>
        <w:t> </w:t>
      </w:r>
      <w:r>
        <w:rPr>
          <w:spacing w:val="-44"/>
        </w:rPr>
      </w:r>
      <w:r>
        <w:rPr/>
        <w:t>确认为商誉；合并成本小于合并中取得的被购买方可辨认净资产公允价值份额的差额，经复核后，计入当期损益。</w:t>
      </w:r>
    </w:p>
    <w:p>
      <w:pPr>
        <w:pStyle w:val="BodyText"/>
        <w:spacing w:line="316" w:lineRule="auto" w:before="19"/>
        <w:ind w:right="94" w:firstLine="360"/>
        <w:jc w:val="left"/>
      </w:pPr>
      <w:r>
        <w:rPr>
          <w:spacing w:val="-2"/>
        </w:rPr>
        <w:t>为企业合并发生的审计、法律服务、评估咨询等中介费用以及其他直接相关费用，于发生时计入当期损益；为企业合并</w:t>
      </w:r>
      <w:r>
        <w:rPr/>
        <w:t> 而发行权益性证券的交易费用，冲减权益。</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513" w:right="94"/>
        <w:jc w:val="left"/>
      </w:pPr>
      <w:r>
        <w:rPr>
          <w:rFonts w:ascii="Times New Roman" w:hAnsi="Times New Roman" w:cs="Times New Roman" w:eastAsia="Times New Roman" w:hint="default"/>
        </w:rPr>
        <w:t>(1)</w:t>
      </w:r>
      <w:r>
        <w:rPr/>
        <w:t>合并范围</w:t>
      </w:r>
      <w:r>
        <w:rPr>
          <w:w w:val="99"/>
        </w:rPr>
        <w:t> </w:t>
      </w:r>
      <w:r>
        <w:rPr>
          <w:spacing w:val="-2"/>
        </w:rPr>
        <w:t>本公司合并财务报表的合并范围以控制为基础确定，所有子公司（包括本公司所控制的被投资方可分割的部分）均纳入</w:t>
      </w:r>
    </w:p>
    <w:p>
      <w:pPr>
        <w:pStyle w:val="BodyText"/>
        <w:spacing w:line="240" w:lineRule="auto" w:before="32"/>
        <w:ind w:right="94"/>
        <w:jc w:val="left"/>
      </w:pPr>
      <w:r>
        <w:rPr/>
        <w:t>合并财务报表。</w:t>
      </w:r>
    </w:p>
    <w:p>
      <w:pPr>
        <w:pStyle w:val="BodyText"/>
        <w:spacing w:line="300" w:lineRule="auto" w:before="76"/>
        <w:ind w:left="513" w:right="94"/>
        <w:jc w:val="left"/>
      </w:pPr>
      <w:r>
        <w:rPr>
          <w:rFonts w:ascii="Times New Roman" w:hAnsi="Times New Roman" w:cs="Times New Roman" w:eastAsia="Times New Roman" w:hint="default"/>
        </w:rPr>
        <w:t>(2)</w:t>
      </w:r>
      <w:r>
        <w:rPr/>
        <w:t>合并程序</w:t>
      </w:r>
      <w:r>
        <w:rPr>
          <w:w w:val="99"/>
        </w:rPr>
        <w:t> </w:t>
      </w:r>
      <w:r>
        <w:rPr>
          <w:spacing w:val="-2"/>
        </w:rPr>
        <w:t>本公司以自身和各子公司的财务报表为基础，根据其他有关资料，编制合并财务报表。本公司编制合并财务报表，将整</w:t>
      </w:r>
    </w:p>
    <w:p>
      <w:pPr>
        <w:pStyle w:val="BodyText"/>
        <w:spacing w:line="316" w:lineRule="auto" w:before="31"/>
        <w:ind w:right="94"/>
        <w:jc w:val="left"/>
      </w:pPr>
      <w:r>
        <w:rPr>
          <w:spacing w:val="-2"/>
        </w:rPr>
        <w:t>个企业集团视为一个会计主体，依据相关企业会计准则的确认、计量和列报要求，按照统一的会计政策，反映本企业集团整</w:t>
      </w:r>
      <w:r>
        <w:rPr>
          <w:spacing w:val="-64"/>
        </w:rPr>
        <w:t> </w:t>
      </w:r>
      <w:r>
        <w:rPr>
          <w:spacing w:val="-64"/>
        </w:rPr>
      </w:r>
      <w:r>
        <w:rPr/>
        <w:t>体财务状况、经营成果和现金流量。</w:t>
      </w:r>
    </w:p>
    <w:p>
      <w:pPr>
        <w:pStyle w:val="BodyText"/>
        <w:spacing w:line="316" w:lineRule="auto" w:before="18"/>
        <w:ind w:right="94" w:firstLine="360"/>
        <w:jc w:val="left"/>
      </w:pPr>
      <w:r>
        <w:rPr>
          <w:spacing w:val="-2"/>
        </w:rPr>
        <w:t>所有纳入合并财务报表合并范围的子公司所采用的会计政策、会计期间与本公司一致，如子公司采用的会计政策、会计</w:t>
      </w:r>
      <w:r>
        <w:rPr/>
        <w:t> </w:t>
      </w:r>
      <w:r>
        <w:rPr>
          <w:spacing w:val="-2"/>
        </w:rPr>
        <w:t>期间与本公司不一致的，在编制合并财务报表时，按本公司的会计政策、会计期间进行必要的调整。对于非同一控制下企业</w:t>
      </w:r>
    </w:p>
    <w:p>
      <w:pPr>
        <w:spacing w:after="0" w:line="316"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94"/>
        <w:jc w:val="left"/>
      </w:pPr>
      <w:r>
        <w:rPr>
          <w:spacing w:val="-4"/>
        </w:rPr>
        <w:t>合并取得的子公司，以购买日可辨认净资产公允价值为基础对其财务报表进行调整。对于同一控制下企业合并取得的子公司，</w:t>
      </w:r>
      <w:r>
        <w:rPr>
          <w:spacing w:val="-44"/>
        </w:rPr>
        <w:t> </w:t>
      </w:r>
      <w:r>
        <w:rPr>
          <w:spacing w:val="-44"/>
        </w:rPr>
      </w:r>
      <w:r>
        <w:rPr>
          <w:spacing w:val="-2"/>
        </w:rPr>
        <w:t>以其资产、负债（包括最终控制方收购该子公司而形成的商誉）在最终控制方财务报表中的账面价值为基础对其财务报表进</w:t>
      </w:r>
      <w:r>
        <w:rPr>
          <w:spacing w:val="-66"/>
        </w:rPr>
        <w:t> </w:t>
      </w:r>
      <w:r>
        <w:rPr>
          <w:spacing w:val="-66"/>
        </w:rPr>
      </w:r>
      <w:r>
        <w:rPr/>
        <w:t>行调整。</w:t>
      </w:r>
    </w:p>
    <w:p>
      <w:pPr>
        <w:pStyle w:val="BodyText"/>
        <w:spacing w:line="316" w:lineRule="auto" w:before="17"/>
        <w:ind w:right="192" w:firstLine="360"/>
        <w:jc w:val="both"/>
      </w:pPr>
      <w:r>
        <w:rPr>
          <w:spacing w:val="-2"/>
        </w:rPr>
        <w:t>子公司所有者权益、当期净损益和当期综合收益中属于少数股东的份额分别在合并资产负债表中所有者权益项目下、合</w:t>
      </w:r>
      <w:r>
        <w:rPr/>
        <w:t> </w:t>
      </w:r>
      <w:r>
        <w:rPr>
          <w:spacing w:val="-2"/>
        </w:rPr>
        <w:t>并利润表中净利润项目下和综合收益总额项目下单独列示。子公司少数股东分担的当期亏损超过了少数股东在该子公司期初</w:t>
      </w:r>
      <w:r>
        <w:rPr>
          <w:spacing w:val="-64"/>
        </w:rPr>
        <w:t> </w:t>
      </w:r>
      <w:r>
        <w:rPr>
          <w:spacing w:val="-64"/>
        </w:rPr>
      </w:r>
      <w:r>
        <w:rPr/>
        <w:t>所有者权益中所享有份额而形成的余额，冲减少数股东权益。</w:t>
      </w:r>
    </w:p>
    <w:p>
      <w:pPr>
        <w:pStyle w:val="BodyText"/>
        <w:spacing w:line="316" w:lineRule="auto" w:before="19"/>
        <w:ind w:left="513" w:right="94"/>
        <w:jc w:val="left"/>
      </w:pPr>
      <w:r>
        <w:rPr/>
        <w:t>①增加子公司或业务 </w:t>
      </w:r>
      <w:r>
        <w:rPr>
          <w:spacing w:val="-2"/>
        </w:rPr>
        <w:t>在报告期内，若因同一控制下企业合并增加子公司或业务的，则调整合并资产负债表的期初数；将子公司或业务合并当</w:t>
      </w:r>
    </w:p>
    <w:p>
      <w:pPr>
        <w:pStyle w:val="BodyText"/>
        <w:spacing w:line="316" w:lineRule="auto" w:before="19"/>
        <w:ind w:right="94"/>
        <w:jc w:val="left"/>
      </w:pPr>
      <w:r>
        <w:rPr>
          <w:spacing w:val="-2"/>
        </w:rPr>
        <w:t>期期初至报告期末的收入、费用、利润纳入合并利润表；将子公司或业务合并当期期初至报告期末的现金流量纳入合并现金</w:t>
      </w:r>
      <w:r>
        <w:rPr>
          <w:spacing w:val="-66"/>
        </w:rPr>
        <w:t> </w:t>
      </w:r>
      <w:r>
        <w:rPr>
          <w:spacing w:val="-66"/>
        </w:rPr>
      </w:r>
      <w:r>
        <w:rPr/>
        <w:t>流量表，同时对比较报表的相关项目进行调整，视同合并后的报告主体自最终控制方开始控制时点起一直存在。</w:t>
      </w:r>
    </w:p>
    <w:p>
      <w:pPr>
        <w:pStyle w:val="BodyText"/>
        <w:spacing w:line="319" w:lineRule="auto" w:before="19"/>
        <w:ind w:right="192" w:firstLine="360"/>
        <w:jc w:val="both"/>
      </w:pPr>
      <w:r>
        <w:rPr>
          <w:spacing w:val="-2"/>
        </w:rPr>
        <w:t>因追加投资等原因能够对同一控制下的被投资方实施控制的，视同参与合并的各方在最终控制方开始控制时即以目前的</w:t>
      </w:r>
      <w:r>
        <w:rPr/>
        <w:t> </w:t>
      </w:r>
      <w:r>
        <w:rPr>
          <w:spacing w:val="-2"/>
        </w:rPr>
        <w:t>状态存在进行调整。在取得被合并方控制权之前持有的股权投资，在取得原股权之日与合并方和被合并方同处于同一控制之</w:t>
      </w:r>
      <w:r>
        <w:rPr>
          <w:spacing w:val="-64"/>
        </w:rPr>
        <w:t> </w:t>
      </w:r>
      <w:r>
        <w:rPr>
          <w:spacing w:val="-64"/>
        </w:rPr>
      </w:r>
      <w:r>
        <w:rPr>
          <w:spacing w:val="-2"/>
        </w:rPr>
        <w:t>日孰晚日起至合并日之间已确认有关损益、其他综合收益以及其他净资产变动，分别冲减比较报表期间的期初留存收益或当</w:t>
      </w:r>
      <w:r>
        <w:rPr>
          <w:spacing w:val="-64"/>
        </w:rPr>
        <w:t> </w:t>
      </w:r>
      <w:r>
        <w:rPr>
          <w:spacing w:val="-64"/>
        </w:rPr>
      </w:r>
      <w:r>
        <w:rPr/>
        <w:t>期损益。</w:t>
      </w:r>
    </w:p>
    <w:p>
      <w:pPr>
        <w:pStyle w:val="BodyText"/>
        <w:spacing w:line="316" w:lineRule="auto" w:before="17"/>
        <w:ind w:right="190" w:firstLine="360"/>
        <w:jc w:val="both"/>
      </w:pPr>
      <w:r>
        <w:rPr>
          <w:spacing w:val="-2"/>
        </w:rPr>
        <w:t>在报告期内，若因非同一控制下企业合并增加子公司或业务的，则不调整合并资产负债表期初数；将该子公司或业务自</w:t>
      </w:r>
      <w:r>
        <w:rPr/>
        <w:t> </w:t>
      </w:r>
      <w:r>
        <w:rPr>
          <w:spacing w:val="-2"/>
        </w:rPr>
        <w:t>购买日至报告期末的收入、费用、利润纳入合并利润表；该子公司或业务自购买日至报告期末的现金流量纳入合并现金流量</w:t>
      </w:r>
      <w:r>
        <w:rPr>
          <w:spacing w:val="-66"/>
        </w:rPr>
        <w:t> </w:t>
      </w:r>
      <w:r>
        <w:rPr>
          <w:spacing w:val="-66"/>
        </w:rPr>
      </w:r>
      <w:r>
        <w:rPr/>
        <w:t>表。</w:t>
      </w:r>
    </w:p>
    <w:p>
      <w:pPr>
        <w:pStyle w:val="BodyText"/>
        <w:spacing w:line="316" w:lineRule="auto" w:before="19"/>
        <w:ind w:right="192" w:firstLine="360"/>
        <w:jc w:val="both"/>
      </w:pPr>
      <w:r>
        <w:rPr>
          <w:spacing w:val="-2"/>
        </w:rPr>
        <w:t>因追加投资等原因能够对非同一控制下的被投资方实施控制的，对于购买日之前持有的被购买方的股权，本公司按照该</w:t>
      </w:r>
      <w:r>
        <w:rPr/>
        <w:t> </w:t>
      </w:r>
      <w:r>
        <w:rPr>
          <w:spacing w:val="-2"/>
        </w:rPr>
        <w:t>股权在购买日的公允价值进行重新计量，公允价值与其账面价值的差额计入当期投资收益。购买日之前持有的被购买方的股</w:t>
      </w:r>
      <w:r>
        <w:rPr>
          <w:spacing w:val="-64"/>
        </w:rPr>
        <w:t> </w:t>
      </w:r>
      <w:r>
        <w:rPr>
          <w:spacing w:val="-64"/>
        </w:rPr>
      </w:r>
      <w:r>
        <w:rPr>
          <w:spacing w:val="-2"/>
        </w:rPr>
        <w:t>权涉及权益法核算下的其他综合收益以及除净损益、其他综合收益和利润分配之外的其他所有者权益变动的，与其相关的其</w:t>
      </w:r>
      <w:r>
        <w:rPr>
          <w:spacing w:val="-64"/>
        </w:rPr>
        <w:t> </w:t>
      </w:r>
      <w:r>
        <w:rPr>
          <w:spacing w:val="-64"/>
        </w:rPr>
      </w:r>
      <w:r>
        <w:rPr>
          <w:spacing w:val="-2"/>
        </w:rPr>
        <w:t>他综合收益、其他所有者权益变动转为购买日所属当期投资收益，由于被投资方重新计量设定受益计划净负债或净资产变动</w:t>
      </w:r>
      <w:r>
        <w:rPr>
          <w:spacing w:val="-64"/>
        </w:rPr>
        <w:t> </w:t>
      </w:r>
      <w:r>
        <w:rPr>
          <w:spacing w:val="-64"/>
        </w:rPr>
      </w:r>
      <w:r>
        <w:rPr/>
        <w:t>而产生的其他综合收益除外。</w:t>
      </w:r>
    </w:p>
    <w:p>
      <w:pPr>
        <w:pStyle w:val="BodyText"/>
        <w:spacing w:line="240" w:lineRule="auto" w:before="19"/>
        <w:ind w:left="513" w:right="94"/>
        <w:jc w:val="left"/>
      </w:pPr>
      <w:r>
        <w:rPr/>
        <w:t>②处置子公司或业务</w:t>
      </w:r>
    </w:p>
    <w:p>
      <w:pPr>
        <w:pStyle w:val="BodyText"/>
        <w:spacing w:line="300" w:lineRule="auto" w:before="76"/>
        <w:ind w:left="513" w:right="94"/>
        <w:jc w:val="left"/>
      </w:pPr>
      <w:r>
        <w:rPr>
          <w:rFonts w:ascii="Times New Roman" w:hAnsi="Times New Roman" w:cs="Times New Roman" w:eastAsia="Times New Roman" w:hint="default"/>
        </w:rPr>
        <w:t>a.</w:t>
      </w:r>
      <w:r>
        <w:rPr/>
        <w:t>一般处理方法 </w:t>
      </w:r>
      <w:r>
        <w:rPr>
          <w:spacing w:val="-2"/>
        </w:rPr>
        <w:t>在报告期内，本公司处置子公司或业务，则该子公司或业务期初至处置日的收入、费用、利润纳入合并利润表；该子公</w:t>
      </w:r>
    </w:p>
    <w:p>
      <w:pPr>
        <w:pStyle w:val="BodyText"/>
        <w:spacing w:line="316" w:lineRule="auto" w:before="32"/>
        <w:ind w:left="513" w:right="94" w:hanging="361"/>
        <w:jc w:val="left"/>
      </w:pPr>
      <w:r>
        <w:rPr/>
        <w:t>司或业务期初至处置日的现金流量纳入合并现金流量表。 </w:t>
      </w:r>
      <w:r>
        <w:rPr>
          <w:spacing w:val="-2"/>
        </w:rPr>
        <w:t>因处置部分股权投资或其他原因丧失了对被投资方控制权时，对于处置后的剩余股权投资，本公司按照其在丧失控制权</w:t>
      </w:r>
    </w:p>
    <w:p>
      <w:pPr>
        <w:pStyle w:val="BodyText"/>
        <w:spacing w:line="316" w:lineRule="auto" w:before="19"/>
        <w:ind w:right="94"/>
        <w:jc w:val="left"/>
      </w:pPr>
      <w:r>
        <w:rPr>
          <w:spacing w:val="-2"/>
        </w:rPr>
        <w:t>日的公允价值进行重新计量。处置股权取得的对价与剩余股权公允价值之和，减去按原持股比例计算应享有原有子公司自购</w:t>
      </w:r>
      <w:r>
        <w:rPr>
          <w:spacing w:val="-64"/>
        </w:rPr>
        <w:t> </w:t>
      </w:r>
      <w:r>
        <w:rPr>
          <w:spacing w:val="-64"/>
        </w:rPr>
      </w:r>
      <w:r>
        <w:rPr>
          <w:spacing w:val="-2"/>
        </w:rPr>
        <w:t>买日或合并日开始持续计算的净资产的份额与商誉之和的差额，计入丧失控制权当期的投资收益。与原有子公司股权投资相</w:t>
      </w:r>
      <w:r>
        <w:rPr>
          <w:spacing w:val="-64"/>
        </w:rPr>
        <w:t> </w:t>
      </w:r>
      <w:r>
        <w:rPr>
          <w:spacing w:val="-64"/>
        </w:rPr>
      </w:r>
      <w:r>
        <w:rPr/>
        <w:t>关的其他综合收益或除净损益、其他综合收益及利润分配之外的其他所有者权益变动，在丧失控制权时转为当期投资收益，</w:t>
      </w:r>
      <w:r>
        <w:rPr/>
        <w:t> 由于被投资方重新计量设定受益计划净负债或净资产变动而产生的其他综合收益除外。</w:t>
      </w:r>
    </w:p>
    <w:p>
      <w:pPr>
        <w:pStyle w:val="BodyText"/>
        <w:spacing w:line="300" w:lineRule="auto" w:before="19"/>
        <w:ind w:left="513" w:right="94"/>
        <w:jc w:val="left"/>
      </w:pPr>
      <w:r>
        <w:rPr>
          <w:rFonts w:ascii="Times New Roman" w:hAnsi="Times New Roman" w:cs="Times New Roman" w:eastAsia="Times New Roman" w:hint="default"/>
        </w:rPr>
        <w:t>b.</w:t>
      </w:r>
      <w:r>
        <w:rPr/>
        <w:t>分步处置子公司 </w:t>
      </w:r>
      <w:r>
        <w:rPr>
          <w:spacing w:val="-2"/>
        </w:rPr>
        <w:t>通过多次交易分步处置对子公司股权投资直至丧失控制权的，处置对子公司股权投资的各项交易的条款、条件以及经济</w:t>
      </w:r>
    </w:p>
    <w:p>
      <w:pPr>
        <w:pStyle w:val="BodyText"/>
        <w:spacing w:line="319" w:lineRule="auto" w:before="31"/>
        <w:ind w:left="513" w:right="2614" w:hanging="361"/>
        <w:jc w:val="left"/>
      </w:pPr>
      <w:r>
        <w:rPr/>
        <w:t>影响符合以下一种或多种情况，通常表明应将多次交易事项作为一揽子交易进行会计处理： 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w:t>
      </w:r>
    </w:p>
    <w:p>
      <w:pPr>
        <w:pStyle w:val="BodyText"/>
        <w:spacing w:line="316" w:lineRule="auto" w:before="17"/>
        <w:ind w:right="190" w:firstLine="360"/>
        <w:jc w:val="both"/>
      </w:pPr>
      <w:r>
        <w:rPr>
          <w:spacing w:val="-2"/>
        </w:rPr>
        <w:t>处置对子公司股权投资直至丧失控制权的各项交易属于一揽子交易的，本公司将各项交易作为一项处置子公司并丧失控</w:t>
      </w:r>
      <w:r>
        <w:rPr/>
        <w:t> </w:t>
      </w:r>
      <w:r>
        <w:rPr>
          <w:spacing w:val="-2"/>
        </w:rPr>
        <w:t>制权的交易进行会计处理；但是，在丧失控制权之前每一次处置价款与处置投资对应的享有该子公司净资产份额的差额，在</w:t>
      </w:r>
      <w:r>
        <w:rPr>
          <w:spacing w:val="-63"/>
        </w:rPr>
        <w:t> </w:t>
      </w:r>
      <w:r>
        <w:rPr>
          <w:spacing w:val="-63"/>
        </w:rPr>
      </w:r>
      <w:r>
        <w:rPr/>
        <w:t>合并财务报表中确认为其他综合收益，在丧失控制权时一并转入丧失控制权当期的损益。</w:t>
      </w:r>
    </w:p>
    <w:p>
      <w:pPr>
        <w:pStyle w:val="BodyText"/>
        <w:spacing w:line="316" w:lineRule="auto" w:before="19"/>
        <w:ind w:right="192" w:firstLine="360"/>
        <w:jc w:val="both"/>
      </w:pPr>
      <w:r>
        <w:rPr>
          <w:spacing w:val="-2"/>
        </w:rPr>
        <w:t>处置对子公司股权投资直至丧失控制权的各项交易不属于一揽子交易的，在丧失控制权之前，按不丧失控制权的情况下</w:t>
      </w:r>
      <w:r>
        <w:rPr/>
        <w:t> 部分处置对子公司的股权投资的相关政策进行会计处理；在丧失控制权时，按处置子公司一般处理方法进行会计处理。</w:t>
      </w:r>
    </w:p>
    <w:p>
      <w:pPr>
        <w:pStyle w:val="BodyText"/>
        <w:spacing w:line="240" w:lineRule="auto" w:before="18"/>
        <w:ind w:left="513" w:right="94"/>
        <w:jc w:val="left"/>
      </w:pPr>
      <w:r>
        <w:rPr/>
        <w:t>③购买子公司少数股权</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50" w:firstLine="360"/>
        <w:jc w:val="both"/>
      </w:pPr>
      <w:r>
        <w:rPr>
          <w:spacing w:val="-2"/>
        </w:rPr>
        <w:t>本公司因购买少数股权新取得的长期股权投资与按照新增持股比例计算应享有子公司自购买日（或合并日）开始持续计</w:t>
      </w:r>
      <w:r>
        <w:rPr/>
        <w:t> </w:t>
      </w:r>
      <w:r>
        <w:rPr>
          <w:spacing w:val="-2"/>
        </w:rPr>
        <w:t>算的净资产份额之间的差额，调整合并资产负债表中的资本公积中的股本溢价，资本公积中的股本溢价不足冲减的，调整留</w:t>
      </w:r>
      <w:r>
        <w:rPr>
          <w:spacing w:val="-63"/>
        </w:rPr>
        <w:t> </w:t>
      </w:r>
      <w:r>
        <w:rPr>
          <w:spacing w:val="-63"/>
        </w:rPr>
      </w:r>
      <w:r>
        <w:rPr/>
        <w:t>存收益。</w:t>
      </w:r>
    </w:p>
    <w:p>
      <w:pPr>
        <w:pStyle w:val="BodyText"/>
        <w:spacing w:line="316" w:lineRule="auto" w:before="17"/>
        <w:ind w:left="513" w:right="233"/>
        <w:jc w:val="left"/>
      </w:pPr>
      <w:r>
        <w:rPr/>
        <w:t>④不丧失控制权的情况下部分处置对子公司的股权投资 在不丧失控制权的情况下因部分处置对子公司的长期股权投资而取得的处置价款与处置长期股权投资相对应享有子公</w:t>
      </w:r>
    </w:p>
    <w:p>
      <w:pPr>
        <w:pStyle w:val="BodyText"/>
        <w:spacing w:line="316" w:lineRule="auto" w:before="19"/>
        <w:ind w:right="146"/>
        <w:jc w:val="left"/>
      </w:pPr>
      <w:r>
        <w:rPr>
          <w:spacing w:val="-2"/>
        </w:rPr>
        <w:t>司自购买日或合并日开始持续计算的净资产份额之间的差额，调整合并资产负债表中的资本公积中的股本溢价，资本公积中</w:t>
      </w:r>
      <w:r>
        <w:rPr>
          <w:spacing w:val="-63"/>
        </w:rPr>
        <w:t> </w:t>
      </w:r>
      <w:r>
        <w:rPr>
          <w:spacing w:val="-63"/>
        </w:rPr>
      </w:r>
      <w:r>
        <w:rPr/>
        <w:t>的股本溢价不足冲减的，调整留存收益。</w:t>
      </w:r>
    </w:p>
    <w:p>
      <w:pPr>
        <w:spacing w:line="240" w:lineRule="auto" w:before="10"/>
        <w:rPr>
          <w:rFonts w:ascii="宋体" w:hAnsi="宋体" w:cs="宋体" w:eastAsia="宋体" w:hint="default"/>
          <w:sz w:val="22"/>
          <w:szCs w:val="22"/>
        </w:rPr>
      </w:pPr>
    </w:p>
    <w:p>
      <w:pPr>
        <w:pStyle w:val="Heading3"/>
        <w:spacing w:line="240" w:lineRule="auto"/>
        <w:ind w:right="146"/>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0" w:firstLine="360"/>
        <w:jc w:val="both"/>
      </w:pPr>
      <w:r>
        <w:rPr>
          <w:spacing w:val="-2"/>
        </w:rPr>
        <w:t>在编制现金流量表时，将本公司库存现金以及可以随时用于支付的存款确认为现金。将同时具备期限短（从购买日起三</w:t>
      </w:r>
      <w:r>
        <w:rPr/>
        <w:t> 个月内到期）、流动性强、易于转换为已知现金、价值变动风险很小四个条件的投资，确定为现金等价物。</w:t>
      </w:r>
    </w:p>
    <w:p>
      <w:pPr>
        <w:spacing w:line="240" w:lineRule="auto" w:before="11"/>
        <w:rPr>
          <w:rFonts w:ascii="宋体" w:hAnsi="宋体" w:cs="宋体" w:eastAsia="宋体" w:hint="default"/>
          <w:sz w:val="22"/>
          <w:szCs w:val="22"/>
        </w:rPr>
      </w:pPr>
    </w:p>
    <w:p>
      <w:pPr>
        <w:pStyle w:val="Heading3"/>
        <w:spacing w:line="240" w:lineRule="auto"/>
        <w:ind w:right="146"/>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513" w:right="2933"/>
        <w:jc w:val="left"/>
      </w:pPr>
      <w:r>
        <w:rPr/>
        <w:t>（</w:t>
      </w:r>
      <w:r>
        <w:rPr>
          <w:rFonts w:ascii="Times New Roman" w:hAnsi="Times New Roman" w:cs="Times New Roman" w:eastAsia="Times New Roman" w:hint="default"/>
        </w:rPr>
        <w:t>1</w:t>
      </w:r>
      <w:r>
        <w:rPr/>
        <w:t>）外币业务 外币业务采用交易发生日的即期汇率作为折算汇率将外币金额折合成人民币记账。</w:t>
      </w:r>
    </w:p>
    <w:p>
      <w:pPr>
        <w:pStyle w:val="BodyText"/>
        <w:spacing w:line="316" w:lineRule="auto" w:before="31"/>
        <w:ind w:right="151" w:firstLine="360"/>
        <w:jc w:val="both"/>
      </w:pPr>
      <w:r>
        <w:rPr>
          <w:spacing w:val="-2"/>
        </w:rPr>
        <w:t>资产负债表日外币货币性项目余额按资产负债表日即期汇率折算，由此产生的汇兑差额，除属于与购建符合资本化条件</w:t>
      </w:r>
      <w:r>
        <w:rPr/>
        <w:t> 的资产相关的外币专门借款产生的汇兑差额按照借款费用资本化的原则处理外，均计入当期损益。</w:t>
      </w:r>
    </w:p>
    <w:p>
      <w:pPr>
        <w:pStyle w:val="BodyText"/>
        <w:spacing w:line="300" w:lineRule="auto" w:before="19"/>
        <w:ind w:left="513" w:right="146"/>
        <w:jc w:val="left"/>
      </w:pPr>
      <w:r>
        <w:rPr/>
        <w:t>（</w:t>
      </w:r>
      <w:r>
        <w:rPr>
          <w:rFonts w:ascii="Times New Roman" w:hAnsi="Times New Roman" w:cs="Times New Roman" w:eastAsia="Times New Roman" w:hint="default"/>
        </w:rPr>
        <w:t>2</w:t>
      </w:r>
      <w:r>
        <w:rPr/>
        <w:t>）外币财务报表的折算 </w:t>
      </w:r>
      <w:r>
        <w:rPr>
          <w:spacing w:val="-2"/>
        </w:rPr>
        <w:t>资产负债表中的资产和负债项目，采用资产负债表日的即期汇率折算；所有者权益项目除“未分配利润”项目外，其他</w:t>
      </w:r>
    </w:p>
    <w:p>
      <w:pPr>
        <w:pStyle w:val="BodyText"/>
        <w:spacing w:line="316" w:lineRule="auto" w:before="31"/>
        <w:ind w:left="513" w:right="1133" w:hanging="361"/>
        <w:jc w:val="left"/>
      </w:pPr>
      <w:r>
        <w:rPr/>
        <w:t>项目采用发生时的即期汇率折算。利润表中的收入和费用项目，采用交易发生日的即期汇率折算。 处置境外经营时，将与该境外经营相关的外币财务报表折算差额，自所有者权益项目转入处置当期损益。</w:t>
      </w:r>
    </w:p>
    <w:p>
      <w:pPr>
        <w:spacing w:line="240" w:lineRule="auto" w:before="10"/>
        <w:rPr>
          <w:rFonts w:ascii="宋体" w:hAnsi="宋体" w:cs="宋体" w:eastAsia="宋体" w:hint="default"/>
          <w:sz w:val="22"/>
          <w:szCs w:val="22"/>
        </w:rPr>
      </w:pPr>
    </w:p>
    <w:p>
      <w:pPr>
        <w:pStyle w:val="Heading3"/>
        <w:spacing w:line="240" w:lineRule="auto"/>
        <w:ind w:right="146"/>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146"/>
        <w:jc w:val="left"/>
      </w:pPr>
      <w:r>
        <w:rPr/>
        <w:t>金融工具包括金融资产、金融负债和权益工具。</w:t>
      </w:r>
    </w:p>
    <w:p>
      <w:pPr>
        <w:pStyle w:val="BodyText"/>
        <w:spacing w:line="300" w:lineRule="auto" w:before="76"/>
        <w:ind w:left="513" w:right="146"/>
        <w:jc w:val="left"/>
      </w:pPr>
      <w:r>
        <w:rPr>
          <w:rFonts w:ascii="Times New Roman" w:hAnsi="Times New Roman" w:cs="Times New Roman" w:eastAsia="Times New Roman" w:hint="default"/>
        </w:rPr>
        <w:t>(1)</w:t>
      </w:r>
      <w:r>
        <w:rPr/>
        <w:t>金融工具的分类</w:t>
      </w:r>
      <w:r>
        <w:rPr>
          <w:w w:val="99"/>
        </w:rPr>
        <w:t> </w:t>
      </w:r>
      <w:r>
        <w:rPr>
          <w:spacing w:val="-2"/>
        </w:rPr>
        <w:t>金融资产和金融负债于初始确认时分类为：以公允价值计量且其变动计入当期损益的金融资产或金融负债，包括交易性</w:t>
      </w:r>
    </w:p>
    <w:p>
      <w:pPr>
        <w:pStyle w:val="BodyText"/>
        <w:spacing w:line="316" w:lineRule="auto" w:before="31"/>
        <w:ind w:right="146"/>
        <w:jc w:val="left"/>
      </w:pPr>
      <w:r>
        <w:rPr>
          <w:spacing w:val="-2"/>
        </w:rPr>
        <w:t>金融资产或金融负债和直接指定为以公允价值计量且其变动计入当期损益的金融资产或金融负债；持有至到期投资；应收款</w:t>
      </w:r>
      <w:r>
        <w:rPr>
          <w:spacing w:val="-64"/>
        </w:rPr>
        <w:t> </w:t>
      </w:r>
      <w:r>
        <w:rPr>
          <w:spacing w:val="-64"/>
        </w:rPr>
      </w:r>
      <w:r>
        <w:rPr/>
        <w:t>项；可供出售金融资产；其他金融负债等。</w:t>
      </w:r>
    </w:p>
    <w:p>
      <w:pPr>
        <w:pStyle w:val="BodyText"/>
        <w:spacing w:line="240" w:lineRule="auto" w:before="19"/>
        <w:ind w:left="513" w:right="146"/>
        <w:jc w:val="left"/>
      </w:pPr>
      <w:r>
        <w:rPr>
          <w:rFonts w:ascii="Times New Roman" w:hAnsi="Times New Roman" w:cs="Times New Roman" w:eastAsia="Times New Roman" w:hint="default"/>
        </w:rPr>
        <w:t>(2)</w:t>
      </w:r>
      <w:r>
        <w:rPr/>
        <w:t>金融工具的确认依据和计量方法</w:t>
      </w:r>
    </w:p>
    <w:p>
      <w:pPr>
        <w:pStyle w:val="BodyText"/>
        <w:spacing w:line="316" w:lineRule="auto" w:before="63"/>
        <w:ind w:left="513" w:right="146"/>
        <w:jc w:val="left"/>
      </w:pPr>
      <w:r>
        <w:rPr/>
        <w:t>①以公允价值计量且其变动计入当期损益的金融资产（金融负债） </w:t>
      </w:r>
      <w:r>
        <w:rPr>
          <w:spacing w:val="-2"/>
        </w:rPr>
        <w:t>取得时以公允价值（扣除已宣告但尚未发放的现金股利或已到付息期但尚未领取的债券利息）作为初始确认金额，相关</w:t>
      </w:r>
    </w:p>
    <w:p>
      <w:pPr>
        <w:pStyle w:val="BodyText"/>
        <w:spacing w:line="316" w:lineRule="auto" w:before="19"/>
        <w:ind w:left="513" w:right="1853" w:hanging="361"/>
        <w:jc w:val="left"/>
      </w:pPr>
      <w:r>
        <w:rPr/>
        <w:t>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319" w:lineRule="auto" w:before="19"/>
        <w:ind w:left="513" w:right="146"/>
        <w:jc w:val="left"/>
      </w:pPr>
      <w:r>
        <w:rPr/>
        <w:t>②持有至到期投资 取得时按公允价值（扣除已到付息期但尚未领取的债券利息）和相关交易费用之和作为初始确认金额。 </w:t>
      </w:r>
      <w:r>
        <w:rPr>
          <w:spacing w:val="-2"/>
        </w:rPr>
        <w:t>持有期间按照摊余成本和实际利率计算确认利息收入，计入投资收益。实际利率在取得时确定，在该预期存续期间或适</w:t>
      </w:r>
    </w:p>
    <w:p>
      <w:pPr>
        <w:pStyle w:val="BodyText"/>
        <w:spacing w:line="316" w:lineRule="auto" w:before="17"/>
        <w:ind w:left="513" w:right="4013" w:hanging="361"/>
        <w:jc w:val="left"/>
      </w:pPr>
      <w:r>
        <w:rPr/>
        <w:t>用的更短期间内保持不变。 处置时，将所取得价款与该投资账面价值之间的差额计入投资收益。</w:t>
      </w:r>
    </w:p>
    <w:p>
      <w:pPr>
        <w:pStyle w:val="BodyText"/>
        <w:spacing w:line="316" w:lineRule="auto" w:before="19"/>
        <w:ind w:left="513" w:right="146"/>
        <w:jc w:val="left"/>
      </w:pPr>
      <w:r>
        <w:rPr/>
        <w:t>③应收款项 </w:t>
      </w:r>
      <w:r>
        <w:rPr>
          <w:spacing w:val="-2"/>
        </w:rPr>
        <w:t>公司对外销售商品或提供劳务形成的应收债权，以及公司持有的其他企业的不包括在活跃市场上有报价的债务工具的债</w:t>
      </w:r>
    </w:p>
    <w:p>
      <w:pPr>
        <w:pStyle w:val="BodyText"/>
        <w:spacing w:line="240" w:lineRule="auto" w:before="19"/>
        <w:ind w:right="0"/>
        <w:jc w:val="left"/>
      </w:pPr>
      <w:r>
        <w:rPr/>
        <w:t>权，包括应收账款、其他应收款等，以向购货方应收的合同或协议价款作为初始确认金额；具有融资性质的，按其现值进行</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初始确认。</w:t>
      </w:r>
    </w:p>
    <w:p>
      <w:pPr>
        <w:pStyle w:val="BodyText"/>
        <w:spacing w:line="240" w:lineRule="auto" w:before="77"/>
        <w:ind w:left="513" w:right="94"/>
        <w:jc w:val="left"/>
      </w:pPr>
      <w:r>
        <w:rPr/>
        <w:t>收回或处置时，将取得的价款与该应收款项账面价值之间的差额计入当期损益。</w:t>
      </w:r>
    </w:p>
    <w:p>
      <w:pPr>
        <w:pStyle w:val="BodyText"/>
        <w:spacing w:line="316" w:lineRule="auto" w:before="76"/>
        <w:ind w:left="513" w:right="94"/>
        <w:jc w:val="left"/>
      </w:pPr>
      <w:r>
        <w:rPr/>
        <w:t>④可供出售金融资产 </w:t>
      </w:r>
      <w:r>
        <w:rPr>
          <w:spacing w:val="-2"/>
        </w:rPr>
        <w:t>取得时按公允价值（扣除已宣告但尚未发放的现金股利或已到付息期但尚未领取的债券利息）和相关交易费用之和作为</w:t>
      </w:r>
    </w:p>
    <w:p>
      <w:pPr>
        <w:pStyle w:val="BodyText"/>
        <w:spacing w:line="316" w:lineRule="auto" w:before="19"/>
        <w:ind w:left="513" w:right="93" w:hanging="361"/>
        <w:jc w:val="left"/>
      </w:pPr>
      <w:r>
        <w:rPr/>
        <w:t>初始确认金额。 持有期间将取得的利息或现金股利确认为投资收益。期末以公允价值计量且将公允价值变动计入其他综合收益。但是，</w:t>
      </w:r>
    </w:p>
    <w:p>
      <w:pPr>
        <w:pStyle w:val="BodyText"/>
        <w:spacing w:line="316" w:lineRule="auto" w:before="19"/>
        <w:ind w:right="191"/>
        <w:jc w:val="both"/>
      </w:pPr>
      <w:r>
        <w:rPr>
          <w:spacing w:val="-2"/>
        </w:rPr>
        <w:t>在活跃市场中没有报价且其公允价值不能可靠计量的权益工具投资，以及与该权益工具挂钩并须通过交付该权益工具结算的</w:t>
      </w:r>
      <w:r>
        <w:rPr>
          <w:spacing w:val="-63"/>
        </w:rPr>
        <w:t> </w:t>
      </w:r>
      <w:r>
        <w:rPr>
          <w:spacing w:val="-63"/>
        </w:rPr>
      </w:r>
      <w:r>
        <w:rPr/>
        <w:t>衍生金融资产，按照成本计量。</w:t>
      </w:r>
    </w:p>
    <w:p>
      <w:pPr>
        <w:pStyle w:val="BodyText"/>
        <w:spacing w:line="316" w:lineRule="auto" w:before="19"/>
        <w:ind w:right="94" w:firstLine="360"/>
        <w:jc w:val="left"/>
      </w:pPr>
      <w:r>
        <w:rPr>
          <w:spacing w:val="-2"/>
        </w:rPr>
        <w:t>处置时，将取得的价款与该金融资产账面价值之间的差额，计入投资损益；同时，将原直接计入其他综合收益的公允价</w:t>
      </w:r>
      <w:r>
        <w:rPr/>
        <w:t> 值变动累计额对应处置部分的金额转出，计入当期损益。</w:t>
      </w:r>
    </w:p>
    <w:p>
      <w:pPr>
        <w:pStyle w:val="BodyText"/>
        <w:spacing w:line="316" w:lineRule="auto" w:before="19"/>
        <w:ind w:left="513" w:right="2793"/>
        <w:jc w:val="left"/>
      </w:pPr>
      <w:r>
        <w:rPr/>
        <w:t>⑤其他金融负债 按其公允价值和相关交易费用之和作为初始确认金额。采用摊余成本进行后续计量。 </w:t>
      </w:r>
      <w:r>
        <w:rPr>
          <w:rFonts w:ascii="Times New Roman" w:hAnsi="Times New Roman" w:cs="Times New Roman" w:eastAsia="Times New Roman" w:hint="default"/>
        </w:rPr>
        <w:t>(3)</w:t>
      </w:r>
      <w:r>
        <w:rPr/>
        <w:t>金融资产转移的确认依据和计量方法</w:t>
      </w:r>
    </w:p>
    <w:p>
      <w:pPr>
        <w:pStyle w:val="BodyText"/>
        <w:spacing w:line="316" w:lineRule="auto"/>
        <w:ind w:right="94" w:firstLine="360"/>
        <w:jc w:val="left"/>
      </w:pPr>
      <w:r>
        <w:rPr>
          <w:spacing w:val="-2"/>
        </w:rPr>
        <w:t>公司发生金融资产转移时，如已将金融资产所有权上几乎所有的风险和报酬转移给转入方，则终止确认该金融资产；如</w:t>
      </w:r>
      <w:r>
        <w:rPr/>
        <w:t> 保留了金融资产所有权上几乎所有的风险和报酬的，则不终止确认该金融资产。</w:t>
      </w:r>
    </w:p>
    <w:p>
      <w:pPr>
        <w:pStyle w:val="BodyText"/>
        <w:spacing w:line="316" w:lineRule="auto" w:before="19"/>
        <w:ind w:right="94" w:firstLine="360"/>
        <w:jc w:val="left"/>
      </w:pPr>
      <w:r>
        <w:rPr>
          <w:spacing w:val="-2"/>
        </w:rPr>
        <w:t>在判断金融资产转移是否满足上述金融资产终止确认条件时，采用实质重于形式的原则。公司将金融资产转移区分为金</w:t>
      </w:r>
      <w:r>
        <w:rPr/>
        <w:t> 融资产整体转移和部分转移。金融资产整体转移满足终止确认条件的，将下列两项金额的差额计入当期损益：</w:t>
      </w:r>
    </w:p>
    <w:p>
      <w:pPr>
        <w:pStyle w:val="BodyText"/>
        <w:spacing w:line="240" w:lineRule="auto" w:before="19"/>
        <w:ind w:left="513" w:right="94"/>
        <w:jc w:val="left"/>
      </w:pPr>
      <w:r>
        <w:rPr/>
        <w:t>①所转移金融资产的账面价值；</w:t>
      </w:r>
    </w:p>
    <w:p>
      <w:pPr>
        <w:pStyle w:val="BodyText"/>
        <w:spacing w:line="316" w:lineRule="auto" w:before="76"/>
        <w:ind w:right="94" w:firstLine="360"/>
        <w:jc w:val="left"/>
      </w:pPr>
      <w:r>
        <w:rPr>
          <w:spacing w:val="-2"/>
        </w:rPr>
        <w:t>②因转移而收到的对价，与原直接计入所有者权益的公允价值变动累计额（涉及转移的金融资产为可供出售金融资产的</w:t>
      </w:r>
      <w:r>
        <w:rPr/>
        <w:t> 情形）之和。</w:t>
      </w:r>
    </w:p>
    <w:p>
      <w:pPr>
        <w:pStyle w:val="BodyText"/>
        <w:spacing w:line="316" w:lineRule="auto" w:before="19"/>
        <w:ind w:right="94" w:firstLine="360"/>
        <w:jc w:val="left"/>
      </w:pPr>
      <w:r>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BodyText"/>
        <w:spacing w:line="240" w:lineRule="auto" w:before="19"/>
        <w:ind w:left="513" w:right="94"/>
        <w:jc w:val="left"/>
      </w:pPr>
      <w:r>
        <w:rPr/>
        <w:t>①终止确认部分的账面价值；</w:t>
      </w:r>
    </w:p>
    <w:p>
      <w:pPr>
        <w:pStyle w:val="BodyText"/>
        <w:spacing w:line="316" w:lineRule="auto" w:before="76"/>
        <w:ind w:right="94" w:firstLine="360"/>
        <w:jc w:val="left"/>
      </w:pPr>
      <w:r>
        <w:rPr>
          <w:spacing w:val="-2"/>
        </w:rPr>
        <w:t>②终止确认部分的对价，与原直接计入所有者权益的公允价值变动累计额中对应终止确认部分的金额（涉及转移的金融</w:t>
      </w:r>
      <w:r>
        <w:rPr/>
        <w:t> 资产为可供出售金融资产的情形）之和。</w:t>
      </w:r>
    </w:p>
    <w:p>
      <w:pPr>
        <w:pStyle w:val="BodyText"/>
        <w:spacing w:line="309" w:lineRule="auto" w:before="19"/>
        <w:ind w:left="513" w:right="94"/>
        <w:jc w:val="left"/>
      </w:pPr>
      <w:r>
        <w:rPr/>
        <w:t>金融资产转移不满足终止确认条件的，继续确认该金融资产，所收到的对价确认为一项金融负债。 </w:t>
      </w:r>
      <w:r>
        <w:rPr>
          <w:rFonts w:ascii="Times New Roman" w:hAnsi="Times New Roman" w:cs="Times New Roman" w:eastAsia="Times New Roman" w:hint="default"/>
        </w:rPr>
        <w:t>(4)</w:t>
      </w:r>
      <w:r>
        <w:rPr/>
        <w:t>金融负债终止确认条件 </w:t>
      </w:r>
      <w:r>
        <w:rPr>
          <w:spacing w:val="-2"/>
        </w:rPr>
        <w:t>金融负债的现时义务全部或部分已经解除的，则终止确认该金融负债或其一部分；本公司若与债权人签定协议，以承担</w:t>
      </w:r>
    </w:p>
    <w:p>
      <w:pPr>
        <w:pStyle w:val="BodyText"/>
        <w:spacing w:line="316" w:lineRule="auto" w:before="24"/>
        <w:ind w:right="189"/>
        <w:jc w:val="both"/>
      </w:pPr>
      <w:r>
        <w:rPr>
          <w:spacing w:val="-2"/>
        </w:rPr>
        <w:t>新金融负债方式替换现存金融负债，且新金融负债与现存金融负债的合同条款实质上不同的，则终止确认现存金融负债，并</w:t>
      </w:r>
      <w:r>
        <w:rPr>
          <w:spacing w:val="-61"/>
        </w:rPr>
        <w:t> </w:t>
      </w:r>
      <w:r>
        <w:rPr>
          <w:spacing w:val="-61"/>
        </w:rPr>
      </w:r>
      <w:r>
        <w:rPr/>
        <w:t>同时确认新金融负债。</w:t>
      </w:r>
    </w:p>
    <w:p>
      <w:pPr>
        <w:pStyle w:val="BodyText"/>
        <w:spacing w:line="316" w:lineRule="auto" w:before="19"/>
        <w:ind w:right="94" w:firstLine="360"/>
        <w:jc w:val="left"/>
      </w:pPr>
      <w:r>
        <w:rPr>
          <w:spacing w:val="-2"/>
        </w:rPr>
        <w:t>对现存金融负债全部或部分合同条款作出实质性修改的，则终止确认现存金融负债或其一部分，同时将修改条款后的金</w:t>
      </w:r>
      <w:r>
        <w:rPr/>
        <w:t> 融负债确认为一项新金融负债。</w:t>
      </w:r>
    </w:p>
    <w:p>
      <w:pPr>
        <w:pStyle w:val="BodyText"/>
        <w:spacing w:line="316" w:lineRule="auto" w:before="19"/>
        <w:ind w:right="94" w:firstLine="360"/>
        <w:jc w:val="left"/>
      </w:pPr>
      <w:r>
        <w:rPr>
          <w:spacing w:val="-2"/>
        </w:rPr>
        <w:t>金融负债全部或部分终止确认时，终止确认的金融负债账面价值与支付对价（包括转出的非现金资产或承担的新金融负</w:t>
      </w:r>
      <w:r>
        <w:rPr/>
        <w:t> 债）之间的差额，计入当期损益。</w:t>
      </w:r>
    </w:p>
    <w:p>
      <w:pPr>
        <w:pStyle w:val="BodyText"/>
        <w:spacing w:line="316" w:lineRule="auto" w:before="19"/>
        <w:ind w:right="94" w:firstLine="360"/>
        <w:jc w:val="left"/>
      </w:pPr>
      <w:r>
        <w:rPr>
          <w:spacing w:val="-2"/>
        </w:rPr>
        <w:t>本公司若回购部分金融负债的，在回购日按照继续确认部分与终止确认部分的相对公允价值，将该金融负债整体的账面</w:t>
      </w:r>
      <w:r>
        <w:rPr/>
        <w:t> 价值进行分配。分配给终止确认部分的账面价值与支付的对价（包括转出的非现金资产或承担的新金融负债）之间的差额， 计入当期损益。</w:t>
      </w:r>
    </w:p>
    <w:p>
      <w:pPr>
        <w:pStyle w:val="BodyText"/>
        <w:spacing w:line="300" w:lineRule="auto" w:before="19"/>
        <w:ind w:left="513" w:right="94"/>
        <w:jc w:val="left"/>
      </w:pPr>
      <w:r>
        <w:rPr>
          <w:rFonts w:ascii="Times New Roman" w:hAnsi="Times New Roman" w:cs="Times New Roman" w:eastAsia="Times New Roman" w:hint="default"/>
        </w:rPr>
        <w:t>(5)</w:t>
      </w:r>
      <w:r>
        <w:rPr/>
        <w:t>金融资产和金融负债的公允价值的确定方法</w:t>
      </w:r>
      <w:r>
        <w:rPr>
          <w:w w:val="99"/>
        </w:rPr>
        <w:t> </w:t>
      </w:r>
      <w:r>
        <w:rPr>
          <w:spacing w:val="-2"/>
        </w:rPr>
        <w:t>存在活跃市场的金融工具，以活跃市场中的报价确定其公允价值。不存在活跃市场的金融工具，采用估值技术确定其公</w:t>
      </w:r>
    </w:p>
    <w:p>
      <w:pPr>
        <w:pStyle w:val="BodyText"/>
        <w:spacing w:line="316" w:lineRule="auto" w:before="31"/>
        <w:ind w:right="193"/>
        <w:jc w:val="both"/>
      </w:pPr>
      <w:r>
        <w:rPr>
          <w:spacing w:val="-2"/>
        </w:rPr>
        <w:t>允价值。在估值时，本公司采用在当前情况下适用并且有足够可利用数据和其他信息支持的估值技术，选择与市场参与者在</w:t>
      </w:r>
      <w:r>
        <w:rPr>
          <w:spacing w:val="-66"/>
        </w:rPr>
        <w:t> </w:t>
      </w:r>
      <w:r>
        <w:rPr>
          <w:spacing w:val="-66"/>
        </w:rPr>
      </w:r>
      <w:r>
        <w:rPr>
          <w:spacing w:val="-2"/>
        </w:rPr>
        <w:t>相关资产或负债的交易中所考虑的资产或负债特征相一致的输入值，并优先使用相关可观察输入值。只有在相关可观察输入</w:t>
      </w:r>
      <w:r>
        <w:rPr>
          <w:spacing w:val="-64"/>
        </w:rPr>
        <w:t> </w:t>
      </w:r>
      <w:r>
        <w:rPr>
          <w:spacing w:val="-64"/>
        </w:rPr>
      </w:r>
      <w:r>
        <w:rPr/>
        <w:t>值无法取得或取得不切实可行的情况下，才使用不可观察输入值。</w:t>
      </w:r>
    </w:p>
    <w:p>
      <w:pPr>
        <w:pStyle w:val="BodyText"/>
        <w:spacing w:line="300" w:lineRule="auto" w:before="19"/>
        <w:ind w:left="513" w:right="94"/>
        <w:jc w:val="left"/>
      </w:pPr>
      <w:r>
        <w:rPr>
          <w:rFonts w:ascii="Times New Roman" w:hAnsi="Times New Roman" w:cs="Times New Roman" w:eastAsia="Times New Roman" w:hint="default"/>
        </w:rPr>
        <w:t>(6)</w:t>
      </w:r>
      <w:r>
        <w:rPr/>
        <w:t>金融资产（不含应收款项）减值的测试方法及会计处理方法</w:t>
      </w:r>
      <w:r>
        <w:rPr>
          <w:w w:val="99"/>
        </w:rPr>
        <w:t> </w:t>
      </w:r>
      <w:r>
        <w:rPr>
          <w:spacing w:val="-2"/>
        </w:rPr>
        <w:t>除以公允价值计量且其变动计入当期损益的金融资产外，本公司于资产负债表日对金融资产的账面价值进行检查，如果</w:t>
      </w:r>
    </w:p>
    <w:p>
      <w:pPr>
        <w:spacing w:after="0" w:line="30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146"/>
        <w:jc w:val="left"/>
      </w:pPr>
      <w:r>
        <w:rPr/>
        <w:t>有客观证据表明某项金融资产发生减值的，计提减值准备。</w:t>
      </w:r>
    </w:p>
    <w:p>
      <w:pPr>
        <w:pStyle w:val="BodyText"/>
        <w:spacing w:line="316" w:lineRule="auto" w:before="77"/>
        <w:ind w:left="513" w:right="146"/>
        <w:jc w:val="left"/>
      </w:pPr>
      <w:r>
        <w:rPr/>
        <w:t>①可供出售金融资产的减值准备： </w:t>
      </w:r>
      <w:r>
        <w:rPr>
          <w:spacing w:val="-2"/>
        </w:rPr>
        <w:t>期末如果可供出售金融资产的公允价值发生严重下降，或在综合考虑各种相关因素后，预期这种下降趋势属于非暂时性</w:t>
      </w:r>
    </w:p>
    <w:p>
      <w:pPr>
        <w:pStyle w:val="BodyText"/>
        <w:spacing w:line="316" w:lineRule="auto" w:before="19"/>
        <w:ind w:left="513" w:right="146" w:hanging="361"/>
        <w:jc w:val="left"/>
      </w:pPr>
      <w:r>
        <w:rPr/>
        <w:t>的，就认定其已发生减值，将原直接计入所有者权益的公允价值下降形成的累计损失一并转出，确认减值损失。 </w:t>
      </w:r>
      <w:r>
        <w:rPr>
          <w:spacing w:val="-2"/>
        </w:rPr>
        <w:t>对于已确认减值损失的可供出售债务工具，在随后的会计期间公允价值已上升且客观上与确认原减值损失确认后发生的</w:t>
      </w:r>
    </w:p>
    <w:p>
      <w:pPr>
        <w:pStyle w:val="BodyText"/>
        <w:spacing w:line="316" w:lineRule="auto" w:before="19"/>
        <w:ind w:left="513" w:right="4733" w:hanging="361"/>
        <w:jc w:val="left"/>
      </w:pPr>
      <w:r>
        <w:rPr/>
        <w:t>事项有关的，原确认的减值损失予以转回，计入当期损益。 可供出售权益工具投资发生的减值损失，不通过损益转回。</w:t>
      </w:r>
    </w:p>
    <w:p>
      <w:pPr>
        <w:pStyle w:val="BodyText"/>
        <w:spacing w:line="316" w:lineRule="auto" w:before="19"/>
        <w:ind w:right="234" w:firstLine="360"/>
        <w:jc w:val="left"/>
      </w:pPr>
      <w:r>
        <w:rPr/>
        <w:t>本公司对可供出售权益工具投资的公允价值下跌“严重”的标准为：对于在流动性良好的市场上交易活跃的权益性投 资，超过</w:t>
      </w:r>
      <w:r>
        <w:rPr>
          <w:rFonts w:ascii="Times New Roman" w:hAnsi="Times New Roman" w:cs="Times New Roman" w:eastAsia="Times New Roman" w:hint="default"/>
        </w:rPr>
        <w:t>50%</w:t>
      </w:r>
      <w:r>
        <w:rPr/>
        <w:t>的跌幅则认为属于严重下跌。</w:t>
      </w:r>
    </w:p>
    <w:p>
      <w:pPr>
        <w:pStyle w:val="BodyText"/>
        <w:spacing w:line="300" w:lineRule="auto"/>
        <w:ind w:right="234" w:firstLine="360"/>
        <w:jc w:val="left"/>
      </w:pPr>
      <w:r>
        <w:rPr/>
        <w:t>本公司对可供出售权益工具投资的公允价值下跌“非暂时性”的标准为：如果连续下跌时间超过</w:t>
      </w:r>
      <w:r>
        <w:rPr>
          <w:rFonts w:ascii="Times New Roman" w:hAnsi="Times New Roman" w:cs="Times New Roman" w:eastAsia="Times New Roman" w:hint="default"/>
        </w:rPr>
        <w:t>12</w:t>
      </w:r>
      <w:r>
        <w:rPr/>
        <w:t>个月，则认为属于 “非暂时性下跌”。</w:t>
      </w:r>
    </w:p>
    <w:p>
      <w:pPr>
        <w:pStyle w:val="BodyText"/>
        <w:spacing w:line="316" w:lineRule="auto" w:before="31"/>
        <w:ind w:left="513" w:right="3833"/>
        <w:jc w:val="left"/>
      </w:pPr>
      <w:r>
        <w:rPr/>
        <w:t>②持有至到期投资的减值准备： 持有至到期投资减值损失的计量比照应收款项减值损失计量方法处理。</w:t>
      </w:r>
    </w:p>
    <w:p>
      <w:pPr>
        <w:spacing w:line="240" w:lineRule="auto" w:before="11"/>
        <w:rPr>
          <w:rFonts w:ascii="宋体" w:hAnsi="宋体" w:cs="宋体" w:eastAsia="宋体" w:hint="default"/>
          <w:sz w:val="22"/>
          <w:szCs w:val="22"/>
        </w:rPr>
      </w:pPr>
    </w:p>
    <w:p>
      <w:pPr>
        <w:pStyle w:val="Heading3"/>
        <w:spacing w:line="240" w:lineRule="auto"/>
        <w:ind w:right="146"/>
        <w:jc w:val="left"/>
        <w:rPr>
          <w:b w:val="0"/>
          <w:bCs w:val="0"/>
        </w:rPr>
      </w:pPr>
      <w:r>
        <w:rPr>
          <w:rFonts w:ascii="Times New Roman" w:hAnsi="Times New Roman" w:cs="Times New Roman" w:eastAsia="Times New Roman" w:hint="default"/>
        </w:rPr>
        <w:t>10</w:t>
      </w:r>
      <w:r>
        <w:rPr/>
        <w:t>、应收款项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6"/>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29"/>
        <w:gridCol w:w="5741"/>
      </w:tblGrid>
      <w:tr>
        <w:trPr>
          <w:trHeight w:val="715"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74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00" w:lineRule="auto" w:before="49"/>
              <w:ind w:left="22" w:right="110"/>
              <w:jc w:val="left"/>
              <w:rPr>
                <w:rFonts w:ascii="宋体" w:hAnsi="宋体" w:cs="宋体" w:eastAsia="宋体" w:hint="default"/>
                <w:sz w:val="18"/>
                <w:szCs w:val="18"/>
              </w:rPr>
            </w:pPr>
            <w:r>
              <w:rPr>
                <w:rFonts w:ascii="宋体" w:hAnsi="宋体" w:cs="宋体" w:eastAsia="宋体" w:hint="default"/>
                <w:sz w:val="18"/>
                <w:szCs w:val="18"/>
              </w:rPr>
              <w:t>单项应收款占应收款项余额的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以上或应收款项前五名为单项金额重 大的应收款项。</w:t>
            </w:r>
          </w:p>
        </w:tc>
      </w:tr>
      <w:tr>
        <w:trPr>
          <w:trHeight w:val="1025"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74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22" w:right="22"/>
              <w:jc w:val="both"/>
              <w:rPr>
                <w:rFonts w:ascii="宋体" w:hAnsi="宋体" w:cs="宋体" w:eastAsia="宋体" w:hint="default"/>
                <w:sz w:val="18"/>
                <w:szCs w:val="18"/>
              </w:rPr>
            </w:pPr>
            <w:r>
              <w:rPr>
                <w:rFonts w:ascii="宋体" w:hAnsi="宋体" w:cs="宋体" w:eastAsia="宋体" w:hint="default"/>
                <w:spacing w:val="-3"/>
                <w:sz w:val="18"/>
                <w:szCs w:val="18"/>
              </w:rPr>
              <w:t>单独进行减值测试，如有客观证据表明其已发生减值，按预计未来现金流</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量现值低于其账面价值的差额计提坏账准备，计入当期损益。单独测试未</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发生减值的应收款项，将其归入相应组合计提坏账准备。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6"/>
        <w:ind w:right="146"/>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396"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8" w:hRule="exact"/>
        </w:trPr>
        <w:tc>
          <w:tcPr>
            <w:tcW w:w="478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余额百分比法</w:t>
            </w:r>
          </w:p>
        </w:tc>
      </w:tr>
    </w:tbl>
    <w:p>
      <w:pPr>
        <w:pStyle w:val="BodyText"/>
        <w:spacing w:line="240" w:lineRule="auto" w:before="49"/>
        <w:ind w:right="146"/>
        <w:jc w:val="left"/>
      </w:pPr>
      <w:r>
        <w:rPr/>
        <w:t>组合中，采用账龄分析法计提坏账准备的：</w:t>
      </w:r>
    </w:p>
    <w:p>
      <w:pPr>
        <w:pStyle w:val="BodyText"/>
        <w:spacing w:line="240" w:lineRule="auto" w:before="117"/>
        <w:ind w:right="14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90.00%</w:t>
            </w:r>
          </w:p>
        </w:tc>
      </w:tr>
    </w:tbl>
    <w:p>
      <w:pPr>
        <w:pStyle w:val="BodyText"/>
        <w:spacing w:line="240" w:lineRule="auto" w:before="49"/>
        <w:ind w:right="146"/>
        <w:jc w:val="left"/>
      </w:pPr>
      <w:r>
        <w:rPr/>
        <w:t>组合中，采用余额百分比法计提坏账准备的：</w:t>
      </w:r>
    </w:p>
    <w:p>
      <w:pPr>
        <w:pStyle w:val="BodyText"/>
        <w:spacing w:line="240" w:lineRule="auto" w:before="115"/>
        <w:ind w:right="14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应收补贴款</w:t>
            </w:r>
            <w:r>
              <w:rPr>
                <w:rFonts w:ascii="Times New Roman" w:hAnsi="Times New Roman" w:cs="Times New Roman" w:eastAsia="Times New Roman" w:hint="default"/>
                <w:sz w:val="18"/>
                <w:szCs w:val="18"/>
              </w:rPr>
              <w:t>-</w:t>
            </w:r>
            <w:r>
              <w:rPr>
                <w:rFonts w:ascii="宋体" w:hAnsi="宋体" w:cs="宋体" w:eastAsia="宋体" w:hint="default"/>
                <w:sz w:val="18"/>
                <w:szCs w:val="18"/>
              </w:rPr>
              <w:t>增值税退税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146"/>
        <w:jc w:val="left"/>
      </w:pPr>
      <w:r>
        <w:rPr/>
        <w:t>组合中，采用其他方法计提坏账准备的：</w:t>
      </w:r>
    </w:p>
    <w:p>
      <w:pPr>
        <w:pStyle w:val="BodyText"/>
        <w:spacing w:line="240" w:lineRule="auto" w:before="117"/>
        <w:ind w:right="14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46"/>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pStyle w:val="BodyText"/>
        <w:spacing w:line="240" w:lineRule="auto"/>
        <w:ind w:left="0" w:right="179"/>
        <w:jc w:val="right"/>
      </w:pPr>
      <w:r>
        <w:rPr/>
        <w:pict>
          <v:shape style="position:absolute;margin-left:56.459999pt;margin-top:-18.528261pt;width:478.6pt;height:36.25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42"/>
                    <w:gridCol w:w="7715"/>
                  </w:tblGrid>
                  <w:tr>
                    <w:trPr>
                      <w:trHeight w:val="715"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7715"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23" w:right="11"/>
                          <w:jc w:val="left"/>
                          <w:rPr>
                            <w:rFonts w:ascii="宋体" w:hAnsi="宋体" w:cs="宋体" w:eastAsia="宋体" w:hint="default"/>
                            <w:sz w:val="18"/>
                            <w:szCs w:val="18"/>
                          </w:rPr>
                        </w:pPr>
                        <w:r>
                          <w:rPr>
                            <w:rFonts w:ascii="宋体" w:hAnsi="宋体" w:cs="宋体" w:eastAsia="宋体" w:hint="default"/>
                            <w:spacing w:val="-2"/>
                            <w:sz w:val="18"/>
                            <w:szCs w:val="18"/>
                          </w:rPr>
                          <w:t>对单项金额虽不重大，但已有客观证据表明其发生了减值的应收款项，按账龄分析法计提的坏账准</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备不能反映实际情况，本公司单独进行减值测试，结合现时情况分析法确定坏账准备计提的比例</w:t>
                        </w:r>
                      </w:p>
                    </w:tc>
                  </w:tr>
                </w:tbl>
                <w:p>
                  <w:pPr/>
                </w:p>
              </w:txbxContent>
            </v:textbox>
            <w10:wrap type="none"/>
          </v:shape>
        </w:pict>
      </w:r>
      <w:r>
        <w:rPr/>
        <w:t>。</w:t>
      </w:r>
    </w:p>
    <w:p>
      <w:pPr>
        <w:spacing w:line="240" w:lineRule="auto" w:before="4"/>
        <w:rPr>
          <w:rFonts w:ascii="宋体" w:hAnsi="宋体" w:cs="宋体" w:eastAsia="宋体" w:hint="default"/>
          <w:sz w:val="28"/>
          <w:szCs w:val="28"/>
        </w:rPr>
      </w:pPr>
    </w:p>
    <w:p>
      <w:pPr>
        <w:pStyle w:val="Heading3"/>
        <w:spacing w:line="240" w:lineRule="auto" w:before="36"/>
        <w:ind w:right="0"/>
        <w:jc w:val="both"/>
        <w:rPr>
          <w:b w:val="0"/>
          <w:bCs w:val="0"/>
        </w:rPr>
      </w:pPr>
      <w:r>
        <w:rPr>
          <w:rFonts w:ascii="Times New Roman" w:hAnsi="Times New Roman" w:cs="Times New Roman" w:eastAsia="Times New Roman" w:hint="default"/>
        </w:rPr>
        <w:t>11</w:t>
      </w:r>
      <w:r>
        <w:rPr/>
        <w:t>、存货</w:t>
      </w:r>
      <w:r>
        <w:rPr>
          <w:b w:val="0"/>
          <w:bCs w:val="0"/>
        </w:rPr>
      </w:r>
    </w:p>
    <w:p>
      <w:pPr>
        <w:spacing w:line="240" w:lineRule="auto" w:before="2"/>
        <w:rPr>
          <w:rFonts w:ascii="宋体" w:hAnsi="宋体" w:cs="宋体" w:eastAsia="宋体" w:hint="default"/>
          <w:b/>
          <w:bCs/>
          <w:sz w:val="26"/>
          <w:szCs w:val="26"/>
        </w:rPr>
      </w:pPr>
    </w:p>
    <w:p>
      <w:pPr>
        <w:pStyle w:val="BodyText"/>
        <w:spacing w:line="309" w:lineRule="auto"/>
        <w:ind w:left="513" w:right="4193"/>
        <w:jc w:val="left"/>
      </w:pPr>
      <w:r>
        <w:rPr>
          <w:rFonts w:ascii="Times New Roman" w:hAnsi="Times New Roman" w:cs="Times New Roman" w:eastAsia="Times New Roman" w:hint="default"/>
        </w:rPr>
        <w:t>(1)</w:t>
      </w:r>
      <w:r>
        <w:rPr/>
        <w:t>存货的分类</w:t>
      </w:r>
      <w:r>
        <w:rPr>
          <w:w w:val="99"/>
        </w:rPr>
        <w:t> </w:t>
      </w:r>
      <w:r>
        <w:rPr/>
        <w:t>存货分类为：原材料、半成品、库存商品、在产品、发出商品等。</w:t>
      </w:r>
      <w:r>
        <w:rPr>
          <w:w w:val="99"/>
        </w:rPr>
        <w:t> </w:t>
      </w:r>
      <w:r>
        <w:rPr>
          <w:rFonts w:ascii="Times New Roman" w:hAnsi="Times New Roman" w:cs="Times New Roman" w:eastAsia="Times New Roman" w:hint="default"/>
        </w:rPr>
        <w:t>(2)</w:t>
      </w:r>
      <w:r>
        <w:rPr/>
        <w:t>发出存货的计价方法</w:t>
      </w:r>
    </w:p>
    <w:p>
      <w:pPr>
        <w:pStyle w:val="BodyText"/>
        <w:spacing w:line="240" w:lineRule="auto" w:before="5"/>
        <w:ind w:left="513" w:right="146"/>
        <w:jc w:val="left"/>
      </w:pPr>
      <w:r>
        <w:rPr/>
        <w:t>存货发出时按加权平均法计价。</w:t>
      </w:r>
    </w:p>
    <w:p>
      <w:pPr>
        <w:pStyle w:val="BodyText"/>
        <w:spacing w:line="300" w:lineRule="auto" w:before="76"/>
        <w:ind w:left="513" w:right="146"/>
        <w:jc w:val="left"/>
      </w:pPr>
      <w:r>
        <w:rPr>
          <w:rFonts w:ascii="Times New Roman" w:hAnsi="Times New Roman" w:cs="Times New Roman" w:eastAsia="Times New Roman" w:hint="default"/>
        </w:rPr>
        <w:t>(3)</w:t>
      </w:r>
      <w:r>
        <w:rPr/>
        <w:t>不同类别存货可变现净值的确定依据</w:t>
      </w:r>
      <w:r>
        <w:rPr>
          <w:w w:val="99"/>
        </w:rPr>
        <w:t> </w:t>
      </w:r>
      <w:r>
        <w:rPr>
          <w:spacing w:val="-2"/>
        </w:rPr>
        <w:t>产成品、库存商品和用于出售的材料等直接用于出售的商品存货，在正常生产经营过程中，以该存货的估计售价减去估</w:t>
      </w:r>
    </w:p>
    <w:p>
      <w:pPr>
        <w:pStyle w:val="BodyText"/>
        <w:spacing w:line="316" w:lineRule="auto" w:before="31"/>
        <w:ind w:right="150"/>
        <w:jc w:val="both"/>
      </w:pPr>
      <w:r>
        <w:rPr>
          <w:spacing w:val="-2"/>
        </w:rPr>
        <w:t>计的销售费用和相关税费后的金额，确定其可变现净值；需要经过加工的材料存货，在正常生产经营过程中，以所生产的产</w:t>
      </w:r>
      <w:r>
        <w:rPr>
          <w:spacing w:val="-64"/>
        </w:rPr>
        <w:t> </w:t>
      </w:r>
      <w:r>
        <w:rPr>
          <w:spacing w:val="-64"/>
        </w:rPr>
      </w:r>
      <w:r>
        <w:rPr>
          <w:spacing w:val="-2"/>
        </w:rPr>
        <w:t>成品的估计售价减去至完工时估计将要发生的成本、估计的销售费用和相关税费后的金额，确定其可变现净值；为执行销售</w:t>
      </w:r>
      <w:r>
        <w:rPr>
          <w:spacing w:val="-66"/>
        </w:rPr>
        <w:t> </w:t>
      </w:r>
      <w:r>
        <w:rPr>
          <w:spacing w:val="-66"/>
        </w:rPr>
      </w:r>
      <w:r>
        <w:rPr>
          <w:spacing w:val="-2"/>
        </w:rPr>
        <w:t>合同或者劳务合同而持有的存货，其可变现净值以合同价格为基础计算，若持有存货的数量多于销售合同订购数量的，超出</w:t>
      </w:r>
      <w:r>
        <w:rPr>
          <w:spacing w:val="-63"/>
        </w:rPr>
        <w:t> </w:t>
      </w:r>
      <w:r>
        <w:rPr>
          <w:spacing w:val="-63"/>
        </w:rPr>
      </w:r>
      <w:r>
        <w:rPr/>
        <w:t>部分的存货的可变现净值以一般销售价格为基础计算。</w:t>
      </w:r>
    </w:p>
    <w:p>
      <w:pPr>
        <w:pStyle w:val="BodyText"/>
        <w:spacing w:line="316" w:lineRule="auto" w:before="19"/>
        <w:ind w:right="149" w:firstLine="360"/>
        <w:jc w:val="both"/>
      </w:pPr>
      <w:r>
        <w:rPr>
          <w:spacing w:val="-2"/>
        </w:rPr>
        <w:t>期末按照单个存货项目计提存货跌价准备；但对于数量繁多、单价较低的存货，按照存货类别计提存货跌价准备；与在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2"/>
        </w:rPr>
        <w:t> </w:t>
      </w:r>
      <w:r>
        <w:rPr>
          <w:spacing w:val="-62"/>
        </w:rPr>
      </w:r>
      <w:r>
        <w:rPr/>
        <w:t>货跌价准备。</w:t>
      </w:r>
    </w:p>
    <w:p>
      <w:pPr>
        <w:pStyle w:val="BodyText"/>
        <w:spacing w:line="316" w:lineRule="auto" w:before="19"/>
        <w:ind w:left="513" w:right="593"/>
        <w:jc w:val="left"/>
      </w:pPr>
      <w:r>
        <w:rPr/>
        <w:t>除有明确证据表明资产负债表日市场价格异常外，存货项目的可变现净值以资产负债表日市场价格为基础确定。 本期期末存货项目的可变现净值以资产负债表日市场价格为基础确定。</w:t>
      </w:r>
    </w:p>
    <w:p>
      <w:pPr>
        <w:pStyle w:val="BodyText"/>
        <w:spacing w:line="309" w:lineRule="auto" w:before="19"/>
        <w:ind w:left="513" w:right="6683"/>
        <w:jc w:val="left"/>
      </w:pPr>
      <w:r>
        <w:rPr>
          <w:rFonts w:ascii="Times New Roman" w:hAnsi="Times New Roman" w:cs="Times New Roman" w:eastAsia="Times New Roman" w:hint="default"/>
        </w:rPr>
        <w:t>(4)</w:t>
      </w:r>
      <w:r>
        <w:rPr/>
        <w:t>存货的盘存制度</w:t>
      </w:r>
      <w:r>
        <w:rPr>
          <w:w w:val="99"/>
        </w:rPr>
        <w:t> </w:t>
      </w:r>
      <w:r>
        <w:rPr/>
        <w:t>采用永续盘存制。</w:t>
      </w:r>
      <w:r>
        <w:rPr>
          <w:w w:val="99"/>
        </w:rPr>
        <w:t> </w:t>
      </w:r>
      <w:r>
        <w:rPr>
          <w:rFonts w:ascii="Times New Roman" w:hAnsi="Times New Roman" w:cs="Times New Roman" w:eastAsia="Times New Roman" w:hint="default"/>
        </w:rPr>
        <w:t>(5)</w:t>
      </w:r>
      <w:r>
        <w:rPr/>
        <w:t>低值易耗品和包装物的摊销方法</w:t>
      </w:r>
    </w:p>
    <w:p>
      <w:pPr>
        <w:pStyle w:val="BodyText"/>
        <w:spacing w:line="240" w:lineRule="auto" w:before="5"/>
        <w:ind w:left="513" w:right="146"/>
        <w:jc w:val="left"/>
      </w:pPr>
      <w:r>
        <w:rPr/>
        <w:t>①低值易耗品采用一次转销法；</w:t>
      </w:r>
    </w:p>
    <w:p>
      <w:pPr>
        <w:pStyle w:val="BodyText"/>
        <w:spacing w:line="240" w:lineRule="auto" w:before="76"/>
        <w:ind w:left="513" w:right="146"/>
        <w:jc w:val="left"/>
      </w:pPr>
      <w:r>
        <w:rPr/>
        <w:t>②包装物采用一次转销法。</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3" w:right="146"/>
        <w:jc w:val="left"/>
      </w:pPr>
      <w:r>
        <w:rPr>
          <w:rFonts w:ascii="Times New Roman" w:hAnsi="Times New Roman" w:cs="Times New Roman" w:eastAsia="Times New Roman" w:hint="default"/>
        </w:rPr>
        <w:t>(1)</w:t>
      </w:r>
      <w:r>
        <w:rPr/>
        <w:t>共同控制、重大影响的判断标准</w:t>
      </w:r>
      <w:r>
        <w:rPr>
          <w:w w:val="99"/>
        </w:rPr>
        <w:t> </w:t>
      </w:r>
      <w:r>
        <w:rPr>
          <w:spacing w:val="-2"/>
        </w:rPr>
        <w:t>共同控制，是指按照相关约定对某项安排所共有的控制，并且该安排的相关活动必须经过分享控制权的参与方一致同意</w:t>
      </w:r>
    </w:p>
    <w:p>
      <w:pPr>
        <w:pStyle w:val="BodyText"/>
        <w:spacing w:line="316" w:lineRule="auto" w:before="31"/>
        <w:ind w:right="153"/>
        <w:jc w:val="both"/>
      </w:pPr>
      <w:r>
        <w:rPr>
          <w:spacing w:val="-2"/>
        </w:rPr>
        <w:t>后才能决策。本公司与其他合营方一同对被投资单位实施共同控制且对被投资单位净资产享有权利的，被投资单位为本公司</w:t>
      </w:r>
      <w:r>
        <w:rPr>
          <w:spacing w:val="-64"/>
        </w:rPr>
        <w:t> </w:t>
      </w:r>
      <w:r>
        <w:rPr>
          <w:spacing w:val="-64"/>
        </w:rPr>
      </w:r>
      <w:r>
        <w:rPr/>
        <w:t>的合营企业。</w:t>
      </w:r>
    </w:p>
    <w:p>
      <w:pPr>
        <w:pStyle w:val="BodyText"/>
        <w:spacing w:line="316" w:lineRule="auto" w:before="19"/>
        <w:ind w:right="146" w:firstLine="360"/>
        <w:jc w:val="left"/>
      </w:pPr>
      <w:r>
        <w:rPr>
          <w:spacing w:val="-2"/>
        </w:rPr>
        <w:t>重大影响，是指对一个企业的财务和经营决策有参与决策的权力，但并不能够控制或者与其他方一起共同控制这些政策</w:t>
      </w:r>
      <w:r>
        <w:rPr/>
        <w:t> 的制定。本公司能够对被投资单位施加重大影响的，被投资单位为本公司联营企业。</w:t>
      </w:r>
    </w:p>
    <w:p>
      <w:pPr>
        <w:pStyle w:val="BodyText"/>
        <w:spacing w:line="240" w:lineRule="auto" w:before="19"/>
        <w:ind w:left="513" w:right="146"/>
        <w:jc w:val="left"/>
      </w:pPr>
      <w:r>
        <w:rPr>
          <w:rFonts w:ascii="Times New Roman" w:hAnsi="Times New Roman" w:cs="Times New Roman" w:eastAsia="Times New Roman" w:hint="default"/>
        </w:rPr>
        <w:t>(2)</w:t>
      </w:r>
      <w:r>
        <w:rPr/>
        <w:t>初始投资成本的确定</w:t>
      </w:r>
    </w:p>
    <w:p>
      <w:pPr>
        <w:pStyle w:val="BodyText"/>
        <w:spacing w:line="316" w:lineRule="auto" w:before="63"/>
        <w:ind w:left="513" w:right="146"/>
        <w:jc w:val="left"/>
      </w:pPr>
      <w:r>
        <w:rPr/>
        <w:t>①企业合并形成的长期股权投资 </w:t>
      </w:r>
      <w:r>
        <w:rPr>
          <w:spacing w:val="-2"/>
        </w:rPr>
        <w:t>同一控制下的企业合并：公司以支付现金、转让非现金资产或承担债务方式以及以发行权益性证券作为合并对价的，在</w:t>
      </w:r>
    </w:p>
    <w:p>
      <w:pPr>
        <w:pStyle w:val="BodyText"/>
        <w:spacing w:line="316" w:lineRule="auto" w:before="19"/>
        <w:ind w:right="152"/>
        <w:jc w:val="both"/>
      </w:pPr>
      <w:r>
        <w:rPr/>
        <w:t>合并日按照取得被合并方所有者权益在最终控制方合并财务报表中的账面价值的份额作为长期股权投资的初始投资成本</w:t>
      </w:r>
      <w:r>
        <w:rPr>
          <w:spacing w:val="-82"/>
        </w:rPr>
        <w:t>。</w:t>
      </w:r>
      <w:r>
        <w:rPr/>
        <w:t>因</w:t>
      </w:r>
      <w:r>
        <w:rPr/>
        <w:t> 追加投资等原因能够对同一控制下的被投资单位实施控制的</w:t>
      </w:r>
      <w:r>
        <w:rPr>
          <w:spacing w:val="-82"/>
        </w:rPr>
        <w:t>，</w:t>
      </w:r>
      <w:r>
        <w:rPr/>
        <w:t>在合并日根据合并后应享有被合并方净资产在最终控制方合并</w:t>
      </w:r>
    </w:p>
    <w:p>
      <w:pPr>
        <w:spacing w:after="0" w:line="316" w:lineRule="auto"/>
        <w:jc w:val="both"/>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19" w:lineRule="auto" w:before="44"/>
        <w:ind w:right="94"/>
        <w:jc w:val="left"/>
      </w:pPr>
      <w:r>
        <w:rPr>
          <w:spacing w:val="-2"/>
        </w:rPr>
        <w:t>财务报表中的账面价值的份额，确定长期股权投资的初始投资成本。合并日长期股权投资的初始投资成本，与达到合并前的</w:t>
      </w:r>
      <w:r>
        <w:rPr>
          <w:spacing w:val="-63"/>
        </w:rPr>
        <w:t> </w:t>
      </w:r>
      <w:r>
        <w:rPr>
          <w:spacing w:val="-63"/>
        </w:rPr>
      </w:r>
      <w:r>
        <w:rPr>
          <w:spacing w:val="-4"/>
        </w:rPr>
        <w:t>长期股权投资账面价值加上合并日进一步取得股份新支付对价的账面价值之和的差额，调整股本溢价，股本溢价不足冲减的，</w:t>
      </w:r>
      <w:r>
        <w:rPr>
          <w:spacing w:val="-44"/>
        </w:rPr>
        <w:t> </w:t>
      </w:r>
      <w:r>
        <w:rPr>
          <w:spacing w:val="-44"/>
        </w:rPr>
      </w:r>
      <w:r>
        <w:rPr/>
        <w:t>冲减留存收益。</w:t>
      </w:r>
    </w:p>
    <w:p>
      <w:pPr>
        <w:pStyle w:val="BodyText"/>
        <w:spacing w:line="316" w:lineRule="auto" w:before="17"/>
        <w:ind w:right="191" w:firstLine="360"/>
        <w:jc w:val="both"/>
      </w:pPr>
      <w:r>
        <w:rPr>
          <w:spacing w:val="-2"/>
        </w:rPr>
        <w:t>非同一控制下的企业合并：公司按照购买日确定的合并成本作为长期股权投资的初始投资成本。因追加投资等原因能够</w:t>
      </w:r>
      <w:r>
        <w:rPr/>
        <w:t> </w:t>
      </w:r>
      <w:r>
        <w:rPr>
          <w:spacing w:val="-2"/>
        </w:rPr>
        <w:t>对非同一控制下的被投资单位实施控制的，按照原持有的股权投资账面价值加上新增投资成本之和，作为改按成本法核算的</w:t>
      </w:r>
      <w:r>
        <w:rPr>
          <w:spacing w:val="-64"/>
        </w:rPr>
        <w:t> </w:t>
      </w:r>
      <w:r>
        <w:rPr>
          <w:spacing w:val="-64"/>
        </w:rPr>
      </w:r>
      <w:r>
        <w:rPr/>
        <w:t>初始投资成本。</w:t>
      </w:r>
    </w:p>
    <w:p>
      <w:pPr>
        <w:pStyle w:val="BodyText"/>
        <w:spacing w:line="316" w:lineRule="auto" w:before="19"/>
        <w:ind w:left="513" w:right="2073"/>
        <w:jc w:val="left"/>
      </w:pPr>
      <w:r>
        <w:rPr/>
        <w:t>②其他方式取得的长期股权投资 以支付现金方式取得的长期股权投资，按照实际支付的购买价款作为初始投资成本。 以发行权益性证券取得的长期股权投资，按照发行权益性证券的公允价值作为初始投资成本。</w:t>
      </w:r>
    </w:p>
    <w:p>
      <w:pPr>
        <w:pStyle w:val="BodyText"/>
        <w:spacing w:line="316" w:lineRule="auto" w:before="19"/>
        <w:ind w:right="191" w:firstLine="360"/>
        <w:jc w:val="both"/>
      </w:pPr>
      <w:r>
        <w:rPr>
          <w:spacing w:val="-2"/>
        </w:rPr>
        <w:t>在非货币性资产交换具备商业实质和换入资产或换出资产的公允价值能够可靠计量的前提下，非货币性资产交换换入的</w:t>
      </w:r>
      <w:r>
        <w:rPr/>
        <w:t> </w:t>
      </w:r>
      <w:r>
        <w:rPr>
          <w:spacing w:val="-2"/>
        </w:rPr>
        <w:t>长期股权投资以换出资产的公允价值和应支付的相关税费确定其初始投资成本，除非有确凿证据表明换入资产的公允价值更</w:t>
      </w:r>
      <w:r>
        <w:rPr>
          <w:spacing w:val="-63"/>
        </w:rPr>
        <w:t> </w:t>
      </w:r>
      <w:r>
        <w:rPr>
          <w:spacing w:val="-63"/>
        </w:rPr>
      </w:r>
      <w:r>
        <w:rPr>
          <w:spacing w:val="-2"/>
        </w:rPr>
        <w:t>加可靠；不满足上述前提的非货币性资产交换，以换出资产的账面价值和应支付的相关税费作为换入长期股权投资的初始投</w:t>
      </w:r>
      <w:r>
        <w:rPr>
          <w:spacing w:val="-64"/>
        </w:rPr>
        <w:t> </w:t>
      </w:r>
      <w:r>
        <w:rPr>
          <w:spacing w:val="-64"/>
        </w:rPr>
      </w:r>
      <w:r>
        <w:rPr/>
        <w:t>资成本。</w:t>
      </w:r>
    </w:p>
    <w:p>
      <w:pPr>
        <w:pStyle w:val="BodyText"/>
        <w:spacing w:line="240" w:lineRule="auto" w:before="19"/>
        <w:ind w:left="513" w:right="94"/>
        <w:jc w:val="left"/>
      </w:pPr>
      <w:r>
        <w:rPr/>
        <w:t>通过债务重组取得的长期股权投资，其初始投资成本按照公允价值为基础确定。</w:t>
      </w:r>
    </w:p>
    <w:p>
      <w:pPr>
        <w:pStyle w:val="BodyText"/>
        <w:spacing w:line="240" w:lineRule="auto" w:before="76"/>
        <w:ind w:left="513" w:right="94"/>
        <w:jc w:val="left"/>
      </w:pPr>
      <w:r>
        <w:rPr>
          <w:rFonts w:ascii="Times New Roman" w:hAnsi="Times New Roman" w:cs="Times New Roman" w:eastAsia="Times New Roman" w:hint="default"/>
        </w:rPr>
        <w:t>(3)</w:t>
      </w:r>
      <w:r>
        <w:rPr/>
        <w:t>后续计量及损益确认方法</w:t>
      </w:r>
    </w:p>
    <w:p>
      <w:pPr>
        <w:pStyle w:val="BodyText"/>
        <w:spacing w:line="316" w:lineRule="auto" w:before="63"/>
        <w:ind w:left="513" w:right="94"/>
        <w:jc w:val="left"/>
      </w:pPr>
      <w:r>
        <w:rPr/>
        <w:t>①成本法核算的长期股权投资 </w:t>
      </w:r>
      <w:r>
        <w:rPr>
          <w:spacing w:val="-2"/>
        </w:rPr>
        <w:t>公司对子公司的长期股权投资，采用成本法核算。除取得投资时实际支付的价款或对价中包含的已宣告但尚未发放的现</w:t>
      </w:r>
    </w:p>
    <w:p>
      <w:pPr>
        <w:pStyle w:val="BodyText"/>
        <w:spacing w:line="240" w:lineRule="auto" w:before="19"/>
        <w:ind w:right="94"/>
        <w:jc w:val="left"/>
      </w:pPr>
      <w:r>
        <w:rPr/>
        <w:t>金股利或利润外，公司按照享有被投资单位宣告发放的现金股利或利润确认当期投资收益。</w:t>
      </w:r>
    </w:p>
    <w:p>
      <w:pPr>
        <w:pStyle w:val="BodyText"/>
        <w:spacing w:line="316" w:lineRule="auto" w:before="76"/>
        <w:ind w:left="513" w:right="94"/>
        <w:jc w:val="left"/>
      </w:pPr>
      <w:r>
        <w:rPr/>
        <w:t>②权益法核算的长期股权投资 </w:t>
      </w:r>
      <w:r>
        <w:rPr>
          <w:spacing w:val="-2"/>
        </w:rPr>
        <w:t>对联营企业和合营企业的长期股权投资，采用权益法核算。初始投资成本大于投资时应享有被投资单位可辨认净资产公</w:t>
      </w:r>
    </w:p>
    <w:p>
      <w:pPr>
        <w:pStyle w:val="BodyText"/>
        <w:spacing w:line="316" w:lineRule="auto" w:before="19"/>
        <w:ind w:right="94"/>
        <w:jc w:val="left"/>
      </w:pPr>
      <w:r>
        <w:rPr>
          <w:spacing w:val="-2"/>
        </w:rPr>
        <w:t>允价值份额的差额，不调整长期股权投资的初始投资成本；初始投资成本小于投资时应享有被投资单位可辨认净资产公允价</w:t>
      </w:r>
      <w:r>
        <w:rPr>
          <w:spacing w:val="-64"/>
        </w:rPr>
        <w:t> </w:t>
      </w:r>
      <w:r>
        <w:rPr>
          <w:spacing w:val="-64"/>
        </w:rPr>
      </w:r>
      <w:r>
        <w:rPr/>
        <w:t>值份额的差额，计入当期损益。</w:t>
      </w:r>
    </w:p>
    <w:p>
      <w:pPr>
        <w:pStyle w:val="BodyText"/>
        <w:spacing w:line="319" w:lineRule="auto" w:before="19"/>
        <w:ind w:right="189" w:firstLine="360"/>
        <w:jc w:val="both"/>
      </w:pPr>
      <w:r>
        <w:rPr>
          <w:spacing w:val="-2"/>
        </w:rPr>
        <w:t>公司按照应享有或应分担的被投资单位实现的净损益和其他综合收益的份额，分别确认投资收益和其他综合收益，同时</w:t>
      </w:r>
      <w:r>
        <w:rPr/>
        <w:t> </w:t>
      </w:r>
      <w:r>
        <w:rPr>
          <w:spacing w:val="-2"/>
        </w:rPr>
        <w:t>调整长期股权投资的账面价值；按照被投资单位宣告分派的利润或现金股利计算应享有的部分，相应减少长期股权投资的账</w:t>
      </w:r>
      <w:r>
        <w:rPr>
          <w:spacing w:val="-64"/>
        </w:rPr>
        <w:t> </w:t>
      </w:r>
      <w:r>
        <w:rPr>
          <w:spacing w:val="-64"/>
        </w:rPr>
      </w:r>
      <w:r>
        <w:rPr>
          <w:spacing w:val="-2"/>
        </w:rPr>
        <w:t>面价值；对于被投资单位除净损益、其他综合收益和利润分配以外所有者权益的其他变动，调整长期股权投资的账面价值并</w:t>
      </w:r>
      <w:r>
        <w:rPr>
          <w:spacing w:val="-62"/>
        </w:rPr>
        <w:t> </w:t>
      </w:r>
      <w:r>
        <w:rPr>
          <w:spacing w:val="-62"/>
        </w:rPr>
      </w:r>
      <w:r>
        <w:rPr/>
        <w:t>计入所有者权益。</w:t>
      </w:r>
    </w:p>
    <w:p>
      <w:pPr>
        <w:pStyle w:val="BodyText"/>
        <w:spacing w:line="316" w:lineRule="auto" w:before="17"/>
        <w:ind w:right="191" w:firstLine="360"/>
        <w:jc w:val="both"/>
      </w:pPr>
      <w:r>
        <w:rPr>
          <w:spacing w:val="-2"/>
        </w:rPr>
        <w:t>在确认应享有被投资单位净损益的份额时，以取得投资时被投资单位可辨认净资产的公允价值为基础，并按照公司的会</w:t>
      </w:r>
      <w:r>
        <w:rPr/>
        <w:t> </w:t>
      </w:r>
      <w:r>
        <w:rPr>
          <w:spacing w:val="-2"/>
        </w:rPr>
        <w:t>计政策及会计期间，对被投资单位的净利润进行调整后确认。在持有投资期间，被投资单位编制合并财务报表的，以合并财</w:t>
      </w:r>
      <w:r>
        <w:rPr>
          <w:spacing w:val="-64"/>
        </w:rPr>
        <w:t> </w:t>
      </w:r>
      <w:r>
        <w:rPr>
          <w:spacing w:val="-64"/>
        </w:rPr>
      </w:r>
      <w:r>
        <w:rPr/>
        <w:t>务报表中的净利润、其他综合收益和其他所有者权益变动中归属于被投资单位的金额为基础进行核算。</w:t>
      </w:r>
    </w:p>
    <w:p>
      <w:pPr>
        <w:pStyle w:val="BodyText"/>
        <w:spacing w:line="312" w:lineRule="auto" w:before="19"/>
        <w:ind w:right="190" w:firstLine="360"/>
        <w:jc w:val="both"/>
      </w:pPr>
      <w:r>
        <w:rPr>
          <w:spacing w:val="-2"/>
        </w:rPr>
        <w:t>公司与联营企业、合营企业之间发生的未实现内部交易损益按照应享有的比例计算归属于公司的部分，予以抵销，在此</w:t>
      </w:r>
      <w:r>
        <w:rPr/>
        <w:t> </w:t>
      </w:r>
      <w:r>
        <w:rPr>
          <w:spacing w:val="-2"/>
        </w:rPr>
        <w:t>基础上确认投资收益。与被投资单位发生的未实现内部交易损失，属于资产减值损失的，全额确认。公司与联营企业、合营</w:t>
      </w:r>
      <w:r>
        <w:rPr>
          <w:spacing w:val="-67"/>
        </w:rPr>
        <w:t> </w:t>
      </w:r>
      <w:r>
        <w:rPr>
          <w:spacing w:val="-67"/>
        </w:rPr>
      </w:r>
      <w:r>
        <w:rPr/>
        <w:t>企业之间发生投出或出售资产的交易，该资产构成业务的，按照本财务报告“五、</w:t>
      </w:r>
      <w:r>
        <w:rPr>
          <w:rFonts w:ascii="Times New Roman" w:hAnsi="Times New Roman" w:cs="Times New Roman" w:eastAsia="Times New Roman" w:hint="default"/>
        </w:rPr>
        <w:t>5</w:t>
      </w:r>
      <w:r>
        <w:rPr/>
        <w:t>、同一控制下和非同一控制下企业合并 的会计处理方法”和“五、</w:t>
      </w:r>
      <w:r>
        <w:rPr>
          <w:rFonts w:ascii="Times New Roman" w:hAnsi="Times New Roman" w:cs="Times New Roman" w:eastAsia="Times New Roman" w:hint="default"/>
        </w:rPr>
        <w:t>6</w:t>
      </w:r>
      <w:r>
        <w:rPr/>
        <w:t>、合并财务报表的编制方法”中披露的相关政策进行会计处理。</w:t>
      </w:r>
    </w:p>
    <w:p>
      <w:pPr>
        <w:pStyle w:val="BodyText"/>
        <w:spacing w:line="316" w:lineRule="auto" w:before="3"/>
        <w:ind w:right="94" w:firstLine="360"/>
        <w:jc w:val="left"/>
      </w:pPr>
      <w:r>
        <w:rPr>
          <w:spacing w:val="-2"/>
        </w:rPr>
        <w:t>在公司确认应分担被投资单位发生的亏损时，按照以下顺序进行处理：首先，冲减长期股权投资的账面价值。其次，长</w:t>
      </w:r>
      <w:r>
        <w:rPr/>
        <w:t> 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r>
        <w:rPr>
          <w:spacing w:val="-65"/>
        </w:rPr>
        <w:t> </w:t>
      </w:r>
      <w:r>
        <w:rPr>
          <w:spacing w:val="-65"/>
        </w:rPr>
      </w:r>
      <w:r>
        <w:rPr/>
        <w:t>务确认预计负债，计入当期投资损失。</w:t>
      </w:r>
    </w:p>
    <w:p>
      <w:pPr>
        <w:pStyle w:val="BodyText"/>
        <w:spacing w:line="316" w:lineRule="auto" w:before="19"/>
        <w:ind w:left="513" w:right="3693"/>
        <w:jc w:val="left"/>
      </w:pPr>
      <w:r>
        <w:rPr/>
        <w:t>③长期股权投资的处置 处置长期股权投资，其账面价值与实际取得价款的差额，计入当期损益。</w:t>
      </w:r>
    </w:p>
    <w:p>
      <w:pPr>
        <w:pStyle w:val="BodyText"/>
        <w:spacing w:line="316" w:lineRule="auto" w:before="19"/>
        <w:ind w:right="192" w:firstLine="360"/>
        <w:jc w:val="both"/>
      </w:pPr>
      <w:r>
        <w:rPr>
          <w:spacing w:val="-2"/>
        </w:rPr>
        <w:t>采用权益法核算的长期股权投资，在处置该项投资时，采用与被投资单位直接处置相关资产或负债相同的基础，按相应</w:t>
      </w:r>
      <w:r>
        <w:rPr/>
        <w:t> </w:t>
      </w:r>
      <w:r>
        <w:rPr>
          <w:spacing w:val="-2"/>
        </w:rPr>
        <w:t>比例对原计入其他综合收益的部分进行会计处理。因被投资单位除净损益、其他综合收益和利润分配以外的其他所有者权益</w:t>
      </w:r>
      <w:r>
        <w:rPr>
          <w:spacing w:val="-64"/>
        </w:rPr>
        <w:t> </w:t>
      </w:r>
      <w:r>
        <w:rPr>
          <w:spacing w:val="-64"/>
        </w:rPr>
      </w:r>
      <w:r>
        <w:rPr>
          <w:spacing w:val="-2"/>
        </w:rPr>
        <w:t>变动而确认的所有者权益，按比例结转入当期损益，由于被投资方重新计量设定受益计划净负债或净资产变动而产生的其他</w:t>
      </w:r>
      <w:r>
        <w:rPr>
          <w:spacing w:val="-64"/>
        </w:rPr>
        <w:t> </w:t>
      </w:r>
      <w:r>
        <w:rPr>
          <w:spacing w:val="-64"/>
        </w:rPr>
      </w:r>
      <w:r>
        <w:rPr/>
        <w:t>综合收益除外。</w:t>
      </w:r>
    </w:p>
    <w:p>
      <w:pPr>
        <w:pStyle w:val="BodyText"/>
        <w:spacing w:line="240" w:lineRule="auto" w:before="18"/>
        <w:ind w:left="513" w:right="94"/>
        <w:jc w:val="left"/>
      </w:pPr>
      <w:r>
        <w:rPr/>
        <w:t>因处置部分股权投资等原因丧失了对被投资单位的共同控制或重大影响的</w:t>
      </w:r>
      <w:r>
        <w:rPr>
          <w:spacing w:val="-82"/>
        </w:rPr>
        <w:t>，</w:t>
      </w:r>
      <w:r>
        <w:rPr/>
        <w:t>处置后的剩余股权改按金融工具确认和计量</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94"/>
        <w:jc w:val="left"/>
      </w:pP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因被投资方除净损益、其他综合收益和利润分配以外的其他所有者权益变动而确认的所有者权益，在终止采用权益法核算时</w:t>
      </w:r>
      <w:r>
        <w:rPr>
          <w:spacing w:val="-64"/>
        </w:rPr>
        <w:t> </w:t>
      </w:r>
      <w:r>
        <w:rPr>
          <w:spacing w:val="-64"/>
        </w:rPr>
      </w:r>
      <w:r>
        <w:rPr/>
        <w:t>全部转入当期损益。</w:t>
      </w:r>
    </w:p>
    <w:p>
      <w:pPr>
        <w:pStyle w:val="BodyText"/>
        <w:spacing w:line="316" w:lineRule="auto" w:before="17"/>
        <w:ind w:right="191" w:firstLine="360"/>
        <w:jc w:val="both"/>
      </w:pPr>
      <w:r>
        <w:rPr>
          <w:spacing w:val="-2"/>
        </w:rPr>
        <w:t>因处置部分股权投资等原因丧失了对被投资单位控制权的，在编制个别财务报表时，处置后的剩余股权能够对被投资单</w:t>
      </w:r>
      <w:r>
        <w:rPr/>
        <w:t> </w:t>
      </w:r>
      <w:r>
        <w:rPr>
          <w:spacing w:val="-2"/>
        </w:rPr>
        <w:t>位实施共同控制或重大影响的，改按权益法核算，并对该剩余股权视同自取得时即采用权益法核算进行调整；处置后的剩余</w:t>
      </w:r>
      <w:r>
        <w:rPr>
          <w:spacing w:val="-66"/>
        </w:rPr>
        <w:t> </w:t>
      </w:r>
      <w:r>
        <w:rPr>
          <w:spacing w:val="-66"/>
        </w:rPr>
      </w:r>
      <w:r>
        <w:rPr>
          <w:spacing w:val="-2"/>
        </w:rPr>
        <w:t>股权不能对被投资单位实施共同控制或施加重大影响的，改按金融工具确认和计量准则的有关规定进行会计处理，其在丧失</w:t>
      </w:r>
      <w:r>
        <w:rPr>
          <w:spacing w:val="-64"/>
        </w:rPr>
        <w:t> </w:t>
      </w:r>
      <w:r>
        <w:rPr>
          <w:spacing w:val="-64"/>
        </w:rPr>
      </w:r>
      <w:r>
        <w:rPr/>
        <w:t>控制之日的公允价值与账面价值间的差额计入当期损益。</w:t>
      </w:r>
    </w:p>
    <w:p>
      <w:pPr>
        <w:pStyle w:val="BodyText"/>
        <w:spacing w:line="316" w:lineRule="auto" w:before="19"/>
        <w:ind w:right="191" w:firstLine="360"/>
        <w:jc w:val="both"/>
      </w:pPr>
      <w:r>
        <w:rPr>
          <w:spacing w:val="-2"/>
        </w:rPr>
        <w:t>处置的股权是因追加投资等原因通过企业合并取得的，在编制个别财务报表时，处置后的剩余股权采用成本法或权益法</w:t>
      </w:r>
      <w:r>
        <w:rPr/>
        <w:t> </w:t>
      </w:r>
      <w:r>
        <w:rPr>
          <w:spacing w:val="-2"/>
        </w:rPr>
        <w:t>核算的，购买日之前持有的股权投资因采用权益法核算而确认的其他综合收益和其他所有者权益按比例结转；处置后的剩余</w:t>
      </w:r>
      <w:r>
        <w:rPr>
          <w:spacing w:val="-62"/>
        </w:rPr>
        <w:t> </w:t>
      </w:r>
      <w:r>
        <w:rPr>
          <w:spacing w:val="-62"/>
        </w:rPr>
      </w:r>
      <w:r>
        <w:rPr/>
        <w:t>股权改按金融工具确认和计量准则进行会计处理的，其他综合收益和其他所有者权益全部结转。</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right="8014"/>
        <w:jc w:val="left"/>
      </w:pPr>
      <w:r>
        <w:rPr/>
        <w:t>投资性房地产计量模式 不适用</w:t>
      </w:r>
    </w:p>
    <w:p>
      <w:pPr>
        <w:spacing w:line="240" w:lineRule="auto" w:before="6"/>
        <w:rPr>
          <w:rFonts w:ascii="宋体" w:hAnsi="宋体" w:cs="宋体" w:eastAsia="宋体" w:hint="default"/>
          <w:sz w:val="20"/>
          <w:szCs w:val="20"/>
        </w:rPr>
      </w:pPr>
    </w:p>
    <w:p>
      <w:pPr>
        <w:pStyle w:val="Heading3"/>
        <w:spacing w:line="240" w:lineRule="auto"/>
        <w:ind w:right="94"/>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3" w:firstLine="360"/>
        <w:jc w:val="both"/>
      </w:pPr>
      <w:r>
        <w:rPr>
          <w:spacing w:val="-2"/>
        </w:rPr>
        <w:t>固定资产指为生产商品、提供劳务、出租或经营管理而持有，并且使用寿命超过一个会计年度的有形资产。固定资产在</w:t>
      </w:r>
      <w:r>
        <w:rPr/>
        <w:t> 同时满足下列条件时予以确认：①与该固定资产有关的经济利益很可能流入企业；②该固定资产的成本能够可靠地计量。</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5"/>
        <w:gridCol w:w="1914"/>
        <w:gridCol w:w="1925"/>
        <w:gridCol w:w="1892"/>
      </w:tblGrid>
      <w:tr>
        <w:trPr>
          <w:trHeight w:val="396"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8" w:hRule="exact"/>
        </w:trPr>
        <w:tc>
          <w:tcPr>
            <w:tcW w:w="191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6"/>
              <w:ind w:left="22" w:right="0"/>
              <w:jc w:val="left"/>
              <w:rPr>
                <w:rFonts w:ascii="Times New Roman" w:hAnsi="Times New Roman" w:cs="Times New Roman" w:eastAsia="Times New Roman" w:hint="default"/>
                <w:sz w:val="18"/>
                <w:szCs w:val="18"/>
              </w:rPr>
            </w:pPr>
            <w:r>
              <w:rPr>
                <w:rFonts w:ascii="Times New Roman"/>
                <w:sz w:val="18"/>
              </w:rPr>
              <w:t>20</w:t>
            </w:r>
          </w:p>
        </w:tc>
        <w:tc>
          <w:tcPr>
            <w:tcW w:w="1925" w:type="dxa"/>
            <w:tcBorders>
              <w:top w:val="single" w:sz="4" w:space="0" w:color="000000"/>
              <w:left w:val="single" w:sz="4" w:space="0" w:color="000000"/>
              <w:bottom w:val="single" w:sz="4" w:space="0" w:color="000000"/>
              <w:right w:val="single" w:sz="13" w:space="0" w:color="C7EBCC"/>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5.00%</w:t>
            </w:r>
          </w:p>
        </w:tc>
        <w:tc>
          <w:tcPr>
            <w:tcW w:w="1892"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sz w:val="18"/>
              </w:rPr>
              <w:t>4.75%</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25" w:type="dxa"/>
            <w:tcBorders>
              <w:top w:val="single" w:sz="4" w:space="0" w:color="000000"/>
              <w:left w:val="single" w:sz="4" w:space="0" w:color="000000"/>
              <w:bottom w:val="single" w:sz="4" w:space="0" w:color="000000"/>
              <w:right w:val="single" w:sz="13" w:space="0" w:color="C7EBCC"/>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1892"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25" w:type="dxa"/>
            <w:tcBorders>
              <w:top w:val="single" w:sz="4" w:space="0" w:color="000000"/>
              <w:left w:val="single" w:sz="4" w:space="0" w:color="000000"/>
              <w:bottom w:val="single" w:sz="4" w:space="0" w:color="000000"/>
              <w:right w:val="single" w:sz="13" w:space="0" w:color="C7EBCC"/>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1892"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19%</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柜员机</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w:t>
            </w:r>
          </w:p>
        </w:tc>
        <w:tc>
          <w:tcPr>
            <w:tcW w:w="1925" w:type="dxa"/>
            <w:tcBorders>
              <w:top w:val="single" w:sz="4" w:space="0" w:color="000000"/>
              <w:left w:val="single" w:sz="4" w:space="0" w:color="000000"/>
              <w:bottom w:val="single" w:sz="4" w:space="0" w:color="000000"/>
              <w:right w:val="single" w:sz="13" w:space="0" w:color="C7EBCC"/>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1892"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11.875%</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25" w:type="dxa"/>
            <w:tcBorders>
              <w:top w:val="single" w:sz="4" w:space="0" w:color="000000"/>
              <w:left w:val="single" w:sz="4" w:space="0" w:color="000000"/>
              <w:bottom w:val="single" w:sz="4" w:space="0" w:color="000000"/>
              <w:right w:val="single" w:sz="13" w:space="0" w:color="C7EBCC"/>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1892"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19%</w:t>
            </w:r>
          </w:p>
        </w:tc>
      </w:tr>
    </w:tbl>
    <w:p>
      <w:pPr>
        <w:pStyle w:val="BodyText"/>
        <w:spacing w:line="316" w:lineRule="auto" w:before="8"/>
        <w:ind w:right="190" w:firstLine="360"/>
        <w:jc w:val="both"/>
      </w:pPr>
      <w:r>
        <w:rPr>
          <w:spacing w:val="-2"/>
        </w:rPr>
        <w:t>固定资产折旧采用年限平均法分类计提，根据固定资产类别、预计使用寿命和预计净残值率确定折旧率。如固定资产各</w:t>
      </w:r>
      <w:r>
        <w:rPr/>
        <w:t> 组成部分的使用寿命不同或者以不同方式为企业提供经济利益，则选择不同折旧率或折旧方法，分别计提折旧。</w:t>
      </w:r>
    </w:p>
    <w:p>
      <w:pPr>
        <w:pStyle w:val="BodyText"/>
        <w:spacing w:line="319" w:lineRule="auto" w:before="19"/>
        <w:ind w:right="192" w:firstLine="360"/>
        <w:jc w:val="both"/>
      </w:pPr>
      <w:r>
        <w:rPr>
          <w:spacing w:val="-2"/>
        </w:rPr>
        <w:t>融资租赁方式租入的固定资产，能合理确定租赁期届满时将会取得租赁资产所有权的，在租赁资产尚可使用年限内计提</w:t>
      </w:r>
      <w:r>
        <w:rPr/>
        <w:t> </w:t>
      </w:r>
      <w:r>
        <w:rPr>
          <w:spacing w:val="-2"/>
        </w:rPr>
        <w:t>折旧；无法合理确定租赁期届满时能够取得租赁资产所有权的，在租赁期与租赁资产尚可使用年限两者中较短的期间内计提</w:t>
      </w:r>
      <w:r>
        <w:rPr>
          <w:spacing w:val="-64"/>
        </w:rPr>
        <w:t> </w:t>
      </w:r>
      <w:r>
        <w:rPr>
          <w:spacing w:val="-64"/>
        </w:rPr>
      </w:r>
      <w:r>
        <w:rPr/>
        <w:t>折旧。</w:t>
      </w:r>
    </w:p>
    <w:p>
      <w:pPr>
        <w:spacing w:line="240" w:lineRule="auto" w:before="9"/>
        <w:rPr>
          <w:rFonts w:ascii="宋体" w:hAnsi="宋体" w:cs="宋体" w:eastAsia="宋体" w:hint="default"/>
          <w:sz w:val="22"/>
          <w:szCs w:val="22"/>
        </w:rPr>
      </w:pPr>
    </w:p>
    <w:p>
      <w:pPr>
        <w:pStyle w:val="Heading3"/>
        <w:spacing w:line="240" w:lineRule="auto"/>
        <w:ind w:right="94"/>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4"/>
        <w:jc w:val="left"/>
      </w:pPr>
      <w:r>
        <w:rPr/>
        <w:t>公司与租赁方所签订的租赁协议条款中规定了下列条件之一的，确认为融资租入资产：</w:t>
      </w:r>
    </w:p>
    <w:p>
      <w:pPr>
        <w:pStyle w:val="BodyText"/>
        <w:spacing w:line="240" w:lineRule="auto" w:before="76"/>
        <w:ind w:left="513" w:right="94"/>
        <w:jc w:val="left"/>
      </w:pPr>
      <w:r>
        <w:rPr/>
        <w:t>①租赁期满后租赁资产的所有权归属于本公司；</w:t>
      </w:r>
    </w:p>
    <w:p>
      <w:pPr>
        <w:pStyle w:val="BodyText"/>
        <w:spacing w:line="240" w:lineRule="auto" w:before="74"/>
        <w:ind w:left="513" w:right="94"/>
        <w:jc w:val="left"/>
      </w:pPr>
      <w:r>
        <w:rPr/>
        <w:t>②公司具有购买资产的选择权，购买价款远低于行使选择权时该资产的公允价值；</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left="513" w:right="94"/>
        <w:jc w:val="left"/>
      </w:pPr>
      <w:r>
        <w:rPr/>
        <w:t>③租赁期占所租赁资产使用寿命的大部分；</w:t>
      </w:r>
    </w:p>
    <w:p>
      <w:pPr>
        <w:pStyle w:val="BodyText"/>
        <w:spacing w:line="316" w:lineRule="auto" w:before="77"/>
        <w:ind w:left="513" w:right="94"/>
        <w:jc w:val="left"/>
      </w:pPr>
      <w:r>
        <w:rPr/>
        <w:t>④租赁开始日的最低租赁付款额现值，与该资产的公允价值不存在较大的差异。 </w:t>
      </w:r>
      <w:r>
        <w:rPr>
          <w:spacing w:val="-2"/>
        </w:rPr>
        <w:t>公司在承租开始日，将租赁资产公允价值与最低租赁付款额现值两者中较低者作为租入资产的入账价值，将最低租赁付</w:t>
      </w:r>
    </w:p>
    <w:p>
      <w:pPr>
        <w:pStyle w:val="BodyText"/>
        <w:spacing w:line="240" w:lineRule="auto" w:before="19"/>
        <w:ind w:right="94"/>
        <w:jc w:val="left"/>
      </w:pPr>
      <w:r>
        <w:rPr/>
        <w:t>款额作为长期应付款的入账价值，其差额作为未确认的融资费。</w:t>
      </w:r>
    </w:p>
    <w:p>
      <w:pPr>
        <w:spacing w:line="240" w:lineRule="auto" w:before="0"/>
        <w:rPr>
          <w:rFonts w:ascii="宋体" w:hAnsi="宋体" w:cs="宋体" w:eastAsia="宋体" w:hint="default"/>
          <w:sz w:val="18"/>
          <w:szCs w:val="18"/>
        </w:rPr>
      </w:pPr>
    </w:p>
    <w:p>
      <w:pPr>
        <w:pStyle w:val="Heading3"/>
        <w:spacing w:line="240" w:lineRule="auto" w:before="120"/>
        <w:ind w:right="94"/>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1" w:firstLine="360"/>
        <w:jc w:val="both"/>
      </w:pPr>
      <w:r>
        <w:rPr>
          <w:spacing w:val="-2"/>
        </w:rPr>
        <w:t>在建工程项目按建造该项资产达到预定可使用状态前所发生的必要支出，作为固定资产的入账价值。所建造的固定资产</w:t>
      </w:r>
      <w:r>
        <w:rPr/>
        <w:t> </w:t>
      </w:r>
      <w:r>
        <w:rPr>
          <w:spacing w:val="-2"/>
        </w:rPr>
        <w:t>在工程已达到预定可使用状态，但尚未办理竣工决算的，自达到预定可使用状态之日起，根据工程预算、造价或者工程实际</w:t>
      </w:r>
      <w:r>
        <w:rPr>
          <w:spacing w:val="-64"/>
        </w:rPr>
        <w:t> </w:t>
      </w:r>
      <w:r>
        <w:rPr>
          <w:spacing w:val="-64"/>
        </w:rPr>
      </w:r>
      <w:r>
        <w:rPr>
          <w:spacing w:val="-2"/>
        </w:rPr>
        <w:t>成本等，按估计的价值转入固定资产，并按本公司固定资产折旧政策计提固定资产的折旧，待办理竣工决算后，再按实际成</w:t>
      </w:r>
      <w:r>
        <w:rPr>
          <w:spacing w:val="-64"/>
        </w:rPr>
        <w:t> </w:t>
      </w:r>
      <w:r>
        <w:rPr>
          <w:spacing w:val="-64"/>
        </w:rPr>
      </w:r>
      <w:r>
        <w:rPr/>
        <w:t>本调整原来的暂估价值，但不调整原已计提的折旧额。</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2"/>
        <w:rPr>
          <w:rFonts w:ascii="宋体" w:hAnsi="宋体" w:cs="宋体" w:eastAsia="宋体" w:hint="default"/>
          <w:b/>
          <w:bCs/>
          <w:sz w:val="26"/>
          <w:szCs w:val="26"/>
        </w:rPr>
      </w:pPr>
    </w:p>
    <w:p>
      <w:pPr>
        <w:pStyle w:val="BodyText"/>
        <w:spacing w:line="309" w:lineRule="auto"/>
        <w:ind w:left="513" w:right="94"/>
        <w:jc w:val="left"/>
      </w:pPr>
      <w:r>
        <w:rPr>
          <w:rFonts w:ascii="Times New Roman" w:hAnsi="Times New Roman" w:cs="Times New Roman" w:eastAsia="Times New Roman" w:hint="default"/>
        </w:rPr>
        <w:t>(1)</w:t>
      </w:r>
      <w:r>
        <w:rPr/>
        <w:t>借款费用资本化的确认原则</w:t>
      </w:r>
      <w:r>
        <w:rPr>
          <w:w w:val="99"/>
        </w:rPr>
        <w:t> </w:t>
      </w:r>
      <w:r>
        <w:rPr/>
        <w:t>借款费用，包括借款利息、折价或者溢价的摊销、辅助费用以及因外币借款而发生的汇兑差额等。</w:t>
      </w:r>
      <w:r>
        <w:rPr>
          <w:w w:val="99"/>
        </w:rPr>
        <w:t> </w:t>
      </w:r>
      <w:r>
        <w:rPr>
          <w:spacing w:val="-2"/>
        </w:rPr>
        <w:t>公司发生的借款费用，可直接归属于符合资本化条件的资产的购建或者生产的，予以资本化，计入相关资产成本；其他</w:t>
      </w:r>
    </w:p>
    <w:p>
      <w:pPr>
        <w:pStyle w:val="BodyText"/>
        <w:spacing w:line="316" w:lineRule="auto" w:before="24"/>
        <w:ind w:left="513" w:right="273" w:hanging="361"/>
        <w:jc w:val="left"/>
      </w:pPr>
      <w:r>
        <w:rPr/>
        <w:t>借款费用，在发生时根据其发生额确认为费用，计入当期损益。 符合资本化条件的资产，是指需要经过相当长时间的购建或者生产活动才能达到预定可使用或者可销售状态的固定资</w:t>
      </w:r>
    </w:p>
    <w:p>
      <w:pPr>
        <w:pStyle w:val="BodyText"/>
        <w:spacing w:line="316" w:lineRule="auto" w:before="19"/>
        <w:ind w:left="513" w:right="6033" w:hanging="361"/>
        <w:jc w:val="left"/>
      </w:pPr>
      <w:r>
        <w:rPr/>
        <w:t>产、投资性房地产和存货等资产。 借款费用同时满足下列条件时开始资本化：</w:t>
      </w:r>
    </w:p>
    <w:p>
      <w:pPr>
        <w:pStyle w:val="BodyText"/>
        <w:spacing w:line="316" w:lineRule="auto" w:before="19"/>
        <w:ind w:right="192" w:firstLine="360"/>
        <w:jc w:val="both"/>
      </w:pPr>
      <w:r>
        <w:rPr>
          <w:spacing w:val="-2"/>
        </w:rPr>
        <w:t>①资产支出已经发生，资产支出包括为购建或者生产符合资本化条件的资产而以支付现金、转移非现金资产或者承担带</w:t>
      </w:r>
      <w:r>
        <w:rPr/>
        <w:t> 息债务形式发生的支出；</w:t>
      </w:r>
    </w:p>
    <w:p>
      <w:pPr>
        <w:pStyle w:val="BodyText"/>
        <w:spacing w:line="240" w:lineRule="auto" w:before="19"/>
        <w:ind w:left="513" w:right="94"/>
        <w:jc w:val="left"/>
      </w:pPr>
      <w:r>
        <w:rPr/>
        <w:t>②借款费用已经发生；</w:t>
      </w:r>
    </w:p>
    <w:p>
      <w:pPr>
        <w:pStyle w:val="BodyText"/>
        <w:spacing w:line="240" w:lineRule="auto" w:before="76"/>
        <w:ind w:left="513" w:right="94"/>
        <w:jc w:val="left"/>
      </w:pPr>
      <w:r>
        <w:rPr/>
        <w:t>③为使资产达到预定可使用或者可销售状态所必要的购建或者生产活动已经开始。</w:t>
      </w:r>
    </w:p>
    <w:p>
      <w:pPr>
        <w:pStyle w:val="BodyText"/>
        <w:spacing w:line="314" w:lineRule="auto" w:before="76"/>
        <w:ind w:left="513" w:right="94"/>
        <w:jc w:val="left"/>
      </w:pPr>
      <w:r>
        <w:rPr>
          <w:rFonts w:ascii="Times New Roman" w:hAnsi="Times New Roman" w:cs="Times New Roman" w:eastAsia="Times New Roman" w:hint="default"/>
        </w:rPr>
        <w:t>(2)</w:t>
      </w:r>
      <w:r>
        <w:rPr/>
        <w:t>借款费用资本化期间</w:t>
      </w:r>
      <w:r>
        <w:rPr>
          <w:w w:val="99"/>
        </w:rPr>
        <w:t> </w:t>
      </w:r>
      <w:r>
        <w:rPr/>
        <w:t>资本化期间，指从借款费用开始资本化时点到停止资本化时点的期间，借款费用暂停资本化的期间不包括在内。</w:t>
      </w:r>
      <w:r>
        <w:rPr>
          <w:w w:val="99"/>
        </w:rPr>
        <w:t> </w:t>
      </w:r>
      <w:r>
        <w:rPr/>
        <w:t>当购建或者生产符合资本化条件的资产达到预定可使用或者可销售状态时，借款费用停止资本化。</w:t>
      </w:r>
      <w:r>
        <w:rPr>
          <w:w w:val="99"/>
        </w:rPr>
        <w:t> </w:t>
      </w:r>
      <w:r>
        <w:rPr/>
        <w:t>当购建或者生产符合资本化条件的资产中部分项目分别完工且可单独使用时，该部分资产借款费用停止资本化。</w:t>
      </w:r>
      <w:r>
        <w:rPr>
          <w:w w:val="99"/>
        </w:rPr>
        <w:t> </w:t>
      </w:r>
      <w:r>
        <w:rPr>
          <w:spacing w:val="-2"/>
        </w:rPr>
        <w:t>购建或者生产的资产的各部分分别完工，但必须等到整体完工后才可使用或可对外销售的，在该资产整体完工时停止借</w:t>
      </w:r>
    </w:p>
    <w:p>
      <w:pPr>
        <w:pStyle w:val="BodyText"/>
        <w:spacing w:line="240" w:lineRule="auto" w:before="20"/>
        <w:ind w:right="94"/>
        <w:jc w:val="left"/>
      </w:pPr>
      <w:r>
        <w:rPr/>
        <w:t>款费用资本化。</w:t>
      </w:r>
    </w:p>
    <w:p>
      <w:pPr>
        <w:pStyle w:val="BodyText"/>
        <w:spacing w:line="300" w:lineRule="auto" w:before="76"/>
        <w:ind w:left="513" w:right="94"/>
        <w:jc w:val="left"/>
      </w:pPr>
      <w:r>
        <w:rPr>
          <w:rFonts w:ascii="Times New Roman" w:hAnsi="Times New Roman" w:cs="Times New Roman" w:eastAsia="Times New Roman" w:hint="default"/>
        </w:rPr>
        <w:t>(3)</w:t>
      </w:r>
      <w:r>
        <w:rPr/>
        <w:t>暂停资本化期间</w:t>
      </w:r>
      <w:r>
        <w:rPr>
          <w:w w:val="99"/>
        </w:rPr>
        <w:t> </w:t>
      </w:r>
      <w:r>
        <w:rPr>
          <w:spacing w:val="-2"/>
        </w:rPr>
        <w:t>符合资本化条件的资产在购建或生产过程中发生的非正常中断、且中断时间连续超过</w:t>
      </w:r>
      <w:r>
        <w:rPr>
          <w:rFonts w:ascii="Times New Roman" w:hAnsi="Times New Roman" w:cs="Times New Roman" w:eastAsia="Times New Roman" w:hint="default"/>
          <w:spacing w:val="-2"/>
        </w:rPr>
        <w:t>3</w:t>
      </w:r>
      <w:r>
        <w:rPr>
          <w:spacing w:val="-2"/>
        </w:rPr>
        <w:t>个月的，则借款费用暂停资本化；</w:t>
      </w:r>
    </w:p>
    <w:p>
      <w:pPr>
        <w:pStyle w:val="BodyText"/>
        <w:spacing w:line="316" w:lineRule="auto" w:before="13"/>
        <w:ind w:right="94"/>
        <w:jc w:val="left"/>
      </w:pP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w:t>
      </w:r>
    </w:p>
    <w:p>
      <w:pPr>
        <w:pStyle w:val="BodyText"/>
        <w:spacing w:line="300" w:lineRule="auto" w:before="19"/>
        <w:ind w:left="513" w:right="94"/>
        <w:jc w:val="left"/>
      </w:pPr>
      <w:r>
        <w:rPr>
          <w:rFonts w:ascii="Times New Roman" w:hAnsi="Times New Roman" w:cs="Times New Roman" w:eastAsia="Times New Roman" w:hint="default"/>
        </w:rPr>
        <w:t>(4)</w:t>
      </w:r>
      <w:r>
        <w:rPr/>
        <w:t>借款费用资本化率、资本化金额的计算方法</w:t>
      </w:r>
      <w:r>
        <w:rPr>
          <w:w w:val="99"/>
        </w:rPr>
        <w:t> </w:t>
      </w:r>
      <w:r>
        <w:rPr>
          <w:spacing w:val="-2"/>
        </w:rPr>
        <w:t>对于为购建或者生产符合资本化条件的资产而借入的专门借款，以专门借款当期实际发生的借款费用，减去尚未动用的</w:t>
      </w:r>
    </w:p>
    <w:p>
      <w:pPr>
        <w:pStyle w:val="BodyText"/>
        <w:spacing w:line="319" w:lineRule="auto" w:before="31"/>
        <w:ind w:left="513" w:right="94" w:hanging="361"/>
        <w:jc w:val="left"/>
      </w:pPr>
      <w:r>
        <w:rPr/>
        <w:t>借款资金存入银行取得的利息收入或进行暂时性投资取得的投资收益后的金额，来确定借款费用的资本化金额。 </w:t>
      </w:r>
      <w:r>
        <w:rPr>
          <w:spacing w:val="-2"/>
        </w:rPr>
        <w:t>对于为购建或者生产符合资本化条件的资产而占用的一般借款，根据累计资产支出超过专门借款部分的资产支出加权平</w:t>
      </w:r>
    </w:p>
    <w:p>
      <w:pPr>
        <w:pStyle w:val="BodyText"/>
        <w:spacing w:line="316" w:lineRule="auto" w:before="17"/>
        <w:ind w:right="94"/>
        <w:jc w:val="left"/>
      </w:pPr>
      <w:r>
        <w:rPr>
          <w:spacing w:val="-2"/>
        </w:rPr>
        <w:t>均数乘以所占用一般借款的资本化率，计算确定一般借款应予资本化的借款费用金额。资本化率根据一般借款加权平均利率</w:t>
      </w:r>
      <w:r>
        <w:rPr>
          <w:spacing w:val="-64"/>
        </w:rPr>
        <w:t> </w:t>
      </w:r>
      <w:r>
        <w:rPr>
          <w:spacing w:val="-64"/>
        </w:rPr>
      </w:r>
      <w:r>
        <w:rPr/>
        <w:t>计算确定。</w:t>
      </w:r>
    </w:p>
    <w:p>
      <w:pPr>
        <w:spacing w:after="0" w:line="316" w:lineRule="auto"/>
        <w:jc w:val="left"/>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146"/>
        <w:jc w:val="left"/>
        <w:rPr>
          <w:b w:val="0"/>
          <w:bCs w:val="0"/>
        </w:rPr>
      </w:pPr>
      <w:r>
        <w:rPr>
          <w:rFonts w:ascii="Times New Roman" w:hAnsi="Times New Roman" w:cs="Times New Roman" w:eastAsia="Times New Roman" w:hint="default"/>
        </w:rPr>
        <w:t>17</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6"/>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146"/>
        <w:jc w:val="left"/>
      </w:pPr>
      <w:r>
        <w:rPr/>
        <w:t>①无形资产的计价方法</w:t>
      </w:r>
    </w:p>
    <w:p>
      <w:pPr>
        <w:pStyle w:val="BodyText"/>
        <w:spacing w:line="300" w:lineRule="auto" w:before="76"/>
        <w:ind w:left="513" w:right="146"/>
        <w:jc w:val="left"/>
      </w:pPr>
      <w:r>
        <w:rPr>
          <w:rFonts w:ascii="Times New Roman" w:hAnsi="Times New Roman" w:cs="Times New Roman" w:eastAsia="Times New Roman" w:hint="default"/>
        </w:rPr>
        <w:t>a.</w:t>
      </w:r>
      <w:r>
        <w:rPr/>
        <w:t>公司取得无形资产时按成本进行初始计量； </w:t>
      </w:r>
      <w:r>
        <w:rPr>
          <w:spacing w:val="-2"/>
        </w:rPr>
        <w:t>外购无形资产的成本，包括购买价款、相关税费以及直接归属于使该项资产达到预定用途所发生的其他支出。购买无形</w:t>
      </w:r>
    </w:p>
    <w:p>
      <w:pPr>
        <w:pStyle w:val="BodyText"/>
        <w:spacing w:line="316" w:lineRule="auto" w:before="31"/>
        <w:ind w:left="513" w:right="146" w:hanging="361"/>
        <w:jc w:val="left"/>
      </w:pPr>
      <w:r>
        <w:rPr/>
        <w:t>资产的价款超过正常信用条件延期支付，实质上具有融资性质的，无形资产的成本以购买价款的现值为基础确定。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w:t>
      </w:r>
    </w:p>
    <w:p>
      <w:pPr>
        <w:pStyle w:val="BodyText"/>
        <w:spacing w:line="316" w:lineRule="auto" w:before="19"/>
        <w:ind w:left="513" w:right="146" w:hanging="361"/>
        <w:jc w:val="left"/>
      </w:pPr>
      <w:r>
        <w:rPr/>
        <w:t>与该用以抵债的无形资产公允价值之间的差额，计入当期损益。 </w:t>
      </w:r>
      <w:r>
        <w:rPr>
          <w:spacing w:val="-2"/>
        </w:rPr>
        <w:t>在非货币性资产交换具备商业实质且换入资产或换出资产的公允价值能够可靠计量的前提下，非货币性资产交换换入的</w:t>
      </w:r>
    </w:p>
    <w:p>
      <w:pPr>
        <w:pStyle w:val="BodyText"/>
        <w:spacing w:line="316" w:lineRule="auto" w:before="19"/>
        <w:ind w:right="146"/>
        <w:jc w:val="left"/>
      </w:pPr>
      <w:r>
        <w:rPr>
          <w:spacing w:val="-2"/>
        </w:rPr>
        <w:t>无形资产以换出资产的公允价值为基础确定其入账价值，除非有确凿证据表明换入资产的公允价值更加可靠；不满足上述前</w:t>
      </w:r>
      <w:r>
        <w:rPr>
          <w:spacing w:val="-64"/>
        </w:rPr>
        <w:t> </w:t>
      </w:r>
      <w:r>
        <w:rPr>
          <w:spacing w:val="-64"/>
        </w:rPr>
      </w:r>
      <w:r>
        <w:rPr/>
        <w:t>提的非货币性资产交换，以换出资产的账面价值和应支付的相关税费作为换入无形资产的成本，不确认损益。</w:t>
      </w:r>
    </w:p>
    <w:p>
      <w:pPr>
        <w:pStyle w:val="BodyText"/>
        <w:spacing w:line="300" w:lineRule="auto" w:before="19"/>
        <w:ind w:left="513" w:right="6173"/>
        <w:jc w:val="left"/>
      </w:pPr>
      <w:r>
        <w:rPr>
          <w:rFonts w:ascii="Times New Roman" w:hAnsi="Times New Roman" w:cs="Times New Roman" w:eastAsia="Times New Roman" w:hint="default"/>
        </w:rPr>
        <w:t>b.</w:t>
      </w:r>
      <w:r>
        <w:rPr/>
        <w:t>后续计量 在取得无形资产时分析判断其使用寿命。</w:t>
      </w:r>
    </w:p>
    <w:p>
      <w:pPr>
        <w:pStyle w:val="BodyText"/>
        <w:spacing w:line="316" w:lineRule="auto" w:before="31"/>
        <w:ind w:right="146" w:firstLine="360"/>
        <w:jc w:val="left"/>
      </w:pPr>
      <w:r>
        <w:rPr>
          <w:spacing w:val="-2"/>
        </w:rPr>
        <w:t>对于使用寿命有限的无形资产，在为企业带来经济利益的期限内按直线法摊销；无法预见无形资产为企业带来经济利益</w:t>
      </w:r>
      <w:r>
        <w:rPr/>
        <w:t> 期限的，视为使用寿命不确定的无形资产，不予摊销。</w:t>
      </w:r>
    </w:p>
    <w:p>
      <w:pPr>
        <w:pStyle w:val="BodyText"/>
        <w:spacing w:line="240" w:lineRule="auto" w:before="19"/>
        <w:ind w:left="513" w:right="146"/>
        <w:jc w:val="left"/>
      </w:pPr>
      <w:r>
        <w:rPr/>
        <w:t>②使用寿命有限的无形资产的使用寿命估计情况：</w:t>
      </w:r>
    </w:p>
    <w:p>
      <w:pPr>
        <w:spacing w:line="240" w:lineRule="auto" w:before="3"/>
        <w:rPr>
          <w:rFonts w:ascii="宋体" w:hAnsi="宋体" w:cs="宋体" w:eastAsia="宋体" w:hint="default"/>
          <w:sz w:val="5"/>
          <w:szCs w:val="5"/>
        </w:rPr>
      </w:pPr>
    </w:p>
    <w:tbl>
      <w:tblPr>
        <w:tblW w:w="0" w:type="auto"/>
        <w:jc w:val="left"/>
        <w:tblInd w:w="854" w:type="dxa"/>
        <w:tblLayout w:type="fixed"/>
        <w:tblCellMar>
          <w:top w:w="0" w:type="dxa"/>
          <w:left w:w="0" w:type="dxa"/>
          <w:bottom w:w="0" w:type="dxa"/>
          <w:right w:w="0" w:type="dxa"/>
        </w:tblCellMar>
        <w:tblLook w:val="01E0"/>
      </w:tblPr>
      <w:tblGrid>
        <w:gridCol w:w="2269"/>
        <w:gridCol w:w="2345"/>
        <w:gridCol w:w="3327"/>
      </w:tblGrid>
      <w:tr>
        <w:trPr>
          <w:trHeight w:val="355" w:hRule="exact"/>
        </w:trPr>
        <w:tc>
          <w:tcPr>
            <w:tcW w:w="22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90"/>
                <w:sz w:val="18"/>
                <w:szCs w:val="18"/>
              </w:rPr>
              <w:t> </w:t>
            </w:r>
            <w:r>
              <w:rPr>
                <w:rFonts w:ascii="宋体" w:hAnsi="宋体" w:cs="宋体" w:eastAsia="宋体" w:hint="default"/>
                <w:sz w:val="18"/>
                <w:szCs w:val="18"/>
              </w:rPr>
              <w:t>目</w:t>
            </w:r>
          </w:p>
        </w:tc>
        <w:tc>
          <w:tcPr>
            <w:tcW w:w="23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3327"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50" w:hRule="exact"/>
        </w:trPr>
        <w:tc>
          <w:tcPr>
            <w:tcW w:w="22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3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332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合同规定与法律规定孰低的原则</w:t>
            </w:r>
          </w:p>
        </w:tc>
      </w:tr>
      <w:tr>
        <w:trPr>
          <w:trHeight w:val="353" w:hRule="exact"/>
        </w:trPr>
        <w:tc>
          <w:tcPr>
            <w:tcW w:w="22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注册商标及专利</w:t>
            </w:r>
          </w:p>
        </w:tc>
        <w:tc>
          <w:tcPr>
            <w:tcW w:w="23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332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合同规定与法律规定孰低的原则</w:t>
            </w:r>
          </w:p>
        </w:tc>
      </w:tr>
      <w:tr>
        <w:trPr>
          <w:trHeight w:val="353" w:hRule="exact"/>
        </w:trPr>
        <w:tc>
          <w:tcPr>
            <w:tcW w:w="22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电脑软件</w:t>
            </w:r>
          </w:p>
        </w:tc>
        <w:tc>
          <w:tcPr>
            <w:tcW w:w="23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332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行业情况及企业历史经验</w:t>
            </w:r>
          </w:p>
        </w:tc>
      </w:tr>
    </w:tbl>
    <w:p>
      <w:pPr>
        <w:pStyle w:val="BodyText"/>
        <w:spacing w:line="316" w:lineRule="auto" w:before="8"/>
        <w:ind w:left="513" w:right="3293"/>
        <w:jc w:val="left"/>
      </w:pPr>
      <w:r>
        <w:rPr/>
        <w:t>每年年度终了，对使用寿命有限的无形资产的使用寿命及摊销方法进行复核。 经复核，本年期末无形资产的使用寿命及摊销方法与以前估计未有不同。</w:t>
      </w:r>
    </w:p>
    <w:p>
      <w:pPr>
        <w:pStyle w:val="BodyText"/>
        <w:spacing w:line="319" w:lineRule="auto" w:before="19"/>
        <w:ind w:left="513" w:right="3473"/>
        <w:jc w:val="left"/>
      </w:pPr>
      <w:r>
        <w:rPr/>
        <w:t>③使用寿命不确定的无形资产的判断依据以及对其使用寿命进行复核的程序 每期末，对使用寿命有限的无形资产的使用寿命及摊销方法进行复核。 经复核，本年期末无形资产的使用寿命及摊销方法与以前估计未有不同。</w:t>
      </w:r>
    </w:p>
    <w:p>
      <w:pPr>
        <w:spacing w:line="240" w:lineRule="auto" w:before="9"/>
        <w:rPr>
          <w:rFonts w:ascii="宋体" w:hAnsi="宋体" w:cs="宋体" w:eastAsia="宋体" w:hint="default"/>
          <w:sz w:val="22"/>
          <w:szCs w:val="22"/>
        </w:rPr>
      </w:pPr>
    </w:p>
    <w:p>
      <w:pPr>
        <w:pStyle w:val="Heading3"/>
        <w:spacing w:line="240" w:lineRule="auto"/>
        <w:ind w:right="146"/>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1673"/>
        <w:jc w:val="left"/>
      </w:pPr>
      <w:r>
        <w:rPr/>
        <w:t>①划分研究阶段和开发阶段的具体标准 公司内部研究开发项目的支出分为研究阶段支出和开发阶段支出。 研究阶段：为获取并理解新的科学或技术知识等而进行的独创性的有计划调查、研究活动的阶段。</w:t>
      </w:r>
    </w:p>
    <w:p>
      <w:pPr>
        <w:pStyle w:val="BodyText"/>
        <w:spacing w:line="316" w:lineRule="auto" w:before="19"/>
        <w:ind w:right="146" w:firstLine="360"/>
        <w:jc w:val="left"/>
      </w:pPr>
      <w:r>
        <w:rPr>
          <w:spacing w:val="-2"/>
        </w:rPr>
        <w:t>开发阶段：在进行商业性生产或使用前，将研究成果或其他知识应用于某项计划或设计，以生产出新的或具有实质性改</w:t>
      </w:r>
      <w:r>
        <w:rPr/>
        <w:t> 进的材料、装置、产品等活动的阶段。</w:t>
      </w:r>
    </w:p>
    <w:p>
      <w:pPr>
        <w:pStyle w:val="BodyText"/>
        <w:spacing w:line="312" w:lineRule="auto" w:before="19"/>
        <w:ind w:left="513" w:right="3473"/>
        <w:jc w:val="left"/>
      </w:pPr>
      <w:r>
        <w:rPr/>
        <w:t>②开发阶段支出资本化的具体条件 内部研究开发项目开发阶段的支出，同时满足下列条件时确认为无形资产： </w:t>
      </w:r>
      <w:r>
        <w:rPr>
          <w:rFonts w:ascii="Times New Roman" w:hAnsi="Times New Roman" w:cs="Times New Roman" w:eastAsia="Times New Roman" w:hint="default"/>
        </w:rPr>
        <w:t>a.</w:t>
      </w:r>
      <w:r>
        <w:rPr/>
        <w:t>完成该无形资产以使其能够使用或出售在技术上具有可行性； </w:t>
      </w:r>
      <w:r>
        <w:rPr>
          <w:rFonts w:ascii="Times New Roman" w:hAnsi="Times New Roman" w:cs="Times New Roman" w:eastAsia="Times New Roman" w:hint="default"/>
        </w:rPr>
        <w:t>b.</w:t>
      </w:r>
      <w:r>
        <w:rPr/>
        <w:t>具有完成该无形资产并使用或出售的意图；</w:t>
      </w:r>
    </w:p>
    <w:p>
      <w:pPr>
        <w:pStyle w:val="BodyText"/>
        <w:spacing w:line="300" w:lineRule="auto" w:before="3"/>
        <w:ind w:right="146" w:firstLine="360"/>
        <w:jc w:val="left"/>
      </w:pPr>
      <w:r>
        <w:rPr>
          <w:rFonts w:ascii="Times New Roman" w:hAnsi="Times New Roman" w:cs="Times New Roman" w:eastAsia="Times New Roman" w:hint="default"/>
          <w:spacing w:val="-1"/>
        </w:rPr>
        <w:t>c.</w:t>
      </w:r>
      <w:r>
        <w:rPr>
          <w:spacing w:val="-1"/>
        </w:rPr>
        <w:t>无形资产产生经济利益的方式，包括能够证明运用该无形资产生产的产品存在市场或无形资产自身存在市场，无形资</w:t>
      </w:r>
      <w:r>
        <w:rPr/>
        <w:t> 产将在内部使用的，能够证明其有用性；</w:t>
      </w:r>
    </w:p>
    <w:p>
      <w:pPr>
        <w:pStyle w:val="BodyText"/>
        <w:spacing w:line="300" w:lineRule="auto" w:before="31"/>
        <w:ind w:left="513" w:right="773"/>
        <w:jc w:val="left"/>
      </w:pPr>
      <w:r>
        <w:rPr>
          <w:rFonts w:ascii="Times New Roman" w:hAnsi="Times New Roman" w:cs="Times New Roman" w:eastAsia="Times New Roman" w:hint="default"/>
        </w:rPr>
        <w:t>d.</w:t>
      </w:r>
      <w:r>
        <w:rPr/>
        <w:t>有足够的技术、财务资源和其他资源支持，以完成该无形资产的开发，并有能力使用或出售该无形资产； </w:t>
      </w:r>
      <w:r>
        <w:rPr>
          <w:rFonts w:ascii="Times New Roman" w:hAnsi="Times New Roman" w:cs="Times New Roman" w:eastAsia="Times New Roman" w:hint="default"/>
        </w:rPr>
        <w:t>e.</w:t>
      </w:r>
      <w:r>
        <w:rPr/>
        <w:t>归属于该无形资产开发阶段的支出能够可靠地计量。 开发阶段的支出，若不满足上列条件的，于发生时计入当期损益。研究阶段的支出，在发生时计入当期损益。</w:t>
      </w:r>
    </w:p>
    <w:p>
      <w:pPr>
        <w:spacing w:after="0" w:line="30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94"/>
        <w:jc w:val="left"/>
        <w:rPr>
          <w:b w:val="0"/>
          <w:bCs w:val="0"/>
        </w:rPr>
      </w:pPr>
      <w:r>
        <w:rPr>
          <w:rFonts w:ascii="Times New Roman" w:hAnsi="Times New Roman" w:cs="Times New Roman" w:eastAsia="Times New Roman" w:hint="default"/>
        </w:rPr>
        <w:t>18</w:t>
      </w:r>
      <w:r>
        <w:rPr/>
        <w:t>、长期资产减值</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92" w:firstLine="360"/>
        <w:jc w:val="both"/>
      </w:pPr>
      <w:r>
        <w:rPr>
          <w:spacing w:val="-2"/>
        </w:rPr>
        <w:t>长期股权投资、采用成本模式计量的投资性房地产、固定资产、在建工程、无形资产等长期资产，于资产负债表日存在</w:t>
      </w:r>
      <w:r>
        <w:rPr/>
        <w:t> </w:t>
      </w:r>
      <w:r>
        <w:rPr>
          <w:spacing w:val="-2"/>
        </w:rPr>
        <w:t>减值迹象的，进行减值测试。减值测试结果表明资产的可收回金额低于其账面价值的，按其差额计提减值准备并计入减值损</w:t>
      </w:r>
      <w:r>
        <w:rPr>
          <w:spacing w:val="-65"/>
        </w:rPr>
        <w:t> </w:t>
      </w:r>
      <w:r>
        <w:rPr>
          <w:spacing w:val="-65"/>
        </w:rPr>
      </w:r>
      <w:r>
        <w:rPr>
          <w:spacing w:val="-2"/>
        </w:rPr>
        <w:t>失。可收回金额为资产的公允价值减去处置费用后的净额与资产预计未来现金流量的现值两者之间的较高者。资产减值准备</w:t>
      </w:r>
      <w:r>
        <w:rPr>
          <w:spacing w:val="-64"/>
        </w:rPr>
        <w:t> </w:t>
      </w:r>
      <w:r>
        <w:rPr>
          <w:spacing w:val="-64"/>
        </w:rPr>
      </w:r>
      <w:r>
        <w:rPr>
          <w:spacing w:val="-2"/>
        </w:rPr>
        <w:t>按单项资产为基础计算并确认，如果难以对单项资产的可收回金额进行估计的，以该资产所属的资产组确定资产组的可收回</w:t>
      </w:r>
      <w:r>
        <w:rPr>
          <w:spacing w:val="-64"/>
        </w:rPr>
        <w:t> </w:t>
      </w:r>
      <w:r>
        <w:rPr>
          <w:spacing w:val="-64"/>
        </w:rPr>
      </w:r>
      <w:r>
        <w:rPr/>
        <w:t>金额。资产组是能够独立产生现金流入的最小资产组合。</w:t>
      </w:r>
    </w:p>
    <w:p>
      <w:pPr>
        <w:pStyle w:val="BodyText"/>
        <w:spacing w:line="316" w:lineRule="auto" w:before="19"/>
        <w:ind w:left="513" w:right="93"/>
        <w:jc w:val="left"/>
      </w:pPr>
      <w:r>
        <w:rPr/>
        <w:t>商誉至少在每年年度终了进行减值测试。 本公司进行商誉减值测试，对于因企业合并形成的商誉的账面价值，自购买日起按照合理的方法分摊至相关的资产组；</w:t>
      </w:r>
    </w:p>
    <w:p>
      <w:pPr>
        <w:pStyle w:val="BodyText"/>
        <w:spacing w:line="316" w:lineRule="auto" w:before="19"/>
        <w:ind w:right="94"/>
        <w:jc w:val="left"/>
      </w:pPr>
      <w:r>
        <w:rPr/>
        <w:t>难以分摊至相关的资产组的，将其分摊至相关的资产组组合。在将商誉的账面价值分摊至相关的资产组或者资产组组合时， </w:t>
      </w:r>
      <w:r>
        <w:rPr>
          <w:spacing w:val="-2"/>
        </w:rPr>
        <w:t>按照各资产组或者资产组组合的公允价值占相关资产组或者资产组组合公允价值总额的比例进行分摊。公允价值难以可靠计</w:t>
      </w:r>
      <w:r>
        <w:rPr>
          <w:spacing w:val="-64"/>
        </w:rPr>
        <w:t> </w:t>
      </w:r>
      <w:r>
        <w:rPr>
          <w:spacing w:val="-64"/>
        </w:rPr>
      </w:r>
      <w:r>
        <w:rPr/>
        <w:t>量的，按照各资产组或者资产组组合的账面价值占相关资产组或者资产组组合账面价值总额的比例进行分摊。</w:t>
      </w:r>
    </w:p>
    <w:p>
      <w:pPr>
        <w:pStyle w:val="BodyText"/>
        <w:spacing w:line="319" w:lineRule="auto" w:before="19"/>
        <w:ind w:right="94" w:firstLine="360"/>
        <w:jc w:val="left"/>
      </w:pPr>
      <w:r>
        <w:rPr/>
        <w:t>在对包含商誉的相关资产组或者资产组组合进行减值测试时，如与商誉相关的资产组或者资产组组合存在减值迹象的， </w:t>
      </w:r>
      <w:r>
        <w:rPr>
          <w:spacing w:val="-4"/>
        </w:rPr>
        <w:t>先对不包含商誉的资产组或者资产组组合进行减值测试，计算可收回金额，并与相关账面价值相比较，确认相应的减值损失。</w:t>
      </w:r>
      <w:r>
        <w:rPr>
          <w:spacing w:val="-44"/>
        </w:rPr>
        <w:t> </w:t>
      </w:r>
      <w:r>
        <w:rPr>
          <w:spacing w:val="-44"/>
        </w:rPr>
      </w:r>
      <w:r>
        <w:rPr>
          <w:spacing w:val="-2"/>
        </w:rPr>
        <w:t>再对包含商誉的资产组或者资产组组合进行减值测试，比较这些相关资产组或者资产组组合的账面价值（包括所分摊的商誉</w:t>
      </w:r>
      <w:r>
        <w:rPr>
          <w:spacing w:val="-64"/>
        </w:rPr>
        <w:t> </w:t>
      </w:r>
      <w:r>
        <w:rPr>
          <w:spacing w:val="-64"/>
        </w:rPr>
      </w:r>
      <w:r>
        <w:rPr/>
        <w:t>的账面价值部分）与其可收回金额，如相关资产组或者资产组组合的可收回金额低于其账面价值的，确认商誉的减值损失。 上述资产减值损失一经确认，在以后会计期间不予转回。</w:t>
      </w:r>
    </w:p>
    <w:p>
      <w:pPr>
        <w:spacing w:line="240" w:lineRule="auto" w:before="9"/>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19</w:t>
      </w:r>
      <w:r>
        <w:rPr/>
        <w:t>、长期待摊费用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94"/>
        <w:jc w:val="left"/>
      </w:pPr>
      <w:r>
        <w:rPr/>
        <w:t>长期待摊费用为已经发生但应由本期和以后各期负担的分摊期限在一年以上的各项费用。</w:t>
      </w:r>
    </w:p>
    <w:p>
      <w:pPr>
        <w:pStyle w:val="BodyText"/>
        <w:spacing w:line="309" w:lineRule="auto" w:before="76"/>
        <w:ind w:left="513" w:right="6753"/>
        <w:jc w:val="left"/>
      </w:pPr>
      <w:r>
        <w:rPr>
          <w:rFonts w:ascii="Times New Roman" w:hAnsi="Times New Roman" w:cs="Times New Roman" w:eastAsia="Times New Roman" w:hint="default"/>
        </w:rPr>
        <w:t>(1)</w:t>
      </w:r>
      <w:r>
        <w:rPr/>
        <w:t>摊销方法</w:t>
      </w:r>
      <w:r>
        <w:rPr>
          <w:w w:val="99"/>
        </w:rPr>
        <w:t> </w:t>
      </w:r>
      <w:r>
        <w:rPr/>
        <w:t>长期待摊费用在受益期内平均摊销</w:t>
      </w:r>
      <w:r>
        <w:rPr>
          <w:w w:val="99"/>
        </w:rPr>
        <w:t> </w:t>
      </w:r>
      <w:r>
        <w:rPr>
          <w:rFonts w:ascii="Times New Roman" w:hAnsi="Times New Roman" w:cs="Times New Roman" w:eastAsia="Times New Roman" w:hint="default"/>
        </w:rPr>
        <w:t>(2)</w:t>
      </w:r>
      <w:r>
        <w:rPr/>
        <w:t>摊销年限</w:t>
      </w:r>
    </w:p>
    <w:p>
      <w:pPr>
        <w:pStyle w:val="BodyText"/>
        <w:spacing w:line="316" w:lineRule="auto" w:before="5"/>
        <w:ind w:left="513" w:right="3873"/>
        <w:jc w:val="left"/>
      </w:pPr>
      <w:r>
        <w:rPr/>
        <w:t>长期待摊费用的摊销方法为在预计的使用年限内采用直线法进行摊销。 装修支出按</w:t>
      </w:r>
      <w:r>
        <w:rPr>
          <w:rFonts w:ascii="Times New Roman" w:hAnsi="Times New Roman" w:cs="Times New Roman" w:eastAsia="Times New Roman" w:hint="default"/>
        </w:rPr>
        <w:t>2</w:t>
      </w:r>
      <w:r>
        <w:rPr/>
        <w:t>年摊销。</w:t>
      </w:r>
    </w:p>
    <w:p>
      <w:pPr>
        <w:spacing w:line="240" w:lineRule="auto" w:before="4"/>
        <w:rPr>
          <w:rFonts w:ascii="宋体" w:hAnsi="宋体" w:cs="宋体" w:eastAsia="宋体" w:hint="default"/>
          <w:sz w:val="21"/>
          <w:szCs w:val="21"/>
        </w:rPr>
      </w:pPr>
    </w:p>
    <w:p>
      <w:pPr>
        <w:pStyle w:val="Heading3"/>
        <w:spacing w:line="240" w:lineRule="auto"/>
        <w:ind w:right="94"/>
        <w:jc w:val="left"/>
        <w:rPr>
          <w:b w:val="0"/>
          <w:bCs w:val="0"/>
        </w:rPr>
      </w:pPr>
      <w:r>
        <w:rPr>
          <w:rFonts w:ascii="Times New Roman" w:hAnsi="Times New Roman" w:cs="Times New Roman" w:eastAsia="Times New Roman" w:hint="default"/>
        </w:rPr>
        <w:t>20</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13" w:right="94"/>
        <w:jc w:val="left"/>
      </w:pPr>
      <w:r>
        <w:rPr/>
        <w:t>本公司在职工为本公司提供服务的会计期间，将实际发生的短期薪酬确认为负债，并计入当期损益或相关资产成本。 </w:t>
      </w:r>
      <w:r>
        <w:rPr>
          <w:spacing w:val="-2"/>
        </w:rPr>
        <w:t>本公司为职工缴纳的社会保险费和住房公积金，以及按规定提取的工会经费和职工教育经费，在职工为本公司提供服务</w:t>
      </w:r>
    </w:p>
    <w:p>
      <w:pPr>
        <w:pStyle w:val="BodyText"/>
        <w:spacing w:line="316" w:lineRule="auto" w:before="19"/>
        <w:ind w:left="513" w:right="3693" w:hanging="361"/>
        <w:jc w:val="left"/>
      </w:pPr>
      <w:r>
        <w:rPr/>
        <w:t>的会计期间，根据规定的计提基础和计提比例计算确定相应的职工薪酬金额。 职工福利费为非货币性福利的，如能够可靠计量的，按照公允价值计量。</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left="513" w:right="94"/>
        <w:jc w:val="left"/>
      </w:pPr>
      <w:r>
        <w:rPr/>
        <w:t>①设定提存计划 </w:t>
      </w:r>
      <w:r>
        <w:rPr>
          <w:spacing w:val="-2"/>
        </w:rPr>
        <w:t>本公司按当地政府的相关规定为职工缴纳基本养老保险和失业保险，在职工为本公司提供服务的会计期间，按以当地规</w:t>
      </w:r>
    </w:p>
    <w:p>
      <w:pPr>
        <w:pStyle w:val="BodyText"/>
        <w:spacing w:line="316" w:lineRule="auto" w:before="19"/>
        <w:ind w:left="513" w:right="223" w:hanging="361"/>
        <w:jc w:val="left"/>
      </w:pPr>
      <w:r>
        <w:rPr/>
        <w:t>定的缴纳基数和比例计算应缴纳金额，确认为负债，并计入当期损益或相关资产成本。 除基本养老保险外，本公司还依据国家企业年金制度的相关政策建立了企业年金缴费制度（补充养老保险）</w:t>
      </w:r>
      <w:r>
        <w:rPr>
          <w:rFonts w:ascii="Times New Roman" w:hAnsi="Times New Roman" w:cs="Times New Roman" w:eastAsia="Times New Roman" w:hint="default"/>
        </w:rPr>
        <w:t>/</w:t>
      </w:r>
      <w:r>
        <w:rPr/>
        <w:t>企业年金</w:t>
      </w:r>
    </w:p>
    <w:p>
      <w:pPr>
        <w:pStyle w:val="BodyText"/>
        <w:spacing w:line="248" w:lineRule="exact"/>
        <w:ind w:right="0"/>
        <w:jc w:val="left"/>
      </w:pPr>
      <w:r>
        <w:rPr/>
        <w:t>计划。本公司按职工工资总额的一定比例向当地社会保险机构缴费</w:t>
      </w:r>
      <w:r>
        <w:rPr>
          <w:rFonts w:ascii="Times New Roman" w:hAnsi="Times New Roman" w:cs="Times New Roman" w:eastAsia="Times New Roman" w:hint="default"/>
        </w:rPr>
        <w:t>/</w:t>
      </w:r>
      <w:r>
        <w:rPr/>
        <w:t>年金计划缴费，相应支出计入当期损益或相关资产成本。</w:t>
      </w:r>
    </w:p>
    <w:p>
      <w:pPr>
        <w:pStyle w:val="BodyText"/>
        <w:spacing w:line="316" w:lineRule="auto" w:before="62"/>
        <w:ind w:left="513" w:right="94"/>
        <w:jc w:val="left"/>
      </w:pPr>
      <w:r>
        <w:rPr/>
        <w:t>②设定受益计划 </w:t>
      </w:r>
      <w:r>
        <w:rPr>
          <w:spacing w:val="-2"/>
        </w:rPr>
        <w:t>本公司根据预期累计福利单位法确定的公式将设定受益计划产生的福利义务归属于职工提供服务的期间，并计入当期损</w:t>
      </w:r>
    </w:p>
    <w:p>
      <w:pPr>
        <w:spacing w:after="0" w:line="316" w:lineRule="auto"/>
        <w:jc w:val="left"/>
        <w:sectPr>
          <w:footerReference w:type="default" r:id="rId19"/>
          <w:pgSz w:w="11910" w:h="16840"/>
          <w:pgMar w:footer="980" w:header="745" w:top="1060" w:bottom="1160" w:left="980" w:right="940"/>
          <w:pgNumType w:start="87"/>
        </w:sectPr>
      </w:pPr>
    </w:p>
    <w:p>
      <w:pPr>
        <w:spacing w:line="240" w:lineRule="auto" w:before="9"/>
        <w:rPr>
          <w:rFonts w:ascii="宋体" w:hAnsi="宋体" w:cs="宋体" w:eastAsia="宋体" w:hint="default"/>
          <w:sz w:val="25"/>
          <w:szCs w:val="25"/>
        </w:rPr>
      </w:pPr>
    </w:p>
    <w:p>
      <w:pPr>
        <w:pStyle w:val="BodyText"/>
        <w:spacing w:line="319" w:lineRule="auto" w:before="44"/>
        <w:ind w:left="513" w:right="93" w:hanging="361"/>
        <w:jc w:val="left"/>
      </w:pPr>
      <w:r>
        <w:rPr/>
        <w:t>益或相关资产成本。 设定受益计划义务现值减去设定受益计划资产公允价值所形成的赤字或盈余确认为一项设定受益计划净负债或净资产。</w:t>
      </w:r>
    </w:p>
    <w:p>
      <w:pPr>
        <w:pStyle w:val="BodyText"/>
        <w:spacing w:line="316" w:lineRule="auto" w:before="17"/>
        <w:ind w:left="513" w:right="94" w:hanging="361"/>
        <w:jc w:val="left"/>
      </w:pPr>
      <w:r>
        <w:rPr/>
        <w:t>设定受益计划存在盈余的，本公司以设定受益计划的盈余和资产上限两项的孰低者计量设定受益计划净资产。 </w:t>
      </w:r>
      <w:r>
        <w:rPr>
          <w:spacing w:val="-2"/>
        </w:rPr>
        <w:t>所有设定受益计划义务，包括预期在职工提供服务的年度报告期间结束后的十二个月内支付的义务，根据资产负债表日</w:t>
      </w:r>
    </w:p>
    <w:p>
      <w:pPr>
        <w:pStyle w:val="BodyText"/>
        <w:spacing w:line="316" w:lineRule="auto" w:before="19"/>
        <w:ind w:left="513" w:right="94" w:hanging="361"/>
        <w:jc w:val="left"/>
      </w:pPr>
      <w:r>
        <w:rPr/>
        <w:t>与设定受益计划义务期限和币种相匹配的国债或活跃市场上的高质量公司债券的市场收益率予以折现。 </w:t>
      </w:r>
      <w:r>
        <w:rPr>
          <w:spacing w:val="-2"/>
        </w:rPr>
        <w:t>设定受益计划产生的服务成本和设定受益计划净负债或净资产的利息净额计入当期损益或相关资产成本；重新计量设定</w:t>
      </w:r>
    </w:p>
    <w:p>
      <w:pPr>
        <w:pStyle w:val="BodyText"/>
        <w:spacing w:line="316" w:lineRule="auto" w:before="19"/>
        <w:ind w:left="513" w:right="453" w:hanging="361"/>
        <w:jc w:val="left"/>
      </w:pPr>
      <w:r>
        <w:rPr/>
        <w:t>受益计划净负债或净资产所产生的变动计入其他综合收益，并且在后续会计期间不转回至损益。 在设定受益计划结算时，按在结算日确定的设定受益计划义务现值和结算价格两者的差额，确认结算利得或损失。 详见本财务报告“七、</w:t>
      </w:r>
      <w:r>
        <w:rPr>
          <w:rFonts w:ascii="Times New Roman" w:hAnsi="Times New Roman" w:cs="Times New Roman" w:eastAsia="Times New Roman" w:hint="default"/>
        </w:rPr>
        <w:t>25</w:t>
      </w:r>
      <w:r>
        <w:rPr/>
        <w:t>、应付职工薪酬”。</w:t>
      </w:r>
    </w:p>
    <w:p>
      <w:pPr>
        <w:spacing w:line="240" w:lineRule="auto" w:before="4"/>
        <w:rPr>
          <w:rFonts w:ascii="宋体" w:hAnsi="宋体" w:cs="宋体" w:eastAsia="宋体" w:hint="default"/>
          <w:sz w:val="21"/>
          <w:szCs w:val="21"/>
        </w:rPr>
      </w:pPr>
    </w:p>
    <w:p>
      <w:pPr>
        <w:pStyle w:val="Heading3"/>
        <w:spacing w:line="240" w:lineRule="auto"/>
        <w:ind w:right="94"/>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94" w:firstLine="360"/>
        <w:jc w:val="left"/>
      </w:pPr>
      <w:r>
        <w:rPr>
          <w:spacing w:val="-2"/>
        </w:rPr>
        <w:t>本公司在不能单方面撤回因解除劳动关系计划或裁减建议所提供的辞退福利时，或确认与涉及支付辞退福利的重组相关</w:t>
      </w:r>
      <w:r>
        <w:rPr/>
        <w:t> 的成本或费用时（两者孰早），确认辞退福利产生的职工薪酬负债，并计入当期损益。</w:t>
      </w:r>
    </w:p>
    <w:p>
      <w:pPr>
        <w:spacing w:line="240" w:lineRule="auto" w:before="9"/>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21</w:t>
      </w:r>
      <w:r>
        <w:rPr/>
        <w:t>、预计负债</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513" w:right="633"/>
        <w:jc w:val="left"/>
      </w:pPr>
      <w:r>
        <w:rPr>
          <w:rFonts w:ascii="Times New Roman" w:hAnsi="Times New Roman" w:cs="Times New Roman" w:eastAsia="Times New Roman" w:hint="default"/>
        </w:rPr>
        <w:t>(1)</w:t>
      </w:r>
      <w:r>
        <w:rPr/>
        <w:t>预计负债的确认标准</w:t>
      </w:r>
      <w:r>
        <w:rPr>
          <w:w w:val="99"/>
        </w:rPr>
        <w:t> </w:t>
      </w:r>
      <w:r>
        <w:rPr/>
        <w:t>与诉讼、债务担保、亏损合同、重组事项等或有事项相关的义务同时满足下列条件时，本公司确认为预计负债：</w:t>
      </w:r>
    </w:p>
    <w:p>
      <w:pPr>
        <w:pStyle w:val="BodyText"/>
        <w:spacing w:line="240" w:lineRule="auto" w:before="31"/>
        <w:ind w:left="513" w:right="94"/>
        <w:jc w:val="left"/>
      </w:pPr>
      <w:r>
        <w:rPr/>
        <w:t>①该义务是本公司承担的现时义务；</w:t>
      </w:r>
    </w:p>
    <w:p>
      <w:pPr>
        <w:pStyle w:val="BodyText"/>
        <w:spacing w:line="240" w:lineRule="auto" w:before="76"/>
        <w:ind w:left="513" w:right="94"/>
        <w:jc w:val="left"/>
      </w:pPr>
      <w:r>
        <w:rPr/>
        <w:t>②履行该义务很可能导致经济利益流出本公司；</w:t>
      </w:r>
    </w:p>
    <w:p>
      <w:pPr>
        <w:pStyle w:val="BodyText"/>
        <w:spacing w:line="240" w:lineRule="auto" w:before="76"/>
        <w:ind w:left="513" w:right="94"/>
        <w:jc w:val="left"/>
      </w:pPr>
      <w:r>
        <w:rPr/>
        <w:t>③该义务的金额能够可靠地计量。</w:t>
      </w:r>
    </w:p>
    <w:p>
      <w:pPr>
        <w:pStyle w:val="BodyText"/>
        <w:spacing w:line="300" w:lineRule="auto" w:before="76"/>
        <w:ind w:left="513" w:right="94"/>
        <w:jc w:val="left"/>
      </w:pPr>
      <w:r>
        <w:rPr>
          <w:rFonts w:ascii="Times New Roman" w:hAnsi="Times New Roman" w:cs="Times New Roman" w:eastAsia="Times New Roman" w:hint="default"/>
        </w:rPr>
        <w:t>(2)</w:t>
      </w:r>
      <w:r>
        <w:rPr/>
        <w:t>各类预计负债的计量方法</w:t>
      </w:r>
      <w:r>
        <w:rPr>
          <w:w w:val="99"/>
        </w:rPr>
        <w:t> </w:t>
      </w:r>
      <w:r>
        <w:rPr>
          <w:spacing w:val="-2"/>
        </w:rPr>
        <w:t>为了与收入、成本确认期间相配比，按一定的标准将销售机器的保修期间、融资租赁机器的租赁期间所发生的维护费用</w:t>
      </w:r>
    </w:p>
    <w:p>
      <w:pPr>
        <w:pStyle w:val="BodyText"/>
        <w:spacing w:line="240" w:lineRule="auto" w:before="31"/>
        <w:ind w:right="94"/>
        <w:jc w:val="left"/>
      </w:pPr>
      <w:r>
        <w:rPr/>
        <w:t>在收入确认期间确认为预计负债，具体计算方法如下：</w:t>
      </w:r>
    </w:p>
    <w:p>
      <w:pPr>
        <w:pStyle w:val="BodyText"/>
        <w:spacing w:line="240" w:lineRule="auto" w:before="76"/>
        <w:ind w:left="513" w:right="94"/>
        <w:jc w:val="left"/>
      </w:pPr>
      <w:r>
        <w:rPr/>
        <w:t>①按历史数据确定预计维护费用每月单台标准；</w:t>
      </w:r>
    </w:p>
    <w:p>
      <w:pPr>
        <w:pStyle w:val="BodyText"/>
        <w:spacing w:line="316" w:lineRule="auto" w:before="77"/>
        <w:ind w:right="94" w:firstLine="360"/>
        <w:jc w:val="left"/>
      </w:pPr>
      <w:r>
        <w:rPr/>
        <w:t>②按合同确定销售机器保修总月份数、融资租赁机维护总月份数。考虑到新机上线前期实际不发生或少量发生维护费， 在按合同确定维护总月份数时，每台机统一扣减</w:t>
      </w:r>
      <w:r>
        <w:rPr>
          <w:rFonts w:ascii="Times New Roman" w:hAnsi="Times New Roman" w:cs="Times New Roman" w:eastAsia="Times New Roman" w:hint="default"/>
        </w:rPr>
        <w:t>6</w:t>
      </w:r>
      <w:r>
        <w:rPr/>
        <w:t>个月；</w:t>
      </w:r>
    </w:p>
    <w:p>
      <w:pPr>
        <w:pStyle w:val="BodyText"/>
        <w:spacing w:line="235" w:lineRule="exact"/>
        <w:ind w:left="513" w:right="94"/>
        <w:jc w:val="left"/>
      </w:pPr>
      <w:r>
        <w:rPr/>
        <w:t>③按销售机器数量、保修总月份数、每月单台维护标准确认保修期间销售机器的维护费用，同时确认预计负债；</w:t>
      </w:r>
    </w:p>
    <w:p>
      <w:pPr>
        <w:pStyle w:val="BodyText"/>
        <w:spacing w:line="316" w:lineRule="auto" w:before="76"/>
        <w:ind w:left="513" w:right="93"/>
        <w:jc w:val="left"/>
      </w:pPr>
      <w:r>
        <w:rPr/>
        <w:t>④按融资租赁机器数量、租赁总月份数、每月单台维护标准确认租赁期间融资租赁机的维护费用，同时确认预计负债。 详见本财务报告“七、</w:t>
      </w:r>
      <w:r>
        <w:rPr>
          <w:rFonts w:ascii="Times New Roman" w:hAnsi="Times New Roman" w:cs="Times New Roman" w:eastAsia="Times New Roman" w:hint="default"/>
        </w:rPr>
        <w:t>29</w:t>
      </w:r>
      <w:r>
        <w:rPr/>
        <w:t>、预计负债”。</w:t>
      </w:r>
    </w:p>
    <w:p>
      <w:pPr>
        <w:spacing w:line="240" w:lineRule="auto" w:before="4"/>
        <w:rPr>
          <w:rFonts w:ascii="宋体" w:hAnsi="宋体" w:cs="宋体" w:eastAsia="宋体" w:hint="default"/>
          <w:sz w:val="21"/>
          <w:szCs w:val="21"/>
        </w:rPr>
      </w:pPr>
    </w:p>
    <w:p>
      <w:pPr>
        <w:pStyle w:val="Heading3"/>
        <w:spacing w:line="240" w:lineRule="auto"/>
        <w:ind w:right="94"/>
        <w:jc w:val="left"/>
        <w:rPr>
          <w:b w:val="0"/>
          <w:bCs w:val="0"/>
        </w:rPr>
      </w:pPr>
      <w:r>
        <w:rPr>
          <w:rFonts w:ascii="Times New Roman" w:hAnsi="Times New Roman" w:cs="Times New Roman" w:eastAsia="Times New Roman" w:hint="default"/>
        </w:rPr>
        <w:t>22</w:t>
      </w:r>
      <w:r>
        <w:rPr/>
        <w:t>、股份支付</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54" w:firstLine="360"/>
        <w:jc w:val="left"/>
      </w:pPr>
      <w:r>
        <w:rPr/>
        <w:t>本公司的股份支付是为了获取职工</w:t>
      </w:r>
      <w:r>
        <w:rPr>
          <w:rFonts w:ascii="Times New Roman" w:hAnsi="Times New Roman" w:cs="Times New Roman" w:eastAsia="Times New Roman" w:hint="default"/>
        </w:rPr>
        <w:t>[</w:t>
      </w:r>
      <w:r>
        <w:rPr/>
        <w:t>或其他方</w:t>
      </w:r>
      <w:r>
        <w:rPr>
          <w:rFonts w:ascii="Times New Roman" w:hAnsi="Times New Roman" w:cs="Times New Roman" w:eastAsia="Times New Roman" w:hint="default"/>
        </w:rPr>
        <w:t>]</w:t>
      </w:r>
      <w:r>
        <w:rPr/>
        <w:t>提供服务而授予权益工具或者承担以权益工具为基础确定的负债的交易。 本公司的股份支付分为以权益结算的股份支付和以现金结算的股份支付。</w:t>
      </w:r>
    </w:p>
    <w:p>
      <w:pPr>
        <w:pStyle w:val="BodyText"/>
        <w:spacing w:line="300" w:lineRule="auto" w:before="31"/>
        <w:ind w:left="513" w:right="94"/>
        <w:jc w:val="left"/>
      </w:pPr>
      <w:r>
        <w:rPr>
          <w:rFonts w:ascii="Times New Roman" w:hAnsi="Times New Roman" w:cs="Times New Roman" w:eastAsia="Times New Roman" w:hint="default"/>
        </w:rPr>
        <w:t>(1)</w:t>
      </w:r>
      <w:r>
        <w:rPr/>
        <w:t>以权益结算的股份支付及权益工具</w:t>
      </w:r>
      <w:r>
        <w:rPr>
          <w:w w:val="99"/>
        </w:rPr>
        <w:t> </w:t>
      </w:r>
      <w:r>
        <w:rPr>
          <w:spacing w:val="-2"/>
        </w:rPr>
        <w:t>以权益结算的股份支付换取职工提供服务的，以授予职工权益工具的公允价值计量。授予后立即可行权的，在授予日按</w:t>
      </w:r>
    </w:p>
    <w:p>
      <w:pPr>
        <w:pStyle w:val="BodyText"/>
        <w:spacing w:line="316" w:lineRule="auto" w:before="32"/>
        <w:ind w:right="193"/>
        <w:jc w:val="both"/>
      </w:pPr>
      <w:r>
        <w:rPr>
          <w:spacing w:val="-2"/>
        </w:rPr>
        <w:t>照公允价值计入相关成本或费用，相应增加资本公积；完成等待期内的服务或达到规定业绩条件才可行权的，在等待期内每</w:t>
      </w:r>
      <w:r>
        <w:rPr>
          <w:spacing w:val="-66"/>
        </w:rPr>
        <w:t> </w:t>
      </w:r>
      <w:r>
        <w:rPr>
          <w:spacing w:val="-66"/>
        </w:rPr>
      </w:r>
      <w:r>
        <w:rPr>
          <w:spacing w:val="-2"/>
        </w:rPr>
        <w:t>个资产负债表日，本公司根据最新取得的可行权职工人数变动、是否达到规定业绩条件等后续信息对可行权权益工具数量作</w:t>
      </w:r>
      <w:r>
        <w:rPr>
          <w:spacing w:val="-64"/>
        </w:rPr>
        <w:t> </w:t>
      </w:r>
      <w:r>
        <w:rPr>
          <w:spacing w:val="-64"/>
        </w:rPr>
      </w:r>
      <w:r>
        <w:rPr>
          <w:spacing w:val="-2"/>
        </w:rPr>
        <w:t>出最佳估计，以此为基础，按照授予日的公允价值，将当期取得的服务计入相关成本或费用，相应增加资本公积。在授权日</w:t>
      </w:r>
      <w:r>
        <w:rPr>
          <w:spacing w:val="-67"/>
        </w:rPr>
        <w:t> </w:t>
      </w:r>
      <w:r>
        <w:rPr>
          <w:spacing w:val="-67"/>
        </w:rPr>
      </w:r>
      <w:r>
        <w:rPr/>
        <w:t>采用</w:t>
      </w:r>
      <w:r>
        <w:rPr>
          <w:rFonts w:ascii="Times New Roman" w:hAnsi="Times New Roman" w:cs="Times New Roman" w:eastAsia="Times New Roman" w:hint="default"/>
        </w:rPr>
        <w:t>Black-Scholes</w:t>
      </w:r>
      <w:r>
        <w:rPr/>
        <w:t>模型确定股票期权的公允价值权，详见财务报告十二、股份支付。</w:t>
      </w:r>
    </w:p>
    <w:p>
      <w:pPr>
        <w:pStyle w:val="BodyText"/>
        <w:spacing w:line="316" w:lineRule="auto"/>
        <w:ind w:right="189" w:firstLine="360"/>
        <w:jc w:val="both"/>
      </w:pPr>
      <w:r>
        <w:rPr>
          <w:spacing w:val="-2"/>
        </w:rPr>
        <w:t>在满足业绩条件和服务期限条件的期间，应确认以权益结算的股份支付的成本或费用，并相应增加资本公积。可行权日</w:t>
      </w:r>
      <w:r>
        <w:rPr/>
        <w:t> </w:t>
      </w:r>
      <w:r>
        <w:rPr>
          <w:spacing w:val="-2"/>
        </w:rPr>
        <w:t>之前，于每个资产负债表日为以权益结算的股份支付确认的累计金额反映了等待期已届满的部分以及本公司对最终可行权的</w:t>
      </w:r>
      <w:r>
        <w:rPr>
          <w:spacing w:val="-64"/>
        </w:rPr>
        <w:t> </w:t>
      </w:r>
      <w:r>
        <w:rPr>
          <w:spacing w:val="-64"/>
        </w:rPr>
      </w:r>
      <w:r>
        <w:rPr/>
        <w:t>权益工具数量的最佳估计。</w:t>
      </w:r>
    </w:p>
    <w:p>
      <w:pPr>
        <w:spacing w:after="0" w:line="316"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94" w:firstLine="360"/>
        <w:jc w:val="left"/>
      </w:pPr>
      <w:r>
        <w:rPr>
          <w:spacing w:val="-2"/>
        </w:rPr>
        <w:t>对于最终未能行权的股份支付，不确认成本或费用，除非行权条件是市场条件或非可行权条件，此时无论是否满足市场</w:t>
      </w:r>
      <w:r>
        <w:rPr/>
        <w:t> 条件或非可行权条件，只要满足所有可行权条件中的非市场条件，即视为可行权。</w:t>
      </w:r>
    </w:p>
    <w:p>
      <w:pPr>
        <w:pStyle w:val="BodyText"/>
        <w:spacing w:line="316" w:lineRule="auto" w:before="17"/>
        <w:ind w:right="94" w:firstLine="360"/>
        <w:jc w:val="left"/>
      </w:pPr>
      <w:r>
        <w:rPr>
          <w:spacing w:val="-2"/>
        </w:rPr>
        <w:t>如果修改了以权益结算的股份支付的条款，至少按照未修改条款的情况确认取得的服务。此外，任何增加所授予权益工</w:t>
      </w:r>
      <w:r>
        <w:rPr/>
        <w:t> 具公允价值的修改，或在修改日对职工有利的变更，均确认取得服务的增加。</w:t>
      </w:r>
    </w:p>
    <w:p>
      <w:pPr>
        <w:pStyle w:val="BodyText"/>
        <w:spacing w:line="316" w:lineRule="auto" w:before="19"/>
        <w:ind w:right="94" w:firstLine="360"/>
        <w:jc w:val="left"/>
      </w:pPr>
      <w:r>
        <w:rPr>
          <w:spacing w:val="-2"/>
        </w:rPr>
        <w:t>如果取消了以权益结算的股份支付，则于取消日作为加速行权处理，立即确认尚未确认的金额。职工或其他方能够选择</w:t>
      </w:r>
      <w:r>
        <w:rPr/>
        <w:t> </w:t>
      </w:r>
      <w:r>
        <w:rPr>
          <w:spacing w:val="-2"/>
        </w:rPr>
        <w:t>满足非可行权条件但在等待期内未满足的，作为取消以权益结算的股份支付处理。但是，如果授予新的权益工具，并在新权</w:t>
      </w:r>
      <w:r>
        <w:rPr>
          <w:spacing w:val="-64"/>
        </w:rPr>
        <w:t> </w:t>
      </w:r>
      <w:r>
        <w:rPr>
          <w:spacing w:val="-64"/>
        </w:rPr>
      </w:r>
      <w:r>
        <w:rPr/>
        <w:t>益工具授予日认定所授予的新权益工具是用于替代被取消的权益工具的，则以与处理原权益工具条款和条件修改相同的方 式，对所授予的替代权益工具进行处理。</w:t>
      </w:r>
    </w:p>
    <w:p>
      <w:pPr>
        <w:pStyle w:val="BodyText"/>
        <w:spacing w:line="300" w:lineRule="auto" w:before="19"/>
        <w:ind w:left="513" w:right="94"/>
        <w:jc w:val="left"/>
      </w:pPr>
      <w:r>
        <w:rPr>
          <w:rFonts w:ascii="Times New Roman" w:hAnsi="Times New Roman" w:cs="Times New Roman" w:eastAsia="Times New Roman" w:hint="default"/>
        </w:rPr>
        <w:t>(2)</w:t>
      </w:r>
      <w:r>
        <w:rPr/>
        <w:t>以现金结算的股份支付及权益工具</w:t>
      </w:r>
      <w:r>
        <w:rPr>
          <w:w w:val="99"/>
        </w:rPr>
        <w:t> </w:t>
      </w:r>
      <w:r>
        <w:rPr>
          <w:spacing w:val="-2"/>
        </w:rPr>
        <w:t>以现金结算的股份支付，按照本公司承担的以股份或其他权益工具为基础计算确定的负债的公允价值计量。授予后立即</w:t>
      </w:r>
    </w:p>
    <w:p>
      <w:pPr>
        <w:pStyle w:val="BodyText"/>
        <w:spacing w:line="316" w:lineRule="auto" w:before="31"/>
        <w:ind w:right="94"/>
        <w:jc w:val="left"/>
      </w:pPr>
      <w:r>
        <w:rPr>
          <w:spacing w:val="-2"/>
        </w:rPr>
        <w:t>可行权的，在授予日以承担负债的公允价值计入成本或费用，相应增加负债；完成等待期内的服务或达到规定业绩条件才可</w:t>
      </w:r>
      <w:r>
        <w:rPr>
          <w:spacing w:val="-66"/>
        </w:rPr>
        <w:t> </w:t>
      </w:r>
      <w:r>
        <w:rPr>
          <w:spacing w:val="-66"/>
        </w:rPr>
      </w:r>
      <w:r>
        <w:rPr>
          <w:spacing w:val="-4"/>
        </w:rPr>
        <w:t>行权的，在等待期内以对可行权情况的最佳估计为基础，按照承担负债的公允价值，将当期取得的服务计入相关成本或费用，</w:t>
      </w:r>
      <w:r>
        <w:rPr>
          <w:spacing w:val="-44"/>
        </w:rPr>
        <w:t> </w:t>
      </w:r>
      <w:r>
        <w:rPr>
          <w:spacing w:val="-44"/>
        </w:rPr>
      </w:r>
      <w:r>
        <w:rPr/>
        <w:t>增加相应负债。在相关负债结算前的每个资产负债表日以及结算日，对负债的公允价值重新计量，其变动计入当期损益。</w:t>
      </w:r>
    </w:p>
    <w:p>
      <w:pPr>
        <w:pStyle w:val="BodyText"/>
        <w:spacing w:line="300" w:lineRule="auto" w:before="19"/>
        <w:ind w:left="513" w:right="94"/>
        <w:jc w:val="left"/>
      </w:pPr>
      <w:r>
        <w:rPr>
          <w:rFonts w:ascii="Times New Roman" w:hAnsi="Times New Roman" w:cs="Times New Roman" w:eastAsia="Times New Roman" w:hint="default"/>
        </w:rPr>
        <w:t>(3)</w:t>
      </w:r>
      <w:r>
        <w:rPr/>
        <w:t>确认可行权权益工具最佳估计的依据</w:t>
      </w:r>
      <w:r>
        <w:rPr>
          <w:w w:val="99"/>
        </w:rPr>
        <w:t> </w:t>
      </w:r>
      <w:r>
        <w:rPr>
          <w:spacing w:val="-2"/>
        </w:rPr>
        <w:t>等待期内每个资产负债表日，本公司根据最新取得的可行权职工人数变动等后续信息作出最佳估计，修正预计可行权的</w:t>
      </w:r>
    </w:p>
    <w:p>
      <w:pPr>
        <w:pStyle w:val="BodyText"/>
        <w:spacing w:line="316" w:lineRule="auto" w:before="31"/>
        <w:ind w:left="513" w:right="94" w:hanging="361"/>
        <w:jc w:val="left"/>
      </w:pPr>
      <w:r>
        <w:rPr/>
        <w:t>权益工具数量。在可行权日，最终预计可行权权益工具的数量与实际可行权数量一致。 </w:t>
      </w:r>
      <w:r>
        <w:rPr>
          <w:spacing w:val="-2"/>
        </w:rPr>
        <w:t>根据上述权益工具的公允价值和预计可行权的权益工具数量，计算截至当期累计应确认的成本费用金额，再减去前期累</w:t>
      </w:r>
    </w:p>
    <w:p>
      <w:pPr>
        <w:pStyle w:val="BodyText"/>
        <w:spacing w:line="240" w:lineRule="auto" w:before="19"/>
        <w:ind w:right="94"/>
        <w:jc w:val="left"/>
      </w:pPr>
      <w:r>
        <w:rPr/>
        <w:t>计已确认金额，作为当期应确认的成本费用金额。</w:t>
      </w:r>
    </w:p>
    <w:p>
      <w:pPr>
        <w:pStyle w:val="BodyText"/>
        <w:spacing w:line="240" w:lineRule="auto" w:before="76"/>
        <w:ind w:left="513" w:right="94"/>
        <w:jc w:val="left"/>
      </w:pPr>
      <w:r>
        <w:rPr>
          <w:rFonts w:ascii="Times New Roman" w:hAnsi="Times New Roman" w:cs="Times New Roman" w:eastAsia="Times New Roman" w:hint="default"/>
        </w:rPr>
        <w:t>(4)</w:t>
      </w:r>
      <w:r>
        <w:rPr/>
        <w:t>实施、修改、终止股份支付计划的相关会计处理</w:t>
      </w:r>
    </w:p>
    <w:p>
      <w:pPr>
        <w:pStyle w:val="BodyText"/>
        <w:spacing w:line="240" w:lineRule="auto" w:before="63"/>
        <w:ind w:left="513" w:right="94"/>
        <w:jc w:val="left"/>
      </w:pPr>
      <w:r>
        <w:rPr/>
        <w:t>①股份支付的实施</w:t>
      </w:r>
    </w:p>
    <w:p>
      <w:pPr>
        <w:pStyle w:val="BodyText"/>
        <w:spacing w:line="300" w:lineRule="auto" w:before="76"/>
        <w:ind w:left="513" w:right="94"/>
        <w:jc w:val="left"/>
      </w:pPr>
      <w:r>
        <w:rPr>
          <w:rFonts w:ascii="Times New Roman" w:hAnsi="Times New Roman" w:cs="Times New Roman" w:eastAsia="Times New Roman" w:hint="default"/>
        </w:rPr>
        <w:t>a.</w:t>
      </w:r>
      <w:r>
        <w:rPr/>
        <w:t>以权益结算的股份支付换取职工提供服务的 </w:t>
      </w:r>
      <w:r>
        <w:rPr>
          <w:spacing w:val="-2"/>
        </w:rPr>
        <w:t>以授予职工权益工具的公允价值计量。授予后立即可行权的换取职工服务的以权益结算的股份支付，在授予日按照权益</w:t>
      </w:r>
    </w:p>
    <w:p>
      <w:pPr>
        <w:pStyle w:val="BodyText"/>
        <w:spacing w:line="316" w:lineRule="auto" w:before="31"/>
        <w:ind w:right="190"/>
        <w:jc w:val="both"/>
      </w:pPr>
      <w:r>
        <w:rPr>
          <w:spacing w:val="-2"/>
        </w:rPr>
        <w:t>工具的公允价值计入相关成本或费用，相应增加资本公积。完成等待期内的服务或达到规定业绩条件才可行权的换取职工服</w:t>
      </w:r>
      <w:r>
        <w:rPr>
          <w:spacing w:val="-63"/>
        </w:rPr>
        <w:t> </w:t>
      </w:r>
      <w:r>
        <w:rPr>
          <w:spacing w:val="-63"/>
        </w:rPr>
      </w:r>
      <w:r>
        <w:rPr>
          <w:spacing w:val="-2"/>
        </w:rPr>
        <w:t>务的以权益结算的股份支付，在等待期内的每个资产负债表日，以对可行权权益工具数量的最佳估计为基础，按照权益工具</w:t>
      </w:r>
      <w:r>
        <w:rPr>
          <w:spacing w:val="-63"/>
        </w:rPr>
        <w:t> </w:t>
      </w:r>
      <w:r>
        <w:rPr>
          <w:spacing w:val="-63"/>
        </w:rPr>
      </w:r>
      <w:r>
        <w:rPr>
          <w:spacing w:val="-2"/>
        </w:rPr>
        <w:t>授予日的公允价值，将当期取得的服务计入相关成本或费用和资本公积。在资产负债表日，后续信息表明可行权权益工具的</w:t>
      </w:r>
      <w:r>
        <w:rPr>
          <w:spacing w:val="-63"/>
        </w:rPr>
        <w:t> </w:t>
      </w:r>
      <w:r>
        <w:rPr>
          <w:spacing w:val="-63"/>
        </w:rPr>
      </w:r>
      <w:r>
        <w:rPr>
          <w:spacing w:val="-2"/>
        </w:rPr>
        <w:t>数量与以前估计不同的进行调整，并在可行权日调整至实际可行权的权益工具数量。对于可行权条件为规定服务期间的股份</w:t>
      </w:r>
      <w:r>
        <w:rPr>
          <w:spacing w:val="-64"/>
        </w:rPr>
        <w:t> </w:t>
      </w:r>
      <w:r>
        <w:rPr>
          <w:spacing w:val="-64"/>
        </w:rPr>
      </w:r>
      <w:r>
        <w:rPr>
          <w:spacing w:val="-2"/>
        </w:rPr>
        <w:t>支付，等待期为授予日至可行权日的期间；对于可行权条件为规定业绩的股份支付，在授予日根据最可能的业绩结果预计等</w:t>
      </w:r>
      <w:r>
        <w:rPr>
          <w:spacing w:val="-63"/>
        </w:rPr>
        <w:t> </w:t>
      </w:r>
      <w:r>
        <w:rPr>
          <w:spacing w:val="-63"/>
        </w:rPr>
      </w:r>
      <w:r>
        <w:rPr/>
        <w:t>待期的长度。企业在可行权日之后不再对已确认的相关成本或费用和所有者权益总额进行调整。</w:t>
      </w:r>
    </w:p>
    <w:p>
      <w:pPr>
        <w:pStyle w:val="BodyText"/>
        <w:spacing w:line="300" w:lineRule="auto" w:before="19"/>
        <w:ind w:left="513" w:right="94"/>
        <w:jc w:val="left"/>
      </w:pPr>
      <w:r>
        <w:rPr>
          <w:rFonts w:ascii="Times New Roman" w:hAnsi="Times New Roman" w:cs="Times New Roman" w:eastAsia="Times New Roman" w:hint="default"/>
        </w:rPr>
        <w:t>b.</w:t>
      </w:r>
      <w:r>
        <w:rPr/>
        <w:t>以权益结算的股份支付换取其他方服务的，分别下列情况处理： </w:t>
      </w:r>
      <w:r>
        <w:rPr>
          <w:spacing w:val="-2"/>
        </w:rPr>
        <w:t>其他方服务的公允价值能够可靠计量的，按照其他方服务在取得日的公允价值计入相关成本或费用，相应增加所有者权</w:t>
      </w:r>
    </w:p>
    <w:p>
      <w:pPr>
        <w:pStyle w:val="BodyText"/>
        <w:spacing w:line="240" w:lineRule="auto" w:before="31"/>
        <w:ind w:right="94"/>
        <w:jc w:val="left"/>
      </w:pPr>
      <w:r>
        <w:rPr/>
        <w:t>益。</w:t>
      </w:r>
    </w:p>
    <w:p>
      <w:pPr>
        <w:pStyle w:val="BodyText"/>
        <w:spacing w:line="240" w:lineRule="auto" w:before="76"/>
        <w:ind w:left="513" w:right="0"/>
        <w:jc w:val="left"/>
      </w:pPr>
      <w:r>
        <w:rPr/>
        <w:t>其他方服务的公允价值不能可靠计量但权益工具公允价值能够可靠计量的，按照权益工具在服务取得日的公允价值，计</w:t>
      </w:r>
    </w:p>
    <w:p>
      <w:pPr>
        <w:pStyle w:val="BodyText"/>
        <w:spacing w:line="312" w:lineRule="auto" w:before="76"/>
        <w:ind w:left="513" w:right="94" w:hanging="361"/>
        <w:jc w:val="left"/>
      </w:pPr>
      <w:r>
        <w:rPr/>
        <w:t>入相关成本或费用，相应增加所有者权益。 在行权日，企业根据实际行权的权益工具数量，计算确定应转入实收资本或股本的金额，将其转入实收资本或股本。 </w:t>
      </w:r>
      <w:r>
        <w:rPr>
          <w:rFonts w:ascii="Times New Roman" w:hAnsi="Times New Roman" w:cs="Times New Roman" w:eastAsia="Times New Roman" w:hint="default"/>
        </w:rPr>
        <w:t>c.</w:t>
      </w:r>
      <w:r>
        <w:rPr/>
        <w:t>以现金结算的股份支付 </w:t>
      </w:r>
      <w:r>
        <w:rPr>
          <w:spacing w:val="-2"/>
        </w:rPr>
        <w:t>按照企业承担的以股份或其他权益工具为基础计算确定的负债的公允价值计量。授予后立即可行权的以现金结算的股份</w:t>
      </w:r>
    </w:p>
    <w:p>
      <w:pPr>
        <w:pStyle w:val="BodyText"/>
        <w:spacing w:line="319" w:lineRule="auto" w:before="22"/>
        <w:ind w:right="190"/>
        <w:jc w:val="both"/>
      </w:pPr>
      <w:r>
        <w:rPr>
          <w:spacing w:val="-2"/>
        </w:rPr>
        <w:t>支付，在授予日以企业承担负债的公允价值计入相关成本或费用，相应增加负债。完成等待期内的服务或达到规定业绩条件</w:t>
      </w:r>
      <w:r>
        <w:rPr>
          <w:spacing w:val="-66"/>
        </w:rPr>
        <w:t> </w:t>
      </w:r>
      <w:r>
        <w:rPr>
          <w:spacing w:val="-66"/>
        </w:rPr>
      </w:r>
      <w:r>
        <w:rPr>
          <w:spacing w:val="-2"/>
        </w:rPr>
        <w:t>以后才可行权的以现金结算的股份支付，在等待期内的每个资产负债表日，以对可行权情况的最佳估计为基础，按照企业承</w:t>
      </w:r>
      <w:r>
        <w:rPr>
          <w:spacing w:val="-63"/>
        </w:rPr>
        <w:t> </w:t>
      </w:r>
      <w:r>
        <w:rPr>
          <w:spacing w:val="-63"/>
        </w:rPr>
      </w:r>
      <w:r>
        <w:rPr>
          <w:spacing w:val="-2"/>
        </w:rPr>
        <w:t>担负债的公允价值金额，将当期取得的服务计入成本或费用和相应的负债。在资产负债表日，后续信息表明企业当期承担债</w:t>
      </w:r>
      <w:r>
        <w:rPr>
          <w:spacing w:val="-63"/>
        </w:rPr>
        <w:t> </w:t>
      </w:r>
      <w:r>
        <w:rPr>
          <w:spacing w:val="-63"/>
        </w:rPr>
      </w:r>
      <w:r>
        <w:rPr>
          <w:spacing w:val="-2"/>
        </w:rPr>
        <w:t>务的公允价值与以前估计不同的进行调整，并在可行权日调整至实际可行权水平。企业在相关负债结算前的每个资产负债表</w:t>
      </w:r>
      <w:r>
        <w:rPr>
          <w:spacing w:val="-64"/>
        </w:rPr>
        <w:t> </w:t>
      </w:r>
      <w:r>
        <w:rPr>
          <w:spacing w:val="-64"/>
        </w:rPr>
      </w:r>
      <w:r>
        <w:rPr/>
        <w:t>日以及结算日，对负债的公允价值重新计量</w:t>
      </w:r>
      <w:r>
        <w:rPr>
          <w:rFonts w:ascii="Times New Roman" w:hAnsi="Times New Roman" w:cs="Times New Roman" w:eastAsia="Times New Roman" w:hint="default"/>
        </w:rPr>
        <w:t>,</w:t>
      </w:r>
      <w:r>
        <w:rPr/>
        <w:t>其变动计入当期损益。</w:t>
      </w:r>
    </w:p>
    <w:p>
      <w:pPr>
        <w:pStyle w:val="BodyText"/>
        <w:spacing w:line="233" w:lineRule="exact"/>
        <w:ind w:left="513" w:right="94"/>
        <w:jc w:val="left"/>
      </w:pPr>
      <w:r>
        <w:rPr/>
        <w:t>②股份支付的修改</w:t>
      </w:r>
    </w:p>
    <w:p>
      <w:pPr>
        <w:pStyle w:val="BodyText"/>
        <w:spacing w:line="300" w:lineRule="auto" w:before="76"/>
        <w:ind w:right="94" w:firstLine="360"/>
        <w:jc w:val="left"/>
      </w:pPr>
      <w:r>
        <w:rPr>
          <w:rFonts w:ascii="Times New Roman" w:hAnsi="Times New Roman" w:cs="Times New Roman" w:eastAsia="Times New Roman" w:hint="default"/>
          <w:spacing w:val="-1"/>
        </w:rPr>
        <w:t>a.</w:t>
      </w:r>
      <w:r>
        <w:rPr>
          <w:spacing w:val="-1"/>
        </w:rPr>
        <w:t>修改增加了所授予的权益工具的公允价值，按照权益工具公允价值的增加相应地确认取得服务的增加。修改发生在等</w:t>
      </w:r>
      <w:r>
        <w:rPr/>
        <w:t> </w:t>
      </w:r>
      <w:r>
        <w:rPr>
          <w:spacing w:val="-2"/>
        </w:rPr>
        <w:t>待期内，在确认修改日至修改后的可行权日之间取得服务的公允价值时，既包括在剩余原等待期内以原权益工具授予日公允</w:t>
      </w:r>
    </w:p>
    <w:p>
      <w:pPr>
        <w:spacing w:after="0" w:line="30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90"/>
        <w:jc w:val="both"/>
      </w:pPr>
      <w:r>
        <w:rPr>
          <w:spacing w:val="-2"/>
        </w:rPr>
        <w:t>价值为基础确定的服务金额，也包括权益工具公允价值的增加。修改发生在可行权日之后，立即确认权益工具公允价值的增</w:t>
      </w:r>
      <w:r>
        <w:rPr>
          <w:spacing w:val="-63"/>
        </w:rPr>
        <w:t> </w:t>
      </w:r>
      <w:r>
        <w:rPr>
          <w:spacing w:val="-63"/>
        </w:rPr>
      </w:r>
      <w:r>
        <w:rPr>
          <w:spacing w:val="-2"/>
        </w:rPr>
        <w:t>加。如果股份支付协议要求职工只有先完成更长期间的服务才能取得修改后的权益工具，则在整个等待期内确认权益工具公</w:t>
      </w:r>
      <w:r>
        <w:rPr>
          <w:spacing w:val="-64"/>
        </w:rPr>
        <w:t> </w:t>
      </w:r>
      <w:r>
        <w:rPr>
          <w:spacing w:val="-64"/>
        </w:rPr>
      </w:r>
      <w:r>
        <w:rPr/>
        <w:t>允价值的增加。</w:t>
      </w:r>
    </w:p>
    <w:p>
      <w:pPr>
        <w:pStyle w:val="BodyText"/>
        <w:spacing w:line="309" w:lineRule="auto" w:before="17"/>
        <w:ind w:right="193" w:firstLine="360"/>
        <w:jc w:val="both"/>
      </w:pPr>
      <w:r>
        <w:rPr>
          <w:rFonts w:ascii="Times New Roman" w:hAnsi="Times New Roman" w:cs="Times New Roman" w:eastAsia="Times New Roman" w:hint="default"/>
          <w:spacing w:val="-1"/>
        </w:rPr>
        <w:t>b.</w:t>
      </w:r>
      <w:r>
        <w:rPr>
          <w:spacing w:val="-1"/>
        </w:rPr>
        <w:t>修改增加了所授予的权益工具的数量，将增加的权益工具的公允价值相应地确认为取得服务的增加。如果修改发生在</w:t>
      </w:r>
      <w:r>
        <w:rPr/>
        <w:t> </w:t>
      </w:r>
      <w:r>
        <w:rPr>
          <w:spacing w:val="-2"/>
        </w:rPr>
        <w:t>等待期内，在确认修改日至增加的权益工具可行权日之间取得服务的公允价值时，既包括在剩余原等待期内以原权益工具授</w:t>
      </w:r>
      <w:r>
        <w:rPr>
          <w:spacing w:val="-64"/>
        </w:rPr>
        <w:t> </w:t>
      </w:r>
      <w:r>
        <w:rPr>
          <w:spacing w:val="-64"/>
        </w:rPr>
      </w:r>
      <w:r>
        <w:rPr/>
        <w:t>予日公允价值为基础确定的服务金额，也包括权益工具公允价值的增加。</w:t>
      </w:r>
    </w:p>
    <w:p>
      <w:pPr>
        <w:pStyle w:val="BodyText"/>
        <w:spacing w:line="300" w:lineRule="auto" w:before="24"/>
        <w:ind w:right="193" w:firstLine="360"/>
        <w:jc w:val="both"/>
      </w:pPr>
      <w:r>
        <w:rPr>
          <w:rFonts w:ascii="Times New Roman" w:hAnsi="Times New Roman" w:cs="Times New Roman" w:eastAsia="Times New Roman" w:hint="default"/>
        </w:rPr>
        <w:t>c.</w:t>
      </w:r>
      <w:r>
        <w:rPr/>
        <w:t>如果按照有利于职工的方式修改可行权条件，如缩短等待期、变更或取消业绩条件（而非市场条件</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，在处理可行权 条件时，考虑修改后的可行权条件。</w:t>
      </w:r>
    </w:p>
    <w:p>
      <w:pPr>
        <w:pStyle w:val="BodyText"/>
        <w:spacing w:line="300" w:lineRule="auto" w:before="31"/>
        <w:ind w:right="191" w:firstLine="360"/>
        <w:jc w:val="both"/>
      </w:pPr>
      <w:r>
        <w:rPr>
          <w:rFonts w:ascii="Times New Roman" w:hAnsi="Times New Roman" w:cs="Times New Roman" w:eastAsia="Times New Roman" w:hint="default"/>
          <w:spacing w:val="-1"/>
        </w:rPr>
        <w:t>d.</w:t>
      </w:r>
      <w:r>
        <w:rPr>
          <w:spacing w:val="-1"/>
        </w:rPr>
        <w:t>修改减少了所授予的权益工具的公允价值，继续以权益工具在授予日的公允价值为基础，确认取得服务的金额，而不</w:t>
      </w:r>
      <w:r>
        <w:rPr/>
        <w:t> 考虑权益工具公允价值的减少。</w:t>
      </w:r>
    </w:p>
    <w:p>
      <w:pPr>
        <w:pStyle w:val="BodyText"/>
        <w:spacing w:line="300" w:lineRule="auto" w:before="31"/>
        <w:ind w:left="513" w:right="94"/>
        <w:jc w:val="left"/>
      </w:pPr>
      <w:r>
        <w:rPr>
          <w:rFonts w:ascii="Times New Roman" w:hAnsi="Times New Roman" w:cs="Times New Roman" w:eastAsia="Times New Roman" w:hint="default"/>
        </w:rPr>
        <w:t>e.</w:t>
      </w:r>
      <w:r>
        <w:rPr/>
        <w:t>修改减少了授予的权益工具的数量，将减少部分作为已授予的权益工具的取消来进行处理。 </w:t>
      </w:r>
      <w:r>
        <w:rPr>
          <w:rFonts w:ascii="Times New Roman" w:hAnsi="Times New Roman" w:cs="Times New Roman" w:eastAsia="Times New Roman" w:hint="default"/>
          <w:spacing w:val="-1"/>
        </w:rPr>
        <w:t>f.</w:t>
      </w:r>
      <w:r>
        <w:rPr>
          <w:spacing w:val="-1"/>
        </w:rPr>
        <w:t>以不利于职工的方式修改了可行权条件，如延长等待期、增加或变更业绩条件（而非市场条件），在处理可行权条件</w:t>
      </w:r>
    </w:p>
    <w:p>
      <w:pPr>
        <w:pStyle w:val="BodyText"/>
        <w:spacing w:line="240" w:lineRule="auto" w:before="13"/>
        <w:ind w:right="94"/>
        <w:jc w:val="left"/>
      </w:pPr>
      <w:r>
        <w:rPr/>
        <w:t>时，不考虑修改后的可行权条件。</w:t>
      </w:r>
    </w:p>
    <w:p>
      <w:pPr>
        <w:pStyle w:val="BodyText"/>
        <w:spacing w:line="240" w:lineRule="auto" w:before="77"/>
        <w:ind w:left="513" w:right="94"/>
        <w:jc w:val="left"/>
      </w:pPr>
      <w:r>
        <w:rPr/>
        <w:t>③股份支付的终止</w:t>
      </w:r>
    </w:p>
    <w:p>
      <w:pPr>
        <w:pStyle w:val="BodyText"/>
        <w:spacing w:line="300" w:lineRule="auto" w:before="76"/>
        <w:ind w:left="513" w:right="191"/>
        <w:jc w:val="left"/>
      </w:pPr>
      <w:r>
        <w:rPr>
          <w:rFonts w:ascii="Times New Roman" w:hAnsi="Times New Roman" w:cs="Times New Roman" w:eastAsia="Times New Roman" w:hint="default"/>
        </w:rPr>
        <w:t>a.</w:t>
      </w:r>
      <w:r>
        <w:rPr/>
        <w:t>将取消或结算作为加速可行权处理，立即确认原本应在剩余等待期内确认的金额。 </w:t>
      </w:r>
      <w:r>
        <w:rPr>
          <w:rFonts w:ascii="Times New Roman" w:hAnsi="Times New Roman" w:cs="Times New Roman" w:eastAsia="Times New Roman" w:hint="default"/>
          <w:spacing w:val="-1"/>
        </w:rPr>
        <w:t>b.</w:t>
      </w:r>
      <w:r>
        <w:rPr>
          <w:spacing w:val="-1"/>
        </w:rPr>
        <w:t>在取消或结算时支付给职工的所有款项均应作为权益的回购处理，回购支付的金额高于该权益工具在回购日公允价值</w:t>
      </w:r>
    </w:p>
    <w:p>
      <w:pPr>
        <w:pStyle w:val="BodyText"/>
        <w:spacing w:line="240" w:lineRule="auto" w:before="13"/>
        <w:ind w:right="94"/>
        <w:jc w:val="left"/>
      </w:pPr>
      <w:r>
        <w:rPr/>
        <w:t>的部分，计入当期费用。</w:t>
      </w:r>
    </w:p>
    <w:p>
      <w:pPr>
        <w:pStyle w:val="BodyText"/>
        <w:spacing w:line="309" w:lineRule="auto" w:before="76"/>
        <w:ind w:right="193" w:firstLine="360"/>
        <w:jc w:val="both"/>
      </w:pPr>
      <w:r>
        <w:rPr>
          <w:rFonts w:ascii="Times New Roman" w:hAnsi="Times New Roman" w:cs="Times New Roman" w:eastAsia="Times New Roman" w:hint="default"/>
          <w:spacing w:val="-1"/>
        </w:rPr>
        <w:t>c.</w:t>
      </w:r>
      <w:r>
        <w:rPr>
          <w:spacing w:val="-1"/>
        </w:rPr>
        <w:t>如果向职工授予新的权益工具，并在新权益工具授予日认定所授予的新权益工具是用于替代被取消的权益工具的，企</w:t>
      </w:r>
      <w:r>
        <w:rPr/>
        <w:t> </w:t>
      </w:r>
      <w:r>
        <w:rPr>
          <w:spacing w:val="-2"/>
        </w:rPr>
        <w:t>业应以处理原权益工具条款和条件修改相同的方式，对所授予的替代权益工具进行处理。企业如果回购其职工已可行权的权</w:t>
      </w:r>
      <w:r>
        <w:rPr>
          <w:spacing w:val="-64"/>
        </w:rPr>
        <w:t> </w:t>
      </w:r>
      <w:r>
        <w:rPr>
          <w:spacing w:val="-64"/>
        </w:rPr>
      </w:r>
      <w:r>
        <w:rPr/>
        <w:t>益工具，借记所有者权益，回购支付的金额高于该权益工具在回购日公允价值的部分，计入当期费用。</w:t>
      </w:r>
    </w:p>
    <w:p>
      <w:pPr>
        <w:spacing w:line="240" w:lineRule="auto" w:before="3"/>
        <w:rPr>
          <w:rFonts w:ascii="宋体" w:hAnsi="宋体" w:cs="宋体" w:eastAsia="宋体" w:hint="default"/>
          <w:sz w:val="23"/>
          <w:szCs w:val="23"/>
        </w:rPr>
      </w:pPr>
    </w:p>
    <w:p>
      <w:pPr>
        <w:pStyle w:val="Heading3"/>
        <w:spacing w:line="240" w:lineRule="auto"/>
        <w:ind w:right="94"/>
        <w:jc w:val="left"/>
        <w:rPr>
          <w:b w:val="0"/>
          <w:bCs w:val="0"/>
        </w:rPr>
      </w:pPr>
      <w:r>
        <w:rPr>
          <w:rFonts w:ascii="Times New Roman" w:hAnsi="Times New Roman" w:cs="Times New Roman" w:eastAsia="Times New Roman" w:hint="default"/>
        </w:rPr>
        <w:t>23</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4"/>
        <w:jc w:val="left"/>
      </w:pPr>
      <w:r>
        <w:rPr>
          <w:rFonts w:ascii="Times New Roman" w:hAnsi="Times New Roman" w:cs="Times New Roman" w:eastAsia="Times New Roman" w:hint="default"/>
        </w:rPr>
        <w:t>(1)</w:t>
      </w:r>
      <w:r>
        <w:rPr/>
        <w:t>销售商品收入确认时间的具体判断标准</w:t>
      </w:r>
    </w:p>
    <w:p>
      <w:pPr>
        <w:pStyle w:val="BodyText"/>
        <w:spacing w:line="240" w:lineRule="auto" w:before="63"/>
        <w:ind w:left="513" w:right="94"/>
        <w:jc w:val="left"/>
      </w:pPr>
      <w:r>
        <w:rPr/>
        <w:t>①合同经双方签字盖章确认，已经生效；</w:t>
      </w:r>
    </w:p>
    <w:p>
      <w:pPr>
        <w:pStyle w:val="BodyText"/>
        <w:spacing w:line="240" w:lineRule="auto" w:before="77"/>
        <w:ind w:left="513" w:right="94"/>
        <w:jc w:val="left"/>
      </w:pPr>
      <w:r>
        <w:rPr/>
        <w:t>②设备已经发出，且通过物流公司或公司销售部确认客户已经收到；</w:t>
      </w:r>
    </w:p>
    <w:p>
      <w:pPr>
        <w:pStyle w:val="BodyText"/>
        <w:spacing w:line="309" w:lineRule="auto" w:before="76"/>
        <w:ind w:left="513" w:right="93"/>
        <w:jc w:val="left"/>
      </w:pPr>
      <w:r>
        <w:rPr/>
        <w:t>③设备按合同要求已经安装调试完毕；或经公司销售部确认设备已安装调试完毕，客户已经验收。 </w:t>
      </w:r>
      <w:r>
        <w:rPr>
          <w:rFonts w:ascii="Times New Roman" w:hAnsi="Times New Roman" w:cs="Times New Roman" w:eastAsia="Times New Roman" w:hint="default"/>
        </w:rPr>
        <w:t>(2)</w:t>
      </w:r>
      <w:r>
        <w:rPr/>
        <w:t>确认让渡资产使用权收入的依据 与交易相关的经济利益很可能流入企业，收入的金额能够可靠地计量时，分别下列情况确定让渡资产使用权收入金额：</w:t>
      </w:r>
    </w:p>
    <w:p>
      <w:pPr>
        <w:pStyle w:val="BodyText"/>
        <w:spacing w:line="240" w:lineRule="auto" w:before="24"/>
        <w:ind w:left="513" w:right="94"/>
        <w:jc w:val="left"/>
      </w:pPr>
      <w:r>
        <w:rPr/>
        <w:t>①利息收入金额：按照他人使用本企业货币资金的时间和实际利率计算确定。</w:t>
      </w:r>
    </w:p>
    <w:p>
      <w:pPr>
        <w:pStyle w:val="BodyText"/>
        <w:spacing w:line="240" w:lineRule="auto" w:before="76"/>
        <w:ind w:left="513" w:right="94"/>
        <w:jc w:val="left"/>
      </w:pPr>
      <w:r>
        <w:rPr/>
        <w:t>②使用费收入金额：按照有关合同或协议约定的收费时间和方法计算确定。</w:t>
      </w:r>
    </w:p>
    <w:p>
      <w:pPr>
        <w:pStyle w:val="BodyText"/>
        <w:spacing w:line="240" w:lineRule="auto" w:before="76"/>
        <w:ind w:left="513" w:right="94"/>
        <w:jc w:val="left"/>
      </w:pPr>
      <w:r>
        <w:rPr/>
        <w:t>③</w:t>
      </w:r>
      <w:r>
        <w:rPr>
          <w:rFonts w:ascii="Times New Roman" w:hAnsi="Times New Roman" w:cs="Times New Roman" w:eastAsia="Times New Roman" w:hint="default"/>
        </w:rPr>
        <w:t>ATM</w:t>
      </w:r>
      <w:r>
        <w:rPr/>
        <w:t>服务收入：收入的金额能够可靠地计量；相关的经济利益很可能流入企业时确认收入。</w:t>
      </w:r>
    </w:p>
    <w:p>
      <w:pPr>
        <w:pStyle w:val="BodyText"/>
        <w:spacing w:line="316" w:lineRule="auto" w:before="63"/>
        <w:ind w:left="513" w:right="5673"/>
        <w:jc w:val="left"/>
      </w:pPr>
      <w:r>
        <w:rPr/>
        <w:t>④租赁资产收入： 在租赁开始日将租赁分为融资租赁和经营租赁。</w:t>
      </w:r>
    </w:p>
    <w:p>
      <w:pPr>
        <w:pStyle w:val="BodyText"/>
        <w:spacing w:line="316" w:lineRule="auto" w:before="19"/>
        <w:ind w:left="513" w:right="273"/>
        <w:jc w:val="left"/>
      </w:pPr>
      <w:r>
        <w:rPr/>
        <w:t>融资租赁，是指实质上转移了与资产所有权有关的全部风险和报酬的租赁。其所有权最终可能转移，也可能不转移。 符合下列一项或数项标准的，认定为融资租赁：</w:t>
      </w:r>
    </w:p>
    <w:p>
      <w:pPr>
        <w:pStyle w:val="BodyText"/>
        <w:spacing w:line="300" w:lineRule="auto" w:before="16"/>
        <w:ind w:left="513" w:right="191"/>
        <w:jc w:val="left"/>
      </w:pPr>
      <w:r>
        <w:rPr>
          <w:rFonts w:ascii="Times New Roman" w:hAnsi="Times New Roman" w:cs="Times New Roman" w:eastAsia="Times New Roman" w:hint="default"/>
        </w:rPr>
        <w:t>a.</w:t>
      </w:r>
      <w:r>
        <w:rPr/>
        <w:t>在租赁期届满时，租赁资产的所有权转移给承租人； </w:t>
      </w:r>
      <w:r>
        <w:rPr>
          <w:rFonts w:ascii="Times New Roman" w:hAnsi="Times New Roman" w:cs="Times New Roman" w:eastAsia="Times New Roman" w:hint="default"/>
          <w:spacing w:val="-1"/>
        </w:rPr>
        <w:t>b.</w:t>
      </w:r>
      <w:r>
        <w:rPr>
          <w:spacing w:val="-1"/>
        </w:rPr>
        <w:t>承租人有购买租赁资产的选择权，所订立的购买价款预计将远低于行使选择权时租赁资产的公允价值，因而在租赁开</w:t>
      </w:r>
    </w:p>
    <w:p>
      <w:pPr>
        <w:pStyle w:val="BodyText"/>
        <w:spacing w:line="240" w:lineRule="auto" w:before="13"/>
        <w:ind w:right="94"/>
        <w:jc w:val="left"/>
      </w:pPr>
      <w:r>
        <w:rPr/>
        <w:t>始日就可以合理确定承租人将会行使这种选择权；</w:t>
      </w:r>
    </w:p>
    <w:p>
      <w:pPr>
        <w:pStyle w:val="BodyText"/>
        <w:spacing w:line="300" w:lineRule="auto" w:before="76"/>
        <w:ind w:left="513" w:right="191"/>
        <w:jc w:val="left"/>
      </w:pPr>
      <w:r>
        <w:rPr>
          <w:rFonts w:ascii="Times New Roman" w:hAnsi="Times New Roman" w:cs="Times New Roman" w:eastAsia="Times New Roman" w:hint="default"/>
        </w:rPr>
        <w:t>c.</w:t>
      </w:r>
      <w:r>
        <w:rPr/>
        <w:t>即使资产的所有权不转移，但租赁期占租赁资产使用寿命的大部分； </w:t>
      </w:r>
      <w:r>
        <w:rPr>
          <w:rFonts w:ascii="Times New Roman" w:hAnsi="Times New Roman" w:cs="Times New Roman" w:eastAsia="Times New Roman" w:hint="default"/>
          <w:spacing w:val="-1"/>
        </w:rPr>
        <w:t>d.</w:t>
      </w:r>
      <w:r>
        <w:rPr>
          <w:spacing w:val="-1"/>
        </w:rPr>
        <w:t>承租人在租赁开始日的最低租赁付款额现值，几乎相当于租赁开始日租赁资产公允价值；出租人在租赁开始日的最低</w:t>
      </w:r>
    </w:p>
    <w:p>
      <w:pPr>
        <w:pStyle w:val="BodyText"/>
        <w:spacing w:line="309" w:lineRule="auto" w:before="13"/>
        <w:ind w:left="513" w:right="4288" w:hanging="361"/>
        <w:jc w:val="left"/>
      </w:pPr>
      <w:r>
        <w:rPr/>
        <w:t>租赁收款额现值，几乎相当于租赁开始日租赁资产公允价值； </w:t>
      </w:r>
      <w:r>
        <w:rPr>
          <w:rFonts w:ascii="Times New Roman" w:hAnsi="Times New Roman" w:cs="Times New Roman" w:eastAsia="Times New Roman" w:hint="default"/>
        </w:rPr>
        <w:t>e.</w:t>
      </w:r>
      <w:r>
        <w:rPr/>
        <w:t>租赁资产性质特殊，如果不作较大改造，只有承租人才能使用。 公司内含利率的计算公式如下：</w:t>
      </w:r>
    </w:p>
    <w:p>
      <w:pPr>
        <w:spacing w:after="0" w:line="309"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09" w:lineRule="auto" w:before="44"/>
        <w:ind w:left="513" w:right="3528"/>
        <w:jc w:val="left"/>
      </w:pPr>
      <w:r>
        <w:rPr/>
        <w:t>公司内含利率</w:t>
      </w:r>
      <w:r>
        <w:rPr>
          <w:rFonts w:ascii="Times New Roman" w:hAnsi="Times New Roman" w:cs="Times New Roman" w:eastAsia="Times New Roman" w:hint="default"/>
        </w:rPr>
        <w:t>=</w:t>
      </w:r>
      <w:r>
        <w:rPr/>
        <w:t>金融机构中长期贷款基准利率</w:t>
      </w:r>
      <w:r>
        <w:rPr>
          <w:rFonts w:ascii="Times New Roman" w:hAnsi="Times New Roman" w:cs="Times New Roman" w:eastAsia="Times New Roman" w:hint="default"/>
        </w:rPr>
        <w:t>+</w:t>
      </w:r>
      <w:r>
        <w:rPr/>
        <w:t>居民消费价格指数</w:t>
      </w:r>
      <w:r>
        <w:rPr>
          <w:rFonts w:ascii="Times New Roman" w:hAnsi="Times New Roman" w:cs="Times New Roman" w:eastAsia="Times New Roman" w:hint="default"/>
        </w:rPr>
        <w:t>+</w:t>
      </w:r>
      <w:r>
        <w:rPr/>
        <w:t>其他因素 未实现融资收益在租赁期内各个期间按实际利率法分配。 或有租金在实际发生时确认为当期收入。</w:t>
      </w:r>
    </w:p>
    <w:p>
      <w:pPr>
        <w:pStyle w:val="BodyText"/>
        <w:spacing w:line="240" w:lineRule="auto" w:before="24"/>
        <w:ind w:left="513" w:right="146"/>
        <w:jc w:val="left"/>
      </w:pPr>
      <w:r>
        <w:rPr/>
        <w:t>经营租赁是指除融资租赁以外的其他租赁，经营租赁的租金在租赁期内的各个期间按直线法确认为收入。</w:t>
      </w:r>
    </w:p>
    <w:p>
      <w:pPr>
        <w:spacing w:line="240" w:lineRule="auto" w:before="0"/>
        <w:rPr>
          <w:rFonts w:ascii="宋体" w:hAnsi="宋体" w:cs="宋体" w:eastAsia="宋体" w:hint="default"/>
          <w:sz w:val="18"/>
          <w:szCs w:val="18"/>
        </w:rPr>
      </w:pPr>
    </w:p>
    <w:p>
      <w:pPr>
        <w:pStyle w:val="Heading3"/>
        <w:spacing w:line="240" w:lineRule="auto" w:before="120"/>
        <w:ind w:right="146"/>
        <w:jc w:val="left"/>
        <w:rPr>
          <w:b w:val="0"/>
          <w:bCs w:val="0"/>
        </w:rPr>
      </w:pPr>
      <w:r>
        <w:rPr>
          <w:rFonts w:ascii="Times New Roman" w:hAnsi="Times New Roman" w:cs="Times New Roman" w:eastAsia="Times New Roman" w:hint="default"/>
        </w:rPr>
        <w:t>24</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6"/>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46"/>
        <w:jc w:val="left"/>
      </w:pPr>
      <w:r>
        <w:rPr/>
        <w:t>与资产相关的政府补助，确认为递延收益，按照所建造或购买的资产使用年限分期计入营业外收入。</w:t>
      </w:r>
    </w:p>
    <w:p>
      <w:pPr>
        <w:spacing w:line="240" w:lineRule="auto" w:before="0"/>
        <w:rPr>
          <w:rFonts w:ascii="宋体" w:hAnsi="宋体" w:cs="宋体" w:eastAsia="宋体" w:hint="default"/>
          <w:sz w:val="18"/>
          <w:szCs w:val="18"/>
        </w:rPr>
      </w:pPr>
    </w:p>
    <w:p>
      <w:pPr>
        <w:pStyle w:val="Heading3"/>
        <w:spacing w:line="240" w:lineRule="auto" w:before="120"/>
        <w:ind w:right="146"/>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46" w:firstLine="360"/>
        <w:jc w:val="left"/>
      </w:pPr>
      <w:r>
        <w:rPr>
          <w:spacing w:val="-2"/>
        </w:rPr>
        <w:t>与收益相关的政府补助，用于补偿本公司以后期间的相关费用或损失的，取得时确认为递延收益，在确认相关费用的期</w:t>
      </w:r>
      <w:r>
        <w:rPr/>
        <w:t> 间计入当期营业外收入；用于补偿本公司已发生的相关费用或损失的，取得时直接计入当期营业外收入。</w:t>
      </w:r>
    </w:p>
    <w:p>
      <w:pPr>
        <w:spacing w:line="240" w:lineRule="auto" w:before="10"/>
        <w:rPr>
          <w:rFonts w:ascii="宋体" w:hAnsi="宋体" w:cs="宋体" w:eastAsia="宋体" w:hint="default"/>
          <w:sz w:val="22"/>
          <w:szCs w:val="22"/>
        </w:rPr>
      </w:pPr>
    </w:p>
    <w:p>
      <w:pPr>
        <w:pStyle w:val="Heading3"/>
        <w:spacing w:line="240" w:lineRule="auto"/>
        <w:ind w:right="146"/>
        <w:jc w:val="left"/>
        <w:rPr>
          <w:b w:val="0"/>
          <w:bCs w:val="0"/>
        </w:rPr>
      </w:pPr>
      <w:r>
        <w:rPr>
          <w:rFonts w:ascii="Times New Roman" w:hAnsi="Times New Roman" w:cs="Times New Roman" w:eastAsia="Times New Roman" w:hint="default"/>
        </w:rPr>
        <w:t>25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46" w:firstLine="360"/>
        <w:jc w:val="left"/>
      </w:pPr>
      <w:r>
        <w:rPr/>
        <w:t>对于可抵扣暂时性差异确认递延所得税资产，以未来期间很可能取得的用来抵扣可抵扣暂时性差异的应纳税所得额为 </w:t>
      </w:r>
      <w:r>
        <w:rPr>
          <w:spacing w:val="-2"/>
        </w:rPr>
        <w:t>限。对于能够结转以后年度的可抵扣亏损和税款抵减，以很可能获得用来抵扣可抵扣亏损和税款抵减的未来应纳税所得额为</w:t>
      </w:r>
      <w:r>
        <w:rPr>
          <w:spacing w:val="-64"/>
        </w:rPr>
        <w:t> </w:t>
      </w:r>
      <w:r>
        <w:rPr>
          <w:spacing w:val="-64"/>
        </w:rPr>
      </w:r>
      <w:r>
        <w:rPr/>
        <w:t>限，确认相应的递延所得税资产。</w:t>
      </w:r>
    </w:p>
    <w:p>
      <w:pPr>
        <w:pStyle w:val="BodyText"/>
        <w:spacing w:line="316" w:lineRule="auto" w:before="19"/>
        <w:ind w:left="513" w:right="146"/>
        <w:jc w:val="left"/>
      </w:pPr>
      <w:r>
        <w:rPr/>
        <w:t>对于应纳税暂时性差异，除特殊情况外，确认递延所得税负债。 </w:t>
      </w:r>
      <w:r>
        <w:rPr>
          <w:spacing w:val="-2"/>
        </w:rPr>
        <w:t>不确认递延所得税资产或递延所得税负债的特殊情况包括：商誉的初始确认；除企业合并以外的发生时既不影响会计利</w:t>
      </w:r>
    </w:p>
    <w:p>
      <w:pPr>
        <w:pStyle w:val="BodyText"/>
        <w:spacing w:line="316" w:lineRule="auto" w:before="19"/>
        <w:ind w:left="513" w:right="146" w:hanging="361"/>
        <w:jc w:val="left"/>
      </w:pPr>
      <w:r>
        <w:rPr/>
        <w:t>润也不影响应纳税所得额（或可抵扣亏损）的其他交易或事项。 </w:t>
      </w:r>
      <w:r>
        <w:rPr>
          <w:spacing w:val="-2"/>
        </w:rPr>
        <w:t>当拥有以净额结算的法定权利，且意图以净额结算或取得资产、清偿负债同时进行时，当期所得税资产及当期所得税负</w:t>
      </w:r>
    </w:p>
    <w:p>
      <w:pPr>
        <w:pStyle w:val="BodyText"/>
        <w:spacing w:line="319" w:lineRule="auto" w:before="19"/>
        <w:ind w:left="513" w:right="146" w:hanging="361"/>
        <w:jc w:val="left"/>
      </w:pPr>
      <w:r>
        <w:rPr/>
        <w:t>债以抵销后的净额列报。 </w:t>
      </w:r>
      <w:r>
        <w:rPr>
          <w:spacing w:val="-2"/>
        </w:rPr>
        <w:t>当拥有以净额结算当期所得税资产及当期所得税负债的法定权利，且递延所得税资产及递延所得税负债是与同一税收征</w:t>
      </w:r>
    </w:p>
    <w:p>
      <w:pPr>
        <w:pStyle w:val="BodyText"/>
        <w:spacing w:line="316" w:lineRule="auto" w:before="17"/>
        <w:ind w:right="152"/>
        <w:jc w:val="both"/>
      </w:pPr>
      <w:r>
        <w:rPr>
          <w:spacing w:val="-2"/>
        </w:rPr>
        <w:t>管部门对同一纳税主体征收的所得税相关或者是对不同的纳税主体相关，但在未来每一具有重要性的递延所得税资产及负债</w:t>
      </w:r>
      <w:r>
        <w:rPr>
          <w:spacing w:val="-63"/>
        </w:rPr>
        <w:t> </w:t>
      </w:r>
      <w:r>
        <w:rPr>
          <w:spacing w:val="-63"/>
        </w:rPr>
      </w:r>
      <w:r>
        <w:rPr>
          <w:spacing w:val="-2"/>
        </w:rPr>
        <w:t>转回的期间内，涉及的纳税主体意图以净额结算当期所得税资产和负债或是同时取得资产、清偿负债时，递延所得税资产及</w:t>
      </w:r>
      <w:r>
        <w:rPr>
          <w:spacing w:val="-66"/>
        </w:rPr>
        <w:t> </w:t>
      </w:r>
      <w:r>
        <w:rPr>
          <w:spacing w:val="-66"/>
        </w:rPr>
      </w:r>
      <w:r>
        <w:rPr/>
        <w:t>递延所得税负债以抵销后的净额列报。</w:t>
      </w:r>
    </w:p>
    <w:p>
      <w:pPr>
        <w:spacing w:line="240" w:lineRule="auto" w:before="10"/>
        <w:rPr>
          <w:rFonts w:ascii="宋体" w:hAnsi="宋体" w:cs="宋体" w:eastAsia="宋体" w:hint="default"/>
          <w:sz w:val="22"/>
          <w:szCs w:val="22"/>
        </w:rPr>
      </w:pPr>
    </w:p>
    <w:p>
      <w:pPr>
        <w:pStyle w:val="Heading3"/>
        <w:spacing w:line="240" w:lineRule="auto"/>
        <w:ind w:right="146"/>
        <w:jc w:val="left"/>
        <w:rPr>
          <w:b w:val="0"/>
          <w:bCs w:val="0"/>
        </w:rPr>
      </w:pPr>
      <w:r>
        <w:rPr>
          <w:rFonts w:ascii="Times New Roman" w:hAnsi="Times New Roman" w:cs="Times New Roman" w:eastAsia="Times New Roman" w:hint="default"/>
        </w:rPr>
        <w:t>26</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6"/>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46" w:firstLine="360"/>
        <w:jc w:val="left"/>
      </w:pPr>
      <w:r>
        <w:rPr>
          <w:spacing w:val="-2"/>
        </w:rPr>
        <w:t>①公司租入资产所支付的租赁费，在不扣除免租期的整个租赁期内，按直线法进行分摊，计入当期费用。公司支付的与</w:t>
      </w:r>
      <w:r>
        <w:rPr/>
        <w:t> 租赁交易相关的初始直接费用，计入当期费用。</w:t>
      </w:r>
    </w:p>
    <w:p>
      <w:pPr>
        <w:pStyle w:val="BodyText"/>
        <w:spacing w:line="319" w:lineRule="auto" w:before="19"/>
        <w:ind w:right="146" w:firstLine="360"/>
        <w:jc w:val="left"/>
      </w:pPr>
      <w:r>
        <w:rPr>
          <w:spacing w:val="-2"/>
        </w:rPr>
        <w:t>资产出租方承担了应由公司承担的与租赁相关的费用时，公司将该部分费用从租金总额中扣除，按扣除后的租金费用在</w:t>
      </w:r>
      <w:r>
        <w:rPr/>
        <w:t> 租赁期内分摊，计入当期费用。</w:t>
      </w:r>
    </w:p>
    <w:p>
      <w:pPr>
        <w:pStyle w:val="BodyText"/>
        <w:spacing w:line="316" w:lineRule="auto" w:before="17"/>
        <w:ind w:right="153" w:firstLine="360"/>
        <w:jc w:val="both"/>
      </w:pPr>
      <w:r>
        <w:rPr>
          <w:spacing w:val="-2"/>
        </w:rPr>
        <w:t>②本公司出租资产所收取的租赁费，在不扣除免租期的整个租赁期内，按直线法进行分摊，确认为租赁相关收入。公司</w:t>
      </w:r>
      <w:r>
        <w:rPr/>
        <w:t> </w:t>
      </w:r>
      <w:r>
        <w:rPr>
          <w:spacing w:val="-2"/>
        </w:rPr>
        <w:t>支付的与租赁交易相关的初始直接费用，计入当期费用；如金额较大的，则予以资本化，在整个租赁期间内按照与租赁相关</w:t>
      </w:r>
      <w:r>
        <w:rPr>
          <w:spacing w:val="-66"/>
        </w:rPr>
        <w:t> </w:t>
      </w:r>
      <w:r>
        <w:rPr>
          <w:spacing w:val="-66"/>
        </w:rPr>
      </w:r>
      <w:r>
        <w:rPr/>
        <w:t>收入确认相同的基础分期计入当期收益。</w:t>
      </w:r>
    </w:p>
    <w:p>
      <w:pPr>
        <w:pStyle w:val="BodyText"/>
        <w:spacing w:line="316" w:lineRule="auto" w:before="19"/>
        <w:ind w:right="146" w:firstLine="360"/>
        <w:jc w:val="left"/>
      </w:pPr>
      <w:r>
        <w:rPr>
          <w:spacing w:val="-2"/>
        </w:rPr>
        <w:t>公司承担了应由承租方承担的与租赁相关的费用时，公司将该部分费用从租金收入总额中扣除，按扣除后的租金费用在</w:t>
      </w:r>
      <w:r>
        <w:rPr/>
        <w:t> 租赁期内分配。</w:t>
      </w:r>
    </w:p>
    <w:p>
      <w:pPr>
        <w:spacing w:after="0" w:line="316"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94"/>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94"/>
        <w:jc w:val="left"/>
      </w:pPr>
      <w:r>
        <w:rPr/>
        <w:t>①本公司未发生融资租入资产事项。</w:t>
      </w:r>
    </w:p>
    <w:p>
      <w:pPr>
        <w:pStyle w:val="BodyText"/>
        <w:spacing w:line="240" w:lineRule="auto" w:before="76"/>
        <w:ind w:left="513" w:right="94"/>
        <w:jc w:val="left"/>
      </w:pPr>
      <w:r>
        <w:rPr/>
        <w:t>②融资租出资产：详见财务报告五、</w:t>
      </w:r>
      <w:r>
        <w:rPr>
          <w:rFonts w:ascii="Times New Roman" w:hAnsi="Times New Roman" w:cs="Times New Roman" w:eastAsia="Times New Roman" w:hint="default"/>
        </w:rPr>
        <w:t>23</w:t>
      </w:r>
      <w:r>
        <w:rPr/>
        <w:t>、（</w:t>
      </w:r>
      <w:r>
        <w:rPr>
          <w:rFonts w:ascii="Times New Roman" w:hAnsi="Times New Roman" w:cs="Times New Roman" w:eastAsia="Times New Roman" w:hint="default"/>
        </w:rPr>
        <w:t>2</w:t>
      </w:r>
      <w:r>
        <w:rPr/>
        <w:t>）④</w:t>
      </w:r>
    </w:p>
    <w:p>
      <w:pPr>
        <w:spacing w:line="240" w:lineRule="auto" w:before="2"/>
        <w:rPr>
          <w:rFonts w:ascii="宋体" w:hAnsi="宋体" w:cs="宋体" w:eastAsia="宋体" w:hint="default"/>
          <w:sz w:val="26"/>
          <w:szCs w:val="26"/>
        </w:rPr>
      </w:pPr>
    </w:p>
    <w:p>
      <w:pPr>
        <w:pStyle w:val="Heading3"/>
        <w:spacing w:line="240" w:lineRule="auto"/>
        <w:ind w:right="94"/>
        <w:jc w:val="left"/>
        <w:rPr>
          <w:b w:val="0"/>
          <w:bCs w:val="0"/>
        </w:rPr>
      </w:pPr>
      <w:r>
        <w:rPr>
          <w:rFonts w:ascii="Times New Roman" w:hAnsi="Times New Roman" w:cs="Times New Roman" w:eastAsia="Times New Roman" w:hint="default"/>
        </w:rPr>
        <w:t>27</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2"/>
        <w:gridCol w:w="3188"/>
        <w:gridCol w:w="3179"/>
      </w:tblGrid>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300" w:lineRule="auto" w:before="8"/>
        <w:ind w:left="513" w:right="3873"/>
        <w:jc w:val="left"/>
      </w:pPr>
      <w:r>
        <w:rPr/>
        <w:t>①执行财政部于</w:t>
      </w:r>
      <w:r>
        <w:rPr>
          <w:rFonts w:ascii="Times New Roman" w:hAnsi="Times New Roman" w:cs="Times New Roman" w:eastAsia="Times New Roman" w:hint="default"/>
        </w:rPr>
        <w:t>2014</w:t>
      </w:r>
      <w:r>
        <w:rPr/>
        <w:t>年修订及新颁布的准则 本公司已执行财政部于</w:t>
      </w:r>
      <w:r>
        <w:rPr>
          <w:rFonts w:ascii="Times New Roman" w:hAnsi="Times New Roman" w:cs="Times New Roman" w:eastAsia="Times New Roman" w:hint="default"/>
        </w:rPr>
        <w:t>2014</w:t>
      </w:r>
      <w:r>
        <w:rPr/>
        <w:t>年颁布的下列新的及修订的企业会计准则：</w:t>
      </w:r>
    </w:p>
    <w:p>
      <w:pPr>
        <w:pStyle w:val="BodyText"/>
        <w:spacing w:line="240" w:lineRule="auto" w:before="13"/>
        <w:ind w:left="513" w:right="94"/>
        <w:jc w:val="left"/>
      </w:pPr>
      <w:r>
        <w:rPr/>
        <w:t>《企业会计准则—基本准则》（修订）、</w:t>
      </w:r>
    </w:p>
    <w:p>
      <w:pPr>
        <w:pStyle w:val="BodyText"/>
        <w:spacing w:line="240" w:lineRule="auto" w:before="76"/>
        <w:ind w:left="513" w:right="94"/>
        <w:jc w:val="left"/>
      </w:pPr>
      <w:r>
        <w:rPr/>
        <w:t>《企业会计准则第</w:t>
      </w:r>
      <w:r>
        <w:rPr>
          <w:rFonts w:ascii="Times New Roman" w:hAnsi="Times New Roman" w:cs="Times New Roman" w:eastAsia="Times New Roman" w:hint="default"/>
        </w:rPr>
        <w:t>2</w:t>
      </w:r>
      <w:r>
        <w:rPr/>
        <w:t>号——长期股权投资》（修订）、</w:t>
      </w:r>
    </w:p>
    <w:p>
      <w:pPr>
        <w:pStyle w:val="BodyText"/>
        <w:spacing w:line="240" w:lineRule="auto" w:before="63"/>
        <w:ind w:left="513" w:right="94"/>
        <w:jc w:val="left"/>
      </w:pPr>
      <w:r>
        <w:rPr/>
        <w:t>《企业会计准则第</w:t>
      </w:r>
      <w:r>
        <w:rPr>
          <w:rFonts w:ascii="Times New Roman" w:hAnsi="Times New Roman" w:cs="Times New Roman" w:eastAsia="Times New Roman" w:hint="default"/>
        </w:rPr>
        <w:t>9</w:t>
      </w:r>
      <w:r>
        <w:rPr/>
        <w:t>号——职工薪酬》（修订）、</w:t>
      </w:r>
    </w:p>
    <w:p>
      <w:pPr>
        <w:pStyle w:val="BodyText"/>
        <w:spacing w:line="240" w:lineRule="auto" w:before="63"/>
        <w:ind w:left="513" w:right="94"/>
        <w:jc w:val="left"/>
      </w:pPr>
      <w:r>
        <w:rPr/>
        <w:t>《企业会计准则第</w:t>
      </w:r>
      <w:r>
        <w:rPr>
          <w:rFonts w:ascii="Times New Roman" w:hAnsi="Times New Roman" w:cs="Times New Roman" w:eastAsia="Times New Roman" w:hint="default"/>
        </w:rPr>
        <w:t>30</w:t>
      </w:r>
      <w:r>
        <w:rPr/>
        <w:t>号——财务报表列报》（修订）、</w:t>
      </w:r>
    </w:p>
    <w:p>
      <w:pPr>
        <w:pStyle w:val="BodyText"/>
        <w:spacing w:line="240" w:lineRule="auto" w:before="63"/>
        <w:ind w:left="513" w:right="94"/>
        <w:jc w:val="left"/>
      </w:pPr>
      <w:r>
        <w:rPr/>
        <w:t>《企业会计准则第</w:t>
      </w:r>
      <w:r>
        <w:rPr>
          <w:rFonts w:ascii="Times New Roman" w:hAnsi="Times New Roman" w:cs="Times New Roman" w:eastAsia="Times New Roman" w:hint="default"/>
        </w:rPr>
        <w:t>33</w:t>
      </w:r>
      <w:r>
        <w:rPr/>
        <w:t>号——合并财务报表》（修订）、</w:t>
      </w:r>
    </w:p>
    <w:p>
      <w:pPr>
        <w:pStyle w:val="BodyText"/>
        <w:spacing w:line="240" w:lineRule="auto" w:before="63"/>
        <w:ind w:left="513" w:right="94"/>
        <w:jc w:val="left"/>
      </w:pPr>
      <w:r>
        <w:rPr/>
        <w:t>《企业会计准则第</w:t>
      </w:r>
      <w:r>
        <w:rPr>
          <w:rFonts w:ascii="Times New Roman" w:hAnsi="Times New Roman" w:cs="Times New Roman" w:eastAsia="Times New Roman" w:hint="default"/>
        </w:rPr>
        <w:t>37</w:t>
      </w:r>
      <w:r>
        <w:rPr/>
        <w:t>号——金融工具列报》（修订）、</w:t>
      </w:r>
    </w:p>
    <w:p>
      <w:pPr>
        <w:pStyle w:val="BodyText"/>
        <w:spacing w:line="240" w:lineRule="auto" w:before="63"/>
        <w:ind w:left="513" w:right="94"/>
        <w:jc w:val="left"/>
      </w:pPr>
      <w:r>
        <w:rPr/>
        <w:t>《企业会计准则第</w:t>
      </w:r>
      <w:r>
        <w:rPr>
          <w:rFonts w:ascii="Times New Roman" w:hAnsi="Times New Roman" w:cs="Times New Roman" w:eastAsia="Times New Roman" w:hint="default"/>
        </w:rPr>
        <w:t>39</w:t>
      </w:r>
      <w:r>
        <w:rPr/>
        <w:t>号——公允价值计量》、</w:t>
      </w:r>
    </w:p>
    <w:p>
      <w:pPr>
        <w:pStyle w:val="BodyText"/>
        <w:spacing w:line="240" w:lineRule="auto" w:before="63"/>
        <w:ind w:left="513" w:right="94"/>
        <w:jc w:val="left"/>
      </w:pPr>
      <w:r>
        <w:rPr/>
        <w:t>《企业会计准则第</w:t>
      </w:r>
      <w:r>
        <w:rPr>
          <w:rFonts w:ascii="Times New Roman" w:hAnsi="Times New Roman" w:cs="Times New Roman" w:eastAsia="Times New Roman" w:hint="default"/>
        </w:rPr>
        <w:t>40</w:t>
      </w:r>
      <w:r>
        <w:rPr/>
        <w:t>号——合营安排》、</w:t>
      </w:r>
    </w:p>
    <w:p>
      <w:pPr>
        <w:pStyle w:val="BodyText"/>
        <w:spacing w:line="240" w:lineRule="auto" w:before="63"/>
        <w:ind w:left="513" w:right="94"/>
        <w:jc w:val="left"/>
      </w:pPr>
      <w:r>
        <w:rPr/>
        <w:t>《企业会计准则第</w:t>
      </w:r>
      <w:r>
        <w:rPr>
          <w:rFonts w:ascii="Times New Roman" w:hAnsi="Times New Roman" w:cs="Times New Roman" w:eastAsia="Times New Roman" w:hint="default"/>
        </w:rPr>
        <w:t>41</w:t>
      </w:r>
      <w:r>
        <w:rPr/>
        <w:t>号——在其他主体中权益的披露》。</w:t>
      </w:r>
    </w:p>
    <w:p>
      <w:pPr>
        <w:pStyle w:val="BodyText"/>
        <w:spacing w:line="309" w:lineRule="auto" w:before="63"/>
        <w:ind w:right="189" w:firstLine="360"/>
        <w:jc w:val="both"/>
      </w:pPr>
      <w:r>
        <w:rPr/>
        <w:t>本公司董事会决定本公司自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spacing w:val="21"/>
        </w:rPr>
        <w:t> </w:t>
      </w:r>
      <w:r>
        <w:rPr>
          <w:rFonts w:ascii="Times New Roman" w:hAnsi="Times New Roman" w:cs="Times New Roman" w:eastAsia="Times New Roman" w:hint="default"/>
          <w:spacing w:val="-3"/>
        </w:rPr>
        <w:t>1</w:t>
      </w:r>
      <w:r>
        <w:rPr>
          <w:spacing w:val="-3"/>
        </w:rPr>
        <w:t>日起执行上述新制定或修订后的企业会计准则。新制定或修订的会计准则的变</w:t>
      </w:r>
      <w:r>
        <w:rPr/>
        <w:t> </w:t>
      </w:r>
      <w:r>
        <w:rPr>
          <w:spacing w:val="-2"/>
        </w:rPr>
        <w:t>化，导致本公司相应会计政策变化，并已按照相关衔接规定进行了处理，对于需要对比较数据进行追溯调整的，本公司已进</w:t>
      </w:r>
      <w:r>
        <w:rPr>
          <w:spacing w:val="-65"/>
        </w:rPr>
        <w:t> </w:t>
      </w:r>
      <w:r>
        <w:rPr>
          <w:spacing w:val="-65"/>
        </w:rPr>
      </w:r>
      <w:r>
        <w:rPr/>
        <w:t>行了相应追溯调整。本公司追溯调整的主要事项有：</w:t>
      </w:r>
    </w:p>
    <w:p>
      <w:pPr>
        <w:pStyle w:val="BodyText"/>
        <w:spacing w:line="309" w:lineRule="auto" w:before="24"/>
        <w:ind w:right="94" w:firstLine="360"/>
        <w:jc w:val="left"/>
      </w:pPr>
      <w:r>
        <w:rPr>
          <w:rFonts w:ascii="Times New Roman" w:hAnsi="Times New Roman" w:cs="Times New Roman" w:eastAsia="Times New Roman" w:hint="default"/>
        </w:rPr>
        <w:t>a.</w:t>
      </w:r>
      <w:r>
        <w:rPr/>
        <w:t>根据修订后的《企业会计准则第</w:t>
      </w:r>
      <w:r>
        <w:rPr>
          <w:rFonts w:ascii="Times New Roman" w:hAnsi="Times New Roman" w:cs="Times New Roman" w:eastAsia="Times New Roman" w:hint="default"/>
        </w:rPr>
        <w:t>2</w:t>
      </w:r>
      <w:r>
        <w:rPr/>
        <w:t>号——长期股权投资》的规定，对不具有控制、共同控制或重大影响，并且在活跃 </w:t>
      </w:r>
      <w:r>
        <w:rPr>
          <w:spacing w:val="-2"/>
        </w:rPr>
        <w:t>市场中没有报价、公允价值不能可靠计量的权益工具投资，由长期股权投资科目列报，改为以成本计量的可供出售金融资产</w:t>
      </w:r>
      <w:r>
        <w:rPr>
          <w:spacing w:val="-63"/>
        </w:rPr>
        <w:t> </w:t>
      </w:r>
      <w:r>
        <w:rPr>
          <w:spacing w:val="-63"/>
        </w:rPr>
      </w:r>
      <w:r>
        <w:rPr/>
        <w:t>列报。</w:t>
      </w:r>
    </w:p>
    <w:p>
      <w:pPr>
        <w:pStyle w:val="BodyText"/>
        <w:spacing w:line="300" w:lineRule="auto" w:before="24"/>
        <w:ind w:left="513" w:right="94"/>
        <w:jc w:val="left"/>
      </w:pPr>
      <w:r>
        <w:rPr>
          <w:rFonts w:ascii="Times New Roman" w:hAnsi="Times New Roman" w:cs="Times New Roman" w:eastAsia="Times New Roman" w:hint="default"/>
        </w:rPr>
        <w:t>b.</w:t>
      </w:r>
      <w:r>
        <w:rPr/>
        <w:t>根据修订后的《企业会计准则第</w:t>
      </w:r>
      <w:r>
        <w:rPr>
          <w:rFonts w:ascii="Times New Roman" w:hAnsi="Times New Roman" w:cs="Times New Roman" w:eastAsia="Times New Roman" w:hint="default"/>
        </w:rPr>
        <w:t>30</w:t>
      </w:r>
      <w:r>
        <w:rPr/>
        <w:t>号——财务报表列报》及其应用指南的规定，对报表列报科目作为以下重分类： </w:t>
      </w:r>
      <w:r>
        <w:rPr>
          <w:spacing w:val="-2"/>
        </w:rPr>
        <w:t>ⅰ．合并资产负债表及资产负债表的“以公允价值计量且其变动计入当期损益的金融资产”、“以公允价值计量且其变</w:t>
      </w:r>
    </w:p>
    <w:p>
      <w:pPr>
        <w:pStyle w:val="BodyText"/>
        <w:spacing w:line="316" w:lineRule="auto" w:before="31"/>
        <w:ind w:left="513" w:right="93" w:hanging="361"/>
        <w:jc w:val="left"/>
      </w:pPr>
      <w:r>
        <w:rPr/>
        <w:t>动计入当期损益的金融负债”科目取代了原“交易性金融资产”、“交易性金融负债”科目； ⅱ．原列报于合并资产负债表及资产负债表的“外币报表折算差额”科目的项目，改为列报于“其他综合收益”科目； ⅲ．可供出售金融资产公允价值变动原列报于“资本公积”科目的项目，改为列报于“其他综合收益”科目； </w:t>
      </w:r>
      <w:r>
        <w:rPr>
          <w:spacing w:val="-2"/>
        </w:rPr>
        <w:t>ⅳ．相应地，合并所有者权益变动表与所有者权益变动表按照《企业会计准则第</w:t>
      </w:r>
      <w:r>
        <w:rPr>
          <w:rFonts w:ascii="Times New Roman" w:hAnsi="Times New Roman" w:cs="Times New Roman" w:eastAsia="Times New Roman" w:hint="default"/>
          <w:spacing w:val="-2"/>
        </w:rPr>
        <w:t>30</w:t>
      </w:r>
      <w:r>
        <w:rPr>
          <w:spacing w:val="-2"/>
        </w:rPr>
        <w:t>号——财务报表列报》应用指南规定</w:t>
      </w:r>
    </w:p>
    <w:p>
      <w:pPr>
        <w:pStyle w:val="BodyText"/>
        <w:spacing w:line="316" w:lineRule="auto"/>
        <w:ind w:left="513" w:right="6573" w:hanging="361"/>
        <w:jc w:val="left"/>
      </w:pPr>
      <w:r>
        <w:rPr/>
        <w:t>的格式重新列报。 其对上期合并报表的具体影响如下：</w:t>
      </w:r>
    </w:p>
    <w:tbl>
      <w:tblPr>
        <w:tblW w:w="0" w:type="auto"/>
        <w:jc w:val="left"/>
        <w:tblInd w:w="575" w:type="dxa"/>
        <w:tblLayout w:type="fixed"/>
        <w:tblCellMar>
          <w:top w:w="0" w:type="dxa"/>
          <w:left w:w="0" w:type="dxa"/>
          <w:bottom w:w="0" w:type="dxa"/>
          <w:right w:w="0" w:type="dxa"/>
        </w:tblCellMar>
        <w:tblLook w:val="01E0"/>
      </w:tblPr>
      <w:tblGrid>
        <w:gridCol w:w="4109"/>
        <w:gridCol w:w="2552"/>
        <w:gridCol w:w="1844"/>
      </w:tblGrid>
      <w:tr>
        <w:trPr>
          <w:trHeight w:val="343" w:hRule="exact"/>
        </w:trPr>
        <w:tc>
          <w:tcPr>
            <w:tcW w:w="4109" w:type="dxa"/>
            <w:vMerge w:val="restart"/>
            <w:tcBorders>
              <w:top w:val="single" w:sz="4" w:space="0" w:color="000000"/>
              <w:left w:val="single" w:sz="4"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395"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auto" w:before="17"/>
              <w:ind w:left="7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r>
      <w:tr>
        <w:trPr>
          <w:trHeight w:val="339" w:hRule="exact"/>
        </w:trPr>
        <w:tc>
          <w:tcPr>
            <w:tcW w:w="4109" w:type="dxa"/>
            <w:vMerge/>
            <w:tcBorders>
              <w:left w:val="single" w:sz="4"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77"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682"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336" w:hRule="exact"/>
        </w:trPr>
        <w:tc>
          <w:tcPr>
            <w:tcW w:w="41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33,000,750.00</w:t>
            </w:r>
          </w:p>
        </w:tc>
      </w:tr>
      <w:tr>
        <w:trPr>
          <w:trHeight w:val="338" w:hRule="exact"/>
        </w:trPr>
        <w:tc>
          <w:tcPr>
            <w:tcW w:w="41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33,000,750.00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36" w:hRule="exact"/>
        </w:trPr>
        <w:tc>
          <w:tcPr>
            <w:tcW w:w="41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58,503,236.40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93,363,236.40</w:t>
            </w:r>
          </w:p>
        </w:tc>
      </w:tr>
      <w:tr>
        <w:trPr>
          <w:trHeight w:val="338" w:hRule="exact"/>
        </w:trPr>
        <w:tc>
          <w:tcPr>
            <w:tcW w:w="41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34,860,000.00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36" w:hRule="exact"/>
        </w:trPr>
        <w:tc>
          <w:tcPr>
            <w:tcW w:w="41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46,212,401.94</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28,651,129.28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40"/>
        </w:sectPr>
      </w:pPr>
    </w:p>
    <w:p>
      <w:pPr>
        <w:spacing w:line="240" w:lineRule="auto" w:before="2"/>
        <w:rPr>
          <w:rFonts w:ascii="宋体" w:hAnsi="宋体" w:cs="宋体" w:eastAsia="宋体" w:hint="default"/>
          <w:sz w:val="28"/>
          <w:szCs w:val="28"/>
        </w:rPr>
      </w:pPr>
    </w:p>
    <w:tbl>
      <w:tblPr>
        <w:tblW w:w="0" w:type="auto"/>
        <w:jc w:val="left"/>
        <w:tblInd w:w="575" w:type="dxa"/>
        <w:tblLayout w:type="fixed"/>
        <w:tblCellMar>
          <w:top w:w="0" w:type="dxa"/>
          <w:left w:w="0" w:type="dxa"/>
          <w:bottom w:w="0" w:type="dxa"/>
          <w:right w:w="0" w:type="dxa"/>
        </w:tblCellMar>
        <w:tblLook w:val="01E0"/>
      </w:tblPr>
      <w:tblGrid>
        <w:gridCol w:w="4109"/>
        <w:gridCol w:w="2552"/>
        <w:gridCol w:w="1844"/>
      </w:tblGrid>
      <w:tr>
        <w:trPr>
          <w:trHeight w:val="338" w:hRule="exact"/>
        </w:trPr>
        <w:tc>
          <w:tcPr>
            <w:tcW w:w="4109" w:type="dxa"/>
            <w:tcBorders>
              <w:top w:val="nil" w:sz="6" w:space="0" w:color="auto"/>
              <w:left w:val="single" w:sz="4"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55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17,543,598.68</w:t>
            </w:r>
          </w:p>
        </w:tc>
      </w:tr>
      <w:tr>
        <w:trPr>
          <w:trHeight w:val="339" w:hRule="exact"/>
        </w:trPr>
        <w:tc>
          <w:tcPr>
            <w:tcW w:w="41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right"/>
              <w:rPr>
                <w:rFonts w:ascii="Times New Roman" w:hAnsi="Times New Roman" w:cs="Times New Roman" w:eastAsia="Times New Roman" w:hint="default"/>
                <w:sz w:val="18"/>
                <w:szCs w:val="18"/>
              </w:rPr>
            </w:pPr>
            <w:r>
              <w:rPr>
                <w:rFonts w:ascii="Times New Roman"/>
                <w:spacing w:val="-1"/>
                <w:sz w:val="18"/>
              </w:rPr>
              <w:t>-17,673.98</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8"/>
        <w:ind w:right="146"/>
        <w:jc w:val="left"/>
      </w:pPr>
      <w:r>
        <w:rPr/>
        <w:t>上述会计政策变更对上期母公司报表的具体影响如下：</w:t>
      </w:r>
    </w:p>
    <w:p>
      <w:pPr>
        <w:spacing w:line="240" w:lineRule="auto" w:before="3"/>
        <w:rPr>
          <w:rFonts w:ascii="宋体" w:hAnsi="宋体" w:cs="宋体" w:eastAsia="宋体" w:hint="default"/>
          <w:sz w:val="5"/>
          <w:szCs w:val="5"/>
        </w:rPr>
      </w:pPr>
    </w:p>
    <w:tbl>
      <w:tblPr>
        <w:tblW w:w="0" w:type="auto"/>
        <w:jc w:val="left"/>
        <w:tblInd w:w="575" w:type="dxa"/>
        <w:tblLayout w:type="fixed"/>
        <w:tblCellMar>
          <w:top w:w="0" w:type="dxa"/>
          <w:left w:w="0" w:type="dxa"/>
          <w:bottom w:w="0" w:type="dxa"/>
          <w:right w:w="0" w:type="dxa"/>
        </w:tblCellMar>
        <w:tblLook w:val="01E0"/>
      </w:tblPr>
      <w:tblGrid>
        <w:gridCol w:w="4109"/>
        <w:gridCol w:w="2552"/>
        <w:gridCol w:w="1844"/>
      </w:tblGrid>
      <w:tr>
        <w:trPr>
          <w:trHeight w:val="346" w:hRule="exact"/>
        </w:trPr>
        <w:tc>
          <w:tcPr>
            <w:tcW w:w="4109" w:type="dxa"/>
            <w:vMerge w:val="restart"/>
            <w:tcBorders>
              <w:top w:val="single" w:sz="4" w:space="0" w:color="000000"/>
              <w:left w:val="single" w:sz="4"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395"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auto" w:before="17"/>
              <w:ind w:left="7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r>
      <w:tr>
        <w:trPr>
          <w:trHeight w:val="336" w:hRule="exact"/>
        </w:trPr>
        <w:tc>
          <w:tcPr>
            <w:tcW w:w="4109" w:type="dxa"/>
            <w:vMerge/>
            <w:tcBorders>
              <w:left w:val="single" w:sz="4"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77"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682"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336" w:hRule="exact"/>
        </w:trPr>
        <w:tc>
          <w:tcPr>
            <w:tcW w:w="41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0.00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25,060,000.00</w:t>
            </w:r>
          </w:p>
        </w:tc>
      </w:tr>
      <w:tr>
        <w:trPr>
          <w:trHeight w:val="338" w:hRule="exact"/>
        </w:trPr>
        <w:tc>
          <w:tcPr>
            <w:tcW w:w="410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78,722,718.86</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53,662,718.86</w:t>
            </w:r>
          </w:p>
        </w:tc>
      </w:tr>
    </w:tbl>
    <w:p>
      <w:pPr>
        <w:pStyle w:val="BodyText"/>
        <w:spacing w:line="316" w:lineRule="auto" w:before="8"/>
        <w:ind w:left="513" w:right="5813"/>
        <w:jc w:val="left"/>
      </w:pPr>
      <w:r>
        <w:rPr/>
        <w:t>②其他重要会计政策变更 本报告期公司未发生其他重要会计政策变更。</w:t>
      </w:r>
    </w:p>
    <w:p>
      <w:pPr>
        <w:spacing w:line="240" w:lineRule="auto" w:before="10"/>
        <w:rPr>
          <w:rFonts w:ascii="宋体" w:hAnsi="宋体" w:cs="宋体" w:eastAsia="宋体" w:hint="default"/>
          <w:sz w:val="22"/>
          <w:szCs w:val="22"/>
        </w:rPr>
      </w:pPr>
    </w:p>
    <w:p>
      <w:pPr>
        <w:pStyle w:val="Heading3"/>
        <w:spacing w:line="240" w:lineRule="auto"/>
        <w:ind w:right="146"/>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right="146"/>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6"/>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3"/>
        <w:gridCol w:w="5192"/>
        <w:gridCol w:w="1193"/>
      </w:tblGrid>
      <w:tr>
        <w:trPr>
          <w:trHeight w:val="401" w:hRule="exact"/>
        </w:trPr>
        <w:tc>
          <w:tcPr>
            <w:tcW w:w="3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1" w:hRule="exact"/>
        </w:trPr>
        <w:tc>
          <w:tcPr>
            <w:tcW w:w="3163" w:type="dxa"/>
            <w:tcBorders>
              <w:top w:val="single" w:sz="4" w:space="0" w:color="000000"/>
              <w:left w:val="single" w:sz="4" w:space="0" w:color="000000"/>
              <w:bottom w:val="nil" w:sz="6" w:space="0" w:color="auto"/>
              <w:right w:val="single" w:sz="10" w:space="0" w:color="C7EBCC"/>
            </w:tcBorders>
            <w:shd w:val="clear" w:color="auto" w:fill="D2D2D2"/>
          </w:tcPr>
          <w:p>
            <w:pPr/>
          </w:p>
        </w:tc>
        <w:tc>
          <w:tcPr>
            <w:tcW w:w="5192" w:type="dxa"/>
            <w:vMerge w:val="restart"/>
            <w:tcBorders>
              <w:top w:val="single" w:sz="4" w:space="0" w:color="000000"/>
              <w:left w:val="single" w:sz="9" w:space="0" w:color="D2D2D2"/>
              <w:right w:val="single" w:sz="4" w:space="0" w:color="000000"/>
            </w:tcBorders>
            <w:shd w:val="clear" w:color="auto" w:fill="C7EBCC"/>
          </w:tcPr>
          <w:p>
            <w:pPr>
              <w:pStyle w:val="TableParagraph"/>
              <w:spacing w:line="316" w:lineRule="auto" w:before="49"/>
              <w:ind w:left="33" w:right="102"/>
              <w:jc w:val="left"/>
              <w:rPr>
                <w:rFonts w:ascii="宋体" w:hAnsi="宋体" w:cs="宋体" w:eastAsia="宋体" w:hint="default"/>
                <w:sz w:val="18"/>
                <w:szCs w:val="18"/>
              </w:rPr>
            </w:pPr>
            <w:r>
              <w:rPr>
                <w:rFonts w:ascii="宋体" w:hAnsi="宋体" w:cs="宋体" w:eastAsia="宋体" w:hint="default"/>
                <w:sz w:val="18"/>
                <w:szCs w:val="18"/>
              </w:rPr>
              <w:t>按税法规定计算的销售货物和应税劳务收入为基础计算销项税 额，在扣除当期允许抵扣的进项税额后，差额部分为应交增值税</w:t>
            </w:r>
          </w:p>
        </w:tc>
        <w:tc>
          <w:tcPr>
            <w:tcW w:w="1193" w:type="dxa"/>
            <w:tcBorders>
              <w:top w:val="single" w:sz="4" w:space="0" w:color="000000"/>
              <w:left w:val="single" w:sz="4" w:space="0" w:color="000000"/>
              <w:bottom w:val="nil" w:sz="6" w:space="0" w:color="auto"/>
              <w:right w:val="single" w:sz="4" w:space="0" w:color="000000"/>
            </w:tcBorders>
            <w:shd w:val="clear" w:color="auto" w:fill="C7EBCC"/>
          </w:tcPr>
          <w:p>
            <w:pPr/>
          </w:p>
        </w:tc>
      </w:tr>
      <w:tr>
        <w:trPr>
          <w:trHeight w:val="394" w:hRule="exact"/>
        </w:trPr>
        <w:tc>
          <w:tcPr>
            <w:tcW w:w="3163" w:type="dxa"/>
            <w:tcBorders>
              <w:top w:val="nil" w:sz="6" w:space="0" w:color="auto"/>
              <w:left w:val="single" w:sz="4" w:space="0" w:color="000000"/>
              <w:bottom w:val="nil" w:sz="6" w:space="0" w:color="auto"/>
              <w:right w:val="single" w:sz="10" w:space="0" w:color="C7EB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5192" w:type="dxa"/>
            <w:vMerge/>
            <w:tcBorders>
              <w:left w:val="single" w:sz="9" w:space="0" w:color="D2D2D2"/>
              <w:right w:val="single" w:sz="4" w:space="0" w:color="000000"/>
            </w:tcBorders>
            <w:shd w:val="clear" w:color="auto" w:fill="C7EBCC"/>
          </w:tcPr>
          <w:p>
            <w:pPr/>
          </w:p>
        </w:tc>
        <w:tc>
          <w:tcPr>
            <w:tcW w:w="1193" w:type="dxa"/>
            <w:tcBorders>
              <w:top w:val="nil" w:sz="6" w:space="0" w:color="auto"/>
              <w:left w:val="single" w:sz="4" w:space="0" w:color="000000"/>
              <w:bottom w:val="nil" w:sz="6" w:space="0" w:color="auto"/>
              <w:right w:val="single" w:sz="4" w:space="0" w:color="000000"/>
            </w:tcBorders>
            <w:shd w:val="clear" w:color="auto" w:fill="C7EBCC"/>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17%</w:t>
            </w:r>
          </w:p>
        </w:tc>
      </w:tr>
      <w:tr>
        <w:trPr>
          <w:trHeight w:val="161" w:hRule="exact"/>
        </w:trPr>
        <w:tc>
          <w:tcPr>
            <w:tcW w:w="3163" w:type="dxa"/>
            <w:tcBorders>
              <w:top w:val="nil" w:sz="6" w:space="0" w:color="auto"/>
              <w:left w:val="single" w:sz="4" w:space="0" w:color="000000"/>
              <w:bottom w:val="single" w:sz="4" w:space="0" w:color="000000"/>
              <w:right w:val="single" w:sz="10" w:space="0" w:color="C7EBCC"/>
            </w:tcBorders>
            <w:shd w:val="clear" w:color="auto" w:fill="D2D2D2"/>
          </w:tcPr>
          <w:p>
            <w:pPr/>
          </w:p>
        </w:tc>
        <w:tc>
          <w:tcPr>
            <w:tcW w:w="5192" w:type="dxa"/>
            <w:vMerge/>
            <w:tcBorders>
              <w:left w:val="single" w:sz="9" w:space="0" w:color="D2D2D2"/>
              <w:bottom w:val="single" w:sz="4" w:space="0" w:color="000000"/>
              <w:right w:val="single" w:sz="4" w:space="0" w:color="000000"/>
            </w:tcBorders>
            <w:shd w:val="clear" w:color="auto" w:fill="C7EBCC"/>
          </w:tcPr>
          <w:p>
            <w:pPr/>
          </w:p>
        </w:tc>
        <w:tc>
          <w:tcPr>
            <w:tcW w:w="1193" w:type="dxa"/>
            <w:tcBorders>
              <w:top w:val="nil" w:sz="6" w:space="0" w:color="auto"/>
              <w:left w:val="single" w:sz="4" w:space="0" w:color="000000"/>
              <w:bottom w:val="single" w:sz="4" w:space="0" w:color="000000"/>
              <w:right w:val="single" w:sz="4" w:space="0" w:color="000000"/>
            </w:tcBorders>
            <w:shd w:val="clear" w:color="auto" w:fill="C7EBCC"/>
          </w:tcPr>
          <w:p>
            <w:pPr/>
          </w:p>
        </w:tc>
      </w:tr>
      <w:tr>
        <w:trPr>
          <w:trHeight w:val="401" w:hRule="exact"/>
        </w:trPr>
        <w:tc>
          <w:tcPr>
            <w:tcW w:w="3163" w:type="dxa"/>
            <w:tcBorders>
              <w:top w:val="single" w:sz="4" w:space="0" w:color="000000"/>
              <w:left w:val="single" w:sz="4" w:space="0" w:color="000000"/>
              <w:bottom w:val="single" w:sz="4" w:space="0" w:color="000000"/>
              <w:right w:val="single" w:sz="10" w:space="0" w:color="C7EB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5192" w:type="dxa"/>
            <w:tcBorders>
              <w:top w:val="single" w:sz="4" w:space="0" w:color="000000"/>
              <w:left w:val="single" w:sz="12" w:space="0" w:color="D2D2D2"/>
              <w:bottom w:val="single" w:sz="4" w:space="0" w:color="000000"/>
              <w:right w:val="single" w:sz="4" w:space="0" w:color="000000"/>
            </w:tcBorders>
            <w:shd w:val="clear" w:color="auto" w:fill="C7EBCC"/>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按实际缴纳的营业税、增值税及消费税计征</w:t>
            </w:r>
          </w:p>
        </w:tc>
        <w:tc>
          <w:tcPr>
            <w:tcW w:w="119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163" w:type="dxa"/>
            <w:tcBorders>
              <w:top w:val="single" w:sz="4" w:space="0" w:color="000000"/>
              <w:left w:val="single" w:sz="4" w:space="0" w:color="000000"/>
              <w:bottom w:val="single" w:sz="4" w:space="0" w:color="000000"/>
              <w:right w:val="single" w:sz="10" w:space="0" w:color="C7EBCC"/>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5192" w:type="dxa"/>
            <w:tcBorders>
              <w:top w:val="single" w:sz="4" w:space="0" w:color="000000"/>
              <w:left w:val="single" w:sz="12" w:space="0" w:color="D2D2D2"/>
              <w:bottom w:val="single" w:sz="4" w:space="0" w:color="000000"/>
              <w:right w:val="single" w:sz="4" w:space="0" w:color="000000"/>
            </w:tcBorders>
            <w:shd w:val="clear" w:color="auto" w:fill="C7EBCC"/>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193" w:type="dxa"/>
            <w:tcBorders>
              <w:top w:val="single" w:sz="4" w:space="0" w:color="000000"/>
              <w:left w:val="single" w:sz="4" w:space="0" w:color="000000"/>
              <w:bottom w:val="single" w:sz="4" w:space="0" w:color="000000"/>
              <w:right w:val="single" w:sz="4" w:space="0" w:color="000000"/>
            </w:tcBorders>
            <w:shd w:val="clear" w:color="auto" w:fill="C7EBCC"/>
          </w:tcPr>
          <w:p>
            <w:pPr/>
          </w:p>
        </w:tc>
      </w:tr>
      <w:tr>
        <w:trPr>
          <w:trHeight w:val="401" w:hRule="exact"/>
        </w:trPr>
        <w:tc>
          <w:tcPr>
            <w:tcW w:w="316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其中：本公司</w:t>
            </w:r>
          </w:p>
        </w:tc>
        <w:tc>
          <w:tcPr>
            <w:tcW w:w="5192" w:type="dxa"/>
            <w:tcBorders>
              <w:top w:val="single" w:sz="4" w:space="0" w:color="000000"/>
              <w:left w:val="single" w:sz="4" w:space="0" w:color="000000"/>
              <w:bottom w:val="single" w:sz="4" w:space="0" w:color="000000"/>
              <w:right w:val="single" w:sz="4" w:space="0" w:color="000000"/>
            </w:tcBorders>
            <w:shd w:val="clear" w:color="auto" w:fill="C7EBCC"/>
          </w:tcPr>
          <w:p>
            <w:pPr/>
          </w:p>
        </w:tc>
        <w:tc>
          <w:tcPr>
            <w:tcW w:w="119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316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5192" w:type="dxa"/>
            <w:tcBorders>
              <w:top w:val="single" w:sz="4" w:space="0" w:color="000000"/>
              <w:left w:val="single" w:sz="4" w:space="0" w:color="000000"/>
              <w:bottom w:val="single" w:sz="4" w:space="0" w:color="000000"/>
              <w:right w:val="single" w:sz="4" w:space="0" w:color="000000"/>
            </w:tcBorders>
            <w:shd w:val="clear" w:color="auto" w:fill="C7EBCC"/>
          </w:tcPr>
          <w:p>
            <w:pPr/>
          </w:p>
        </w:tc>
        <w:tc>
          <w:tcPr>
            <w:tcW w:w="1193" w:type="dxa"/>
            <w:tcBorders>
              <w:top w:val="single" w:sz="4" w:space="0" w:color="000000"/>
              <w:left w:val="single" w:sz="4" w:space="0" w:color="000000"/>
              <w:bottom w:val="single" w:sz="4" w:space="0" w:color="000000"/>
              <w:right w:val="single" w:sz="4" w:space="0" w:color="000000"/>
            </w:tcBorders>
            <w:shd w:val="clear" w:color="auto" w:fill="C7EBCC"/>
          </w:tcPr>
          <w:p>
            <w:pPr/>
          </w:p>
        </w:tc>
      </w:tr>
      <w:tr>
        <w:trPr>
          <w:trHeight w:val="401" w:hRule="exact"/>
        </w:trPr>
        <w:tc>
          <w:tcPr>
            <w:tcW w:w="316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广州御新软件有限公司</w:t>
            </w:r>
          </w:p>
        </w:tc>
        <w:tc>
          <w:tcPr>
            <w:tcW w:w="5192"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39"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19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316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广州御银自动柜员机技术有限公司</w:t>
            </w:r>
          </w:p>
        </w:tc>
        <w:tc>
          <w:tcPr>
            <w:tcW w:w="5192"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39"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19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401" w:hRule="exact"/>
        </w:trPr>
        <w:tc>
          <w:tcPr>
            <w:tcW w:w="316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广州御银金融服务有限公司</w:t>
            </w:r>
          </w:p>
        </w:tc>
        <w:tc>
          <w:tcPr>
            <w:tcW w:w="5192"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39"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19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316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安徽御银电子科技有限公司</w:t>
            </w:r>
          </w:p>
        </w:tc>
        <w:tc>
          <w:tcPr>
            <w:tcW w:w="5192"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39"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19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316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御银（中国）科技国际有限公司</w:t>
            </w:r>
          </w:p>
        </w:tc>
        <w:tc>
          <w:tcPr>
            <w:tcW w:w="5192"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39"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19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6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御银科技（香港）有限公司</w:t>
            </w:r>
          </w:p>
        </w:tc>
        <w:tc>
          <w:tcPr>
            <w:tcW w:w="5192"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39"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19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401" w:hRule="exact"/>
        </w:trPr>
        <w:tc>
          <w:tcPr>
            <w:tcW w:w="316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广州御银自动柜员机科技有限公司</w:t>
            </w:r>
          </w:p>
        </w:tc>
        <w:tc>
          <w:tcPr>
            <w:tcW w:w="5192"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39"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19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316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北京青年御银科技有限责任公司</w:t>
            </w:r>
          </w:p>
        </w:tc>
        <w:tc>
          <w:tcPr>
            <w:tcW w:w="5192"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39"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19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316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广州御银信息科技有限公司</w:t>
            </w:r>
          </w:p>
        </w:tc>
        <w:tc>
          <w:tcPr>
            <w:tcW w:w="5192"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39"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19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b/>
          <w:bCs/>
          <w:sz w:val="19"/>
          <w:szCs w:val="19"/>
        </w:rPr>
      </w:pPr>
    </w:p>
    <w:p>
      <w:pPr>
        <w:pStyle w:val="Heading3"/>
        <w:spacing w:line="240" w:lineRule="auto" w:before="36"/>
        <w:ind w:right="146"/>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3" w:right="143"/>
        <w:jc w:val="left"/>
      </w:pPr>
      <w:r>
        <w:rPr/>
        <w:t>（</w:t>
      </w:r>
      <w:r>
        <w:rPr>
          <w:rFonts w:ascii="Times New Roman" w:hAnsi="Times New Roman" w:cs="Times New Roman" w:eastAsia="Times New Roman" w:hint="default"/>
        </w:rPr>
        <w:t>1</w:t>
      </w:r>
      <w:r>
        <w:rPr/>
        <w:t>）增值税 根据财税【</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92</w:t>
      </w:r>
      <w:r>
        <w:rPr/>
        <w:t>号《财政部、国家税务总局关于嵌入式软件增值税政策的通知》、财税【</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100</w:t>
      </w:r>
      <w:r>
        <w:rPr/>
        <w:t>号《财政部、</w:t>
      </w:r>
    </w:p>
    <w:p>
      <w:pPr>
        <w:pStyle w:val="BodyText"/>
        <w:spacing w:line="240" w:lineRule="auto" w:before="13"/>
        <w:ind w:right="0"/>
        <w:jc w:val="left"/>
      </w:pPr>
      <w:r>
        <w:rPr/>
        <w:t>国家税务总局关于软件产品增值税政策的通知》的有关规定：增值税一般纳税人随同计算机网络、计算机硬件和机器设备等</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07" w:lineRule="auto" w:before="44"/>
        <w:ind w:right="94"/>
        <w:jc w:val="left"/>
      </w:pPr>
      <w:r>
        <w:rPr>
          <w:spacing w:val="-2"/>
        </w:rPr>
        <w:t>一并销售其自行开发生产的嵌入式软件，如果能够按照《财政部、国家税务总局关于贯彻落实〈中共中央、国务院关于加强</w:t>
      </w:r>
      <w:r>
        <w:rPr>
          <w:spacing w:val="-67"/>
        </w:rPr>
        <w:t> </w:t>
      </w:r>
      <w:r>
        <w:rPr>
          <w:spacing w:val="-67"/>
        </w:rPr>
      </w:r>
      <w:r>
        <w:rPr/>
        <w:t>技术创新，发展高科技，实现产业化的决定〉有关税收问题的通知》（财税字【</w:t>
      </w:r>
      <w:r>
        <w:rPr>
          <w:rFonts w:ascii="Times New Roman" w:hAnsi="Times New Roman" w:cs="Times New Roman" w:eastAsia="Times New Roman" w:hint="default"/>
        </w:rPr>
        <w:t>1999</w:t>
      </w:r>
      <w:r>
        <w:rPr/>
        <w:t>】</w:t>
      </w:r>
      <w:r>
        <w:rPr>
          <w:rFonts w:ascii="Times New Roman" w:hAnsi="Times New Roman" w:cs="Times New Roman" w:eastAsia="Times New Roman" w:hint="default"/>
        </w:rPr>
        <w:t>273</w:t>
      </w:r>
      <w:r>
        <w:rPr/>
        <w:t>号）第一条第三款之规定，分别 </w:t>
      </w:r>
      <w:r>
        <w:rPr>
          <w:spacing w:val="-9"/>
        </w:rPr>
        <w:t>核算嵌入式软件与计算机硬件、机器设备等的销售额，可以享受软件产品增值税优惠政策。公司符合财税【</w:t>
      </w:r>
      <w:r>
        <w:rPr>
          <w:rFonts w:ascii="Times New Roman" w:hAnsi="Times New Roman" w:cs="Times New Roman" w:eastAsia="Times New Roman" w:hint="default"/>
          <w:spacing w:val="-9"/>
        </w:rPr>
        <w:t>2008</w:t>
      </w:r>
      <w:r>
        <w:rPr>
          <w:spacing w:val="-9"/>
        </w:rPr>
        <w:t>】</w:t>
      </w:r>
      <w:r>
        <w:rPr>
          <w:rFonts w:ascii="Times New Roman" w:hAnsi="Times New Roman" w:cs="Times New Roman" w:eastAsia="Times New Roman" w:hint="default"/>
          <w:spacing w:val="-9"/>
        </w:rPr>
        <w:t>92</w:t>
      </w:r>
      <w:r>
        <w:rPr>
          <w:spacing w:val="-9"/>
        </w:rPr>
        <w:t>号、【</w:t>
      </w:r>
      <w:r>
        <w:rPr>
          <w:rFonts w:ascii="Times New Roman" w:hAnsi="Times New Roman" w:cs="Times New Roman" w:eastAsia="Times New Roman" w:hint="default"/>
          <w:spacing w:val="-9"/>
        </w:rPr>
        <w:t>2011</w:t>
      </w:r>
      <w:r>
        <w:rPr>
          <w:spacing w:val="-9"/>
        </w:rPr>
        <w:t>】</w:t>
      </w:r>
      <w:r>
        <w:rPr>
          <w:spacing w:val="-69"/>
        </w:rPr>
        <w:t> </w:t>
      </w:r>
      <w:r>
        <w:rPr>
          <w:rFonts w:ascii="Times New Roman" w:hAnsi="Times New Roman" w:cs="Times New Roman" w:eastAsia="Times New Roman" w:hint="default"/>
        </w:rPr>
        <w:t>100</w:t>
      </w:r>
      <w:r>
        <w:rPr/>
        <w:t>号之规定，嵌入式软件销售收入享受增值税即征即退优惠政策。</w:t>
      </w:r>
    </w:p>
    <w:p>
      <w:pPr>
        <w:pStyle w:val="BodyText"/>
        <w:spacing w:line="300" w:lineRule="auto" w:before="7"/>
        <w:ind w:right="190" w:firstLine="360"/>
        <w:jc w:val="both"/>
      </w:pPr>
      <w:r>
        <w:rPr>
          <w:spacing w:val="-4"/>
        </w:rPr>
        <w:t>根据《国家税务总局关于北京等</w:t>
      </w:r>
      <w:r>
        <w:rPr>
          <w:rFonts w:ascii="Times New Roman" w:hAnsi="Times New Roman" w:cs="Times New Roman" w:eastAsia="Times New Roman" w:hint="default"/>
          <w:spacing w:val="-4"/>
        </w:rPr>
        <w:t>8</w:t>
      </w:r>
      <w:r>
        <w:rPr>
          <w:spacing w:val="-4"/>
        </w:rPr>
        <w:t>省市营业税改征增值税试点增值税纳税申报有关事项的公告》（国家税务总局公告</w:t>
      </w:r>
      <w:r>
        <w:rPr>
          <w:rFonts w:ascii="Times New Roman" w:hAnsi="Times New Roman" w:cs="Times New Roman" w:eastAsia="Times New Roman" w:hint="default"/>
          <w:spacing w:val="-4"/>
        </w:rPr>
        <w:t>2012</w:t>
      </w:r>
      <w:r>
        <w:rPr>
          <w:rFonts w:ascii="Times New Roman" w:hAnsi="Times New Roman" w:cs="Times New Roman" w:eastAsia="Times New Roman" w:hint="default"/>
        </w:rPr>
        <w:t> </w:t>
      </w:r>
      <w:r>
        <w:rPr/>
        <w:t>年第</w:t>
      </w:r>
      <w:r>
        <w:rPr>
          <w:rFonts w:ascii="Times New Roman" w:hAnsi="Times New Roman" w:cs="Times New Roman" w:eastAsia="Times New Roman" w:hint="default"/>
        </w:rPr>
        <w:t>43</w:t>
      </w:r>
      <w:r>
        <w:rPr/>
        <w:t>号）的规定，广东省于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日开始在全省范围内实施营业税改增值税试点工作。</w:t>
      </w:r>
    </w:p>
    <w:p>
      <w:pPr>
        <w:pStyle w:val="BodyText"/>
        <w:spacing w:line="300" w:lineRule="auto" w:before="13"/>
        <w:ind w:right="192" w:firstLine="360"/>
        <w:jc w:val="both"/>
      </w:pPr>
      <w:r>
        <w:rPr>
          <w:spacing w:val="-1"/>
        </w:rPr>
        <w:t>本公司按所属地国税机关要求，自</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w:t>
      </w:r>
      <w:r>
        <w:rPr>
          <w:spacing w:val="-1"/>
        </w:rPr>
        <w:t>日起对</w:t>
      </w:r>
      <w:r>
        <w:rPr>
          <w:rFonts w:ascii="Times New Roman" w:hAnsi="Times New Roman" w:cs="Times New Roman" w:eastAsia="Times New Roman" w:hint="default"/>
          <w:spacing w:val="-1"/>
        </w:rPr>
        <w:t>ATM</w:t>
      </w:r>
      <w:r>
        <w:rPr>
          <w:spacing w:val="-1"/>
        </w:rPr>
        <w:t>融资租赁和合作经营手续费收入实行增值税申报和缴纳，并</w:t>
      </w:r>
      <w:r>
        <w:rPr/>
        <w:t> 按照有关规定，对提供有形动产租赁服务收入和合作经营手续费收入采用</w:t>
      </w:r>
      <w:r>
        <w:rPr>
          <w:rFonts w:ascii="Times New Roman" w:hAnsi="Times New Roman" w:cs="Times New Roman" w:eastAsia="Times New Roman" w:hint="default"/>
        </w:rPr>
        <w:t>17%</w:t>
      </w:r>
      <w:r>
        <w:rPr/>
        <w:t>税率。</w:t>
      </w:r>
    </w:p>
    <w:p>
      <w:pPr>
        <w:pStyle w:val="BodyText"/>
        <w:spacing w:line="304" w:lineRule="auto" w:before="13"/>
        <w:ind w:right="192" w:firstLine="360"/>
        <w:jc w:val="both"/>
      </w:pPr>
      <w:r>
        <w:rPr>
          <w:spacing w:val="-2"/>
        </w:rPr>
        <w:t>在新旧税制转换期间，本公司依照《财政部国家税务总局关于交通运输业和部分现代服务业营业税改增值税试点若干税</w:t>
      </w:r>
      <w:r>
        <w:rPr/>
        <w:t> </w:t>
      </w:r>
      <w:r>
        <w:rPr>
          <w:spacing w:val="-2"/>
        </w:rPr>
        <w:t>收政策的补充通知》（财税【</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53</w:t>
      </w:r>
      <w:r>
        <w:rPr>
          <w:spacing w:val="-2"/>
        </w:rPr>
        <w:t>号）“第四点、试点纳税人中的一般纳税人，以试点实施之前购进或者自制的有形动</w:t>
      </w:r>
      <w:r>
        <w:rPr>
          <w:spacing w:val="-62"/>
        </w:rPr>
        <w:t> </w:t>
      </w:r>
      <w:r>
        <w:rPr>
          <w:spacing w:val="-62"/>
        </w:rPr>
      </w:r>
      <w:r>
        <w:rPr/>
        <w:t>产为标的物提供的经营租赁服务，试点期间可以选择使用简易计税方法计算缴纳增值税。”的规定，对于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日前</w:t>
      </w:r>
      <w:r>
        <w:rPr>
          <w:spacing w:val="-3"/>
        </w:rPr>
        <w:t> </w:t>
      </w:r>
      <w:r>
        <w:rPr/>
        <w:t>发出的融资机和合作机（发机时已做进项税额转出）所产生的租金收入和手续费收入选择使用</w:t>
      </w:r>
      <w:r>
        <w:rPr>
          <w:rFonts w:ascii="Times New Roman" w:hAnsi="Times New Roman" w:cs="Times New Roman" w:eastAsia="Times New Roman" w:hint="default"/>
        </w:rPr>
        <w:t>3%</w:t>
      </w:r>
      <w:r>
        <w:rPr/>
        <w:t>的简易征收率计算并缴纳 增值税。</w:t>
      </w:r>
    </w:p>
    <w:p>
      <w:pPr>
        <w:pStyle w:val="BodyText"/>
        <w:spacing w:line="240" w:lineRule="auto" w:before="28"/>
        <w:ind w:left="513" w:right="94"/>
        <w:jc w:val="left"/>
      </w:pPr>
      <w:r>
        <w:rPr/>
        <w:t>本年度按</w:t>
      </w:r>
      <w:r>
        <w:rPr>
          <w:rFonts w:ascii="Times New Roman" w:hAnsi="Times New Roman" w:cs="Times New Roman" w:eastAsia="Times New Roman" w:hint="default"/>
        </w:rPr>
        <w:t>3%</w:t>
      </w:r>
      <w:r>
        <w:rPr/>
        <w:t>简易征收率计算并缴纳增值税的租金收入和手续费收入为</w:t>
      </w:r>
      <w:r>
        <w:rPr>
          <w:rFonts w:ascii="Times New Roman" w:hAnsi="Times New Roman" w:cs="Times New Roman" w:eastAsia="Times New Roman" w:hint="default"/>
        </w:rPr>
        <w:t>223,631,780.87</w:t>
      </w:r>
      <w:r>
        <w:rPr/>
        <w:t>元。</w:t>
      </w:r>
    </w:p>
    <w:p>
      <w:pPr>
        <w:pStyle w:val="BodyText"/>
        <w:spacing w:line="240" w:lineRule="auto" w:before="63"/>
        <w:ind w:left="513" w:right="94"/>
        <w:jc w:val="left"/>
      </w:pPr>
      <w:r>
        <w:rPr/>
        <w:t>（</w:t>
      </w:r>
      <w:r>
        <w:rPr>
          <w:rFonts w:ascii="Times New Roman" w:hAnsi="Times New Roman" w:cs="Times New Roman" w:eastAsia="Times New Roman" w:hint="default"/>
        </w:rPr>
        <w:t>2</w:t>
      </w:r>
      <w:r>
        <w:rPr/>
        <w:t>）企业所得税</w:t>
      </w:r>
    </w:p>
    <w:p>
      <w:pPr>
        <w:pStyle w:val="BodyText"/>
        <w:spacing w:line="316" w:lineRule="auto" w:before="63"/>
        <w:ind w:left="513" w:right="94"/>
        <w:jc w:val="left"/>
      </w:pPr>
      <w:r>
        <w:rPr/>
        <w:t>①本公司 </w:t>
      </w:r>
      <w:r>
        <w:rPr>
          <w:spacing w:val="-7"/>
        </w:rPr>
        <w:t>根据广东省科学技术厅下发的《关于公示广东省</w:t>
      </w:r>
      <w:r>
        <w:rPr>
          <w:rFonts w:ascii="Times New Roman" w:hAnsi="Times New Roman" w:cs="Times New Roman" w:eastAsia="Times New Roman" w:hint="default"/>
          <w:spacing w:val="-7"/>
        </w:rPr>
        <w:t>2014</w:t>
      </w:r>
      <w:r>
        <w:rPr>
          <w:spacing w:val="-7"/>
        </w:rPr>
        <w:t>年第一批拟通过复审高新技术企业名单的通知》（粤科函高字【</w:t>
      </w:r>
      <w:r>
        <w:rPr>
          <w:rFonts w:ascii="Times New Roman" w:hAnsi="Times New Roman" w:cs="Times New Roman" w:eastAsia="Times New Roman" w:hint="default"/>
          <w:spacing w:val="-7"/>
        </w:rPr>
        <w:t>2015</w:t>
      </w:r>
      <w:r>
        <w:rPr>
          <w:spacing w:val="-7"/>
        </w:rPr>
        <w:t>】</w:t>
      </w:r>
    </w:p>
    <w:p>
      <w:pPr>
        <w:pStyle w:val="BodyText"/>
        <w:spacing w:line="300" w:lineRule="auto"/>
        <w:ind w:right="94"/>
        <w:jc w:val="left"/>
      </w:pPr>
      <w:r>
        <w:rPr>
          <w:rFonts w:ascii="Times New Roman" w:hAnsi="Times New Roman" w:cs="Times New Roman" w:eastAsia="Times New Roman" w:hint="default"/>
          <w:spacing w:val="-1"/>
        </w:rPr>
        <w:t>30</w:t>
      </w:r>
      <w:r>
        <w:rPr>
          <w:spacing w:val="-1"/>
        </w:rPr>
        <w:t>号），并获发《高新技术企业证书》（证书编号：</w:t>
      </w:r>
      <w:r>
        <w:rPr>
          <w:rFonts w:ascii="Times New Roman" w:hAnsi="Times New Roman" w:cs="Times New Roman" w:eastAsia="Times New Roman" w:hint="default"/>
          <w:spacing w:val="-1"/>
        </w:rPr>
        <w:t>GF201444001479</w:t>
      </w:r>
      <w:r>
        <w:rPr>
          <w:spacing w:val="-1"/>
        </w:rPr>
        <w:t>，有效期</w:t>
      </w:r>
      <w:r>
        <w:rPr>
          <w:rFonts w:ascii="Times New Roman" w:hAnsi="Times New Roman" w:cs="Times New Roman" w:eastAsia="Times New Roman" w:hint="default"/>
          <w:spacing w:val="-1"/>
        </w:rPr>
        <w:t>3</w:t>
      </w:r>
      <w:r>
        <w:rPr>
          <w:spacing w:val="-1"/>
        </w:rPr>
        <w:t>年）。按照《企业所得税法》等相关法规规</w:t>
      </w:r>
      <w:r>
        <w:rPr>
          <w:spacing w:val="-78"/>
        </w:rPr>
        <w:t> </w:t>
      </w:r>
      <w:r>
        <w:rPr>
          <w:spacing w:val="-78"/>
        </w:rPr>
      </w:r>
      <w:r>
        <w:rPr/>
        <w:t>定，本公司自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日三年内享受国家高新技术企业</w:t>
      </w:r>
      <w:r>
        <w:rPr>
          <w:rFonts w:ascii="Times New Roman" w:hAnsi="Times New Roman" w:cs="Times New Roman" w:eastAsia="Times New Roman" w:hint="default"/>
        </w:rPr>
        <w:t>15%</w:t>
      </w:r>
      <w:r>
        <w:rPr/>
        <w:t>的所得税税率。</w:t>
      </w:r>
    </w:p>
    <w:p>
      <w:pPr>
        <w:pStyle w:val="BodyText"/>
        <w:spacing w:line="316" w:lineRule="auto" w:before="13"/>
        <w:ind w:left="513" w:right="94"/>
        <w:jc w:val="left"/>
      </w:pPr>
      <w:r>
        <w:rPr/>
        <w:t>②广州御新软件有限公司 </w:t>
      </w:r>
      <w:r>
        <w:rPr>
          <w:spacing w:val="-7"/>
        </w:rPr>
        <w:t>根据广东省科学技术厅下发的《关于公示广东省</w:t>
      </w:r>
      <w:r>
        <w:rPr>
          <w:rFonts w:ascii="Times New Roman" w:hAnsi="Times New Roman" w:cs="Times New Roman" w:eastAsia="Times New Roman" w:hint="default"/>
          <w:spacing w:val="-7"/>
        </w:rPr>
        <w:t>2014</w:t>
      </w:r>
      <w:r>
        <w:rPr>
          <w:spacing w:val="-7"/>
        </w:rPr>
        <w:t>年第一批拟通过复审高新技术企业名单的通知》（粤科函高字【</w:t>
      </w:r>
      <w:r>
        <w:rPr>
          <w:rFonts w:ascii="Times New Roman" w:hAnsi="Times New Roman" w:cs="Times New Roman" w:eastAsia="Times New Roman" w:hint="default"/>
          <w:spacing w:val="-7"/>
        </w:rPr>
        <w:t>2015</w:t>
      </w:r>
      <w:r>
        <w:rPr>
          <w:spacing w:val="-7"/>
        </w:rPr>
        <w:t>】</w:t>
      </w:r>
    </w:p>
    <w:p>
      <w:pPr>
        <w:pStyle w:val="BodyText"/>
        <w:spacing w:line="300" w:lineRule="auto"/>
        <w:ind w:right="94"/>
        <w:jc w:val="left"/>
      </w:pPr>
      <w:r>
        <w:rPr>
          <w:rFonts w:ascii="Times New Roman" w:hAnsi="Times New Roman" w:cs="Times New Roman" w:eastAsia="Times New Roman" w:hint="default"/>
          <w:spacing w:val="-3"/>
        </w:rPr>
        <w:t>30</w:t>
      </w:r>
      <w:r>
        <w:rPr>
          <w:spacing w:val="-3"/>
        </w:rPr>
        <w:t>号），并获发《高新技术企业证书》（证书编号：</w:t>
      </w:r>
      <w:r>
        <w:rPr>
          <w:rFonts w:ascii="Times New Roman" w:hAnsi="Times New Roman" w:cs="Times New Roman" w:eastAsia="Times New Roman" w:hint="default"/>
          <w:spacing w:val="-3"/>
        </w:rPr>
        <w:t>GF201144000188,</w:t>
      </w:r>
      <w:r>
        <w:rPr>
          <w:spacing w:val="-3"/>
        </w:rPr>
        <w:t>有效期</w:t>
      </w:r>
      <w:r>
        <w:rPr>
          <w:rFonts w:ascii="Times New Roman" w:hAnsi="Times New Roman" w:cs="Times New Roman" w:eastAsia="Times New Roman" w:hint="default"/>
          <w:spacing w:val="-3"/>
        </w:rPr>
        <w:t>3</w:t>
      </w:r>
      <w:r>
        <w:rPr>
          <w:spacing w:val="-3"/>
        </w:rPr>
        <w:t>年）。按照《企业所得税法》等相关法规规定，</w:t>
      </w:r>
      <w:r>
        <w:rPr>
          <w:spacing w:val="-84"/>
        </w:rPr>
        <w:t> </w:t>
      </w:r>
      <w:r>
        <w:rPr>
          <w:spacing w:val="-84"/>
        </w:rPr>
      </w:r>
      <w:r>
        <w:rPr/>
        <w:t>公司全资子公司广州御新软件有限公司自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日三年内享受国家高新技术企业</w:t>
      </w:r>
      <w:r>
        <w:rPr>
          <w:rFonts w:ascii="Times New Roman" w:hAnsi="Times New Roman" w:cs="Times New Roman" w:eastAsia="Times New Roman" w:hint="default"/>
        </w:rPr>
        <w:t>15%</w:t>
      </w:r>
      <w:r>
        <w:rPr/>
        <w:t>的所得税税率。</w:t>
      </w:r>
    </w:p>
    <w:p>
      <w:pPr>
        <w:pStyle w:val="BodyText"/>
        <w:spacing w:line="316" w:lineRule="auto" w:before="13"/>
        <w:ind w:left="513" w:right="183"/>
        <w:jc w:val="left"/>
      </w:pPr>
      <w:r>
        <w:rPr/>
        <w:t>③广州御银自动柜员机技术有限公司 依据《国家税务总局关于企业所得税若干优惠政策的通知》财税【</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1</w:t>
      </w:r>
      <w:r>
        <w:rPr/>
        <w:t>号文件的有关规定：对我国境内新办软件生</w:t>
      </w:r>
    </w:p>
    <w:p>
      <w:pPr>
        <w:pStyle w:val="BodyText"/>
        <w:spacing w:line="309" w:lineRule="auto"/>
        <w:ind w:right="191"/>
        <w:jc w:val="both"/>
      </w:pPr>
      <w:r>
        <w:rPr>
          <w:spacing w:val="-2"/>
        </w:rPr>
        <w:t>产企业经认定后，自开始获利年度起，第一年和第二年免征企业所得税，第三年至第五年减半征收企业所得税。公司全资子</w:t>
      </w:r>
      <w:r>
        <w:rPr>
          <w:spacing w:val="-65"/>
        </w:rPr>
        <w:t> </w:t>
      </w:r>
      <w:r>
        <w:rPr>
          <w:spacing w:val="-65"/>
        </w:rPr>
      </w:r>
      <w:r>
        <w:rPr>
          <w:spacing w:val="-2"/>
        </w:rPr>
        <w:t>公司广州御银自动柜员机技术有限公司经广州经济技术开发区国家税务总局认定为广州市新办软件生产企业，且在</w:t>
      </w:r>
      <w:r>
        <w:rPr>
          <w:rFonts w:ascii="Times New Roman" w:hAnsi="Times New Roman" w:cs="Times New Roman" w:eastAsia="Times New Roman" w:hint="default"/>
          <w:spacing w:val="-2"/>
        </w:rPr>
        <w:t>2009</w:t>
      </w:r>
      <w:r>
        <w:rPr>
          <w:spacing w:val="-2"/>
        </w:rPr>
        <w:t>年度</w:t>
      </w:r>
      <w:r>
        <w:rPr>
          <w:spacing w:val="-64"/>
        </w:rPr>
        <w:t> </w:t>
      </w:r>
      <w:r>
        <w:rPr/>
        <w:t>开始成立并投产，并从</w:t>
      </w:r>
      <w:r>
        <w:rPr>
          <w:rFonts w:ascii="Times New Roman" w:hAnsi="Times New Roman" w:cs="Times New Roman" w:eastAsia="Times New Roman" w:hint="default"/>
        </w:rPr>
        <w:t>2010</w:t>
      </w:r>
      <w:r>
        <w:rPr/>
        <w:t>年开始获利。</w:t>
      </w:r>
    </w:p>
    <w:p>
      <w:pPr>
        <w:spacing w:line="240" w:lineRule="auto" w:before="10"/>
        <w:rPr>
          <w:rFonts w:ascii="宋体" w:hAnsi="宋体" w:cs="宋体" w:eastAsia="宋体" w:hint="default"/>
          <w:sz w:val="19"/>
          <w:szCs w:val="19"/>
        </w:rPr>
      </w:pPr>
    </w:p>
    <w:p>
      <w:pPr>
        <w:pStyle w:val="Heading2"/>
        <w:spacing w:line="240" w:lineRule="auto"/>
        <w:ind w:right="94"/>
        <w:jc w:val="left"/>
        <w:rPr>
          <w:b w:val="0"/>
          <w:bCs w:val="0"/>
        </w:rPr>
      </w:pP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199,084.52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254,071.26</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268,040,821.38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154,127,904.92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21,983,413.50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9,453,740.52</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290,223,319.40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163,835,716.70</w:t>
            </w:r>
          </w:p>
        </w:tc>
      </w:tr>
    </w:tbl>
    <w:p>
      <w:pPr>
        <w:spacing w:line="240" w:lineRule="auto" w:before="4"/>
        <w:rPr>
          <w:rFonts w:ascii="宋体" w:hAnsi="宋体" w:cs="宋体" w:eastAsia="宋体" w:hint="default"/>
          <w:sz w:val="27"/>
          <w:szCs w:val="27"/>
        </w:rPr>
      </w:pPr>
    </w:p>
    <w:p>
      <w:pPr>
        <w:pStyle w:val="BodyText"/>
        <w:spacing w:line="357" w:lineRule="auto" w:before="44"/>
        <w:ind w:right="1894"/>
        <w:jc w:val="left"/>
      </w:pPr>
      <w:r>
        <w:rPr/>
        <w:t>其他说明 其中因抵押、质押或冻结等对使用有限制，以及放在境外且资金汇回受到限制的货币资金明细如下：</w:t>
      </w:r>
    </w:p>
    <w:p>
      <w:pPr>
        <w:spacing w:after="0" w:line="357" w:lineRule="auto"/>
        <w:jc w:val="left"/>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237" w:type="dxa"/>
        <w:tblLayout w:type="fixed"/>
        <w:tblCellMar>
          <w:top w:w="0" w:type="dxa"/>
          <w:left w:w="0" w:type="dxa"/>
          <w:bottom w:w="0" w:type="dxa"/>
          <w:right w:w="0" w:type="dxa"/>
        </w:tblCellMar>
        <w:tblLook w:val="01E0"/>
      </w:tblPr>
      <w:tblGrid>
        <w:gridCol w:w="3541"/>
        <w:gridCol w:w="2127"/>
        <w:gridCol w:w="2127"/>
      </w:tblGrid>
      <w:tr>
        <w:trPr>
          <w:trHeight w:val="355" w:hRule="exact"/>
        </w:trPr>
        <w:tc>
          <w:tcPr>
            <w:tcW w:w="35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1510"/>
              <w:jc w:val="righ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21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69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27"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7"/>
              <w:ind w:left="695"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1" w:hRule="exact"/>
        </w:trPr>
        <w:tc>
          <w:tcPr>
            <w:tcW w:w="35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1,513,500.00</w:t>
            </w:r>
          </w:p>
        </w:tc>
        <w:tc>
          <w:tcPr>
            <w:tcW w:w="212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2,250,131.00</w:t>
            </w:r>
          </w:p>
        </w:tc>
      </w:tr>
      <w:tr>
        <w:trPr>
          <w:trHeight w:val="353" w:hRule="exact"/>
        </w:trPr>
        <w:tc>
          <w:tcPr>
            <w:tcW w:w="35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19,569,835.94</w:t>
            </w:r>
          </w:p>
        </w:tc>
        <w:tc>
          <w:tcPr>
            <w:tcW w:w="212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7,203,609.52</w:t>
            </w:r>
          </w:p>
        </w:tc>
      </w:tr>
      <w:tr>
        <w:trPr>
          <w:trHeight w:val="353" w:hRule="exact"/>
        </w:trPr>
        <w:tc>
          <w:tcPr>
            <w:tcW w:w="35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900,000.00</w:t>
            </w:r>
          </w:p>
        </w:tc>
        <w:tc>
          <w:tcPr>
            <w:tcW w:w="2127"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35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491"/>
              <w:jc w:val="right"/>
              <w:rPr>
                <w:rFonts w:ascii="宋体" w:hAnsi="宋体" w:cs="宋体" w:eastAsia="宋体" w:hint="default"/>
                <w:sz w:val="18"/>
                <w:szCs w:val="18"/>
              </w:rPr>
            </w:pPr>
            <w:r>
              <w:rPr>
                <w:rFonts w:ascii="宋体" w:hAnsi="宋体" w:cs="宋体" w:eastAsia="宋体" w:hint="default"/>
                <w:sz w:val="18"/>
                <w:szCs w:val="18"/>
              </w:rPr>
              <w:t>合  计</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21,983,335.94</w:t>
            </w:r>
          </w:p>
        </w:tc>
        <w:tc>
          <w:tcPr>
            <w:tcW w:w="212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9,453,740.52</w:t>
            </w:r>
          </w:p>
        </w:tc>
      </w:tr>
    </w:tbl>
    <w:p>
      <w:pPr>
        <w:pStyle w:val="BodyText"/>
        <w:spacing w:line="300" w:lineRule="auto" w:before="8"/>
        <w:ind w:left="672" w:right="684" w:firstLine="360"/>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日，其他货币资金中人民币</w:t>
      </w:r>
      <w:r>
        <w:rPr>
          <w:rFonts w:ascii="Times New Roman" w:hAnsi="Times New Roman" w:cs="Times New Roman" w:eastAsia="Times New Roman" w:hint="default"/>
        </w:rPr>
        <w:t>900,000.00</w:t>
      </w:r>
      <w:r>
        <w:rPr/>
        <w:t>元为本公司向银行申请开具无条件、不可撤销的担保函所存入 的保证金存款。</w:t>
      </w:r>
    </w:p>
    <w:p>
      <w:pPr>
        <w:spacing w:line="240" w:lineRule="auto" w:before="10"/>
        <w:rPr>
          <w:rFonts w:ascii="宋体" w:hAnsi="宋体" w:cs="宋体" w:eastAsia="宋体" w:hint="default"/>
          <w:sz w:val="23"/>
          <w:szCs w:val="23"/>
        </w:rPr>
      </w:pPr>
    </w:p>
    <w:p>
      <w:pPr>
        <w:pStyle w:val="Heading3"/>
        <w:spacing w:line="240" w:lineRule="auto"/>
        <w:ind w:left="672" w:right="0"/>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6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68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33,000,750.00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33,000,750.00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33,000,750.00</w:t>
            </w:r>
          </w:p>
        </w:tc>
      </w:tr>
    </w:tbl>
    <w:p>
      <w:pPr>
        <w:pStyle w:val="BodyText"/>
        <w:spacing w:line="357" w:lineRule="auto" w:before="49"/>
        <w:ind w:left="672" w:right="6714"/>
        <w:jc w:val="left"/>
      </w:pPr>
      <w:r>
        <w:rPr/>
        <w:t>其他说明： 期初余额为子公司购买的理财产品融券回购。</w:t>
      </w:r>
    </w:p>
    <w:p>
      <w:pPr>
        <w:spacing w:line="240" w:lineRule="auto" w:before="6"/>
        <w:rPr>
          <w:rFonts w:ascii="宋体" w:hAnsi="宋体" w:cs="宋体" w:eastAsia="宋体" w:hint="default"/>
          <w:sz w:val="20"/>
          <w:szCs w:val="20"/>
        </w:rPr>
      </w:pPr>
    </w:p>
    <w:p>
      <w:pPr>
        <w:pStyle w:val="Heading3"/>
        <w:spacing w:line="240" w:lineRule="auto"/>
        <w:ind w:left="672" w:right="0"/>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67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left="672" w:right="0"/>
        <w:jc w:val="left"/>
        <w:rPr>
          <w:b w:val="0"/>
          <w:bCs w:val="0"/>
        </w:rPr>
      </w:pPr>
      <w:r>
        <w:rPr>
          <w:rFonts w:ascii="Times New Roman" w:hAnsi="Times New Roman" w:cs="Times New Roman" w:eastAsia="Times New Roman" w:hint="default"/>
        </w:rPr>
        <w:t>4</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672"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6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962"/>
        <w:gridCol w:w="990"/>
        <w:gridCol w:w="761"/>
        <w:gridCol w:w="763"/>
        <w:gridCol w:w="763"/>
        <w:gridCol w:w="788"/>
        <w:gridCol w:w="655"/>
        <w:gridCol w:w="761"/>
        <w:gridCol w:w="814"/>
        <w:gridCol w:w="934"/>
        <w:gridCol w:w="1572"/>
      </w:tblGrid>
      <w:tr>
        <w:trPr>
          <w:trHeight w:val="396" w:hRule="exact"/>
        </w:trPr>
        <w:tc>
          <w:tcPr>
            <w:tcW w:w="1962" w:type="dxa"/>
            <w:vMerge w:val="restart"/>
            <w:tcBorders>
              <w:top w:val="single" w:sz="4" w:space="0" w:color="000000"/>
              <w:left w:val="single" w:sz="4" w:space="0" w:color="000000"/>
              <w:right w:val="single" w:sz="4" w:space="0" w:color="000000"/>
            </w:tcBorders>
            <w:shd w:val="clear" w:color="auto" w:fill="D2D2D2"/>
          </w:tcPr>
          <w:p>
            <w:pPr/>
          </w:p>
        </w:tc>
        <w:tc>
          <w:tcPr>
            <w:tcW w:w="406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73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75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72"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9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751"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157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962" w:type="dxa"/>
            <w:vMerge/>
            <w:tcBorders>
              <w:left w:val="single" w:sz="4" w:space="0" w:color="000000"/>
              <w:bottom w:val="single" w:sz="4" w:space="0" w:color="FFFFFF"/>
              <w:right w:val="single" w:sz="4" w:space="0" w:color="000000"/>
            </w:tcBorders>
            <w:shd w:val="clear" w:color="auto" w:fill="D2D2D2"/>
          </w:tcPr>
          <w:p>
            <w:pPr/>
          </w:p>
        </w:tc>
        <w:tc>
          <w:tcPr>
            <w:tcW w:w="990"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962" w:type="dxa"/>
            <w:vMerge w:val="restart"/>
            <w:tcBorders>
              <w:top w:val="single" w:sz="4" w:space="0" w:color="FFFFFF"/>
              <w:left w:val="single" w:sz="4" w:space="0" w:color="000000"/>
              <w:right w:val="single" w:sz="4" w:space="0" w:color="000000"/>
            </w:tcBorders>
            <w:shd w:val="clear" w:color="auto" w:fill="D2D2D2"/>
          </w:tcPr>
          <w:p>
            <w:pPr/>
          </w:p>
        </w:tc>
        <w:tc>
          <w:tcPr>
            <w:tcW w:w="990"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31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57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962" w:type="dxa"/>
            <w:vMerge/>
            <w:tcBorders>
              <w:left w:val="single" w:sz="4" w:space="0" w:color="000000"/>
              <w:right w:val="single" w:sz="4" w:space="0" w:color="000000"/>
            </w:tcBorders>
            <w:shd w:val="clear" w:color="auto" w:fill="D2D2D2"/>
          </w:tcPr>
          <w:p>
            <w:pPr/>
          </w:p>
        </w:tc>
        <w:tc>
          <w:tcPr>
            <w:tcW w:w="990"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157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962" w:type="dxa"/>
            <w:vMerge/>
            <w:tcBorders>
              <w:left w:val="single" w:sz="4" w:space="0" w:color="000000"/>
              <w:bottom w:val="single" w:sz="4" w:space="0" w:color="000000"/>
              <w:right w:val="single" w:sz="4" w:space="0" w:color="000000"/>
            </w:tcBorders>
            <w:shd w:val="clear" w:color="auto" w:fill="D2D2D2"/>
          </w:tcPr>
          <w:p>
            <w:pPr/>
          </w:p>
        </w:tc>
        <w:tc>
          <w:tcPr>
            <w:tcW w:w="990"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72"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8"/>
              <w:jc w:val="left"/>
              <w:rPr>
                <w:rFonts w:ascii="宋体" w:hAnsi="宋体" w:cs="宋体" w:eastAsia="宋体" w:hint="default"/>
                <w:sz w:val="18"/>
                <w:szCs w:val="18"/>
              </w:rPr>
            </w:pPr>
            <w:r>
              <w:rPr>
                <w:rFonts w:ascii="宋体" w:hAnsi="宋体" w:cs="宋体" w:eastAsia="宋体" w:hint="default"/>
                <w:sz w:val="18"/>
                <w:szCs w:val="18"/>
              </w:rPr>
              <w:t>按信用风险特征组合计 提坏账准备的应收账款</w:t>
            </w:r>
          </w:p>
        </w:tc>
        <w:tc>
          <w:tcPr>
            <w:tcW w:w="9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345,329,569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24,627,8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71.78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7.13%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320,701,6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97.63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259,804</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,478.99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21,907,42</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2.46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8.43%</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237,897,056.53</w:t>
            </w:r>
          </w:p>
        </w:tc>
      </w:tr>
      <w:tr>
        <w:trPr>
          <w:trHeight w:val="161"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990"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345,329,569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.41</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24,627,8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71.78</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7.13%</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320,701,6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97.63</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259,804</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,478.99</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21,907,42</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2.46</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8.43%</w:t>
            </w:r>
          </w:p>
        </w:tc>
        <w:tc>
          <w:tcPr>
            <w:tcW w:w="157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237,897,056.53</w:t>
            </w:r>
          </w:p>
        </w:tc>
      </w:tr>
      <w:tr>
        <w:trPr>
          <w:trHeight w:val="392" w:hRule="exact"/>
        </w:trPr>
        <w:tc>
          <w:tcPr>
            <w:tcW w:w="19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0"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1572" w:type="dxa"/>
            <w:vMerge/>
            <w:tcBorders>
              <w:left w:val="single" w:sz="4" w:space="0" w:color="000000"/>
              <w:right w:val="single" w:sz="4" w:space="0" w:color="000000"/>
            </w:tcBorders>
          </w:tcPr>
          <w:p>
            <w:pPr/>
          </w:p>
        </w:tc>
      </w:tr>
      <w:tr>
        <w:trPr>
          <w:trHeight w:val="161" w:hRule="exact"/>
        </w:trPr>
        <w:tc>
          <w:tcPr>
            <w:tcW w:w="1962" w:type="dxa"/>
            <w:tcBorders>
              <w:top w:val="nil" w:sz="6" w:space="0" w:color="auto"/>
              <w:left w:val="single" w:sz="4" w:space="0" w:color="000000"/>
              <w:bottom w:val="single" w:sz="4" w:space="0" w:color="000000"/>
              <w:right w:val="single" w:sz="4" w:space="0" w:color="000000"/>
            </w:tcBorders>
            <w:shd w:val="clear" w:color="auto" w:fill="D2D2D2"/>
          </w:tcPr>
          <w:p>
            <w:pPr/>
          </w:p>
        </w:tc>
        <w:tc>
          <w:tcPr>
            <w:tcW w:w="990"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1572"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460" w:right="440"/>
        </w:sectPr>
      </w:pPr>
    </w:p>
    <w:p>
      <w:pPr>
        <w:pStyle w:val="BodyText"/>
        <w:spacing w:line="240" w:lineRule="auto" w:before="49"/>
        <w:ind w:left="672" w:right="-20"/>
        <w:jc w:val="left"/>
      </w:pPr>
      <w:r>
        <w:rPr/>
        <w:t>期末单项金额重大并单项计提坏账准备的应收账款：</w:t>
      </w:r>
    </w:p>
    <w:p>
      <w:pPr>
        <w:pStyle w:val="BodyText"/>
        <w:spacing w:line="338" w:lineRule="auto" w:before="117"/>
        <w:ind w:left="672"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3"/>
        <w:ind w:left="672"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left="672" w:right="0"/>
        <w:jc w:val="left"/>
      </w:pPr>
      <w:r>
        <w:rPr/>
        <w:t>单位：</w:t>
      </w:r>
      <w:r>
        <w:rPr>
          <w:spacing w:val="1"/>
        </w:rPr>
        <w:t> </w:t>
      </w:r>
      <w:r>
        <w:rPr/>
        <w:t>元</w:t>
      </w:r>
    </w:p>
    <w:p>
      <w:pPr>
        <w:spacing w:after="0" w:line="240" w:lineRule="auto"/>
        <w:jc w:val="left"/>
        <w:sectPr>
          <w:type w:val="continuous"/>
          <w:pgSz w:w="11910" w:h="16840"/>
          <w:pgMar w:top="1060" w:bottom="1160" w:left="460" w:right="440"/>
          <w:cols w:num="2" w:equalWidth="0">
            <w:col w:w="4813" w:space="4016"/>
            <w:col w:w="2181"/>
          </w:cols>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325,382,445.29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16,269,122.27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325,382,445.29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16,269,122.27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10,236,111.27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1,023,611.13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3,511,932.98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1,755,966.50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6,199,079.87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5,579,171.88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345,329,569.41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24,627,871.78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7.13%</w:t>
            </w:r>
          </w:p>
        </w:tc>
      </w:tr>
    </w:tbl>
    <w:p>
      <w:pPr>
        <w:pStyle w:val="BodyText"/>
        <w:spacing w:line="348" w:lineRule="auto" w:before="49"/>
        <w:ind w:right="5454"/>
        <w:jc w:val="left"/>
      </w:pPr>
      <w:r>
        <w:rPr/>
        <w:t>确定该组合依据的说明： 详见财务报告五、</w:t>
      </w:r>
      <w:r>
        <w:rPr>
          <w:rFonts w:ascii="Times New Roman" w:hAnsi="Times New Roman" w:cs="Times New Roman" w:eastAsia="Times New Roman" w:hint="default"/>
        </w:rPr>
        <w:t>10</w:t>
      </w:r>
      <w:r>
        <w:rPr/>
        <w:t>、应收款项坏账准备。 组合中，采用余额百分比法计提坏账准备的应收账款：</w:t>
      </w:r>
    </w:p>
    <w:p>
      <w:pPr>
        <w:pStyle w:val="BodyText"/>
        <w:spacing w:line="340" w:lineRule="auto" w:before="34"/>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240" w:lineRule="auto" w:before="41"/>
        <w:ind w:right="14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46"/>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46"/>
        <w:jc w:val="left"/>
      </w:pPr>
      <w:r>
        <w:rPr/>
        <w:t>本期计提坏账准备金额</w:t>
      </w:r>
      <w:r>
        <w:rPr>
          <w:spacing w:val="-46"/>
        </w:rPr>
        <w:t> </w:t>
      </w:r>
      <w:r>
        <w:rPr>
          <w:rFonts w:ascii="Times New Roman" w:hAnsi="Times New Roman" w:cs="Times New Roman" w:eastAsia="Times New Roman" w:hint="default"/>
        </w:rPr>
        <w:t>24,627,871.78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3"/>
        <w:spacing w:line="240" w:lineRule="auto"/>
        <w:ind w:right="146"/>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91,596.20</w:t>
            </w:r>
          </w:p>
        </w:tc>
      </w:tr>
    </w:tbl>
    <w:p>
      <w:pPr>
        <w:spacing w:line="240" w:lineRule="auto" w:before="3"/>
        <w:rPr>
          <w:rFonts w:ascii="宋体" w:hAnsi="宋体" w:cs="宋体" w:eastAsia="宋体" w:hint="default"/>
          <w:sz w:val="19"/>
          <w:szCs w:val="19"/>
        </w:rPr>
      </w:pPr>
    </w:p>
    <w:p>
      <w:pPr>
        <w:pStyle w:val="Heading3"/>
        <w:spacing w:line="240" w:lineRule="auto" w:before="36"/>
        <w:ind w:right="146"/>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25"/>
          <w:szCs w:val="25"/>
        </w:rPr>
      </w:pPr>
    </w:p>
    <w:tbl>
      <w:tblPr>
        <w:tblW w:w="0" w:type="auto"/>
        <w:jc w:val="left"/>
        <w:tblInd w:w="573" w:type="dxa"/>
        <w:tblLayout w:type="fixed"/>
        <w:tblCellMar>
          <w:top w:w="0" w:type="dxa"/>
          <w:left w:w="0" w:type="dxa"/>
          <w:bottom w:w="0" w:type="dxa"/>
          <w:right w:w="0" w:type="dxa"/>
        </w:tblCellMar>
        <w:tblLook w:val="01E0"/>
      </w:tblPr>
      <w:tblGrid>
        <w:gridCol w:w="2549"/>
        <w:gridCol w:w="1843"/>
        <w:gridCol w:w="2412"/>
        <w:gridCol w:w="1841"/>
      </w:tblGrid>
      <w:tr>
        <w:trPr>
          <w:trHeight w:val="355" w:hRule="exact"/>
        </w:trPr>
        <w:tc>
          <w:tcPr>
            <w:tcW w:w="2549"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6097" w:type="dxa"/>
            <w:gridSpan w:val="3"/>
            <w:tcBorders>
              <w:top w:val="single" w:sz="6" w:space="0" w:color="000000"/>
              <w:left w:val="single" w:sz="6" w:space="0" w:color="000000"/>
              <w:bottom w:val="single" w:sz="12"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2549" w:type="dxa"/>
            <w:vMerge/>
            <w:tcBorders>
              <w:left w:val="single" w:sz="6" w:space="0" w:color="000000"/>
              <w:bottom w:val="single" w:sz="12" w:space="0" w:color="000000"/>
              <w:right w:val="single" w:sz="6" w:space="0" w:color="000000"/>
            </w:tcBorders>
          </w:tcPr>
          <w:p>
            <w:pP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55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占应收账款合计数的比例</w:t>
            </w:r>
            <w:r>
              <w:rPr>
                <w:rFonts w:ascii="Times New Roman" w:hAnsi="Times New Roman" w:cs="Times New Roman" w:eastAsia="Times New Roman" w:hint="default"/>
                <w:sz w:val="18"/>
                <w:szCs w:val="18"/>
              </w:rPr>
              <w:t>(%)</w:t>
            </w:r>
          </w:p>
        </w:tc>
        <w:tc>
          <w:tcPr>
            <w:tcW w:w="184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8"/>
              <w:ind w:left="55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3" w:hRule="exact"/>
        </w:trPr>
        <w:tc>
          <w:tcPr>
            <w:tcW w:w="25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64,443,849.29</w:t>
            </w:r>
          </w:p>
        </w:tc>
        <w:tc>
          <w:tcPr>
            <w:tcW w:w="2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18.66</w:t>
            </w:r>
          </w:p>
        </w:tc>
        <w:tc>
          <w:tcPr>
            <w:tcW w:w="184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3,222,192.46</w:t>
            </w:r>
          </w:p>
        </w:tc>
      </w:tr>
      <w:tr>
        <w:trPr>
          <w:trHeight w:val="353" w:hRule="exact"/>
        </w:trPr>
        <w:tc>
          <w:tcPr>
            <w:tcW w:w="25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38,289,920.00</w:t>
            </w:r>
          </w:p>
        </w:tc>
        <w:tc>
          <w:tcPr>
            <w:tcW w:w="2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11.09</w:t>
            </w:r>
          </w:p>
        </w:tc>
        <w:tc>
          <w:tcPr>
            <w:tcW w:w="184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1,914,496.00</w:t>
            </w:r>
          </w:p>
        </w:tc>
      </w:tr>
      <w:tr>
        <w:trPr>
          <w:trHeight w:val="350" w:hRule="exact"/>
        </w:trPr>
        <w:tc>
          <w:tcPr>
            <w:tcW w:w="25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37,230,765.00</w:t>
            </w:r>
          </w:p>
        </w:tc>
        <w:tc>
          <w:tcPr>
            <w:tcW w:w="2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10.78</w:t>
            </w:r>
          </w:p>
        </w:tc>
        <w:tc>
          <w:tcPr>
            <w:tcW w:w="184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1,861,538.25</w:t>
            </w:r>
          </w:p>
        </w:tc>
      </w:tr>
      <w:tr>
        <w:trPr>
          <w:trHeight w:val="353" w:hRule="exact"/>
        </w:trPr>
        <w:tc>
          <w:tcPr>
            <w:tcW w:w="25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pacing w:val="-1"/>
                <w:sz w:val="18"/>
              </w:rPr>
              <w:t>30,063,272.90</w:t>
            </w:r>
          </w:p>
        </w:tc>
        <w:tc>
          <w:tcPr>
            <w:tcW w:w="2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8.71</w:t>
            </w:r>
          </w:p>
        </w:tc>
        <w:tc>
          <w:tcPr>
            <w:tcW w:w="184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3"/>
              <w:ind w:right="5"/>
              <w:jc w:val="right"/>
              <w:rPr>
                <w:rFonts w:ascii="Times New Roman" w:hAnsi="Times New Roman" w:cs="Times New Roman" w:eastAsia="Times New Roman" w:hint="default"/>
                <w:sz w:val="18"/>
                <w:szCs w:val="18"/>
              </w:rPr>
            </w:pPr>
            <w:r>
              <w:rPr>
                <w:rFonts w:ascii="Times New Roman"/>
                <w:spacing w:val="-1"/>
                <w:sz w:val="18"/>
              </w:rPr>
              <w:t>1,503,163.65</w:t>
            </w:r>
          </w:p>
        </w:tc>
      </w:tr>
      <w:tr>
        <w:trPr>
          <w:trHeight w:val="353" w:hRule="exact"/>
        </w:trPr>
        <w:tc>
          <w:tcPr>
            <w:tcW w:w="25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26,900,800.00</w:t>
            </w:r>
          </w:p>
        </w:tc>
        <w:tc>
          <w:tcPr>
            <w:tcW w:w="2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7.79</w:t>
            </w:r>
          </w:p>
        </w:tc>
        <w:tc>
          <w:tcPr>
            <w:tcW w:w="184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1,345,040.00</w:t>
            </w:r>
          </w:p>
        </w:tc>
      </w:tr>
      <w:tr>
        <w:trPr>
          <w:trHeight w:val="353" w:hRule="exact"/>
        </w:trPr>
        <w:tc>
          <w:tcPr>
            <w:tcW w:w="25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196,928,607.19</w:t>
            </w:r>
          </w:p>
        </w:tc>
        <w:tc>
          <w:tcPr>
            <w:tcW w:w="2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57.03</w:t>
            </w:r>
          </w:p>
        </w:tc>
        <w:tc>
          <w:tcPr>
            <w:tcW w:w="184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9,846,430.36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b/>
          <w:bCs/>
          <w:sz w:val="24"/>
          <w:szCs w:val="24"/>
        </w:rPr>
      </w:pPr>
    </w:p>
    <w:p>
      <w:pPr>
        <w:pStyle w:val="Heading3"/>
        <w:spacing w:line="240" w:lineRule="auto" w:before="36"/>
        <w:ind w:left="532" w:right="0"/>
        <w:jc w:val="left"/>
        <w:rPr>
          <w:b w:val="0"/>
          <w:bCs w:val="0"/>
        </w:rPr>
      </w:pPr>
      <w:r>
        <w:rPr/>
        <w:t>（</w:t>
      </w:r>
      <w:r>
        <w:rPr>
          <w:rFonts w:ascii="Times New Roman" w:hAnsi="Times New Roman" w:cs="Times New Roman" w:eastAsia="Times New Roman" w:hint="default"/>
        </w:rPr>
        <w:t>5</w:t>
      </w:r>
      <w:r>
        <w:rPr/>
        <w:t>）本报告期无因金融资产转移而终止确认的应收账款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532"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32" w:right="0"/>
        <w:jc w:val="left"/>
      </w:pPr>
      <w:r>
        <w:rPr/>
        <w:t>本期无以应收账款为标的进行证券化的，继续涉入形成的资产、负债。</w:t>
      </w:r>
    </w:p>
    <w:p>
      <w:pPr>
        <w:spacing w:line="240" w:lineRule="auto" w:before="0"/>
        <w:rPr>
          <w:rFonts w:ascii="宋体" w:hAnsi="宋体" w:cs="宋体" w:eastAsia="宋体" w:hint="default"/>
          <w:sz w:val="18"/>
          <w:szCs w:val="18"/>
        </w:rPr>
      </w:pPr>
    </w:p>
    <w:p>
      <w:pPr>
        <w:pStyle w:val="Heading3"/>
        <w:spacing w:line="240" w:lineRule="auto" w:before="120"/>
        <w:ind w:left="532" w:right="0"/>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532"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54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7"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8,648,340.23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11,285,409.85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92.62%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1,363,664.75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12.68%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45,296.54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853,815.00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702,277.80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6.53%</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10,756,532.78</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12,184,521.39</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left="532"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7" w:type="dxa"/>
        <w:tblLayout w:type="fixed"/>
        <w:tblCellMar>
          <w:top w:w="0" w:type="dxa"/>
          <w:left w:w="0" w:type="dxa"/>
          <w:bottom w:w="0" w:type="dxa"/>
          <w:right w:w="0" w:type="dxa"/>
        </w:tblCellMar>
        <w:tblLook w:val="01E0"/>
      </w:tblPr>
      <w:tblGrid>
        <w:gridCol w:w="3075"/>
        <w:gridCol w:w="2326"/>
        <w:gridCol w:w="2353"/>
      </w:tblGrid>
      <w:tr>
        <w:trPr>
          <w:trHeight w:val="667" w:hRule="exact"/>
        </w:trPr>
        <w:tc>
          <w:tcPr>
            <w:tcW w:w="30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3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53" w:type="dxa"/>
            <w:tcBorders>
              <w:top w:val="single" w:sz="6" w:space="0" w:color="000000"/>
              <w:left w:val="single" w:sz="6" w:space="0" w:color="000000"/>
              <w:bottom w:val="single" w:sz="12" w:space="0" w:color="000000"/>
              <w:right w:val="single" w:sz="4" w:space="0" w:color="000000"/>
            </w:tcBorders>
          </w:tcPr>
          <w:p>
            <w:pPr>
              <w:pStyle w:val="TableParagraph"/>
              <w:spacing w:line="316" w:lineRule="auto" w:before="17"/>
              <w:ind w:left="628" w:right="449" w:hanging="180"/>
              <w:jc w:val="left"/>
              <w:rPr>
                <w:rFonts w:ascii="宋体" w:hAnsi="宋体" w:cs="宋体" w:eastAsia="宋体" w:hint="default"/>
                <w:sz w:val="18"/>
                <w:szCs w:val="18"/>
              </w:rPr>
            </w:pPr>
            <w:r>
              <w:rPr>
                <w:rFonts w:ascii="宋体" w:hAnsi="宋体" w:cs="宋体" w:eastAsia="宋体" w:hint="default"/>
                <w:sz w:val="18"/>
                <w:szCs w:val="18"/>
              </w:rPr>
              <w:t>占预付款期末余额 合计数的比例</w:t>
            </w:r>
          </w:p>
        </w:tc>
      </w:tr>
      <w:tr>
        <w:trPr>
          <w:trHeight w:val="351" w:hRule="exact"/>
        </w:trPr>
        <w:tc>
          <w:tcPr>
            <w:tcW w:w="30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3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1,943,931.61</w:t>
            </w:r>
          </w:p>
        </w:tc>
        <w:tc>
          <w:tcPr>
            <w:tcW w:w="235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18.07</w:t>
            </w:r>
          </w:p>
        </w:tc>
      </w:tr>
      <w:tr>
        <w:trPr>
          <w:trHeight w:val="353" w:hRule="exact"/>
        </w:trPr>
        <w:tc>
          <w:tcPr>
            <w:tcW w:w="30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3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1,700,000.00</w:t>
            </w:r>
          </w:p>
        </w:tc>
        <w:tc>
          <w:tcPr>
            <w:tcW w:w="235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2"/>
              <w:jc w:val="center"/>
              <w:rPr>
                <w:rFonts w:ascii="Times New Roman" w:hAnsi="Times New Roman" w:cs="Times New Roman" w:eastAsia="Times New Roman" w:hint="default"/>
                <w:sz w:val="18"/>
                <w:szCs w:val="18"/>
              </w:rPr>
            </w:pPr>
            <w:r>
              <w:rPr>
                <w:rFonts w:ascii="Times New Roman"/>
                <w:sz w:val="18"/>
              </w:rPr>
              <w:t>15.80</w:t>
            </w:r>
          </w:p>
        </w:tc>
      </w:tr>
      <w:tr>
        <w:trPr>
          <w:trHeight w:val="353" w:hRule="exact"/>
        </w:trPr>
        <w:tc>
          <w:tcPr>
            <w:tcW w:w="30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3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1,354,508.16</w:t>
            </w:r>
          </w:p>
        </w:tc>
        <w:tc>
          <w:tcPr>
            <w:tcW w:w="235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12.59</w:t>
            </w:r>
          </w:p>
        </w:tc>
      </w:tr>
      <w:tr>
        <w:trPr>
          <w:trHeight w:val="350" w:hRule="exact"/>
        </w:trPr>
        <w:tc>
          <w:tcPr>
            <w:tcW w:w="30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3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1,199,633.39</w:t>
            </w:r>
          </w:p>
        </w:tc>
        <w:tc>
          <w:tcPr>
            <w:tcW w:w="235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11.15</w:t>
            </w:r>
          </w:p>
        </w:tc>
      </w:tr>
      <w:tr>
        <w:trPr>
          <w:trHeight w:val="353" w:hRule="exact"/>
        </w:trPr>
        <w:tc>
          <w:tcPr>
            <w:tcW w:w="30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3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909,090.91</w:t>
            </w:r>
          </w:p>
        </w:tc>
        <w:tc>
          <w:tcPr>
            <w:tcW w:w="235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2"/>
              <w:jc w:val="center"/>
              <w:rPr>
                <w:rFonts w:ascii="Times New Roman" w:hAnsi="Times New Roman" w:cs="Times New Roman" w:eastAsia="Times New Roman" w:hint="default"/>
                <w:sz w:val="18"/>
                <w:szCs w:val="18"/>
              </w:rPr>
            </w:pPr>
            <w:r>
              <w:rPr>
                <w:rFonts w:ascii="Times New Roman"/>
                <w:sz w:val="18"/>
              </w:rPr>
              <w:t>8.45</w:t>
            </w:r>
          </w:p>
        </w:tc>
      </w:tr>
      <w:tr>
        <w:trPr>
          <w:trHeight w:val="353" w:hRule="exact"/>
        </w:trPr>
        <w:tc>
          <w:tcPr>
            <w:tcW w:w="30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23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7,107,164.07</w:t>
            </w:r>
          </w:p>
        </w:tc>
        <w:tc>
          <w:tcPr>
            <w:tcW w:w="235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66.06</w:t>
            </w:r>
          </w:p>
        </w:tc>
      </w:tr>
    </w:tbl>
    <w:p>
      <w:pPr>
        <w:spacing w:line="240" w:lineRule="auto" w:before="3"/>
        <w:rPr>
          <w:rFonts w:ascii="宋体" w:hAnsi="宋体" w:cs="宋体" w:eastAsia="宋体" w:hint="default"/>
          <w:b/>
          <w:bCs/>
          <w:sz w:val="19"/>
          <w:szCs w:val="19"/>
        </w:rPr>
      </w:pPr>
    </w:p>
    <w:p>
      <w:pPr>
        <w:pStyle w:val="Heading3"/>
        <w:spacing w:line="240" w:lineRule="auto" w:before="36"/>
        <w:ind w:left="532" w:right="0"/>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532"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2051"/>
        <w:gridCol w:w="774"/>
        <w:gridCol w:w="761"/>
        <w:gridCol w:w="764"/>
        <w:gridCol w:w="751"/>
        <w:gridCol w:w="812"/>
        <w:gridCol w:w="642"/>
        <w:gridCol w:w="761"/>
        <w:gridCol w:w="814"/>
        <w:gridCol w:w="934"/>
        <w:gridCol w:w="931"/>
      </w:tblGrid>
      <w:tr>
        <w:trPr>
          <w:trHeight w:val="402" w:hRule="exact"/>
        </w:trPr>
        <w:tc>
          <w:tcPr>
            <w:tcW w:w="2051" w:type="dxa"/>
            <w:vMerge w:val="restart"/>
            <w:tcBorders>
              <w:top w:val="single" w:sz="4" w:space="0" w:color="000000"/>
              <w:left w:val="single" w:sz="4" w:space="0" w:color="000000"/>
              <w:right w:val="single" w:sz="4" w:space="0" w:color="000000"/>
            </w:tcBorders>
            <w:shd w:val="clear" w:color="auto" w:fill="D2D2D2"/>
          </w:tcPr>
          <w:p>
            <w:pPr/>
          </w:p>
        </w:tc>
        <w:tc>
          <w:tcPr>
            <w:tcW w:w="386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2051"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12" w:type="dxa"/>
            <w:vMerge w:val="restart"/>
            <w:tcBorders>
              <w:top w:val="single" w:sz="4" w:space="0" w:color="000000"/>
              <w:left w:val="single" w:sz="4" w:space="0" w:color="000000"/>
              <w:right w:val="single" w:sz="4" w:space="0" w:color="000000"/>
            </w:tcBorders>
            <w:shd w:val="clear" w:color="auto" w:fill="D2D2D2"/>
          </w:tcPr>
          <w:p>
            <w:pPr/>
          </w:p>
        </w:tc>
        <w:tc>
          <w:tcPr>
            <w:tcW w:w="140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20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16" w:type="dxa"/>
            <w:gridSpan w:val="2"/>
            <w:vMerge/>
            <w:tcBorders>
              <w:left w:val="single" w:sz="4" w:space="0" w:color="000000"/>
              <w:bottom w:val="single" w:sz="4" w:space="0" w:color="000000"/>
              <w:right w:val="single" w:sz="4" w:space="0" w:color="000000"/>
            </w:tcBorders>
            <w:shd w:val="clear" w:color="auto" w:fill="D2D2D2"/>
          </w:tcPr>
          <w:p>
            <w:pPr/>
          </w:p>
        </w:tc>
        <w:tc>
          <w:tcPr>
            <w:tcW w:w="812" w:type="dxa"/>
            <w:vMerge/>
            <w:tcBorders>
              <w:left w:val="single" w:sz="4" w:space="0" w:color="000000"/>
              <w:bottom w:val="nil" w:sz="6" w:space="0" w:color="auto"/>
              <w:right w:val="single" w:sz="4" w:space="0" w:color="000000"/>
            </w:tcBorders>
            <w:shd w:val="clear" w:color="auto" w:fill="D2D2D2"/>
          </w:tcPr>
          <w:p>
            <w:pPr/>
          </w:p>
        </w:tc>
        <w:tc>
          <w:tcPr>
            <w:tcW w:w="1403"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2051"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6" w:right="92"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4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2051"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1" w:type="dxa"/>
            <w:vMerge/>
            <w:tcBorders>
              <w:left w:val="single" w:sz="4" w:space="0" w:color="000000"/>
              <w:right w:val="single" w:sz="4" w:space="0" w:color="000000"/>
            </w:tcBorders>
            <w:shd w:val="clear" w:color="auto" w:fill="D2D2D2"/>
          </w:tcPr>
          <w:p>
            <w:pPr/>
          </w:p>
        </w:tc>
        <w:tc>
          <w:tcPr>
            <w:tcW w:w="812" w:type="dxa"/>
            <w:vMerge/>
            <w:tcBorders>
              <w:left w:val="single" w:sz="4" w:space="0" w:color="000000"/>
              <w:bottom w:val="nil" w:sz="6" w:space="0" w:color="auto"/>
              <w:right w:val="single" w:sz="4" w:space="0" w:color="000000"/>
            </w:tcBorders>
            <w:shd w:val="clear" w:color="auto" w:fill="D2D2D2"/>
          </w:tcPr>
          <w:p>
            <w:pPr/>
          </w:p>
        </w:tc>
        <w:tc>
          <w:tcPr>
            <w:tcW w:w="6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2051"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51" w:type="dxa"/>
            <w:vMerge/>
            <w:tcBorders>
              <w:left w:val="single" w:sz="4" w:space="0" w:color="000000"/>
              <w:right w:val="single" w:sz="4" w:space="0" w:color="000000"/>
            </w:tcBorders>
            <w:shd w:val="clear" w:color="auto" w:fill="D2D2D2"/>
          </w:tcPr>
          <w:p>
            <w:pPr/>
          </w:p>
        </w:tc>
        <w:tc>
          <w:tcPr>
            <w:tcW w:w="812" w:type="dxa"/>
            <w:vMerge w:val="restart"/>
            <w:tcBorders>
              <w:top w:val="nil" w:sz="6" w:space="0" w:color="auto"/>
              <w:left w:val="single" w:sz="4" w:space="0" w:color="000000"/>
              <w:right w:val="single" w:sz="4" w:space="0" w:color="000000"/>
            </w:tcBorders>
            <w:shd w:val="clear" w:color="auto" w:fill="D2D2D2"/>
          </w:tcPr>
          <w:p>
            <w:pPr/>
          </w:p>
        </w:tc>
        <w:tc>
          <w:tcPr>
            <w:tcW w:w="642"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051"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51" w:type="dxa"/>
            <w:vMerge/>
            <w:tcBorders>
              <w:left w:val="single" w:sz="4" w:space="0" w:color="000000"/>
              <w:bottom w:val="single" w:sz="4" w:space="0" w:color="000000"/>
              <w:right w:val="single" w:sz="4" w:space="0" w:color="000000"/>
            </w:tcBorders>
            <w:shd w:val="clear" w:color="auto" w:fill="D2D2D2"/>
          </w:tcPr>
          <w:p>
            <w:pPr/>
          </w:p>
        </w:tc>
        <w:tc>
          <w:tcPr>
            <w:tcW w:w="812" w:type="dxa"/>
            <w:vMerge/>
            <w:tcBorders>
              <w:left w:val="single" w:sz="4" w:space="0" w:color="000000"/>
              <w:bottom w:val="single" w:sz="4" w:space="0" w:color="000000"/>
              <w:right w:val="single" w:sz="4" w:space="0" w:color="000000"/>
            </w:tcBorders>
            <w:shd w:val="clear" w:color="auto" w:fill="D2D2D2"/>
          </w:tcPr>
          <w:p>
            <w:pPr/>
          </w:p>
        </w:tc>
        <w:tc>
          <w:tcPr>
            <w:tcW w:w="64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按信用风险特征组合计提</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2"/>
              <w:ind w:left="105" w:right="0"/>
              <w:jc w:val="left"/>
              <w:rPr>
                <w:rFonts w:ascii="Times New Roman" w:hAnsi="Times New Roman" w:cs="Times New Roman" w:eastAsia="Times New Roman" w:hint="default"/>
                <w:sz w:val="18"/>
                <w:szCs w:val="18"/>
              </w:rPr>
            </w:pPr>
            <w:r>
              <w:rPr>
                <w:rFonts w:ascii="Times New Roman"/>
                <w:sz w:val="18"/>
              </w:rPr>
              <w:t>17,497,8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3" w:right="0"/>
              <w:jc w:val="left"/>
              <w:rPr>
                <w:rFonts w:ascii="Times New Roman" w:hAnsi="Times New Roman" w:cs="Times New Roman" w:eastAsia="Times New Roman" w:hint="default"/>
                <w:sz w:val="18"/>
                <w:szCs w:val="18"/>
              </w:rPr>
            </w:pPr>
            <w:r>
              <w:rPr>
                <w:rFonts w:ascii="Times New Roman"/>
                <w:sz w:val="18"/>
              </w:rPr>
              <w:t>100.00%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8" w:right="0"/>
              <w:jc w:val="left"/>
              <w:rPr>
                <w:rFonts w:ascii="Times New Roman" w:hAnsi="Times New Roman" w:cs="Times New Roman" w:eastAsia="Times New Roman" w:hint="default"/>
                <w:sz w:val="18"/>
                <w:szCs w:val="18"/>
              </w:rPr>
            </w:pPr>
            <w:r>
              <w:rPr>
                <w:rFonts w:ascii="Times New Roman"/>
                <w:sz w:val="18"/>
              </w:rPr>
              <w:t>952,900.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5" w:right="0"/>
              <w:jc w:val="left"/>
              <w:rPr>
                <w:rFonts w:ascii="Times New Roman" w:hAnsi="Times New Roman" w:cs="Times New Roman" w:eastAsia="Times New Roman" w:hint="default"/>
                <w:sz w:val="18"/>
                <w:szCs w:val="18"/>
              </w:rPr>
            </w:pPr>
            <w:r>
              <w:rPr>
                <w:rFonts w:ascii="Times New Roman"/>
                <w:sz w:val="18"/>
              </w:rPr>
              <w:t>5.45%</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6" w:right="0"/>
              <w:jc w:val="left"/>
              <w:rPr>
                <w:rFonts w:ascii="Times New Roman" w:hAnsi="Times New Roman" w:cs="Times New Roman" w:eastAsia="Times New Roman" w:hint="default"/>
                <w:sz w:val="18"/>
                <w:szCs w:val="18"/>
              </w:rPr>
            </w:pPr>
            <w:r>
              <w:rPr>
                <w:rFonts w:ascii="Times New Roman"/>
                <w:sz w:val="18"/>
              </w:rPr>
              <w:t>16,544,90</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0" w:right="0"/>
              <w:jc w:val="left"/>
              <w:rPr>
                <w:rFonts w:ascii="Times New Roman" w:hAnsi="Times New Roman" w:cs="Times New Roman" w:eastAsia="Times New Roman" w:hint="default"/>
                <w:sz w:val="18"/>
                <w:szCs w:val="18"/>
              </w:rPr>
            </w:pPr>
            <w:r>
              <w:rPr>
                <w:rFonts w:ascii="Times New Roman"/>
                <w:sz w:val="18"/>
              </w:rPr>
              <w:t>29,197,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62" w:right="0"/>
              <w:jc w:val="left"/>
              <w:rPr>
                <w:rFonts w:ascii="Times New Roman" w:hAnsi="Times New Roman" w:cs="Times New Roman" w:eastAsia="Times New Roman" w:hint="default"/>
                <w:sz w:val="18"/>
                <w:szCs w:val="18"/>
              </w:rPr>
            </w:pPr>
            <w:r>
              <w:rPr>
                <w:rFonts w:ascii="Times New Roman"/>
                <w:sz w:val="18"/>
              </w:rPr>
              <w:t>2,900,016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4" w:right="0"/>
              <w:jc w:val="left"/>
              <w:rPr>
                <w:rFonts w:ascii="Times New Roman" w:hAnsi="Times New Roman" w:cs="Times New Roman" w:eastAsia="Times New Roman" w:hint="default"/>
                <w:sz w:val="18"/>
                <w:szCs w:val="18"/>
              </w:rPr>
            </w:pPr>
            <w:r>
              <w:rPr>
                <w:rFonts w:ascii="Times New Roman"/>
                <w:sz w:val="18"/>
              </w:rPr>
              <w:t>9.93%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26,297,338.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600" w:right="980"/>
        </w:sectPr>
      </w:pPr>
    </w:p>
    <w:p>
      <w:pPr>
        <w:spacing w:line="240" w:lineRule="auto" w:before="6"/>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2061"/>
        <w:gridCol w:w="763"/>
        <w:gridCol w:w="761"/>
        <w:gridCol w:w="763"/>
        <w:gridCol w:w="763"/>
        <w:gridCol w:w="788"/>
        <w:gridCol w:w="655"/>
        <w:gridCol w:w="761"/>
        <w:gridCol w:w="814"/>
        <w:gridCol w:w="934"/>
        <w:gridCol w:w="931"/>
      </w:tblGrid>
      <w:tr>
        <w:trPr>
          <w:trHeight w:val="362" w:hRule="exact"/>
        </w:trPr>
        <w:tc>
          <w:tcPr>
            <w:tcW w:w="2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5" w:right="0"/>
              <w:jc w:val="left"/>
              <w:rPr>
                <w:rFonts w:ascii="宋体" w:hAnsi="宋体" w:cs="宋体" w:eastAsia="宋体" w:hint="default"/>
                <w:sz w:val="18"/>
                <w:szCs w:val="18"/>
              </w:rPr>
            </w:pPr>
            <w:r>
              <w:rPr>
                <w:rFonts w:ascii="宋体" w:hAnsi="宋体" w:cs="宋体" w:eastAsia="宋体" w:hint="default"/>
                <w:sz w:val="18"/>
                <w:szCs w:val="18"/>
              </w:rPr>
              <w:t>坏账准备的其他应收款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33" w:right="0"/>
              <w:jc w:val="left"/>
              <w:rPr>
                <w:rFonts w:ascii="Times New Roman" w:hAnsi="Times New Roman" w:cs="Times New Roman" w:eastAsia="Times New Roman" w:hint="default"/>
                <w:sz w:val="18"/>
                <w:szCs w:val="18"/>
              </w:rPr>
            </w:pPr>
            <w:r>
              <w:rPr>
                <w:rFonts w:ascii="Times New Roman"/>
                <w:sz w:val="18"/>
              </w:rPr>
              <w:t>10.11</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34</w:t>
            </w: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1" w:right="0"/>
              <w:jc w:val="left"/>
              <w:rPr>
                <w:rFonts w:ascii="Times New Roman" w:hAnsi="Times New Roman" w:cs="Times New Roman" w:eastAsia="Times New Roman" w:hint="default"/>
                <w:sz w:val="18"/>
                <w:szCs w:val="18"/>
              </w:rPr>
            </w:pPr>
            <w:r>
              <w:rPr>
                <w:rFonts w:ascii="Times New Roman"/>
                <w:sz w:val="18"/>
              </w:rPr>
              <w:t>9.77</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9" w:right="0"/>
              <w:jc w:val="left"/>
              <w:rPr>
                <w:rFonts w:ascii="Times New Roman" w:hAnsi="Times New Roman" w:cs="Times New Roman" w:eastAsia="Times New Roman" w:hint="default"/>
                <w:sz w:val="18"/>
                <w:szCs w:val="18"/>
              </w:rPr>
            </w:pPr>
            <w:r>
              <w:rPr>
                <w:rFonts w:ascii="Times New Roman"/>
                <w:sz w:val="18"/>
              </w:rPr>
              <w:t>354.03</w:t>
            </w: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.02</w:t>
            </w: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01</w:t>
            </w:r>
          </w:p>
        </w:tc>
      </w:tr>
      <w:tr>
        <w:trPr>
          <w:trHeight w:val="713" w:hRule="exact"/>
        </w:trPr>
        <w:tc>
          <w:tcPr>
            <w:tcW w:w="2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17,497,8</w:t>
            </w:r>
          </w:p>
          <w:p>
            <w:pPr>
              <w:pStyle w:val="TableParagraph"/>
              <w:spacing w:line="240" w:lineRule="auto" w:before="105"/>
              <w:ind w:left="333" w:right="0"/>
              <w:jc w:val="left"/>
              <w:rPr>
                <w:rFonts w:ascii="Times New Roman" w:hAnsi="Times New Roman" w:cs="Times New Roman" w:eastAsia="Times New Roman" w:hint="default"/>
                <w:sz w:val="18"/>
                <w:szCs w:val="18"/>
              </w:rPr>
            </w:pPr>
            <w:r>
              <w:rPr>
                <w:rFonts w:ascii="Times New Roman"/>
                <w:sz w:val="18"/>
              </w:rPr>
              <w:t>10.11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952,900.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5.45%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16,544,90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9.77</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29,197,</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354.03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2,900,016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9.93%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26,297,338.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600" w:right="980"/>
        </w:sectPr>
      </w:pPr>
    </w:p>
    <w:p>
      <w:pPr>
        <w:pStyle w:val="BodyText"/>
        <w:spacing w:line="240" w:lineRule="auto" w:before="49"/>
        <w:ind w:left="532" w:right="-20"/>
        <w:jc w:val="left"/>
      </w:pPr>
      <w:r>
        <w:rPr/>
        <w:t>期末单项金额重大并单项计提坏账准备的其他应收款：</w:t>
      </w:r>
    </w:p>
    <w:p>
      <w:pPr>
        <w:pStyle w:val="BodyText"/>
        <w:spacing w:line="338" w:lineRule="auto" w:before="117"/>
        <w:ind w:left="532"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3"/>
        <w:ind w:left="532"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left="532" w:right="0"/>
        <w:jc w:val="left"/>
      </w:pPr>
      <w:r>
        <w:rPr/>
        <w:t>单位：</w:t>
      </w:r>
      <w:r>
        <w:rPr>
          <w:spacing w:val="1"/>
        </w:rPr>
        <w:t> </w:t>
      </w:r>
      <w:r>
        <w:rPr/>
        <w:t>元</w:t>
      </w:r>
    </w:p>
    <w:p>
      <w:pPr>
        <w:spacing w:after="0" w:line="240" w:lineRule="auto"/>
        <w:jc w:val="left"/>
        <w:sectPr>
          <w:type w:val="continuous"/>
          <w:pgSz w:w="11910" w:h="16840"/>
          <w:pgMar w:top="1060" w:bottom="1160" w:left="600" w:right="980"/>
          <w:cols w:num="2" w:equalWidth="0">
            <w:col w:w="4853" w:space="3976"/>
            <w:col w:w="1501"/>
          </w:cols>
        </w:sectPr>
      </w:pPr>
    </w:p>
    <w:p>
      <w:pPr>
        <w:spacing w:line="240" w:lineRule="auto" w:before="3"/>
        <w:rPr>
          <w:rFonts w:ascii="宋体" w:hAnsi="宋体" w:cs="宋体" w:eastAsia="宋体" w:hint="default"/>
          <w:sz w:val="8"/>
          <w:szCs w:val="8"/>
        </w:rPr>
      </w:pPr>
    </w:p>
    <w:tbl>
      <w:tblPr>
        <w:tblW w:w="0" w:type="auto"/>
        <w:jc w:val="left"/>
        <w:tblInd w:w="527" w:type="dxa"/>
        <w:tblLayout w:type="fixed"/>
        <w:tblCellMar>
          <w:top w:w="0" w:type="dxa"/>
          <w:left w:w="0" w:type="dxa"/>
          <w:bottom w:w="0" w:type="dxa"/>
          <w:right w:w="0" w:type="dxa"/>
        </w:tblCellMar>
        <w:tblLook w:val="01E0"/>
      </w:tblPr>
      <w:tblGrid>
        <w:gridCol w:w="2391"/>
        <w:gridCol w:w="2393"/>
        <w:gridCol w:w="2393"/>
        <w:gridCol w:w="2393"/>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8,714,801.73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435,740.08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8,714,801.73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435,740.08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2,061,843.94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206,184.39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507,080.17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253,540.09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63,817.53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57,435.78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11,347,543.37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952,900.34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8.40%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600" w:right="980"/>
        </w:sectPr>
      </w:pPr>
    </w:p>
    <w:p>
      <w:pPr>
        <w:pStyle w:val="BodyText"/>
        <w:spacing w:line="348" w:lineRule="auto" w:before="49"/>
        <w:ind w:left="532" w:right="-20"/>
        <w:jc w:val="left"/>
      </w:pPr>
      <w:r>
        <w:rPr/>
        <w:t>确定该组合依据的说明： 详见财务报告五、</w:t>
      </w:r>
      <w:r>
        <w:rPr>
          <w:rFonts w:ascii="Times New Roman" w:hAnsi="Times New Roman" w:cs="Times New Roman" w:eastAsia="Times New Roman" w:hint="default"/>
        </w:rPr>
        <w:t>10</w:t>
      </w:r>
      <w:r>
        <w:rPr/>
        <w:t>、应收款项。 组合中，采用余额百分比法计提坏账准备的其他应收款：</w:t>
      </w:r>
    </w:p>
    <w:p>
      <w:pPr>
        <w:pStyle w:val="BodyText"/>
        <w:spacing w:line="240" w:lineRule="auto" w:before="36"/>
        <w:ind w:left="532"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532" w:right="0"/>
        <w:jc w:val="left"/>
      </w:pPr>
      <w:r>
        <w:rPr/>
        <w:t>单位：</w:t>
      </w:r>
      <w:r>
        <w:rPr>
          <w:spacing w:val="1"/>
        </w:rPr>
        <w:t> </w:t>
      </w:r>
      <w:r>
        <w:rPr/>
        <w:t>元</w:t>
      </w:r>
    </w:p>
    <w:p>
      <w:pPr>
        <w:spacing w:after="0" w:line="240" w:lineRule="auto"/>
        <w:jc w:val="left"/>
        <w:sectPr>
          <w:type w:val="continuous"/>
          <w:pgSz w:w="11910" w:h="16840"/>
          <w:pgMar w:top="1060" w:bottom="1160" w:left="600" w:right="980"/>
          <w:cols w:num="2" w:equalWidth="0">
            <w:col w:w="5033" w:space="3796"/>
            <w:col w:w="1501"/>
          </w:cols>
        </w:sectPr>
      </w:pPr>
    </w:p>
    <w:p>
      <w:pPr>
        <w:spacing w:line="240" w:lineRule="auto" w:before="4"/>
        <w:rPr>
          <w:rFonts w:ascii="宋体" w:hAnsi="宋体" w:cs="宋体" w:eastAsia="宋体" w:hint="default"/>
          <w:sz w:val="8"/>
          <w:szCs w:val="8"/>
        </w:rPr>
      </w:pPr>
    </w:p>
    <w:tbl>
      <w:tblPr>
        <w:tblW w:w="0" w:type="auto"/>
        <w:jc w:val="left"/>
        <w:tblInd w:w="527"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应收补贴款</w:t>
            </w:r>
            <w:r>
              <w:rPr>
                <w:rFonts w:ascii="Times New Roman" w:hAnsi="Times New Roman" w:cs="Times New Roman" w:eastAsia="Times New Roman" w:hint="default"/>
                <w:sz w:val="18"/>
                <w:szCs w:val="18"/>
              </w:rPr>
              <w:t>-</w:t>
            </w:r>
            <w:r>
              <w:rPr>
                <w:rFonts w:ascii="宋体" w:hAnsi="宋体" w:cs="宋体" w:eastAsia="宋体" w:hint="default"/>
                <w:sz w:val="18"/>
                <w:szCs w:val="18"/>
              </w:rPr>
              <w:t>增值税退税</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6,150,266.74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6,150,266.74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50" w:lineRule="auto" w:before="49"/>
        <w:ind w:left="532" w:right="5634"/>
        <w:jc w:val="left"/>
      </w:pPr>
      <w:r>
        <w:rPr/>
        <w:t>确定该组合依据的说明： 详见财务报告五、</w:t>
      </w:r>
      <w:r>
        <w:rPr>
          <w:rFonts w:ascii="Times New Roman" w:hAnsi="Times New Roman" w:cs="Times New Roman" w:eastAsia="Times New Roman" w:hint="default"/>
        </w:rPr>
        <w:t>10</w:t>
      </w:r>
      <w:r>
        <w:rPr/>
        <w:t>、应收款项坏账准备。 组合中，采用其他方法计提坏账准备的其他应收款：</w:t>
      </w:r>
    </w:p>
    <w:p>
      <w:pPr>
        <w:pStyle w:val="BodyText"/>
        <w:spacing w:line="240" w:lineRule="auto" w:before="32"/>
        <w:ind w:left="5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240" w:lineRule="auto"/>
        <w:ind w:left="532"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32" w:right="0"/>
        <w:jc w:val="left"/>
      </w:pPr>
      <w:r>
        <w:rPr/>
        <w:t>本期计提坏账准备金额</w:t>
      </w:r>
      <w:r>
        <w:rPr>
          <w:spacing w:val="-46"/>
        </w:rPr>
        <w:t> </w:t>
      </w:r>
      <w:r>
        <w:rPr>
          <w:rFonts w:ascii="Times New Roman" w:hAnsi="Times New Roman" w:cs="Times New Roman" w:eastAsia="Times New Roman" w:hint="default"/>
        </w:rPr>
        <w:t>952,900.34</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w:t>
      </w:r>
    </w:p>
    <w:p>
      <w:pPr>
        <w:spacing w:after="0" w:line="240" w:lineRule="auto"/>
        <w:jc w:val="left"/>
        <w:sectPr>
          <w:type w:val="continuous"/>
          <w:pgSz w:w="11910" w:h="16840"/>
          <w:pgMar w:top="1060" w:bottom="1160" w:left="600" w:right="980"/>
        </w:sectPr>
      </w:pPr>
    </w:p>
    <w:p>
      <w:pPr>
        <w:spacing w:line="240" w:lineRule="auto" w:before="10"/>
        <w:rPr>
          <w:rFonts w:ascii="宋体" w:hAnsi="宋体" w:cs="宋体" w:eastAsia="宋体" w:hint="default"/>
          <w:sz w:val="24"/>
          <w:szCs w:val="24"/>
        </w:rPr>
      </w:pPr>
    </w:p>
    <w:p>
      <w:pPr>
        <w:pStyle w:val="Heading3"/>
        <w:spacing w:line="240" w:lineRule="auto" w:before="36"/>
        <w:ind w:right="146"/>
        <w:jc w:val="left"/>
        <w:rPr>
          <w:b w:val="0"/>
          <w:bCs w:val="0"/>
        </w:rPr>
      </w:pPr>
      <w:r>
        <w:rPr/>
        <w:t>（</w:t>
      </w:r>
      <w:r>
        <w:rPr>
          <w:rFonts w:ascii="Times New Roman" w:hAnsi="Times New Roman" w:cs="Times New Roman" w:eastAsia="Times New Roman" w:hint="default"/>
        </w:rPr>
        <w:t>3</w:t>
      </w:r>
      <w:r>
        <w:rPr/>
        <w:t>）本报告期无实际核销的其他应收款情况。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6"/>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应收补贴款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6,150,266.74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6,993,066.53</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3,049,179.48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2,586,980.33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6,110,800.59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14,880,383.97</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557,563.30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1,486,923.20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招标保证金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3,250,000.00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17,497,810.11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29,197,354.03</w:t>
            </w:r>
          </w:p>
        </w:tc>
      </w:tr>
    </w:tbl>
    <w:p>
      <w:pPr>
        <w:spacing w:line="240" w:lineRule="auto" w:before="3"/>
        <w:rPr>
          <w:rFonts w:ascii="宋体" w:hAnsi="宋体" w:cs="宋体" w:eastAsia="宋体" w:hint="default"/>
          <w:sz w:val="19"/>
          <w:szCs w:val="19"/>
        </w:rPr>
      </w:pPr>
    </w:p>
    <w:p>
      <w:pPr>
        <w:pStyle w:val="Heading3"/>
        <w:spacing w:line="240" w:lineRule="auto" w:before="36"/>
        <w:ind w:right="146"/>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83"/>
        <w:gridCol w:w="1619"/>
        <w:gridCol w:w="1582"/>
        <w:gridCol w:w="1594"/>
        <w:gridCol w:w="1596"/>
      </w:tblGrid>
      <w:tr>
        <w:trPr>
          <w:trHeight w:val="708"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4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8" w:hRule="exact"/>
        </w:trPr>
        <w:tc>
          <w:tcPr>
            <w:tcW w:w="159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8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1619" w:type="dxa"/>
            <w:tcBorders>
              <w:top w:val="single" w:sz="4" w:space="0" w:color="000000"/>
              <w:left w:val="single" w:sz="10" w:space="0" w:color="C7EBCC"/>
              <w:bottom w:val="single" w:sz="4" w:space="0" w:color="000000"/>
              <w:right w:val="single" w:sz="10" w:space="0" w:color="C7EBCC"/>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6,150,266.74</w:t>
            </w:r>
          </w:p>
        </w:tc>
        <w:tc>
          <w:tcPr>
            <w:tcW w:w="1582"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35.15%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8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619" w:type="dxa"/>
            <w:tcBorders>
              <w:top w:val="single" w:sz="4" w:space="0" w:color="000000"/>
              <w:left w:val="single" w:sz="10" w:space="0" w:color="C7EBCC"/>
              <w:bottom w:val="single" w:sz="4" w:space="0" w:color="000000"/>
              <w:right w:val="single" w:sz="10" w:space="0" w:color="C7EBCC"/>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1,432,820.00</w:t>
            </w:r>
          </w:p>
        </w:tc>
        <w:tc>
          <w:tcPr>
            <w:tcW w:w="1582"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143,282.00</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8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619" w:type="dxa"/>
            <w:tcBorders>
              <w:top w:val="single" w:sz="4" w:space="0" w:color="000000"/>
              <w:left w:val="single" w:sz="10" w:space="0" w:color="C7EBCC"/>
              <w:bottom w:val="single" w:sz="4" w:space="0" w:color="000000"/>
              <w:right w:val="single" w:sz="10" w:space="0" w:color="C7EBCC"/>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1,412,398.06</w:t>
            </w:r>
          </w:p>
        </w:tc>
        <w:tc>
          <w:tcPr>
            <w:tcW w:w="1582"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70,619.90</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8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招标保证金</w:t>
            </w:r>
          </w:p>
        </w:tc>
        <w:tc>
          <w:tcPr>
            <w:tcW w:w="1619" w:type="dxa"/>
            <w:tcBorders>
              <w:top w:val="single" w:sz="4" w:space="0" w:color="000000"/>
              <w:left w:val="single" w:sz="10" w:space="0" w:color="C7EBCC"/>
              <w:bottom w:val="single" w:sz="4" w:space="0" w:color="000000"/>
              <w:right w:val="single" w:sz="10" w:space="0" w:color="C7EBCC"/>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1,030,000.00</w:t>
            </w:r>
          </w:p>
        </w:tc>
        <w:tc>
          <w:tcPr>
            <w:tcW w:w="1582"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51,500.00</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8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招标保证金</w:t>
            </w:r>
          </w:p>
        </w:tc>
        <w:tc>
          <w:tcPr>
            <w:tcW w:w="1619" w:type="dxa"/>
            <w:tcBorders>
              <w:top w:val="single" w:sz="4" w:space="0" w:color="000000"/>
              <w:left w:val="single" w:sz="10" w:space="0" w:color="C7EBCC"/>
              <w:bottom w:val="single" w:sz="4" w:space="0" w:color="000000"/>
              <w:right w:val="single" w:sz="10" w:space="0" w:color="C7EBCC"/>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600,000.00</w:t>
            </w:r>
          </w:p>
        </w:tc>
        <w:tc>
          <w:tcPr>
            <w:tcW w:w="1582"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61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10,625,484.80</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60.73%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295,401.90</w:t>
            </w:r>
          </w:p>
        </w:tc>
      </w:tr>
    </w:tbl>
    <w:p>
      <w:pPr>
        <w:spacing w:line="240" w:lineRule="auto" w:before="3"/>
        <w:rPr>
          <w:rFonts w:ascii="宋体" w:hAnsi="宋体" w:cs="宋体" w:eastAsia="宋体" w:hint="default"/>
          <w:sz w:val="19"/>
          <w:szCs w:val="19"/>
        </w:rPr>
      </w:pPr>
    </w:p>
    <w:p>
      <w:pPr>
        <w:pStyle w:val="Heading3"/>
        <w:spacing w:line="240" w:lineRule="auto" w:before="36"/>
        <w:ind w:right="146"/>
        <w:jc w:val="left"/>
        <w:rPr>
          <w:b w:val="0"/>
          <w:bCs w:val="0"/>
        </w:rPr>
      </w:pPr>
      <w:r>
        <w:rPr/>
        <w:t>（</w:t>
      </w:r>
      <w:r>
        <w:rPr>
          <w:rFonts w:ascii="Times New Roman" w:hAnsi="Times New Roman" w:cs="Times New Roman" w:eastAsia="Times New Roman" w:hint="default"/>
        </w:rPr>
        <w:t>6</w:t>
      </w:r>
      <w:r>
        <w:rPr/>
        <w:t>）本报告期无涉及政府补助的应收款项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6"/>
        <w:jc w:val="left"/>
        <w:rPr>
          <w:b w:val="0"/>
          <w:bCs w:val="0"/>
        </w:rPr>
      </w:pPr>
      <w:r>
        <w:rPr/>
        <w:t>（</w:t>
      </w:r>
      <w:r>
        <w:rPr>
          <w:rFonts w:ascii="Times New Roman" w:hAnsi="Times New Roman" w:cs="Times New Roman" w:eastAsia="Times New Roman" w:hint="default"/>
        </w:rPr>
        <w:t>7</w:t>
      </w:r>
      <w:r>
        <w:rPr/>
        <w:t>）本报告期无因金融资产转移而终止确认的其他应收款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46"/>
        <w:jc w:val="left"/>
        <w:rPr>
          <w:b w:val="0"/>
          <w:bCs w:val="0"/>
        </w:rPr>
      </w:pPr>
      <w:r>
        <w:rPr/>
        <w:t>（</w:t>
      </w:r>
      <w:r>
        <w:rPr>
          <w:rFonts w:ascii="Times New Roman" w:hAnsi="Times New Roman" w:cs="Times New Roman" w:eastAsia="Times New Roman" w:hint="default"/>
        </w:rPr>
        <w:t>8</w:t>
      </w:r>
      <w:r>
        <w:rPr/>
        <w:t>）本报告期无转移其他应收款且继续涉入形成的资产、负债金额</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6"/>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6"/>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68"/>
        <w:gridCol w:w="1357"/>
        <w:gridCol w:w="1368"/>
        <w:gridCol w:w="1367"/>
        <w:gridCol w:w="1367"/>
        <w:gridCol w:w="1366"/>
        <w:gridCol w:w="135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0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1"/>
              <w:jc w:val="center"/>
              <w:rPr>
                <w:rFonts w:ascii="宋体" w:hAnsi="宋体" w:cs="宋体" w:eastAsia="宋体" w:hint="default"/>
                <w:sz w:val="18"/>
                <w:szCs w:val="18"/>
              </w:rPr>
            </w:pPr>
            <w:r>
              <w:rPr>
                <w:rFonts w:ascii="宋体" w:hAnsi="宋体" w:cs="宋体" w:eastAsia="宋体" w:hint="default"/>
                <w:sz w:val="18"/>
                <w:szCs w:val="18"/>
              </w:rPr>
              <w:t>项目</w:t>
            </w:r>
          </w:p>
        </w:tc>
        <w:tc>
          <w:tcPr>
            <w:tcW w:w="4092" w:type="dxa"/>
            <w:gridSpan w:val="3"/>
            <w:vMerge/>
            <w:tcBorders>
              <w:left w:val="single" w:sz="4" w:space="0" w:color="000000"/>
              <w:bottom w:val="single" w:sz="4" w:space="0" w:color="000000"/>
              <w:right w:val="single" w:sz="4" w:space="0" w:color="000000"/>
            </w:tcBorders>
            <w:shd w:val="clear" w:color="auto" w:fill="D2D2D2"/>
          </w:tcPr>
          <w:p>
            <w:pPr/>
          </w:p>
        </w:tc>
        <w:tc>
          <w:tcPr>
            <w:tcW w:w="4090"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5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5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138,832,348.82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102,329.97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138,730,018.85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7" w:right="0"/>
              <w:jc w:val="left"/>
              <w:rPr>
                <w:rFonts w:ascii="Times New Roman" w:hAnsi="Times New Roman" w:cs="Times New Roman" w:eastAsia="Times New Roman" w:hint="default"/>
                <w:sz w:val="18"/>
                <w:szCs w:val="18"/>
              </w:rPr>
            </w:pPr>
            <w:r>
              <w:rPr>
                <w:rFonts w:ascii="Times New Roman"/>
                <w:sz w:val="18"/>
              </w:rPr>
              <w:t>127,756,694.36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189,090.45</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127,567,603.91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16,753,832.11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16,753,832.11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15,775,934.79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15,775,934.79</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17,351,994.65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4,008,888.66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13,343,105.99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21,854,338.94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1,022,621.32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20,831,717.62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辅助材料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460,281.90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460,240.32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148,146.42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147,381.03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5,601,539.26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1,006.99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5,600,532.27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8,477,451.15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11,188.41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8,466,262.74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97,191,904.67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97,191,904.67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82,361,427.06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8,228.81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82,353,198.25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276,191,901.41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4,112,267.20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272,079,634.21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256,373,992.72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1,231,894.38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255,142,098.34</w:t>
            </w:r>
          </w:p>
        </w:tc>
      </w:tr>
    </w:tbl>
    <w:p>
      <w:pPr>
        <w:spacing w:line="240" w:lineRule="auto" w:before="3"/>
        <w:rPr>
          <w:rFonts w:ascii="宋体" w:hAnsi="宋体" w:cs="宋体" w:eastAsia="宋体" w:hint="default"/>
          <w:sz w:val="19"/>
          <w:szCs w:val="19"/>
        </w:rPr>
      </w:pPr>
    </w:p>
    <w:p>
      <w:pPr>
        <w:pStyle w:val="Heading3"/>
        <w:spacing w:line="240" w:lineRule="auto" w:before="36"/>
        <w:ind w:right="146"/>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189,090.45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102,329.97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189,090.45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102,329.97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1,022,621.32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4,008,888.66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1,022,621.32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4,008,888.66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辅助材料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765.39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41.58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765.39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41.58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11,188.41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1,006.99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11,188.41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1,006.99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8,228.81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8,228.81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1,231,894.38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4,112,267.20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1,231,894.38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4,112,267.20</w:t>
            </w:r>
          </w:p>
        </w:tc>
      </w:tr>
    </w:tbl>
    <w:p>
      <w:pPr>
        <w:pStyle w:val="BodyText"/>
        <w:spacing w:line="316" w:lineRule="auto" w:before="8"/>
        <w:ind w:right="146" w:firstLine="360"/>
        <w:jc w:val="left"/>
      </w:pPr>
      <w:r>
        <w:rPr>
          <w:spacing w:val="-2"/>
        </w:rPr>
        <w:t>计提存货跌价准备的依据：超库龄存货计提跌价准备，周转超过一年的存货按账面价值与可变现净值孰低的原则计提跌</w:t>
      </w:r>
      <w:r>
        <w:rPr/>
        <w:t> 价准备；产成品的成本明显高于可变现净值，按账面价值与市场公允价值减去相关费用后金额孰低的原则计提跌价准备。</w:t>
      </w:r>
    </w:p>
    <w:p>
      <w:pPr>
        <w:spacing w:line="240" w:lineRule="auto" w:before="11"/>
        <w:rPr>
          <w:rFonts w:ascii="宋体" w:hAnsi="宋体" w:cs="宋体" w:eastAsia="宋体" w:hint="default"/>
          <w:sz w:val="22"/>
          <w:szCs w:val="22"/>
        </w:rPr>
      </w:pPr>
    </w:p>
    <w:p>
      <w:pPr>
        <w:pStyle w:val="Heading3"/>
        <w:spacing w:line="240" w:lineRule="auto"/>
        <w:ind w:right="146"/>
        <w:jc w:val="left"/>
        <w:rPr>
          <w:b w:val="0"/>
          <w:bCs w:val="0"/>
        </w:rPr>
      </w:pPr>
      <w:r>
        <w:rPr/>
        <w:t>（</w:t>
      </w:r>
      <w:r>
        <w:rPr>
          <w:rFonts w:ascii="Times New Roman" w:hAnsi="Times New Roman" w:cs="Times New Roman" w:eastAsia="Times New Roman" w:hint="default"/>
        </w:rPr>
        <w:t>3</w:t>
      </w:r>
      <w:r>
        <w:rPr/>
        <w:t>）本报告期无计入存货期末余额含有借款费用资本化金额的说明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46"/>
        <w:jc w:val="left"/>
        <w:rPr>
          <w:b w:val="0"/>
          <w:bCs w:val="0"/>
        </w:rPr>
      </w:pPr>
      <w:r>
        <w:rPr/>
        <w:t>（</w:t>
      </w:r>
      <w:r>
        <w:rPr>
          <w:rFonts w:ascii="Times New Roman" w:hAnsi="Times New Roman" w:cs="Times New Roman" w:eastAsia="Times New Roman" w:hint="default"/>
        </w:rPr>
        <w:t>4</w:t>
      </w:r>
      <w:r>
        <w:rPr/>
        <w:t>）本报告期无期末建造合同形成的已完工未结算资产情况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6"/>
        <w:jc w:val="left"/>
        <w:rPr>
          <w:b w:val="0"/>
          <w:bCs w:val="0"/>
        </w:rPr>
      </w:pPr>
      <w:r>
        <w:rPr>
          <w:rFonts w:ascii="Times New Roman" w:hAnsi="Times New Roman" w:cs="Times New Roman" w:eastAsia="Times New Roman" w:hint="default"/>
        </w:rPr>
        <w:t>8</w:t>
      </w:r>
      <w:r>
        <w:rPr/>
        <w:t>、一年内到期的非流动资产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一年内到期的长期应收款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65,155,184.11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52,285,122.41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65,155,184.11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52,285,122.41</w:t>
            </w:r>
          </w:p>
        </w:tc>
      </w:tr>
    </w:tbl>
    <w:p>
      <w:pPr>
        <w:spacing w:line="240" w:lineRule="auto" w:before="3"/>
        <w:rPr>
          <w:rFonts w:ascii="宋体" w:hAnsi="宋体" w:cs="宋体" w:eastAsia="宋体" w:hint="default"/>
          <w:sz w:val="19"/>
          <w:szCs w:val="19"/>
        </w:rPr>
      </w:pPr>
    </w:p>
    <w:p>
      <w:pPr>
        <w:pStyle w:val="Heading3"/>
        <w:spacing w:line="240" w:lineRule="auto" w:before="36"/>
        <w:ind w:right="146"/>
        <w:jc w:val="left"/>
        <w:rPr>
          <w:b w:val="0"/>
          <w:bCs w:val="0"/>
        </w:rPr>
      </w:pPr>
      <w:r>
        <w:rPr>
          <w:rFonts w:ascii="Times New Roman" w:hAnsi="Times New Roman" w:cs="Times New Roman" w:eastAsia="Times New Roman" w:hint="default"/>
        </w:rPr>
        <w:t>9</w:t>
      </w:r>
      <w:r>
        <w:rPr/>
        <w:t>、其他流动资产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预缴税金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2,607,681.29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2,607,681.29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0"/>
          <w:pgSz w:w="11910" w:h="16840"/>
          <w:pgMar w:footer="980" w:header="745"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left="532" w:right="814"/>
        <w:jc w:val="left"/>
        <w:rPr>
          <w:b w:val="0"/>
          <w:bCs w:val="0"/>
        </w:rPr>
      </w:pPr>
      <w:r>
        <w:rPr>
          <w:rFonts w:ascii="Times New Roman" w:hAnsi="Times New Roman" w:cs="Times New Roman" w:eastAsia="Times New Roman" w:hint="default"/>
        </w:rPr>
        <w:t>10</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532" w:right="814"/>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5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540" w:type="dxa"/>
        <w:tblLayout w:type="fixed"/>
        <w:tblCellMar>
          <w:top w:w="0" w:type="dxa"/>
          <w:left w:w="0" w:type="dxa"/>
          <w:bottom w:w="0" w:type="dxa"/>
          <w:right w:w="0" w:type="dxa"/>
        </w:tblCellMar>
        <w:tblLook w:val="01E0"/>
      </w:tblPr>
      <w:tblGrid>
        <w:gridCol w:w="1977"/>
        <w:gridCol w:w="1207"/>
        <w:gridCol w:w="1198"/>
        <w:gridCol w:w="1196"/>
        <w:gridCol w:w="1248"/>
        <w:gridCol w:w="1369"/>
        <w:gridCol w:w="1366"/>
      </w:tblGrid>
      <w:tr>
        <w:trPr>
          <w:trHeight w:val="206" w:hRule="exact"/>
        </w:trPr>
        <w:tc>
          <w:tcPr>
            <w:tcW w:w="19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6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9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00"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77"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9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33,851,000.00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33,851,000.00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93,363,236.40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93,363,236.40</w:t>
            </w:r>
          </w:p>
        </w:tc>
      </w:tr>
      <w:tr>
        <w:trPr>
          <w:trHeight w:val="403"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58,503,236.40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58,503,236.40</w:t>
            </w:r>
          </w:p>
        </w:tc>
      </w:tr>
      <w:tr>
        <w:trPr>
          <w:trHeight w:val="401"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33,851,000.00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33,851,000.00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34,860,000.00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34,860,000.00</w:t>
            </w:r>
          </w:p>
        </w:tc>
      </w:tr>
      <w:tr>
        <w:trPr>
          <w:trHeight w:val="403"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33,851,000.00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33,851,000.00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93,363,236.40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93,363,236.40</w:t>
            </w:r>
          </w:p>
        </w:tc>
      </w:tr>
    </w:tbl>
    <w:p>
      <w:pPr>
        <w:spacing w:line="240" w:lineRule="auto" w:before="3"/>
        <w:rPr>
          <w:rFonts w:ascii="宋体" w:hAnsi="宋体" w:cs="宋体" w:eastAsia="宋体" w:hint="default"/>
          <w:sz w:val="19"/>
          <w:szCs w:val="19"/>
        </w:rPr>
      </w:pPr>
    </w:p>
    <w:p>
      <w:pPr>
        <w:pStyle w:val="Heading3"/>
        <w:spacing w:line="240" w:lineRule="auto" w:before="36"/>
        <w:ind w:left="532" w:right="814"/>
        <w:jc w:val="left"/>
        <w:rPr>
          <w:b w:val="0"/>
          <w:bCs w:val="0"/>
        </w:rPr>
      </w:pPr>
      <w:r>
        <w:rPr/>
        <w:t>（</w:t>
      </w:r>
      <w:r>
        <w:rPr>
          <w:rFonts w:ascii="Times New Roman" w:hAnsi="Times New Roman" w:cs="Times New Roman" w:eastAsia="Times New Roman" w:hint="default"/>
        </w:rPr>
        <w:t>2</w:t>
      </w:r>
      <w:r>
        <w:rPr/>
        <w:t>）本报告期无期末按公允价值计量的可供出售金融资产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532" w:right="814"/>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5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290"/>
        <w:gridCol w:w="1262"/>
        <w:gridCol w:w="994"/>
        <w:gridCol w:w="1133"/>
        <w:gridCol w:w="1277"/>
        <w:gridCol w:w="566"/>
        <w:gridCol w:w="850"/>
        <w:gridCol w:w="853"/>
        <w:gridCol w:w="425"/>
        <w:gridCol w:w="991"/>
        <w:gridCol w:w="852"/>
      </w:tblGrid>
      <w:tr>
        <w:trPr>
          <w:trHeight w:val="401" w:hRule="exact"/>
        </w:trPr>
        <w:tc>
          <w:tcPr>
            <w:tcW w:w="12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9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466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6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40" w:right="38"/>
              <w:jc w:val="left"/>
              <w:rPr>
                <w:rFonts w:ascii="宋体" w:hAnsi="宋体" w:cs="宋体" w:eastAsia="宋体" w:hint="default"/>
                <w:sz w:val="18"/>
                <w:szCs w:val="18"/>
              </w:rPr>
            </w:pPr>
            <w:r>
              <w:rPr>
                <w:rFonts w:ascii="宋体" w:hAnsi="宋体" w:cs="宋体" w:eastAsia="宋体" w:hint="default"/>
                <w:sz w:val="18"/>
                <w:szCs w:val="18"/>
              </w:rPr>
              <w:t>在被投资单 位持股比例</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240" w:right="60"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403" w:hRule="exact"/>
        </w:trPr>
        <w:tc>
          <w:tcPr>
            <w:tcW w:w="1290" w:type="dxa"/>
            <w:vMerge/>
            <w:tcBorders>
              <w:left w:val="single" w:sz="4" w:space="0" w:color="000000"/>
              <w:bottom w:val="single" w:sz="4" w:space="0" w:color="000000"/>
              <w:right w:val="single" w:sz="4" w:space="0" w:color="000000"/>
            </w:tcBorders>
            <w:shd w:val="clear" w:color="auto" w:fill="D2D2D2"/>
          </w:tcPr>
          <w:p>
            <w:pPr/>
          </w:p>
        </w:tc>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991"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29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25" w:right="173"/>
              <w:jc w:val="both"/>
              <w:rPr>
                <w:rFonts w:ascii="宋体" w:hAnsi="宋体" w:cs="宋体" w:eastAsia="宋体" w:hint="default"/>
                <w:sz w:val="18"/>
                <w:szCs w:val="18"/>
              </w:rPr>
            </w:pPr>
            <w:r>
              <w:rPr>
                <w:rFonts w:ascii="宋体" w:hAnsi="宋体" w:cs="宋体" w:eastAsia="宋体" w:hint="default"/>
                <w:sz w:val="18"/>
                <w:szCs w:val="18"/>
              </w:rPr>
              <w:t>广州农村商业 银行股份有限 公司</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15,225.00</w:t>
            </w:r>
          </w:p>
        </w:tc>
      </w:tr>
      <w:tr>
        <w:trPr>
          <w:trHeight w:val="716" w:hRule="exact"/>
        </w:trPr>
        <w:tc>
          <w:tcPr>
            <w:tcW w:w="129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9" w:lineRule="auto" w:before="49"/>
              <w:ind w:left="25" w:right="173"/>
              <w:jc w:val="left"/>
              <w:rPr>
                <w:rFonts w:ascii="宋体" w:hAnsi="宋体" w:cs="宋体" w:eastAsia="宋体" w:hint="default"/>
                <w:sz w:val="18"/>
                <w:szCs w:val="18"/>
              </w:rPr>
            </w:pPr>
            <w:r>
              <w:rPr>
                <w:rFonts w:ascii="宋体" w:hAnsi="宋体" w:cs="宋体" w:eastAsia="宋体" w:hint="default"/>
                <w:sz w:val="18"/>
                <w:szCs w:val="18"/>
              </w:rPr>
              <w:t>上海博科资讯 股份有限公司</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267,000.00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1,276,000.00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8,791,000.00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9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25" w:right="173"/>
              <w:jc w:val="both"/>
              <w:rPr>
                <w:rFonts w:ascii="宋体" w:hAnsi="宋体" w:cs="宋体" w:eastAsia="宋体" w:hint="default"/>
                <w:sz w:val="18"/>
                <w:szCs w:val="18"/>
              </w:rPr>
            </w:pPr>
            <w:r>
              <w:rPr>
                <w:rFonts w:ascii="宋体" w:hAnsi="宋体" w:cs="宋体" w:eastAsia="宋体" w:hint="default"/>
                <w:sz w:val="18"/>
                <w:szCs w:val="18"/>
              </w:rPr>
              <w:t>广州花都稠州 村镇银行股份 有限公司</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10.00%</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34,860,000.00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267,000.00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 w:right="0"/>
              <w:jc w:val="left"/>
              <w:rPr>
                <w:rFonts w:ascii="Times New Roman" w:hAnsi="Times New Roman" w:cs="Times New Roman" w:eastAsia="Times New Roman" w:hint="default"/>
                <w:sz w:val="18"/>
                <w:szCs w:val="18"/>
              </w:rPr>
            </w:pPr>
            <w:r>
              <w:rPr>
                <w:rFonts w:ascii="Times New Roman"/>
                <w:sz w:val="18"/>
              </w:rPr>
              <w:t>1,276,000.00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33,851,000.00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15,225.00</w:t>
            </w:r>
          </w:p>
        </w:tc>
      </w:tr>
    </w:tbl>
    <w:p>
      <w:pPr>
        <w:spacing w:line="240" w:lineRule="auto" w:before="3"/>
        <w:rPr>
          <w:rFonts w:ascii="宋体" w:hAnsi="宋体" w:cs="宋体" w:eastAsia="宋体" w:hint="default"/>
          <w:sz w:val="19"/>
          <w:szCs w:val="19"/>
        </w:rPr>
      </w:pPr>
    </w:p>
    <w:p>
      <w:pPr>
        <w:pStyle w:val="Heading3"/>
        <w:spacing w:line="240" w:lineRule="auto" w:before="36"/>
        <w:ind w:left="532" w:right="814"/>
        <w:jc w:val="left"/>
        <w:rPr>
          <w:b w:val="0"/>
          <w:bCs w:val="0"/>
        </w:rPr>
      </w:pPr>
      <w:r>
        <w:rPr/>
        <w:t>（</w:t>
      </w:r>
      <w:r>
        <w:rPr>
          <w:rFonts w:ascii="Times New Roman" w:hAnsi="Times New Roman" w:cs="Times New Roman" w:eastAsia="Times New Roman" w:hint="default"/>
        </w:rPr>
        <w:t>4</w:t>
      </w:r>
      <w:r>
        <w:rPr/>
        <w:t>）报告期内无可供出售金融资产减值的变动情况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532" w:right="544"/>
        <w:jc w:val="left"/>
        <w:rPr>
          <w:b w:val="0"/>
          <w:bCs w:val="0"/>
        </w:rPr>
      </w:pPr>
      <w:r>
        <w:rPr/>
        <w:t>（</w:t>
      </w:r>
      <w:r>
        <w:rPr>
          <w:rFonts w:ascii="Times New Roman" w:hAnsi="Times New Roman" w:cs="Times New Roman" w:eastAsia="Times New Roman" w:hint="default"/>
        </w:rPr>
        <w:t>5</w:t>
      </w:r>
      <w:r>
        <w:rPr/>
        <w:t>）本报告期无可供出售权益工具期末公允价值严重下跌或非暂时性下跌但未计提减值准备的相关说明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532" w:right="814"/>
        <w:jc w:val="left"/>
        <w:rPr>
          <w:b w:val="0"/>
          <w:bCs w:val="0"/>
        </w:rPr>
      </w:pPr>
      <w:r>
        <w:rPr>
          <w:rFonts w:ascii="Times New Roman" w:hAnsi="Times New Roman" w:cs="Times New Roman" w:eastAsia="Times New Roman" w:hint="default"/>
        </w:rPr>
        <w:t>11</w:t>
      </w:r>
      <w:r>
        <w:rPr/>
        <w:t>、长期应收款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532" w:right="814"/>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5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2836"/>
        <w:gridCol w:w="1277"/>
        <w:gridCol w:w="850"/>
        <w:gridCol w:w="1277"/>
        <w:gridCol w:w="1274"/>
        <w:gridCol w:w="853"/>
        <w:gridCol w:w="1274"/>
        <w:gridCol w:w="710"/>
      </w:tblGrid>
      <w:tr>
        <w:trPr>
          <w:trHeight w:val="401" w:hRule="exact"/>
        </w:trPr>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170" w:right="79" w:hanging="92"/>
              <w:jc w:val="left"/>
              <w:rPr>
                <w:rFonts w:ascii="宋体" w:hAnsi="宋体" w:cs="宋体" w:eastAsia="宋体" w:hint="default"/>
                <w:sz w:val="18"/>
                <w:szCs w:val="18"/>
              </w:rPr>
            </w:pPr>
            <w:r>
              <w:rPr>
                <w:rFonts w:ascii="宋体" w:hAnsi="宋体" w:cs="宋体" w:eastAsia="宋体" w:hint="default"/>
                <w:sz w:val="18"/>
                <w:szCs w:val="18"/>
              </w:rPr>
              <w:t>折现率 区间</w:t>
            </w:r>
          </w:p>
        </w:tc>
      </w:tr>
      <w:tr>
        <w:trPr>
          <w:trHeight w:val="40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10" w:type="dxa"/>
            <w:vMerge/>
            <w:tcBorders>
              <w:left w:val="single" w:sz="4" w:space="0" w:color="000000"/>
              <w:bottom w:val="single" w:sz="4" w:space="0" w:color="000000"/>
              <w:right w:val="single" w:sz="4" w:space="0" w:color="000000"/>
            </w:tcBorders>
            <w:shd w:val="clear" w:color="auto" w:fill="D2D2D2"/>
          </w:tcPr>
          <w:p>
            <w:pPr/>
          </w:p>
        </w:tc>
      </w:tr>
    </w:tbl>
    <w:p>
      <w:pPr>
        <w:spacing w:after="0"/>
        <w:sectPr>
          <w:footerReference w:type="default" r:id="rId21"/>
          <w:pgSz w:w="11910" w:h="16840"/>
          <w:pgMar w:footer="980" w:header="745" w:top="1060" w:bottom="1160" w:left="600" w:right="580"/>
          <w:pgNumType w:start="101"/>
        </w:sectPr>
      </w:pPr>
    </w:p>
    <w:p>
      <w:pPr>
        <w:spacing w:line="240" w:lineRule="auto" w:before="6"/>
        <w:rPr>
          <w:rFonts w:ascii="宋体" w:hAnsi="宋体" w:cs="宋体" w:eastAsia="宋体"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2837"/>
        <w:gridCol w:w="1277"/>
        <w:gridCol w:w="850"/>
        <w:gridCol w:w="1277"/>
        <w:gridCol w:w="1274"/>
        <w:gridCol w:w="853"/>
        <w:gridCol w:w="1286"/>
        <w:gridCol w:w="698"/>
      </w:tblGrid>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270,637,959.45</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270,637,959.45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216,897,683.84</w:t>
            </w:r>
          </w:p>
        </w:tc>
        <w:tc>
          <w:tcPr>
            <w:tcW w:w="853"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13" w:space="0" w:color="C7EBCC"/>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216,897,683.84</w:t>
            </w:r>
          </w:p>
        </w:tc>
        <w:tc>
          <w:tcPr>
            <w:tcW w:w="69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10%</w:t>
            </w:r>
          </w:p>
        </w:tc>
      </w:tr>
      <w:tr>
        <w:trPr>
          <w:trHeight w:val="404"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6" w:right="0"/>
              <w:jc w:val="left"/>
              <w:rPr>
                <w:rFonts w:ascii="宋体" w:hAnsi="宋体" w:cs="宋体" w:eastAsia="宋体" w:hint="default"/>
                <w:sz w:val="18"/>
                <w:szCs w:val="18"/>
              </w:rPr>
            </w:pPr>
            <w:r>
              <w:rPr>
                <w:rFonts w:ascii="宋体" w:hAnsi="宋体" w:cs="宋体" w:eastAsia="宋体" w:hint="default"/>
                <w:sz w:val="18"/>
                <w:szCs w:val="18"/>
              </w:rPr>
              <w:t>其中：未实现融资收益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105,518,488.69</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3" w:right="0"/>
              <w:jc w:val="center"/>
              <w:rPr>
                <w:rFonts w:ascii="Times New Roman" w:hAnsi="Times New Roman" w:cs="Times New Roman" w:eastAsia="Times New Roman" w:hint="default"/>
                <w:sz w:val="18"/>
                <w:szCs w:val="18"/>
              </w:rPr>
            </w:pPr>
            <w:r>
              <w:rPr>
                <w:rFonts w:ascii="Times New Roman"/>
                <w:sz w:val="18"/>
              </w:rPr>
              <w:t>105,518,488.69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87" w:right="0"/>
              <w:jc w:val="center"/>
              <w:rPr>
                <w:rFonts w:ascii="Times New Roman" w:hAnsi="Times New Roman" w:cs="Times New Roman" w:eastAsia="Times New Roman" w:hint="default"/>
                <w:sz w:val="18"/>
                <w:szCs w:val="18"/>
              </w:rPr>
            </w:pPr>
            <w:r>
              <w:rPr>
                <w:rFonts w:ascii="Times New Roman"/>
                <w:sz w:val="18"/>
              </w:rPr>
              <w:t>87,130,132.91</w:t>
            </w:r>
          </w:p>
        </w:tc>
        <w:tc>
          <w:tcPr>
            <w:tcW w:w="853"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13" w:space="0" w:color="C7EBCC"/>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87,130,132.91</w:t>
            </w:r>
          </w:p>
        </w:tc>
        <w:tc>
          <w:tcPr>
            <w:tcW w:w="698" w:type="dxa"/>
            <w:tcBorders>
              <w:top w:val="single" w:sz="4" w:space="0" w:color="000000"/>
              <w:left w:val="single" w:sz="4" w:space="0" w:color="000000"/>
              <w:bottom w:val="single" w:sz="4" w:space="0" w:color="000000"/>
              <w:right w:val="single" w:sz="4" w:space="0" w:color="000000"/>
            </w:tcBorders>
            <w:shd w:val="clear" w:color="auto" w:fill="C7EBCC"/>
          </w:tcPr>
          <w:p>
            <w:pP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重分类至一年内到期的非流动资产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-65,155,184.11</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 w:right="0"/>
              <w:jc w:val="center"/>
              <w:rPr>
                <w:rFonts w:ascii="Times New Roman" w:hAnsi="Times New Roman" w:cs="Times New Roman" w:eastAsia="Times New Roman" w:hint="default"/>
                <w:sz w:val="18"/>
                <w:szCs w:val="18"/>
              </w:rPr>
            </w:pPr>
            <w:r>
              <w:rPr>
                <w:rFonts w:ascii="Times New Roman"/>
                <w:sz w:val="18"/>
              </w:rPr>
              <w:t>-65,155,184.11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center"/>
              <w:rPr>
                <w:rFonts w:ascii="Times New Roman" w:hAnsi="Times New Roman" w:cs="Times New Roman" w:eastAsia="Times New Roman" w:hint="default"/>
                <w:sz w:val="18"/>
                <w:szCs w:val="18"/>
              </w:rPr>
            </w:pPr>
            <w:r>
              <w:rPr>
                <w:rFonts w:ascii="Times New Roman"/>
                <w:sz w:val="18"/>
              </w:rPr>
              <w:t>-52,285,122.41</w:t>
            </w:r>
          </w:p>
        </w:tc>
        <w:tc>
          <w:tcPr>
            <w:tcW w:w="853"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13" w:space="0" w:color="C7EBCC"/>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-52,285,122.41</w:t>
            </w:r>
          </w:p>
        </w:tc>
        <w:tc>
          <w:tcPr>
            <w:tcW w:w="698" w:type="dxa"/>
            <w:tcBorders>
              <w:top w:val="single" w:sz="4" w:space="0" w:color="000000"/>
              <w:left w:val="single" w:sz="4" w:space="0" w:color="000000"/>
              <w:bottom w:val="single" w:sz="4" w:space="0" w:color="000000"/>
              <w:right w:val="single" w:sz="4" w:space="0" w:color="000000"/>
            </w:tcBorders>
            <w:shd w:val="clear" w:color="auto" w:fill="C7EBCC"/>
          </w:tcPr>
          <w:p>
            <w:pP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205,482,775.34</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center"/>
              <w:rPr>
                <w:rFonts w:ascii="Times New Roman" w:hAnsi="Times New Roman" w:cs="Times New Roman" w:eastAsia="Times New Roman" w:hint="default"/>
                <w:sz w:val="18"/>
                <w:szCs w:val="18"/>
              </w:rPr>
            </w:pPr>
            <w:r>
              <w:rPr>
                <w:rFonts w:ascii="Times New Roman"/>
                <w:sz w:val="18"/>
              </w:rPr>
              <w:t>205,482,775.34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5" w:right="0"/>
              <w:jc w:val="center"/>
              <w:rPr>
                <w:rFonts w:ascii="Times New Roman" w:hAnsi="Times New Roman" w:cs="Times New Roman" w:eastAsia="Times New Roman" w:hint="default"/>
                <w:sz w:val="18"/>
                <w:szCs w:val="18"/>
              </w:rPr>
            </w:pPr>
            <w:r>
              <w:rPr>
                <w:rFonts w:ascii="Times New Roman"/>
                <w:sz w:val="18"/>
              </w:rPr>
              <w:t>164,612,561.43</w:t>
            </w:r>
          </w:p>
        </w:tc>
        <w:tc>
          <w:tcPr>
            <w:tcW w:w="853"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164,612,561.43</w:t>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left="532" w:right="454"/>
        <w:jc w:val="left"/>
        <w:rPr>
          <w:b w:val="0"/>
          <w:bCs w:val="0"/>
        </w:rPr>
      </w:pPr>
      <w:r>
        <w:rPr/>
        <w:t>（</w:t>
      </w:r>
      <w:r>
        <w:rPr>
          <w:rFonts w:ascii="Times New Roman" w:hAnsi="Times New Roman" w:cs="Times New Roman" w:eastAsia="Times New Roman" w:hint="default"/>
        </w:rPr>
        <w:t>2</w:t>
      </w:r>
      <w:r>
        <w:rPr/>
        <w:t>）本报告期无因金融资产转移而终止确认的长期应收款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532" w:right="454"/>
        <w:jc w:val="left"/>
        <w:rPr>
          <w:b w:val="0"/>
          <w:bCs w:val="0"/>
        </w:rPr>
      </w:pPr>
      <w:r>
        <w:rPr/>
        <w:t>（</w:t>
      </w:r>
      <w:r>
        <w:rPr>
          <w:rFonts w:ascii="Times New Roman" w:hAnsi="Times New Roman" w:cs="Times New Roman" w:eastAsia="Times New Roman" w:hint="default"/>
        </w:rPr>
        <w:t>3</w:t>
      </w:r>
      <w:r>
        <w:rPr/>
        <w:t>）本报告期无转移长期应收款且继续涉入形成的资产、负债金额</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532" w:right="5725"/>
        <w:jc w:val="left"/>
        <w:rPr>
          <w:b w:val="0"/>
          <w:bCs w:val="0"/>
        </w:rPr>
      </w:pPr>
      <w:r>
        <w:rPr>
          <w:rFonts w:ascii="Times New Roman" w:hAnsi="Times New Roman" w:cs="Times New Roman" w:eastAsia="Times New Roman" w:hint="default"/>
        </w:rPr>
        <w:t>12</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532" w:right="5725"/>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4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540" w:type="dxa"/>
        <w:tblLayout w:type="fixed"/>
        <w:tblCellMar>
          <w:top w:w="0" w:type="dxa"/>
          <w:left w:w="0" w:type="dxa"/>
          <w:bottom w:w="0" w:type="dxa"/>
          <w:right w:w="0" w:type="dxa"/>
        </w:tblCellMar>
        <w:tblLook w:val="01E0"/>
      </w:tblPr>
      <w:tblGrid>
        <w:gridCol w:w="2109"/>
        <w:gridCol w:w="1209"/>
        <w:gridCol w:w="1195"/>
        <w:gridCol w:w="1196"/>
        <w:gridCol w:w="1195"/>
        <w:gridCol w:w="1287"/>
        <w:gridCol w:w="1368"/>
      </w:tblGrid>
      <w:tr>
        <w:trPr>
          <w:trHeight w:val="401"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09"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121,519,958.41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12,623,515.37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512,696,289.89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22,723,612.36</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4,077,499.79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673,640,875.82</w:t>
            </w:r>
          </w:p>
        </w:tc>
      </w:tr>
      <w:tr>
        <w:trPr>
          <w:trHeight w:val="403"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9,903,716.42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1,681,666.73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19,003,407.46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1,811,363.88</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586,912.62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32,987,067.11</w:t>
            </w:r>
          </w:p>
        </w:tc>
      </w:tr>
      <w:tr>
        <w:trPr>
          <w:trHeight w:val="401"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1,681,666.73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1,811,363.88</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586,912.62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5,859,943.23</w:t>
            </w:r>
          </w:p>
        </w:tc>
      </w:tr>
      <w:tr>
        <w:trPr>
          <w:trHeight w:val="403"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2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8,123,716.42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19,003,407.46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27,127,123.88</w:t>
            </w:r>
          </w:p>
        </w:tc>
      </w:tr>
      <w:tr>
        <w:trPr>
          <w:trHeight w:val="401"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209"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9"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297,865.60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79,031,910.69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703,909.00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88,329.80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80,122,015.09</w:t>
            </w:r>
          </w:p>
        </w:tc>
      </w:tr>
      <w:tr>
        <w:trPr>
          <w:trHeight w:val="401"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09"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297,865.60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79,031,910.69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703,909.00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88,329.80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80,122,015.09</w:t>
            </w:r>
          </w:p>
        </w:tc>
      </w:tr>
      <w:tr>
        <w:trPr>
          <w:trHeight w:val="403"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131,423,674.83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14,007,316.50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452,667,786.66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23,831,067.24</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4,576,082.61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626,505,927.84</w:t>
            </w:r>
          </w:p>
        </w:tc>
      </w:tr>
      <w:tr>
        <w:trPr>
          <w:trHeight w:val="401"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209"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2,511,619.27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9,592,471.17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248,664,348.41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11,574,568.12</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2,859,951.69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275,202,958.66</w:t>
            </w:r>
          </w:p>
        </w:tc>
      </w:tr>
      <w:tr>
        <w:trPr>
          <w:trHeight w:val="401"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6,199,442.10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1,028,102.49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58,836,557.20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3,419,347.95</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539,642.79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70,023,092.53</w:t>
            </w:r>
          </w:p>
        </w:tc>
      </w:tr>
      <w:tr>
        <w:trPr>
          <w:trHeight w:val="403"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6,199,442.10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1,028,102.49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58,836,557.20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3,419,347.95</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539,642.79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70,023,092.53</w:t>
            </w:r>
          </w:p>
        </w:tc>
      </w:tr>
      <w:tr>
        <w:trPr>
          <w:trHeight w:val="401"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9"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280,328.17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52,727,121.46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668,713.55</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83,913.31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53,760,076.49</w:t>
            </w:r>
          </w:p>
        </w:tc>
      </w:tr>
      <w:tr>
        <w:trPr>
          <w:trHeight w:val="403"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09"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280,328.17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52,727,121.46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668,713.55</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83,913.31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53,760,076.49</w:t>
            </w:r>
          </w:p>
        </w:tc>
      </w:tr>
      <w:tr>
        <w:trPr>
          <w:trHeight w:val="401"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8,711,061.37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10,340,245.49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254,773,784.15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14,325,202.52</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3,315,681.17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291,465,974.70</w:t>
            </w:r>
          </w:p>
        </w:tc>
      </w:tr>
      <w:tr>
        <w:trPr>
          <w:trHeight w:val="404"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209"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9"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9"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09"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9"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600" w:right="720"/>
        </w:sectPr>
      </w:pPr>
    </w:p>
    <w:p>
      <w:pPr>
        <w:spacing w:line="240" w:lineRule="auto" w:before="6"/>
        <w:rPr>
          <w:rFonts w:ascii="宋体" w:hAnsi="宋体" w:cs="宋体" w:eastAsia="宋体" w:hint="default"/>
          <w:sz w:val="28"/>
          <w:szCs w:val="28"/>
        </w:rPr>
      </w:pPr>
    </w:p>
    <w:tbl>
      <w:tblPr>
        <w:tblW w:w="0" w:type="auto"/>
        <w:jc w:val="left"/>
        <w:tblInd w:w="669" w:type="dxa"/>
        <w:tblLayout w:type="fixed"/>
        <w:tblCellMar>
          <w:top w:w="0" w:type="dxa"/>
          <w:left w:w="0" w:type="dxa"/>
          <w:bottom w:w="0" w:type="dxa"/>
          <w:right w:w="0" w:type="dxa"/>
        </w:tblCellMar>
        <w:tblLook w:val="01E0"/>
      </w:tblPr>
      <w:tblGrid>
        <w:gridCol w:w="2120"/>
        <w:gridCol w:w="1209"/>
        <w:gridCol w:w="1195"/>
        <w:gridCol w:w="1196"/>
        <w:gridCol w:w="1195"/>
        <w:gridCol w:w="1287"/>
        <w:gridCol w:w="1368"/>
      </w:tblGrid>
      <w:tr>
        <w:trPr>
          <w:trHeight w:val="401" w:hRule="exact"/>
        </w:trPr>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09"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9"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09" w:type="dxa"/>
            <w:tcBorders>
              <w:top w:val="single" w:sz="4" w:space="0" w:color="000000"/>
              <w:left w:val="single" w:sz="10"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2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42" w:right="0"/>
              <w:jc w:val="left"/>
              <w:rPr>
                <w:rFonts w:ascii="Times New Roman" w:hAnsi="Times New Roman" w:cs="Times New Roman" w:eastAsia="Times New Roman" w:hint="default"/>
                <w:sz w:val="18"/>
                <w:szCs w:val="18"/>
              </w:rPr>
            </w:pPr>
            <w:r>
              <w:rPr>
                <w:rFonts w:ascii="Times New Roman"/>
                <w:sz w:val="18"/>
              </w:rPr>
              <w:t>122,712,613.46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3,667,071.01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197,894,002.51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6" w:right="0"/>
              <w:jc w:val="center"/>
              <w:rPr>
                <w:rFonts w:ascii="Times New Roman" w:hAnsi="Times New Roman" w:cs="Times New Roman" w:eastAsia="Times New Roman" w:hint="default"/>
                <w:sz w:val="18"/>
                <w:szCs w:val="18"/>
              </w:rPr>
            </w:pPr>
            <w:r>
              <w:rPr>
                <w:rFonts w:ascii="Times New Roman"/>
                <w:sz w:val="18"/>
              </w:rPr>
              <w:t>9,505,864.72</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1,260,401.44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335,039,953.14</w:t>
            </w:r>
          </w:p>
        </w:tc>
      </w:tr>
      <w:tr>
        <w:trPr>
          <w:trHeight w:val="403" w:hRule="exact"/>
        </w:trPr>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2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119,008,339.14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3,031,044.20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264,031,941.48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center"/>
              <w:rPr>
                <w:rFonts w:ascii="Times New Roman" w:hAnsi="Times New Roman" w:cs="Times New Roman" w:eastAsia="Times New Roman" w:hint="default"/>
                <w:sz w:val="18"/>
                <w:szCs w:val="18"/>
              </w:rPr>
            </w:pPr>
            <w:r>
              <w:rPr>
                <w:rFonts w:ascii="Times New Roman"/>
                <w:sz w:val="18"/>
              </w:rPr>
              <w:t>11,149,044.24</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1,217,548.10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398,437,917.16</w:t>
            </w:r>
          </w:p>
        </w:tc>
      </w:tr>
    </w:tbl>
    <w:p>
      <w:pPr>
        <w:spacing w:line="240" w:lineRule="auto" w:before="3"/>
        <w:rPr>
          <w:rFonts w:ascii="宋体" w:hAnsi="宋体" w:cs="宋体" w:eastAsia="宋体" w:hint="default"/>
          <w:sz w:val="19"/>
          <w:szCs w:val="19"/>
        </w:rPr>
      </w:pPr>
    </w:p>
    <w:p>
      <w:pPr>
        <w:pStyle w:val="Heading3"/>
        <w:spacing w:line="240" w:lineRule="auto" w:before="36"/>
        <w:ind w:left="672" w:right="0"/>
        <w:jc w:val="left"/>
        <w:rPr>
          <w:b w:val="0"/>
          <w:bCs w:val="0"/>
        </w:rPr>
      </w:pPr>
      <w:r>
        <w:rPr/>
        <w:t>（</w:t>
      </w:r>
      <w:r>
        <w:rPr>
          <w:rFonts w:ascii="Times New Roman" w:hAnsi="Times New Roman" w:cs="Times New Roman" w:eastAsia="Times New Roman" w:hint="default"/>
        </w:rPr>
        <w:t>2</w:t>
      </w:r>
      <w:r>
        <w:rPr/>
        <w:t>）本报告期无暂时闲置的固定资产情况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672" w:right="0"/>
        <w:jc w:val="left"/>
        <w:rPr>
          <w:b w:val="0"/>
          <w:bCs w:val="0"/>
        </w:rPr>
      </w:pPr>
      <w:r>
        <w:rPr/>
        <w:t>（</w:t>
      </w:r>
      <w:r>
        <w:rPr>
          <w:rFonts w:ascii="Times New Roman" w:hAnsi="Times New Roman" w:cs="Times New Roman" w:eastAsia="Times New Roman" w:hint="default"/>
        </w:rPr>
        <w:t>3</w:t>
      </w:r>
      <w:r>
        <w:rPr/>
        <w:t>）本报告期无通过融资租赁租入的固定资产情况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672" w:right="0"/>
        <w:jc w:val="left"/>
        <w:rPr>
          <w:b w:val="0"/>
          <w:bCs w:val="0"/>
        </w:rPr>
      </w:pPr>
      <w:r>
        <w:rPr/>
        <w:t>（</w:t>
      </w:r>
      <w:r>
        <w:rPr>
          <w:rFonts w:ascii="Times New Roman" w:hAnsi="Times New Roman" w:cs="Times New Roman" w:eastAsia="Times New Roman" w:hint="default"/>
        </w:rPr>
        <w:t>4</w:t>
      </w:r>
      <w:r>
        <w:rPr/>
        <w:t>）本报告期无通过经营租赁租出的固定资产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672"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97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669" w:type="dxa"/>
        <w:tblLayout w:type="fixed"/>
        <w:tblCellMar>
          <w:top w:w="0" w:type="dxa"/>
          <w:left w:w="0" w:type="dxa"/>
          <w:bottom w:w="0" w:type="dxa"/>
          <w:right w:w="0" w:type="dxa"/>
        </w:tblCellMar>
        <w:tblLook w:val="01E0"/>
      </w:tblPr>
      <w:tblGrid>
        <w:gridCol w:w="3187"/>
        <w:gridCol w:w="3204"/>
        <w:gridCol w:w="3167"/>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76"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204" w:type="dxa"/>
            <w:tcBorders>
              <w:top w:val="single" w:sz="4" w:space="0" w:color="000000"/>
              <w:left w:val="single" w:sz="4" w:space="0" w:color="000000"/>
              <w:bottom w:val="single" w:sz="4" w:space="0" w:color="000000"/>
              <w:right w:val="single" w:sz="13" w:space="0" w:color="C7EBCC"/>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8,827,853.20</w:t>
            </w:r>
          </w:p>
        </w:tc>
        <w:tc>
          <w:tcPr>
            <w:tcW w:w="316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申请办理中</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204" w:type="dxa"/>
            <w:tcBorders>
              <w:top w:val="single" w:sz="4" w:space="0" w:color="000000"/>
              <w:left w:val="single" w:sz="4" w:space="0" w:color="000000"/>
              <w:bottom w:val="single" w:sz="4" w:space="0" w:color="000000"/>
              <w:right w:val="single" w:sz="13" w:space="0" w:color="C7EBCC"/>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8,827,853.20</w:t>
            </w:r>
          </w:p>
        </w:tc>
        <w:tc>
          <w:tcPr>
            <w:tcW w:w="3167" w:type="dxa"/>
            <w:tcBorders>
              <w:top w:val="single" w:sz="4" w:space="0" w:color="000000"/>
              <w:left w:val="single" w:sz="4" w:space="0" w:color="000000"/>
              <w:bottom w:val="single" w:sz="4" w:space="0" w:color="000000"/>
              <w:right w:val="single" w:sz="4" w:space="0" w:color="000000"/>
            </w:tcBorders>
            <w:shd w:val="clear" w:color="auto" w:fill="C7EBCC"/>
          </w:tcPr>
          <w:p>
            <w:pPr/>
          </w:p>
        </w:tc>
      </w:tr>
    </w:tbl>
    <w:p>
      <w:pPr>
        <w:spacing w:line="240" w:lineRule="auto" w:before="3"/>
        <w:rPr>
          <w:rFonts w:ascii="宋体" w:hAnsi="宋体" w:cs="宋体" w:eastAsia="宋体" w:hint="default"/>
          <w:sz w:val="19"/>
          <w:szCs w:val="19"/>
        </w:rPr>
      </w:pPr>
    </w:p>
    <w:p>
      <w:pPr>
        <w:pStyle w:val="Heading3"/>
        <w:spacing w:line="240" w:lineRule="auto" w:before="36"/>
        <w:ind w:left="672" w:right="0"/>
        <w:jc w:val="left"/>
        <w:rPr>
          <w:b w:val="0"/>
          <w:bCs w:val="0"/>
        </w:rPr>
      </w:pPr>
      <w:r>
        <w:rPr>
          <w:rFonts w:ascii="Times New Roman" w:hAnsi="Times New Roman" w:cs="Times New Roman" w:eastAsia="Times New Roman" w:hint="default"/>
        </w:rPr>
        <w:t>13</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672"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97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668" w:type="dxa"/>
        <w:tblLayout w:type="fixed"/>
        <w:tblCellMar>
          <w:top w:w="0" w:type="dxa"/>
          <w:left w:w="0" w:type="dxa"/>
          <w:bottom w:w="0" w:type="dxa"/>
          <w:right w:w="0" w:type="dxa"/>
        </w:tblCellMar>
        <w:tblLook w:val="01E0"/>
      </w:tblPr>
      <w:tblGrid>
        <w:gridCol w:w="1844"/>
        <w:gridCol w:w="1277"/>
        <w:gridCol w:w="984"/>
        <w:gridCol w:w="1366"/>
        <w:gridCol w:w="1368"/>
        <w:gridCol w:w="1366"/>
        <w:gridCol w:w="1368"/>
      </w:tblGrid>
      <w:tr>
        <w:trPr>
          <w:trHeight w:val="402" w:hRule="exact"/>
        </w:trPr>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2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安装</w:t>
            </w:r>
            <w:r>
              <w:rPr>
                <w:rFonts w:ascii="Times New Roman" w:hAnsi="Times New Roman" w:cs="Times New Roman" w:eastAsia="Times New Roman" w:hint="default"/>
                <w:sz w:val="18"/>
                <w:szCs w:val="18"/>
              </w:rPr>
              <w:t>/</w:t>
            </w:r>
            <w:r>
              <w:rPr>
                <w:rFonts w:ascii="宋体" w:hAnsi="宋体" w:cs="宋体" w:eastAsia="宋体" w:hint="default"/>
                <w:sz w:val="18"/>
                <w:szCs w:val="18"/>
              </w:rPr>
              <w:t>调试的自产</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ATM</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48,743,858.14</w:t>
            </w:r>
          </w:p>
        </w:tc>
        <w:tc>
          <w:tcPr>
            <w:tcW w:w="98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48,743,858.14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159,285,696.48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159,285,696.48</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高塘办公楼</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161,296,170.96</w:t>
            </w:r>
          </w:p>
        </w:tc>
        <w:tc>
          <w:tcPr>
            <w:tcW w:w="98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161,296,170.96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45,334,497.68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45,334,497.68</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科学城厂房</w:t>
            </w:r>
          </w:p>
        </w:tc>
        <w:tc>
          <w:tcPr>
            <w:tcW w:w="1277"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210,040,029.10</w:t>
            </w:r>
          </w:p>
        </w:tc>
        <w:tc>
          <w:tcPr>
            <w:tcW w:w="98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210,040,029.10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204,620,194.16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204,620,194.16</w:t>
            </w:r>
          </w:p>
        </w:tc>
      </w:tr>
    </w:tbl>
    <w:p>
      <w:pPr>
        <w:spacing w:line="240" w:lineRule="auto" w:before="3"/>
        <w:rPr>
          <w:rFonts w:ascii="宋体" w:hAnsi="宋体" w:cs="宋体" w:eastAsia="宋体" w:hint="default"/>
          <w:sz w:val="19"/>
          <w:szCs w:val="19"/>
        </w:rPr>
      </w:pPr>
    </w:p>
    <w:p>
      <w:pPr>
        <w:pStyle w:val="Heading3"/>
        <w:spacing w:line="240" w:lineRule="auto" w:before="36"/>
        <w:ind w:left="672"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97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708"/>
        <w:gridCol w:w="710"/>
        <w:gridCol w:w="708"/>
        <w:gridCol w:w="1275"/>
        <w:gridCol w:w="842"/>
        <w:gridCol w:w="734"/>
        <w:gridCol w:w="737"/>
        <w:gridCol w:w="948"/>
        <w:gridCol w:w="523"/>
        <w:gridCol w:w="893"/>
        <w:gridCol w:w="994"/>
        <w:gridCol w:w="708"/>
        <w:gridCol w:w="1277"/>
      </w:tblGrid>
      <w:tr>
        <w:trPr>
          <w:trHeight w:val="1022"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9" w:right="77"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9"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9" w:right="77"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5" w:right="55"/>
              <w:jc w:val="center"/>
              <w:rPr>
                <w:rFonts w:ascii="宋体" w:hAnsi="宋体" w:cs="宋体" w:eastAsia="宋体" w:hint="default"/>
                <w:sz w:val="18"/>
                <w:szCs w:val="18"/>
              </w:rPr>
            </w:pPr>
            <w:r>
              <w:rPr>
                <w:rFonts w:ascii="宋体" w:hAnsi="宋体" w:cs="宋体" w:eastAsia="宋体" w:hint="default"/>
                <w:sz w:val="18"/>
                <w:szCs w:val="18"/>
              </w:rPr>
              <w:t>本期转入 固定资产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 w:right="107"/>
              <w:jc w:val="both"/>
              <w:rPr>
                <w:rFonts w:ascii="宋体" w:hAnsi="宋体" w:cs="宋体" w:eastAsia="宋体" w:hint="default"/>
                <w:sz w:val="18"/>
                <w:szCs w:val="18"/>
              </w:rPr>
            </w:pPr>
            <w:r>
              <w:rPr>
                <w:rFonts w:ascii="宋体" w:hAnsi="宋体" w:cs="宋体" w:eastAsia="宋体" w:hint="default"/>
                <w:sz w:val="18"/>
                <w:szCs w:val="18"/>
              </w:rPr>
              <w:t>工程累计 投入占预 算比例</w:t>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1" w:right="79"/>
              <w:jc w:val="center"/>
              <w:rPr>
                <w:rFonts w:ascii="宋体" w:hAnsi="宋体" w:cs="宋体" w:eastAsia="宋体" w:hint="default"/>
                <w:sz w:val="18"/>
                <w:szCs w:val="18"/>
              </w:rPr>
            </w:pPr>
            <w:r>
              <w:rPr>
                <w:rFonts w:ascii="宋体" w:hAnsi="宋体" w:cs="宋体" w:eastAsia="宋体" w:hint="default"/>
                <w:sz w:val="18"/>
                <w:szCs w:val="18"/>
              </w:rPr>
              <w:t>利息资本 化累计金 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 w:right="39"/>
              <w:jc w:val="center"/>
              <w:rPr>
                <w:rFonts w:ascii="宋体" w:hAnsi="宋体" w:cs="宋体" w:eastAsia="宋体" w:hint="default"/>
                <w:sz w:val="18"/>
                <w:szCs w:val="18"/>
              </w:rPr>
            </w:pPr>
            <w:r>
              <w:rPr>
                <w:rFonts w:ascii="宋体" w:hAnsi="宋体" w:cs="宋体" w:eastAsia="宋体" w:hint="default"/>
                <w:sz w:val="18"/>
                <w:szCs w:val="18"/>
              </w:rPr>
              <w:t>其中：本期 利息资本化 金额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3"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406" w:hRule="exact"/>
        </w:trPr>
        <w:tc>
          <w:tcPr>
            <w:tcW w:w="708" w:type="dxa"/>
            <w:vMerge w:val="restart"/>
            <w:tcBorders>
              <w:top w:val="single" w:sz="4" w:space="0" w:color="000000"/>
              <w:left w:val="single" w:sz="4" w:space="0" w:color="000000"/>
              <w:right w:val="single" w:sz="4" w:space="0" w:color="000000"/>
            </w:tcBorders>
            <w:shd w:val="clear" w:color="auto" w:fill="C7EBCC"/>
          </w:tcPr>
          <w:p>
            <w:pPr>
              <w:pStyle w:val="TableParagraph"/>
              <w:spacing w:line="314" w:lineRule="auto" w:before="99"/>
              <w:ind w:left="23" w:right="132"/>
              <w:jc w:val="left"/>
              <w:rPr>
                <w:rFonts w:ascii="宋体" w:hAnsi="宋体" w:cs="宋体" w:eastAsia="宋体" w:hint="default"/>
                <w:sz w:val="18"/>
                <w:szCs w:val="18"/>
              </w:rPr>
            </w:pPr>
            <w:r>
              <w:rPr>
                <w:rFonts w:ascii="宋体" w:hAnsi="宋体" w:cs="宋体" w:eastAsia="宋体" w:hint="default"/>
                <w:sz w:val="18"/>
                <w:szCs w:val="18"/>
              </w:rPr>
              <w:t>高塘办 公楼</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141"/>
              <w:ind w:left="22" w:right="0"/>
              <w:jc w:val="center"/>
              <w:rPr>
                <w:rFonts w:ascii="Times New Roman" w:hAnsi="Times New Roman" w:cs="Times New Roman" w:eastAsia="Times New Roman" w:hint="default"/>
                <w:sz w:val="18"/>
                <w:szCs w:val="18"/>
              </w:rPr>
            </w:pPr>
            <w:r>
              <w:rPr>
                <w:rFonts w:ascii="Times New Roman"/>
                <w:sz w:val="18"/>
              </w:rPr>
              <w:t>202,690,</w:t>
            </w:r>
          </w:p>
          <w:p>
            <w:pPr>
              <w:pStyle w:val="TableParagraph"/>
              <w:spacing w:line="240" w:lineRule="auto" w:before="102"/>
              <w:ind w:left="159" w:right="0"/>
              <w:jc w:val="center"/>
              <w:rPr>
                <w:rFonts w:ascii="Times New Roman" w:hAnsi="Times New Roman" w:cs="Times New Roman" w:eastAsia="Times New Roman" w:hint="default"/>
                <w:sz w:val="18"/>
                <w:szCs w:val="18"/>
              </w:rPr>
            </w:pPr>
            <w:r>
              <w:rPr>
                <w:rFonts w:ascii="Times New Roman"/>
                <w:sz w:val="18"/>
              </w:rPr>
              <w:t>000.00</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41"/>
              <w:ind w:left="45" w:right="0"/>
              <w:jc w:val="left"/>
              <w:rPr>
                <w:rFonts w:ascii="Times New Roman" w:hAnsi="Times New Roman" w:cs="Times New Roman" w:eastAsia="Times New Roman" w:hint="default"/>
                <w:sz w:val="18"/>
                <w:szCs w:val="18"/>
              </w:rPr>
            </w:pPr>
            <w:r>
              <w:rPr>
                <w:rFonts w:ascii="Times New Roman"/>
                <w:sz w:val="18"/>
              </w:rPr>
              <w:t>45,334,4</w:t>
            </w:r>
          </w:p>
          <w:p>
            <w:pPr>
              <w:pStyle w:val="TableParagraph"/>
              <w:spacing w:line="240" w:lineRule="auto" w:before="102"/>
              <w:ind w:left="271" w:right="0"/>
              <w:jc w:val="left"/>
              <w:rPr>
                <w:rFonts w:ascii="Times New Roman" w:hAnsi="Times New Roman" w:cs="Times New Roman" w:eastAsia="Times New Roman" w:hint="default"/>
                <w:sz w:val="18"/>
                <w:szCs w:val="18"/>
              </w:rPr>
            </w:pPr>
            <w:r>
              <w:rPr>
                <w:rFonts w:ascii="Times New Roman"/>
                <w:sz w:val="18"/>
              </w:rPr>
              <w:t>97.68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4" w:right="0"/>
              <w:jc w:val="left"/>
              <w:rPr>
                <w:rFonts w:ascii="Times New Roman" w:hAnsi="Times New Roman" w:cs="Times New Roman" w:eastAsia="Times New Roman" w:hint="default"/>
                <w:sz w:val="18"/>
                <w:szCs w:val="18"/>
              </w:rPr>
            </w:pPr>
            <w:r>
              <w:rPr>
                <w:rFonts w:ascii="Times New Roman"/>
                <w:sz w:val="18"/>
              </w:rPr>
              <w:t>110,961,673.28</w:t>
            </w:r>
          </w:p>
        </w:tc>
        <w:tc>
          <w:tcPr>
            <w:tcW w:w="84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Style w:val="TableParagraph"/>
              <w:spacing w:line="240" w:lineRule="auto" w:before="141"/>
              <w:ind w:left="48" w:right="0"/>
              <w:jc w:val="center"/>
              <w:rPr>
                <w:rFonts w:ascii="Times New Roman" w:hAnsi="Times New Roman" w:cs="Times New Roman" w:eastAsia="Times New Roman" w:hint="default"/>
                <w:sz w:val="18"/>
                <w:szCs w:val="18"/>
              </w:rPr>
            </w:pPr>
            <w:r>
              <w:rPr>
                <w:rFonts w:ascii="Times New Roman"/>
                <w:sz w:val="18"/>
              </w:rPr>
              <w:t>161,296,</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170.96</w:t>
            </w:r>
          </w:p>
        </w:tc>
        <w:tc>
          <w:tcPr>
            <w:tcW w:w="94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79.58%</w:t>
            </w:r>
          </w:p>
        </w:tc>
        <w:tc>
          <w:tcPr>
            <w:tcW w:w="523" w:type="dxa"/>
            <w:vMerge w:val="restart"/>
            <w:tcBorders>
              <w:top w:val="single" w:sz="4" w:space="0" w:color="000000"/>
              <w:left w:val="single" w:sz="4" w:space="0" w:color="000000"/>
              <w:right w:val="single" w:sz="4" w:space="0" w:color="000000"/>
            </w:tcBorders>
            <w:shd w:val="clear" w:color="auto" w:fill="C7EBCC"/>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79.58</w:t>
            </w:r>
          </w:p>
        </w:tc>
        <w:tc>
          <w:tcPr>
            <w:tcW w:w="8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708" w:type="dxa"/>
            <w:vMerge/>
            <w:tcBorders>
              <w:left w:val="single" w:sz="4" w:space="0" w:color="000000"/>
              <w:bottom w:val="single" w:sz="4" w:space="0" w:color="000000"/>
              <w:right w:val="single" w:sz="4" w:space="0" w:color="000000"/>
            </w:tcBorders>
            <w:shd w:val="clear" w:color="auto" w:fill="C7EBCC"/>
          </w:tcPr>
          <w:p>
            <w:pPr/>
          </w:p>
        </w:tc>
        <w:tc>
          <w:tcPr>
            <w:tcW w:w="710"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7" w:right="0"/>
              <w:jc w:val="left"/>
              <w:rPr>
                <w:rFonts w:ascii="Times New Roman" w:hAnsi="Times New Roman" w:cs="Times New Roman" w:eastAsia="Times New Roman" w:hint="default"/>
                <w:sz w:val="18"/>
                <w:szCs w:val="18"/>
              </w:rPr>
            </w:pPr>
            <w:r>
              <w:rPr>
                <w:rFonts w:ascii="Times New Roman"/>
                <w:sz w:val="18"/>
              </w:rPr>
              <w:t>5,000,000.00</w:t>
            </w:r>
          </w:p>
        </w:tc>
        <w:tc>
          <w:tcPr>
            <w:tcW w:w="84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948" w:type="dxa"/>
            <w:vMerge/>
            <w:tcBorders>
              <w:left w:val="single" w:sz="4" w:space="0" w:color="000000"/>
              <w:bottom w:val="single" w:sz="4" w:space="0" w:color="000000"/>
              <w:right w:val="single" w:sz="4" w:space="0" w:color="000000"/>
            </w:tcBorders>
          </w:tcPr>
          <w:p>
            <w:pPr/>
          </w:p>
        </w:tc>
        <w:tc>
          <w:tcPr>
            <w:tcW w:w="523" w:type="dxa"/>
            <w:vMerge/>
            <w:tcBorders>
              <w:left w:val="single" w:sz="4" w:space="0" w:color="000000"/>
              <w:bottom w:val="single" w:sz="4" w:space="0" w:color="000000"/>
              <w:right w:val="single" w:sz="4" w:space="0" w:color="000000"/>
            </w:tcBorders>
            <w:shd w:val="clear" w:color="auto" w:fill="C7EBCC"/>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313,222.25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1" w:right="0"/>
              <w:jc w:val="left"/>
              <w:rPr>
                <w:rFonts w:ascii="Times New Roman" w:hAnsi="Times New Roman" w:cs="Times New Roman" w:eastAsia="Times New Roman" w:hint="default"/>
                <w:sz w:val="18"/>
                <w:szCs w:val="18"/>
              </w:rPr>
            </w:pPr>
            <w:r>
              <w:rPr>
                <w:rFonts w:ascii="Times New Roman"/>
                <w:sz w:val="18"/>
              </w:rPr>
              <w:t>313,222.25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6.40%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金融机构贷款</w:t>
            </w:r>
          </w:p>
        </w:tc>
      </w:tr>
    </w:tbl>
    <w:p>
      <w:pPr>
        <w:spacing w:after="0" w:line="240" w:lineRule="auto"/>
        <w:jc w:val="left"/>
        <w:rPr>
          <w:rFonts w:ascii="宋体" w:hAnsi="宋体" w:cs="宋体" w:eastAsia="宋体" w:hint="default"/>
          <w:sz w:val="18"/>
          <w:szCs w:val="18"/>
        </w:rPr>
        <w:sectPr>
          <w:pgSz w:w="11910" w:h="16840"/>
          <w:pgMar w:header="745" w:footer="980" w:top="1060" w:bottom="1160" w:left="460" w:right="160"/>
        </w:sectPr>
      </w:pPr>
    </w:p>
    <w:p>
      <w:pPr>
        <w:spacing w:line="240" w:lineRule="auto" w:before="6"/>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708"/>
        <w:gridCol w:w="710"/>
        <w:gridCol w:w="708"/>
        <w:gridCol w:w="1275"/>
        <w:gridCol w:w="842"/>
        <w:gridCol w:w="734"/>
        <w:gridCol w:w="738"/>
        <w:gridCol w:w="947"/>
        <w:gridCol w:w="523"/>
        <w:gridCol w:w="893"/>
        <w:gridCol w:w="994"/>
        <w:gridCol w:w="709"/>
        <w:gridCol w:w="1276"/>
      </w:tblGrid>
      <w:tr>
        <w:trPr>
          <w:trHeight w:val="716"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202,690,</w:t>
            </w:r>
          </w:p>
          <w:p>
            <w:pPr>
              <w:pStyle w:val="TableParagraph"/>
              <w:spacing w:line="240" w:lineRule="auto" w:before="105"/>
              <w:ind w:left="159" w:right="0"/>
              <w:jc w:val="center"/>
              <w:rPr>
                <w:rFonts w:ascii="Times New Roman" w:hAnsi="Times New Roman" w:cs="Times New Roman" w:eastAsia="Times New Roman" w:hint="default"/>
                <w:sz w:val="18"/>
                <w:szCs w:val="18"/>
              </w:rPr>
            </w:pPr>
            <w:r>
              <w:rPr>
                <w:rFonts w:ascii="Times New Roman"/>
                <w:sz w:val="18"/>
              </w:rPr>
              <w:t>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45,334,4</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97.68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115,961,673.28</w:t>
            </w:r>
          </w:p>
        </w:tc>
        <w:tc>
          <w:tcPr>
            <w:tcW w:w="84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161,296,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170.96</w:t>
            </w:r>
          </w:p>
        </w:tc>
        <w:tc>
          <w:tcPr>
            <w:tcW w:w="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313,222.25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313,222.25</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left="672" w:right="0"/>
        <w:jc w:val="left"/>
        <w:rPr>
          <w:b w:val="0"/>
          <w:bCs w:val="0"/>
        </w:rPr>
      </w:pPr>
      <w:r>
        <w:rPr/>
        <w:t>（</w:t>
      </w:r>
      <w:r>
        <w:rPr>
          <w:rFonts w:ascii="Times New Roman" w:hAnsi="Times New Roman" w:cs="Times New Roman" w:eastAsia="Times New Roman" w:hint="default"/>
        </w:rPr>
        <w:t>3</w:t>
      </w:r>
      <w:r>
        <w:rPr/>
        <w:t>）本期无计提在建工程减值准备情况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672" w:right="0"/>
        <w:jc w:val="left"/>
        <w:rPr>
          <w:b w:val="0"/>
          <w:bCs w:val="0"/>
        </w:rPr>
      </w:pPr>
      <w:r>
        <w:rPr>
          <w:rFonts w:ascii="Times New Roman" w:hAnsi="Times New Roman" w:cs="Times New Roman" w:eastAsia="Times New Roman" w:hint="default"/>
        </w:rPr>
        <w:t>14</w:t>
      </w:r>
      <w:r>
        <w:rPr/>
        <w:t>、油气资产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67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left="672" w:right="0"/>
        <w:jc w:val="left"/>
        <w:rPr>
          <w:b w:val="0"/>
          <w:bCs w:val="0"/>
        </w:rPr>
      </w:pPr>
      <w:r>
        <w:rPr>
          <w:rFonts w:ascii="Times New Roman" w:hAnsi="Times New Roman" w:cs="Times New Roman" w:eastAsia="Times New Roman" w:hint="default"/>
        </w:rPr>
        <w:t>15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672"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97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680" w:type="dxa"/>
        <w:tblLayout w:type="fixed"/>
        <w:tblCellMar>
          <w:top w:w="0" w:type="dxa"/>
          <w:left w:w="0" w:type="dxa"/>
          <w:bottom w:w="0" w:type="dxa"/>
          <w:right w:w="0" w:type="dxa"/>
        </w:tblCellMar>
        <w:tblLook w:val="01E0"/>
      </w:tblPr>
      <w:tblGrid>
        <w:gridCol w:w="2440"/>
        <w:gridCol w:w="1408"/>
        <w:gridCol w:w="1368"/>
        <w:gridCol w:w="1382"/>
        <w:gridCol w:w="1381"/>
        <w:gridCol w:w="1579"/>
      </w:tblGrid>
      <w:tr>
        <w:trPr>
          <w:trHeight w:val="403"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0"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08"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39,171,342.00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17,594.40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35,074,058.10</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4,876,000.00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79,138,994.50</w:t>
            </w:r>
          </w:p>
        </w:tc>
      </w:tr>
      <w:tr>
        <w:trPr>
          <w:trHeight w:val="401"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4,991,245.12</w:t>
            </w: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4,991,245.12</w:t>
            </w:r>
          </w:p>
        </w:tc>
      </w:tr>
      <w:tr>
        <w:trPr>
          <w:trHeight w:val="403"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08"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408"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4,991,245.12</w:t>
            </w: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4,991,245.12</w:t>
            </w:r>
          </w:p>
        </w:tc>
      </w:tr>
      <w:tr>
        <w:trPr>
          <w:trHeight w:val="403"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408"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08"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17,594.40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166,580.00</w:t>
            </w: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184,174.40</w:t>
            </w:r>
          </w:p>
        </w:tc>
      </w:tr>
      <w:tr>
        <w:trPr>
          <w:trHeight w:val="404"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08"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17,594.40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166,580.00</w:t>
            </w: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184,174.40</w:t>
            </w:r>
          </w:p>
        </w:tc>
      </w:tr>
      <w:tr>
        <w:trPr>
          <w:trHeight w:val="401"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39,171,342.00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39,898,723.22</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4,876,000.00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83,946,065.22</w:t>
            </w:r>
          </w:p>
        </w:tc>
      </w:tr>
      <w:tr>
        <w:trPr>
          <w:trHeight w:val="403"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408"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2,082,167.09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17,594.40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4,819,669.16</w:t>
            </w: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6,919,430.65</w:t>
            </w:r>
          </w:p>
        </w:tc>
      </w:tr>
      <w:tr>
        <w:trPr>
          <w:trHeight w:val="403"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783,426.84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3,753,783.68</w:t>
            </w: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4,537,210.52</w:t>
            </w:r>
          </w:p>
        </w:tc>
      </w:tr>
      <w:tr>
        <w:trPr>
          <w:trHeight w:val="401"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783,426.84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3,753,783.68</w:t>
            </w: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4,537,210.52</w:t>
            </w:r>
          </w:p>
        </w:tc>
      </w:tr>
      <w:tr>
        <w:trPr>
          <w:trHeight w:val="403"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08"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17,594.40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166,580.00</w:t>
            </w: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184,174.40</w:t>
            </w:r>
          </w:p>
        </w:tc>
      </w:tr>
      <w:tr>
        <w:trPr>
          <w:trHeight w:val="401"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08"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17,594.40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166,580.00</w:t>
            </w: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184,174.40</w:t>
            </w:r>
          </w:p>
        </w:tc>
      </w:tr>
      <w:tr>
        <w:trPr>
          <w:trHeight w:val="403"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2,865,593.93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8,406,872.84</w:t>
            </w: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11,272,466.77</w:t>
            </w:r>
          </w:p>
        </w:tc>
      </w:tr>
      <w:tr>
        <w:trPr>
          <w:trHeight w:val="401"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08"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08"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08"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08"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460" w:right="160"/>
        </w:sectPr>
      </w:pPr>
    </w:p>
    <w:p>
      <w:pPr>
        <w:spacing w:line="240" w:lineRule="auto" w:before="6"/>
        <w:rPr>
          <w:rFonts w:ascii="宋体" w:hAnsi="宋体" w:cs="宋体" w:eastAsia="宋体" w:hint="default"/>
          <w:sz w:val="28"/>
          <w:szCs w:val="28"/>
        </w:rPr>
      </w:pPr>
    </w:p>
    <w:tbl>
      <w:tblPr>
        <w:tblW w:w="0" w:type="auto"/>
        <w:jc w:val="left"/>
        <w:tblInd w:w="389" w:type="dxa"/>
        <w:tblLayout w:type="fixed"/>
        <w:tblCellMar>
          <w:top w:w="0" w:type="dxa"/>
          <w:left w:w="0" w:type="dxa"/>
          <w:bottom w:w="0" w:type="dxa"/>
          <w:right w:w="0" w:type="dxa"/>
        </w:tblCellMar>
        <w:tblLook w:val="01E0"/>
      </w:tblPr>
      <w:tblGrid>
        <w:gridCol w:w="2451"/>
        <w:gridCol w:w="1408"/>
        <w:gridCol w:w="1368"/>
        <w:gridCol w:w="1382"/>
        <w:gridCol w:w="1381"/>
        <w:gridCol w:w="1579"/>
      </w:tblGrid>
      <w:tr>
        <w:trPr>
          <w:trHeight w:val="401" w:hRule="exact"/>
        </w:trPr>
        <w:tc>
          <w:tcPr>
            <w:tcW w:w="2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08"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39"/>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4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36,305,748.07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31,491,850.38</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4,876,000.00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72,673,598.45</w:t>
            </w:r>
          </w:p>
        </w:tc>
      </w:tr>
      <w:tr>
        <w:trPr>
          <w:trHeight w:val="403" w:hRule="exact"/>
        </w:trPr>
        <w:tc>
          <w:tcPr>
            <w:tcW w:w="2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39"/>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4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37,089,174.91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30,254,388.94</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4,876,000.00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72,219,563.85</w:t>
            </w:r>
          </w:p>
        </w:tc>
      </w:tr>
    </w:tbl>
    <w:p>
      <w:pPr>
        <w:pStyle w:val="BodyText"/>
        <w:spacing w:line="338" w:lineRule="auto" w:before="49"/>
        <w:ind w:left="753" w:right="165" w:hanging="361"/>
        <w:jc w:val="left"/>
      </w:pPr>
      <w:r>
        <w:rPr/>
        <w:t>本期末通过公司内部研发形成的无形资产占无形资产余额的比例</w:t>
      </w:r>
      <w:r>
        <w:rPr>
          <w:spacing w:val="-44"/>
        </w:rPr>
        <w:t> </w:t>
      </w:r>
      <w:r>
        <w:rPr>
          <w:rFonts w:ascii="Times New Roman" w:hAnsi="Times New Roman" w:cs="Times New Roman" w:eastAsia="Times New Roman" w:hint="default"/>
        </w:rPr>
        <w:t>44.32%</w:t>
      </w:r>
      <w:r>
        <w:rPr/>
        <w:t>。 土地使用权包括科学城土地使用权：权证号为穗府国用（</w:t>
      </w:r>
      <w:r>
        <w:rPr>
          <w:rFonts w:ascii="Times New Roman" w:hAnsi="Times New Roman" w:cs="Times New Roman" w:eastAsia="Times New Roman" w:hint="default"/>
        </w:rPr>
        <w:t>2011</w:t>
      </w:r>
      <w:r>
        <w:rPr/>
        <w:t>）第</w:t>
      </w:r>
      <w:r>
        <w:rPr>
          <w:spacing w:val="-59"/>
        </w:rPr>
        <w:t> </w:t>
      </w:r>
      <w:r>
        <w:rPr>
          <w:rFonts w:ascii="Times New Roman" w:hAnsi="Times New Roman" w:cs="Times New Roman" w:eastAsia="Times New Roman" w:hint="default"/>
        </w:rPr>
        <w:t>05000060</w:t>
      </w:r>
      <w:r>
        <w:rPr>
          <w:rFonts w:ascii="Times New Roman" w:hAnsi="Times New Roman" w:cs="Times New Roman" w:eastAsia="Times New Roman" w:hint="default"/>
          <w:spacing w:val="-12"/>
        </w:rPr>
        <w:t> </w:t>
      </w:r>
      <w:r>
        <w:rPr>
          <w:spacing w:val="-3"/>
        </w:rPr>
        <w:t>号，使用权面积为</w:t>
      </w:r>
      <w:r>
        <w:rPr>
          <w:spacing w:val="-57"/>
        </w:rPr>
        <w:t> </w:t>
      </w:r>
      <w:r>
        <w:rPr>
          <w:rFonts w:ascii="Times New Roman" w:hAnsi="Times New Roman" w:cs="Times New Roman" w:eastAsia="Times New Roman" w:hint="default"/>
        </w:rPr>
        <w:t>15,000.00</w:t>
      </w:r>
      <w:r>
        <w:rPr>
          <w:rFonts w:ascii="Times New Roman" w:hAnsi="Times New Roman" w:cs="Times New Roman" w:eastAsia="Times New Roman" w:hint="default"/>
          <w:spacing w:val="-12"/>
        </w:rPr>
        <w:t> </w:t>
      </w:r>
      <w:r>
        <w:rPr>
          <w:spacing w:val="-3"/>
        </w:rPr>
        <w:t>平方米，为工</w:t>
      </w:r>
    </w:p>
    <w:p>
      <w:pPr>
        <w:pStyle w:val="BodyText"/>
        <w:spacing w:line="230" w:lineRule="exact"/>
        <w:ind w:left="392" w:right="165"/>
        <w:jc w:val="left"/>
      </w:pPr>
      <w:r>
        <w:rPr/>
        <w:t>矿仓储用地，使用年限至</w:t>
      </w:r>
      <w:r>
        <w:rPr>
          <w:spacing w:val="-45"/>
        </w:rPr>
        <w:t> </w:t>
      </w:r>
      <w:r>
        <w:rPr>
          <w:rFonts w:ascii="Times New Roman" w:hAnsi="Times New Roman" w:cs="Times New Roman" w:eastAsia="Times New Roman" w:hint="default"/>
        </w:rPr>
        <w:t>2060</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24 </w:t>
      </w:r>
      <w:r>
        <w:rPr/>
        <w:t>日终止，该土地使用权以出让方式取得。</w:t>
      </w:r>
    </w:p>
    <w:p>
      <w:pPr>
        <w:pStyle w:val="BodyText"/>
        <w:spacing w:line="240" w:lineRule="auto" w:before="103"/>
        <w:ind w:left="0" w:right="109"/>
        <w:jc w:val="right"/>
      </w:pPr>
      <w:r>
        <w:rPr/>
        <w:t>以及高塘土地使用权：权证号为穗府国用（</w:t>
      </w:r>
      <w:r>
        <w:rPr>
          <w:rFonts w:ascii="Times New Roman" w:hAnsi="Times New Roman" w:cs="Times New Roman" w:eastAsia="Times New Roman" w:hint="default"/>
        </w:rPr>
        <w:t>2011</w:t>
      </w:r>
      <w:r>
        <w:rPr/>
        <w:t>）第</w:t>
      </w:r>
      <w:r>
        <w:rPr>
          <w:spacing w:val="-47"/>
        </w:rPr>
        <w:t> </w:t>
      </w:r>
      <w:r>
        <w:rPr>
          <w:rFonts w:ascii="Times New Roman" w:hAnsi="Times New Roman" w:cs="Times New Roman" w:eastAsia="Times New Roman" w:hint="default"/>
          <w:spacing w:val="-3"/>
        </w:rPr>
        <w:t>01100110</w:t>
      </w:r>
      <w:r>
        <w:rPr>
          <w:rFonts w:ascii="Times New Roman" w:hAnsi="Times New Roman" w:cs="Times New Roman" w:eastAsia="Times New Roman" w:hint="default"/>
        </w:rPr>
        <w:t> </w:t>
      </w:r>
      <w:r>
        <w:rPr/>
        <w:t>号，使用权面积为</w:t>
      </w:r>
      <w:r>
        <w:rPr>
          <w:spacing w:val="-47"/>
        </w:rPr>
        <w:t> </w:t>
      </w:r>
      <w:r>
        <w:rPr>
          <w:rFonts w:ascii="Times New Roman" w:hAnsi="Times New Roman" w:cs="Times New Roman" w:eastAsia="Times New Roman" w:hint="default"/>
        </w:rPr>
        <w:t>14,693.00</w:t>
      </w:r>
      <w:r>
        <w:rPr>
          <w:rFonts w:ascii="Times New Roman" w:hAnsi="Times New Roman" w:cs="Times New Roman" w:eastAsia="Times New Roman" w:hint="default"/>
          <w:spacing w:val="-2"/>
        </w:rPr>
        <w:t> </w:t>
      </w:r>
      <w:r>
        <w:rPr/>
        <w:t>平方米，用途为科教用地，</w:t>
      </w:r>
    </w:p>
    <w:p>
      <w:pPr>
        <w:pStyle w:val="BodyText"/>
        <w:spacing w:line="240" w:lineRule="auto" w:before="63"/>
        <w:ind w:left="392" w:right="0"/>
        <w:jc w:val="left"/>
      </w:pPr>
      <w:r>
        <w:rPr/>
        <w:t>该土地使用权以出让方式取得，土地出让使用年限自</w:t>
      </w:r>
      <w:r>
        <w:rPr>
          <w:spacing w:val="-4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29 </w:t>
      </w:r>
      <w:r>
        <w:rPr/>
        <w:t>日起计算，居民份额用地</w:t>
      </w:r>
      <w:r>
        <w:rPr>
          <w:spacing w:val="-47"/>
        </w:rPr>
        <w:t> </w:t>
      </w:r>
      <w:r>
        <w:rPr>
          <w:rFonts w:ascii="Times New Roman" w:hAnsi="Times New Roman" w:cs="Times New Roman" w:eastAsia="Times New Roman" w:hint="default"/>
        </w:rPr>
        <w:t>70</w:t>
      </w:r>
      <w:r>
        <w:rPr>
          <w:rFonts w:ascii="Times New Roman" w:hAnsi="Times New Roman" w:cs="Times New Roman" w:eastAsia="Times New Roman" w:hint="default"/>
          <w:spacing w:val="-1"/>
        </w:rPr>
        <w:t> </w:t>
      </w:r>
      <w:r>
        <w:rPr/>
        <w:t>年，商业、旅游、娱乐份</w:t>
      </w:r>
    </w:p>
    <w:p>
      <w:pPr>
        <w:pStyle w:val="BodyText"/>
        <w:spacing w:line="240" w:lineRule="auto" w:before="63"/>
        <w:ind w:left="392" w:right="165"/>
        <w:jc w:val="left"/>
      </w:pPr>
      <w:r>
        <w:rPr/>
        <w:t>额用地</w:t>
      </w:r>
      <w:r>
        <w:rPr>
          <w:spacing w:val="-46"/>
        </w:rPr>
        <w:t> </w:t>
      </w:r>
      <w:r>
        <w:rPr>
          <w:rFonts w:ascii="Times New Roman" w:hAnsi="Times New Roman" w:cs="Times New Roman" w:eastAsia="Times New Roman" w:hint="default"/>
        </w:rPr>
        <w:t>40</w:t>
      </w:r>
      <w:r>
        <w:rPr>
          <w:rFonts w:ascii="Times New Roman" w:hAnsi="Times New Roman" w:cs="Times New Roman" w:eastAsia="Times New Roman" w:hint="default"/>
          <w:spacing w:val="-1"/>
        </w:rPr>
        <w:t> </w:t>
      </w:r>
      <w:r>
        <w:rPr/>
        <w:t>年，其他用地</w:t>
      </w:r>
      <w:r>
        <w:rPr>
          <w:spacing w:val="-47"/>
        </w:rPr>
        <w:t> </w:t>
      </w:r>
      <w:r>
        <w:rPr>
          <w:rFonts w:ascii="Times New Roman" w:hAnsi="Times New Roman" w:cs="Times New Roman" w:eastAsia="Times New Roman" w:hint="default"/>
        </w:rPr>
        <w:t>50</w:t>
      </w:r>
      <w:r>
        <w:rPr>
          <w:rFonts w:ascii="Times New Roman" w:hAnsi="Times New Roman" w:cs="Times New Roman" w:eastAsia="Times New Roman" w:hint="default"/>
          <w:spacing w:val="-1"/>
        </w:rPr>
        <w:t> </w:t>
      </w:r>
      <w:r>
        <w:rPr/>
        <w:t>年，土地属于其他用地按</w:t>
      </w:r>
      <w:r>
        <w:rPr>
          <w:spacing w:val="-46"/>
        </w:rPr>
        <w:t> </w:t>
      </w:r>
      <w:r>
        <w:rPr>
          <w:rFonts w:ascii="Times New Roman" w:hAnsi="Times New Roman" w:cs="Times New Roman" w:eastAsia="Times New Roman" w:hint="default"/>
        </w:rPr>
        <w:t>50</w:t>
      </w:r>
      <w:r>
        <w:rPr>
          <w:rFonts w:ascii="Times New Roman" w:hAnsi="Times New Roman" w:cs="Times New Roman" w:eastAsia="Times New Roman" w:hint="default"/>
          <w:spacing w:val="-1"/>
        </w:rPr>
        <w:t> </w:t>
      </w:r>
      <w:r>
        <w:rPr/>
        <w:t>年摊销。</w:t>
      </w:r>
    </w:p>
    <w:p>
      <w:pPr>
        <w:spacing w:line="240" w:lineRule="auto" w:before="2"/>
        <w:rPr>
          <w:rFonts w:ascii="宋体" w:hAnsi="宋体" w:cs="宋体" w:eastAsia="宋体" w:hint="default"/>
          <w:sz w:val="26"/>
          <w:szCs w:val="26"/>
        </w:rPr>
      </w:pPr>
    </w:p>
    <w:p>
      <w:pPr>
        <w:pStyle w:val="Heading3"/>
        <w:spacing w:line="240" w:lineRule="auto"/>
        <w:ind w:left="392" w:right="165"/>
        <w:jc w:val="left"/>
        <w:rPr>
          <w:b w:val="0"/>
          <w:bCs w:val="0"/>
        </w:rPr>
      </w:pPr>
      <w:r>
        <w:rPr/>
        <w:t>（</w:t>
      </w:r>
      <w:r>
        <w:rPr>
          <w:rFonts w:ascii="Times New Roman" w:hAnsi="Times New Roman" w:cs="Times New Roman" w:eastAsia="Times New Roman" w:hint="default"/>
        </w:rPr>
        <w:t>2</w:t>
      </w:r>
      <w:r>
        <w:rPr/>
        <w:t>）本报告期无未办妥产权证书的土地使用权情况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392" w:right="165"/>
        <w:jc w:val="left"/>
        <w:rPr>
          <w:b w:val="0"/>
          <w:bCs w:val="0"/>
        </w:rPr>
      </w:pPr>
      <w:r>
        <w:rPr>
          <w:rFonts w:ascii="Times New Roman" w:hAnsi="Times New Roman" w:cs="Times New Roman" w:eastAsia="Times New Roman" w:hint="default"/>
        </w:rPr>
        <w:t>16</w:t>
      </w:r>
      <w:r>
        <w:rPr/>
        <w:t>、开发支出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7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387" w:type="dxa"/>
        <w:tblLayout w:type="fixed"/>
        <w:tblCellMar>
          <w:top w:w="0" w:type="dxa"/>
          <w:left w:w="0" w:type="dxa"/>
          <w:bottom w:w="0" w:type="dxa"/>
          <w:right w:w="0" w:type="dxa"/>
        </w:tblCellMar>
        <w:tblLook w:val="01E0"/>
      </w:tblPr>
      <w:tblGrid>
        <w:gridCol w:w="2268"/>
        <w:gridCol w:w="1277"/>
        <w:gridCol w:w="1274"/>
        <w:gridCol w:w="569"/>
        <w:gridCol w:w="1416"/>
        <w:gridCol w:w="1277"/>
        <w:gridCol w:w="566"/>
        <w:gridCol w:w="922"/>
      </w:tblGrid>
      <w:tr>
        <w:trPr>
          <w:trHeight w:val="402" w:hRule="exact"/>
        </w:trPr>
        <w:tc>
          <w:tcPr>
            <w:tcW w:w="2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26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9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268"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3"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1"/>
              <w:jc w:val="right"/>
              <w:rPr>
                <w:rFonts w:ascii="宋体" w:hAnsi="宋体" w:cs="宋体" w:eastAsia="宋体" w:hint="default"/>
                <w:sz w:val="18"/>
                <w:szCs w:val="18"/>
              </w:rPr>
            </w:pPr>
            <w:r>
              <w:rPr>
                <w:rFonts w:ascii="宋体" w:hAnsi="宋体" w:cs="宋体" w:eastAsia="宋体" w:hint="default"/>
                <w:sz w:val="18"/>
                <w:szCs w:val="18"/>
              </w:rPr>
              <w:t>确认为无形资产</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3"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监控开发系统研发项目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3,800,000.00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设备管理软件</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934,876.81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256,368.31</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1,191,245.12</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4,734,876.81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256,368.31</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4,991,245.12</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left="392" w:right="165"/>
        <w:jc w:val="left"/>
        <w:rPr>
          <w:b w:val="0"/>
          <w:bCs w:val="0"/>
        </w:rPr>
      </w:pPr>
      <w:r>
        <w:rPr>
          <w:rFonts w:ascii="Times New Roman" w:hAnsi="Times New Roman" w:cs="Times New Roman" w:eastAsia="Times New Roman" w:hint="default"/>
        </w:rPr>
        <w:t>17</w:t>
      </w:r>
      <w:r>
        <w:rPr/>
        <w:t>、商誉</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392" w:right="165"/>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7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3119"/>
        <w:gridCol w:w="1985"/>
        <w:gridCol w:w="1419"/>
        <w:gridCol w:w="850"/>
        <w:gridCol w:w="994"/>
        <w:gridCol w:w="566"/>
        <w:gridCol w:w="924"/>
      </w:tblGrid>
      <w:tr>
        <w:trPr>
          <w:trHeight w:val="403" w:hRule="exact"/>
        </w:trPr>
        <w:tc>
          <w:tcPr>
            <w:tcW w:w="31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2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9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3119" w:type="dxa"/>
            <w:vMerge/>
            <w:tcBorders>
              <w:left w:val="single" w:sz="4" w:space="0" w:color="000000"/>
              <w:bottom w:val="single" w:sz="4" w:space="0" w:color="000000"/>
              <w:right w:val="single" w:sz="4" w:space="0" w:color="000000"/>
            </w:tcBorders>
            <w:shd w:val="clear" w:color="auto" w:fill="D2D2D2"/>
          </w:tcPr>
          <w:p>
            <w:pPr/>
          </w:p>
        </w:tc>
        <w:tc>
          <w:tcPr>
            <w:tcW w:w="1985"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11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北京青年御银科技有限责任公司</w:t>
            </w:r>
          </w:p>
        </w:tc>
        <w:tc>
          <w:tcPr>
            <w:tcW w:w="1985" w:type="dxa"/>
            <w:tcBorders>
              <w:top w:val="single" w:sz="4" w:space="0" w:color="000000"/>
              <w:left w:val="single" w:sz="10" w:space="0" w:color="C7EB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284,800.71</w:t>
            </w: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284,800.71</w:t>
            </w:r>
          </w:p>
        </w:tc>
      </w:tr>
      <w:tr>
        <w:trPr>
          <w:trHeight w:val="401"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284,800.71</w:t>
            </w: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284,800.71</w:t>
            </w:r>
          </w:p>
        </w:tc>
      </w:tr>
    </w:tbl>
    <w:p>
      <w:pPr>
        <w:spacing w:line="240" w:lineRule="auto" w:before="3"/>
        <w:rPr>
          <w:rFonts w:ascii="宋体" w:hAnsi="宋体" w:cs="宋体" w:eastAsia="宋体" w:hint="default"/>
          <w:sz w:val="19"/>
          <w:szCs w:val="19"/>
        </w:rPr>
      </w:pPr>
    </w:p>
    <w:p>
      <w:pPr>
        <w:pStyle w:val="Heading3"/>
        <w:spacing w:line="240" w:lineRule="auto" w:before="36"/>
        <w:ind w:left="392" w:right="165"/>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7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1652"/>
        <w:gridCol w:w="1369"/>
        <w:gridCol w:w="1368"/>
        <w:gridCol w:w="1366"/>
        <w:gridCol w:w="1368"/>
        <w:gridCol w:w="1366"/>
        <w:gridCol w:w="1368"/>
      </w:tblGrid>
      <w:tr>
        <w:trPr>
          <w:trHeight w:val="401" w:hRule="exact"/>
        </w:trPr>
        <w:tc>
          <w:tcPr>
            <w:tcW w:w="165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192" w:right="99" w:hanging="92"/>
              <w:jc w:val="left"/>
              <w:rPr>
                <w:rFonts w:ascii="宋体" w:hAnsi="宋体" w:cs="宋体" w:eastAsia="宋体" w:hint="default"/>
                <w:sz w:val="18"/>
                <w:szCs w:val="18"/>
              </w:rPr>
            </w:pPr>
            <w:r>
              <w:rPr>
                <w:rFonts w:ascii="宋体" w:hAnsi="宋体" w:cs="宋体" w:eastAsia="宋体" w:hint="default"/>
                <w:sz w:val="18"/>
                <w:szCs w:val="18"/>
              </w:rPr>
              <w:t>被投资单位名称或 形成商誉的事项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652"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652"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24" w:right="177"/>
              <w:jc w:val="left"/>
              <w:rPr>
                <w:rFonts w:ascii="宋体" w:hAnsi="宋体" w:cs="宋体" w:eastAsia="宋体" w:hint="default"/>
                <w:sz w:val="18"/>
                <w:szCs w:val="18"/>
              </w:rPr>
            </w:pPr>
            <w:r>
              <w:rPr>
                <w:rFonts w:ascii="宋体" w:hAnsi="宋体" w:cs="宋体" w:eastAsia="宋体" w:hint="default"/>
                <w:sz w:val="18"/>
                <w:szCs w:val="18"/>
              </w:rPr>
              <w:t>北京青年御银科技 有限责任公司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284,800.71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284,800.71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740" w:right="960"/>
        </w:sectPr>
      </w:pPr>
    </w:p>
    <w:p>
      <w:pPr>
        <w:spacing w:line="240" w:lineRule="auto" w:before="6"/>
        <w:rPr>
          <w:rFonts w:ascii="宋体" w:hAnsi="宋体" w:cs="宋体" w:eastAsia="宋体"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1652"/>
        <w:gridCol w:w="1369"/>
        <w:gridCol w:w="1368"/>
        <w:gridCol w:w="1366"/>
        <w:gridCol w:w="1368"/>
        <w:gridCol w:w="1366"/>
        <w:gridCol w:w="1368"/>
      </w:tblGrid>
      <w:tr>
        <w:trPr>
          <w:trHeight w:val="403" w:hRule="exact"/>
        </w:trPr>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284,800.71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284,800.71</w:t>
            </w:r>
          </w:p>
        </w:tc>
      </w:tr>
    </w:tbl>
    <w:p>
      <w:pPr>
        <w:pStyle w:val="BodyText"/>
        <w:spacing w:line="240" w:lineRule="auto" w:before="49"/>
        <w:ind w:left="392" w:right="0"/>
        <w:jc w:val="left"/>
      </w:pPr>
      <w:r>
        <w:rPr/>
        <w:t>说明商誉减值测试过程、参数及商誉减值损失的确认方法：</w:t>
      </w:r>
    </w:p>
    <w:p>
      <w:pPr>
        <w:pStyle w:val="BodyText"/>
        <w:spacing w:line="300" w:lineRule="auto" w:before="115"/>
        <w:ind w:left="392" w:right="0" w:firstLine="360"/>
        <w:jc w:val="left"/>
      </w:pPr>
      <w:r>
        <w:rPr/>
        <w:t>①商誉的计算过程。公司对北京青年御银科技有限责任公司从</w:t>
      </w:r>
      <w:r>
        <w:rPr>
          <w:rFonts w:ascii="Times New Roman" w:hAnsi="Times New Roman" w:cs="Times New Roman" w:eastAsia="Times New Roman" w:hint="default"/>
        </w:rPr>
        <w:t>20%</w:t>
      </w:r>
      <w:r>
        <w:rPr/>
        <w:t>的股权变更为</w:t>
      </w:r>
      <w:r>
        <w:rPr>
          <w:rFonts w:ascii="Times New Roman" w:hAnsi="Times New Roman" w:cs="Times New Roman" w:eastAsia="Times New Roman" w:hint="default"/>
        </w:rPr>
        <w:t>100%</w:t>
      </w:r>
      <w:r>
        <w:rPr/>
        <w:t>，由权益法改为成本法，从变更 </w:t>
      </w:r>
      <w:r>
        <w:rPr>
          <w:spacing w:val="-2"/>
        </w:rPr>
        <w:t>之日起纳入合并范围。以变更登记日</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31</w:t>
      </w:r>
      <w:r>
        <w:rPr>
          <w:spacing w:val="-2"/>
        </w:rPr>
        <w:t>日为购买日，已支付给北京青年御银科技有限责任公司的实收资本</w:t>
      </w:r>
      <w:r>
        <w:rPr>
          <w:rFonts w:ascii="Times New Roman" w:hAnsi="Times New Roman" w:cs="Times New Roman" w:eastAsia="Times New Roman" w:hint="default"/>
          <w:spacing w:val="-2"/>
        </w:rPr>
        <w:t>200</w:t>
      </w:r>
      <w:r>
        <w:rPr>
          <w:spacing w:val="-2"/>
        </w:rPr>
        <w:t>万人</w:t>
      </w:r>
      <w:r>
        <w:rPr>
          <w:spacing w:val="-58"/>
        </w:rPr>
        <w:t> </w:t>
      </w:r>
      <w:r>
        <w:rPr>
          <w:spacing w:val="-1"/>
        </w:rPr>
        <w:t>民币作为合并成本，北京青年御银科技有限责任公司</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31</w:t>
      </w:r>
      <w:r>
        <w:rPr>
          <w:spacing w:val="-1"/>
        </w:rPr>
        <w:t>日的账面净值</w:t>
      </w:r>
      <w:r>
        <w:rPr>
          <w:rFonts w:ascii="Times New Roman" w:hAnsi="Times New Roman" w:cs="Times New Roman" w:eastAsia="Times New Roman" w:hint="default"/>
          <w:spacing w:val="-1"/>
        </w:rPr>
        <w:t>1,715,199.29</w:t>
      </w:r>
      <w:r>
        <w:rPr>
          <w:spacing w:val="-1"/>
        </w:rPr>
        <w:t>元为在购买日的可辨认净资产公</w:t>
      </w:r>
      <w:r>
        <w:rPr>
          <w:spacing w:val="-66"/>
        </w:rPr>
        <w:t> </w:t>
      </w:r>
      <w:r>
        <w:rPr/>
        <w:t>允价值，两者的差额人民币</w:t>
      </w:r>
      <w:r>
        <w:rPr>
          <w:rFonts w:ascii="Times New Roman" w:hAnsi="Times New Roman" w:cs="Times New Roman" w:eastAsia="Times New Roman" w:hint="default"/>
        </w:rPr>
        <w:t>284,800.71</w:t>
      </w:r>
      <w:r>
        <w:rPr/>
        <w:t>元确认为与北京青年御银科技有限责任公司相关的商誉。</w:t>
      </w:r>
    </w:p>
    <w:p>
      <w:pPr>
        <w:pStyle w:val="BodyText"/>
        <w:spacing w:line="316" w:lineRule="auto" w:before="13"/>
        <w:ind w:left="392" w:right="0" w:firstLine="360"/>
        <w:jc w:val="left"/>
      </w:pPr>
      <w:r>
        <w:rPr>
          <w:spacing w:val="-2"/>
        </w:rPr>
        <w:t>②商誉减值测试的方法。北京青年御银有限责任公司期末只有极少量固定资产和无形资产，没有实质性的经营活动，不</w:t>
      </w:r>
      <w:r>
        <w:rPr/>
        <w:t> 产生营业收入，明显不存在商誉，故全额计提商誉减值准备。</w:t>
      </w:r>
    </w:p>
    <w:p>
      <w:pPr>
        <w:spacing w:line="240" w:lineRule="auto" w:before="10"/>
        <w:rPr>
          <w:rFonts w:ascii="宋体" w:hAnsi="宋体" w:cs="宋体" w:eastAsia="宋体" w:hint="default"/>
          <w:sz w:val="22"/>
          <w:szCs w:val="22"/>
        </w:rPr>
      </w:pPr>
    </w:p>
    <w:p>
      <w:pPr>
        <w:pStyle w:val="Heading3"/>
        <w:spacing w:line="240" w:lineRule="auto"/>
        <w:ind w:left="392" w:right="0"/>
        <w:jc w:val="left"/>
        <w:rPr>
          <w:b w:val="0"/>
          <w:bCs w:val="0"/>
        </w:rPr>
      </w:pPr>
      <w:r>
        <w:rPr>
          <w:rFonts w:ascii="Times New Roman" w:hAnsi="Times New Roman" w:cs="Times New Roman" w:eastAsia="Times New Roman" w:hint="default"/>
        </w:rPr>
        <w:t>18</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387"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459,966.00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646,079.37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585,592.54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520,452.83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维护费</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961,538.47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70,512.82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891,025.65</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459,966.00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1,607,617.84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656,105.36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1,411,478.48</w:t>
            </w:r>
          </w:p>
        </w:tc>
      </w:tr>
    </w:tbl>
    <w:p>
      <w:pPr>
        <w:spacing w:line="240" w:lineRule="auto" w:before="3"/>
        <w:rPr>
          <w:rFonts w:ascii="宋体" w:hAnsi="宋体" w:cs="宋体" w:eastAsia="宋体" w:hint="default"/>
          <w:sz w:val="19"/>
          <w:szCs w:val="19"/>
        </w:rPr>
      </w:pPr>
    </w:p>
    <w:p>
      <w:pPr>
        <w:pStyle w:val="Heading3"/>
        <w:spacing w:line="240" w:lineRule="auto" w:before="36"/>
        <w:ind w:left="392" w:right="0"/>
        <w:jc w:val="left"/>
        <w:rPr>
          <w:b w:val="0"/>
          <w:bCs w:val="0"/>
        </w:rPr>
      </w:pPr>
      <w:r>
        <w:rPr>
          <w:rFonts w:ascii="Times New Roman" w:hAnsi="Times New Roman" w:cs="Times New Roman" w:eastAsia="Times New Roman" w:hint="default"/>
        </w:rPr>
        <w:t>19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392"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387"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29,693,039.32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4,444,072.77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26,039,332.86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3,855,295.36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39,676,419.00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5,931,332.85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40,918,419.00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6,113,972.85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3,498,109.00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524,716.35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72,867,567.32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10,900,121.97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66,957,751.86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9,969,268.21</w:t>
            </w:r>
          </w:p>
        </w:tc>
      </w:tr>
    </w:tbl>
    <w:p>
      <w:pPr>
        <w:spacing w:line="240" w:lineRule="auto" w:before="3"/>
        <w:rPr>
          <w:rFonts w:ascii="宋体" w:hAnsi="宋体" w:cs="宋体" w:eastAsia="宋体" w:hint="default"/>
          <w:sz w:val="19"/>
          <w:szCs w:val="19"/>
        </w:rPr>
      </w:pPr>
    </w:p>
    <w:p>
      <w:pPr>
        <w:pStyle w:val="Heading3"/>
        <w:spacing w:line="240" w:lineRule="auto" w:before="36"/>
        <w:ind w:left="392"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40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77"/>
              <w:jc w:val="left"/>
              <w:rPr>
                <w:rFonts w:ascii="宋体" w:hAnsi="宋体" w:cs="宋体" w:eastAsia="宋体" w:hint="default"/>
                <w:sz w:val="18"/>
                <w:szCs w:val="18"/>
              </w:rPr>
            </w:pPr>
            <w:r>
              <w:rPr>
                <w:rFonts w:ascii="宋体" w:hAnsi="宋体" w:cs="宋体" w:eastAsia="宋体" w:hint="default"/>
                <w:sz w:val="18"/>
                <w:szCs w:val="18"/>
              </w:rPr>
              <w:t>可供出售金融资产公允 价值变动</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20,660,320.77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3,099,048.12</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4,822,414.47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723,362.17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23,398,406.08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3,547,634.95</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4,822,414.47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723,362.17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44,058,726.85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6,646,683.07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740" w:right="980"/>
        </w:sectPr>
      </w:pPr>
    </w:p>
    <w:p>
      <w:pPr>
        <w:spacing w:line="240" w:lineRule="auto" w:before="10"/>
        <w:rPr>
          <w:rFonts w:ascii="宋体" w:hAnsi="宋体" w:cs="宋体" w:eastAsia="宋体" w:hint="default"/>
          <w:sz w:val="24"/>
          <w:szCs w:val="24"/>
        </w:rPr>
      </w:pPr>
    </w:p>
    <w:p>
      <w:pPr>
        <w:pStyle w:val="Heading3"/>
        <w:spacing w:line="240" w:lineRule="auto" w:before="36"/>
        <w:ind w:right="146"/>
        <w:jc w:val="left"/>
        <w:rPr>
          <w:b w:val="0"/>
          <w:bCs w:val="0"/>
        </w:rPr>
      </w:pPr>
      <w:r>
        <w:rPr/>
        <w:t>（</w:t>
      </w:r>
      <w:r>
        <w:rPr>
          <w:rFonts w:ascii="Times New Roman" w:hAnsi="Times New Roman" w:cs="Times New Roman" w:eastAsia="Times New Roman" w:hint="default"/>
        </w:rPr>
        <w:t>3</w:t>
      </w:r>
      <w:r>
        <w:rPr/>
        <w:t>）本报告期无以抵销后净额列示的递延所得税资产或负债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6"/>
        <w:jc w:val="left"/>
        <w:rPr>
          <w:b w:val="0"/>
          <w:bCs w:val="0"/>
        </w:rPr>
      </w:pPr>
      <w:r>
        <w:rPr>
          <w:rFonts w:ascii="Times New Roman" w:hAnsi="Times New Roman" w:cs="Times New Roman" w:eastAsia="Times New Roman" w:hint="default"/>
        </w:rPr>
        <w:t>20</w:t>
      </w:r>
      <w:r>
        <w:rPr/>
        <w:t>、其他非流动资产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5,309,140.68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6,514,493.17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5,309,140.68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6,514,493.17</w:t>
            </w:r>
          </w:p>
        </w:tc>
      </w:tr>
    </w:tbl>
    <w:p>
      <w:pPr>
        <w:spacing w:line="240" w:lineRule="auto" w:before="3"/>
        <w:rPr>
          <w:rFonts w:ascii="宋体" w:hAnsi="宋体" w:cs="宋体" w:eastAsia="宋体" w:hint="default"/>
          <w:sz w:val="19"/>
          <w:szCs w:val="19"/>
        </w:rPr>
      </w:pPr>
    </w:p>
    <w:p>
      <w:pPr>
        <w:pStyle w:val="Heading3"/>
        <w:spacing w:line="240" w:lineRule="auto" w:before="36"/>
        <w:ind w:right="146"/>
        <w:jc w:val="left"/>
        <w:rPr>
          <w:b w:val="0"/>
          <w:bCs w:val="0"/>
        </w:rPr>
      </w:pPr>
      <w:r>
        <w:rPr>
          <w:rFonts w:ascii="Times New Roman" w:hAnsi="Times New Roman" w:cs="Times New Roman" w:eastAsia="Times New Roman" w:hint="default"/>
        </w:rPr>
        <w:t>21</w:t>
      </w:r>
      <w:r>
        <w:rPr/>
        <w:t>、衍生金融负债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240" w:lineRule="auto"/>
        <w:ind w:right="146"/>
        <w:jc w:val="left"/>
        <w:rPr>
          <w:b w:val="0"/>
          <w:bCs w:val="0"/>
        </w:rPr>
      </w:pPr>
      <w:r>
        <w:rPr>
          <w:rFonts w:ascii="Times New Roman" w:hAnsi="Times New Roman" w:cs="Times New Roman" w:eastAsia="Times New Roman" w:hint="default"/>
        </w:rPr>
        <w:t>22</w:t>
      </w:r>
      <w:r>
        <w:rPr/>
        <w:t>、应付票据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6,054,000.00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9,000,524.00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6,054,000.00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9,000,524.00</w:t>
            </w:r>
          </w:p>
        </w:tc>
      </w:tr>
    </w:tbl>
    <w:p>
      <w:pPr>
        <w:pStyle w:val="BodyText"/>
        <w:spacing w:line="240" w:lineRule="auto" w:before="49"/>
        <w:ind w:right="146"/>
        <w:jc w:val="left"/>
      </w:pPr>
      <w:r>
        <w:rPr/>
        <w:t>本期末已到期未支付的应付票据总额为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3"/>
        <w:spacing w:line="240" w:lineRule="auto"/>
        <w:ind w:right="146"/>
        <w:jc w:val="left"/>
        <w:rPr>
          <w:b w:val="0"/>
          <w:bCs w:val="0"/>
        </w:rPr>
      </w:pPr>
      <w:r>
        <w:rPr>
          <w:rFonts w:ascii="Times New Roman" w:hAnsi="Times New Roman" w:cs="Times New Roman" w:eastAsia="Times New Roman" w:hint="default"/>
        </w:rPr>
        <w:t>23</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6"/>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108,143,021.07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81,599,362.65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42,930.17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4,739,649.56</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34,196.31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30,316.81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1,150,801.66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1,120,784.85</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109,370,949.21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87,490,113.87</w:t>
            </w:r>
          </w:p>
        </w:tc>
      </w:tr>
    </w:tbl>
    <w:p>
      <w:pPr>
        <w:spacing w:line="240" w:lineRule="auto" w:before="3"/>
        <w:rPr>
          <w:rFonts w:ascii="宋体" w:hAnsi="宋体" w:cs="宋体" w:eastAsia="宋体" w:hint="default"/>
          <w:sz w:val="19"/>
          <w:szCs w:val="19"/>
        </w:rPr>
      </w:pPr>
    </w:p>
    <w:p>
      <w:pPr>
        <w:pStyle w:val="Heading3"/>
        <w:spacing w:line="240" w:lineRule="auto" w:before="36"/>
        <w:ind w:right="146"/>
        <w:jc w:val="left"/>
        <w:rPr>
          <w:b w:val="0"/>
          <w:bCs w:val="0"/>
        </w:rPr>
      </w:pPr>
      <w:r>
        <w:rPr/>
        <w:t>（</w:t>
      </w:r>
      <w:r>
        <w:rPr>
          <w:rFonts w:ascii="Times New Roman" w:hAnsi="Times New Roman" w:cs="Times New Roman" w:eastAsia="Times New Roman" w:hint="default"/>
        </w:rPr>
        <w:t>2</w:t>
      </w:r>
      <w:r>
        <w:rPr/>
        <w:t>）本报告期无账龄超过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6"/>
        <w:jc w:val="left"/>
        <w:rPr>
          <w:b w:val="0"/>
          <w:bCs w:val="0"/>
        </w:rPr>
      </w:pPr>
      <w:r>
        <w:rPr>
          <w:rFonts w:ascii="Times New Roman" w:hAnsi="Times New Roman" w:cs="Times New Roman" w:eastAsia="Times New Roman" w:hint="default"/>
        </w:rPr>
        <w:t>24</w:t>
      </w:r>
      <w:r>
        <w:rPr/>
        <w:t>、预收款项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46"/>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6,198,774.27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7,838,764.53</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4,719,947.10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379,664.72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6,578,438.99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12,558,711.63</w:t>
            </w:r>
          </w:p>
        </w:tc>
      </w:tr>
    </w:tbl>
    <w:p>
      <w:pPr>
        <w:spacing w:line="240" w:lineRule="auto" w:before="3"/>
        <w:rPr>
          <w:rFonts w:ascii="宋体" w:hAnsi="宋体" w:cs="宋体" w:eastAsia="宋体" w:hint="default"/>
          <w:sz w:val="19"/>
          <w:szCs w:val="19"/>
        </w:rPr>
      </w:pPr>
    </w:p>
    <w:p>
      <w:pPr>
        <w:pStyle w:val="Heading3"/>
        <w:spacing w:line="240" w:lineRule="auto" w:before="36"/>
        <w:ind w:right="146"/>
        <w:jc w:val="left"/>
        <w:rPr>
          <w:b w:val="0"/>
          <w:bCs w:val="0"/>
        </w:rPr>
      </w:pPr>
      <w:r>
        <w:rPr/>
        <w:t>（</w:t>
      </w:r>
      <w:r>
        <w:rPr>
          <w:rFonts w:ascii="Times New Roman" w:hAnsi="Times New Roman" w:cs="Times New Roman" w:eastAsia="Times New Roman" w:hint="default"/>
        </w:rPr>
        <w:t>2</w:t>
      </w:r>
      <w:r>
        <w:rPr/>
        <w:t>）本报告期无账龄超过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6"/>
        <w:jc w:val="left"/>
        <w:rPr>
          <w:b w:val="0"/>
          <w:bCs w:val="0"/>
        </w:rPr>
      </w:pPr>
      <w:r>
        <w:rPr>
          <w:rFonts w:ascii="Times New Roman" w:hAnsi="Times New Roman" w:cs="Times New Roman" w:eastAsia="Times New Roman" w:hint="default"/>
        </w:rPr>
        <w:t>25</w:t>
      </w:r>
      <w:r>
        <w:rPr/>
        <w:t>、应付职工薪酬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46"/>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7"/>
        <w:gridCol w:w="1802"/>
        <w:gridCol w:w="1791"/>
        <w:gridCol w:w="1791"/>
        <w:gridCol w:w="1790"/>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2,522,909.01</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112,114,584.56</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107,780,872.93</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6,856,620.64</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4"/>
                <w:sz w:val="18"/>
                <w:szCs w:val="18"/>
              </w:rPr>
              <w:t>二、离职后福利</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设定提存计划</w:t>
            </w:r>
          </w:p>
        </w:tc>
        <w:tc>
          <w:tcPr>
            <w:tcW w:w="1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5,315.15</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4,828,024.30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4,831,128.06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2,211.39</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2,528,224.16</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116,942,608.86</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112,612,000.99</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6,858,832.03</w:t>
            </w:r>
          </w:p>
        </w:tc>
      </w:tr>
    </w:tbl>
    <w:p>
      <w:pPr>
        <w:spacing w:line="240" w:lineRule="auto" w:before="3"/>
        <w:rPr>
          <w:rFonts w:ascii="宋体" w:hAnsi="宋体" w:cs="宋体" w:eastAsia="宋体" w:hint="default"/>
          <w:sz w:val="19"/>
          <w:szCs w:val="19"/>
        </w:rPr>
      </w:pPr>
    </w:p>
    <w:p>
      <w:pPr>
        <w:pStyle w:val="Heading3"/>
        <w:spacing w:line="240" w:lineRule="auto" w:before="36"/>
        <w:ind w:right="146"/>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2,501,582.62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107,045,897.24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102,741,104.34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6,806,375.52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605,020.70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578,370.70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26,650.00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4,431.72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3,003,504.27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3,005,771.54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2,164.45</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3,912.30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2,508,627.85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2,510,626.90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1,913.25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278,011.18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278,076.07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69.73</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193,093.88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193,218.57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181.47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重大疾病医疗补助</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78.64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23,771.36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23,850.00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659,276.00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654,740.00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4,536.00</w:t>
            </w:r>
          </w:p>
        </w:tc>
      </w:tr>
      <w:tr>
        <w:trPr>
          <w:trHeight w:val="716"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16,894.67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800,886.35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800,886.35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16,894.67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2,522,909.01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112,114,584.56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107,780,872.93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6,856,620.64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46"/>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5,104.28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4,492,742.60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4,495,756.76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2,090.12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335,281.70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335,371.30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121.27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5,315.15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4,828,024.30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4,831,128.06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2,211.39</w:t>
            </w:r>
          </w:p>
        </w:tc>
      </w:tr>
    </w:tbl>
    <w:p>
      <w:pPr>
        <w:spacing w:line="240" w:lineRule="auto" w:before="3"/>
        <w:rPr>
          <w:rFonts w:ascii="宋体" w:hAnsi="宋体" w:cs="宋体" w:eastAsia="宋体" w:hint="default"/>
          <w:sz w:val="19"/>
          <w:szCs w:val="19"/>
        </w:rPr>
      </w:pPr>
    </w:p>
    <w:p>
      <w:pPr>
        <w:pStyle w:val="Heading3"/>
        <w:spacing w:line="240" w:lineRule="auto" w:before="36"/>
        <w:ind w:right="146"/>
        <w:jc w:val="left"/>
        <w:rPr>
          <w:b w:val="0"/>
          <w:bCs w:val="0"/>
        </w:rPr>
      </w:pPr>
      <w:r>
        <w:rPr>
          <w:rFonts w:ascii="Times New Roman" w:hAnsi="Times New Roman" w:cs="Times New Roman" w:eastAsia="Times New Roman" w:hint="default"/>
        </w:rPr>
        <w:t>26</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37,754,980.23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8,224,544.34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5,542,816.70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4,860,057.39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161,890.70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115,127.62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1,152,126.28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232,448.12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822,947.35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166,048.71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296,648.95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460,375.24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91,200.00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45,837,610.21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14,058,601.42</w:t>
            </w:r>
          </w:p>
        </w:tc>
      </w:tr>
    </w:tbl>
    <w:p>
      <w:pPr>
        <w:spacing w:line="240" w:lineRule="auto" w:before="3"/>
        <w:rPr>
          <w:rFonts w:ascii="宋体" w:hAnsi="宋体" w:cs="宋体" w:eastAsia="宋体" w:hint="default"/>
          <w:sz w:val="19"/>
          <w:szCs w:val="19"/>
        </w:rPr>
      </w:pPr>
    </w:p>
    <w:p>
      <w:pPr>
        <w:pStyle w:val="Heading3"/>
        <w:spacing w:line="240" w:lineRule="auto" w:before="36"/>
        <w:ind w:right="146"/>
        <w:jc w:val="left"/>
        <w:rPr>
          <w:b w:val="0"/>
          <w:bCs w:val="0"/>
        </w:rPr>
      </w:pPr>
      <w:r>
        <w:rPr>
          <w:rFonts w:ascii="Times New Roman" w:hAnsi="Times New Roman" w:cs="Times New Roman" w:eastAsia="Times New Roman" w:hint="default"/>
        </w:rPr>
        <w:t>27</w:t>
      </w:r>
      <w:r>
        <w:rPr/>
        <w:t>、其他应付款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46"/>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1,373,308.41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3,206,732.70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97,752.79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115,372.39</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保证金</w:t>
            </w:r>
            <w:r>
              <w:rPr>
                <w:rFonts w:ascii="Times New Roman" w:hAnsi="Times New Roman" w:cs="Times New Roman" w:eastAsia="Times New Roman" w:hint="default"/>
                <w:sz w:val="18"/>
                <w:szCs w:val="18"/>
              </w:rPr>
              <w:t>/</w:t>
            </w: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2,860,390.00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2,833,715.13</w:t>
            </w:r>
          </w:p>
        </w:tc>
      </w:tr>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暂估费用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5,439,953.14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6,976,418.36</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车辆保险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206,265.09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354,294.40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712,681.76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4,053,251.89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10,690,351.19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17,539,784.87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94"/>
        <w:jc w:val="left"/>
        <w:rPr>
          <w:b w:val="0"/>
          <w:bCs w:val="0"/>
        </w:rPr>
      </w:pPr>
      <w:r>
        <w:rPr/>
        <w:t>（</w:t>
      </w:r>
      <w:r>
        <w:rPr>
          <w:rFonts w:ascii="Times New Roman" w:hAnsi="Times New Roman" w:cs="Times New Roman" w:eastAsia="Times New Roman" w:hint="default"/>
        </w:rPr>
        <w:t>2</w:t>
      </w:r>
      <w:r>
        <w:rPr/>
        <w:t>）期末无账龄超过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28</w:t>
      </w:r>
      <w:r>
        <w:rPr/>
        <w:t>、长期借款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保证并抵押借款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17,837,604.21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43,548,591.89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17,837,604.21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43,548,591.89</w:t>
            </w:r>
          </w:p>
        </w:tc>
      </w:tr>
    </w:tbl>
    <w:p>
      <w:pPr>
        <w:pStyle w:val="BodyText"/>
        <w:spacing w:line="357" w:lineRule="auto" w:before="49"/>
        <w:ind w:left="513" w:right="273" w:hanging="361"/>
        <w:jc w:val="left"/>
        <w:rPr>
          <w:rFonts w:ascii="Times New Roman" w:hAnsi="Times New Roman" w:cs="Times New Roman" w:eastAsia="Times New Roman" w:hint="default"/>
        </w:rPr>
      </w:pPr>
      <w:r>
        <w:rPr/>
        <w:t>长期借款分类的说明： 子公司广州御银自动柜员机技术有限公司与中国工商银行股份有限公司广州工业大道支行签订了编号为工业支行</w:t>
      </w:r>
      <w:r>
        <w:rPr>
          <w:rFonts w:ascii="Times New Roman" w:hAnsi="Times New Roman" w:cs="Times New Roman" w:eastAsia="Times New Roman" w:hint="default"/>
        </w:rPr>
        <w:t>2012</w:t>
      </w:r>
    </w:p>
    <w:p>
      <w:pPr>
        <w:pStyle w:val="BodyText"/>
        <w:spacing w:line="215" w:lineRule="exact"/>
        <w:ind w:right="0"/>
        <w:jc w:val="left"/>
      </w:pPr>
      <w:r>
        <w:rPr/>
        <w:t>年项借字第</w:t>
      </w:r>
      <w:r>
        <w:rPr>
          <w:rFonts w:ascii="Times New Roman" w:hAnsi="Times New Roman" w:cs="Times New Roman" w:eastAsia="Times New Roman" w:hint="default"/>
        </w:rPr>
        <w:t>006</w:t>
      </w:r>
      <w:r>
        <w:rPr/>
        <w:t>号的固定资产借款合同，本合同项下借款额度为人民币</w:t>
      </w:r>
      <w:r>
        <w:rPr>
          <w:rFonts w:ascii="Times New Roman" w:hAnsi="Times New Roman" w:cs="Times New Roman" w:eastAsia="Times New Roman" w:hint="default"/>
        </w:rPr>
        <w:t>8,500.00</w:t>
      </w:r>
      <w:r>
        <w:rPr/>
        <w:t>万元，用途为“柜员机产能扩充”项目建设，</w:t>
      </w:r>
    </w:p>
    <w:p>
      <w:pPr>
        <w:pStyle w:val="BodyText"/>
        <w:spacing w:line="300" w:lineRule="auto" w:before="63"/>
        <w:ind w:right="94"/>
        <w:jc w:val="left"/>
      </w:pPr>
      <w:r>
        <w:rPr>
          <w:spacing w:val="-2"/>
        </w:rPr>
        <w:t>期限为</w:t>
      </w:r>
      <w:r>
        <w:rPr>
          <w:rFonts w:ascii="Times New Roman" w:hAnsi="Times New Roman" w:cs="Times New Roman" w:eastAsia="Times New Roman" w:hint="default"/>
          <w:spacing w:val="-2"/>
        </w:rPr>
        <w:t>5</w:t>
      </w:r>
      <w:r>
        <w:rPr>
          <w:spacing w:val="-2"/>
        </w:rPr>
        <w:t>年。杨文江、广州御银科技股份有限公司为其提供担保；另以科学城土地使用权（穗府国用第</w:t>
      </w:r>
      <w:r>
        <w:rPr>
          <w:rFonts w:ascii="Times New Roman" w:hAnsi="Times New Roman" w:cs="Times New Roman" w:eastAsia="Times New Roman" w:hint="default"/>
          <w:spacing w:val="-2"/>
        </w:rPr>
        <w:t>05000060</w:t>
      </w:r>
      <w:r>
        <w:rPr>
          <w:spacing w:val="-2"/>
        </w:rPr>
        <w:t>号）作抵押，</w:t>
      </w:r>
      <w:r>
        <w:rPr>
          <w:spacing w:val="-59"/>
        </w:rPr>
        <w:t> </w:t>
      </w:r>
      <w:r>
        <w:rPr>
          <w:spacing w:val="-59"/>
        </w:rPr>
      </w:r>
      <w:r>
        <w:rPr/>
        <w:t>抵押物原值</w:t>
      </w:r>
      <w:r>
        <w:rPr>
          <w:rFonts w:ascii="Times New Roman" w:hAnsi="Times New Roman" w:cs="Times New Roman" w:eastAsia="Times New Roman" w:hint="default"/>
        </w:rPr>
        <w:t>9,270,000.00</w:t>
      </w:r>
      <w:r>
        <w:rPr>
          <w:rFonts w:ascii="Times New Roman" w:hAnsi="Times New Roman" w:cs="Times New Roman" w:eastAsia="Times New Roman" w:hint="default"/>
          <w:spacing w:val="36"/>
        </w:rPr>
        <w:t> </w:t>
      </w:r>
      <w:r>
        <w:rPr/>
        <w:t>元，截至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日抵押物净值</w:t>
      </w:r>
      <w:r>
        <w:rPr>
          <w:rFonts w:ascii="Times New Roman" w:hAnsi="Times New Roman" w:cs="Times New Roman" w:eastAsia="Times New Roman" w:hint="default"/>
        </w:rPr>
        <w:t>8,497,500.00</w:t>
      </w:r>
      <w:r>
        <w:rPr/>
        <w:t>元。</w:t>
      </w:r>
    </w:p>
    <w:p>
      <w:pPr>
        <w:pStyle w:val="BodyText"/>
        <w:spacing w:line="300" w:lineRule="auto" w:before="13"/>
        <w:ind w:right="184" w:firstLine="360"/>
        <w:jc w:val="left"/>
      </w:pPr>
      <w:r>
        <w:rPr/>
        <w:t>公司与中国工商银行股份有限公司广州工业大道支行签订了编号为工业支行</w:t>
      </w:r>
      <w:r>
        <w:rPr>
          <w:rFonts w:ascii="Times New Roman" w:hAnsi="Times New Roman" w:cs="Times New Roman" w:eastAsia="Times New Roman" w:hint="default"/>
        </w:rPr>
        <w:t>2013</w:t>
      </w:r>
      <w:r>
        <w:rPr/>
        <w:t>年项借字第</w:t>
      </w:r>
      <w:r>
        <w:rPr>
          <w:rFonts w:ascii="Times New Roman" w:hAnsi="Times New Roman" w:cs="Times New Roman" w:eastAsia="Times New Roman" w:hint="default"/>
        </w:rPr>
        <w:t>006</w:t>
      </w:r>
      <w:r>
        <w:rPr/>
        <w:t>号的固定资产借款合 同，本合同项下借款额度为人民币</w:t>
      </w:r>
      <w:r>
        <w:rPr>
          <w:rFonts w:ascii="Times New Roman" w:hAnsi="Times New Roman" w:cs="Times New Roman" w:eastAsia="Times New Roman" w:hint="default"/>
        </w:rPr>
        <w:t>13,000.00</w:t>
      </w:r>
      <w:r>
        <w:rPr/>
        <w:t>万元，用途为“御银科技园”项目建设，期限为</w:t>
      </w:r>
      <w:r>
        <w:rPr>
          <w:rFonts w:ascii="Times New Roman" w:hAnsi="Times New Roman" w:cs="Times New Roman" w:eastAsia="Times New Roman" w:hint="default"/>
        </w:rPr>
        <w:t>5</w:t>
      </w:r>
      <w:r>
        <w:rPr/>
        <w:t>年。子公司广州御银自动柜员 </w:t>
      </w:r>
      <w:r>
        <w:rPr>
          <w:spacing w:val="-2"/>
        </w:rPr>
        <w:t>机技术有限公司为其提供担保；另以天河区软件园高唐新建区高唐大道地段科教用地土地使用权（穗府国用</w:t>
      </w:r>
      <w:r>
        <w:rPr>
          <w:rFonts w:ascii="Times New Roman" w:hAnsi="Times New Roman" w:cs="Times New Roman" w:eastAsia="Times New Roman" w:hint="default"/>
          <w:spacing w:val="-2"/>
        </w:rPr>
        <w:t>2011</w:t>
      </w:r>
      <w:r>
        <w:rPr>
          <w:spacing w:val="-2"/>
        </w:rPr>
        <w:t>第</w:t>
      </w:r>
      <w:r>
        <w:rPr>
          <w:rFonts w:ascii="Times New Roman" w:hAnsi="Times New Roman" w:cs="Times New Roman" w:eastAsia="Times New Roman" w:hint="default"/>
          <w:spacing w:val="-2"/>
        </w:rPr>
        <w:t>01100110</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t>号）作抵押，抵押物原值</w:t>
      </w:r>
      <w:r>
        <w:rPr>
          <w:rFonts w:ascii="Times New Roman" w:hAnsi="Times New Roman" w:cs="Times New Roman" w:eastAsia="Times New Roman" w:hint="default"/>
        </w:rPr>
        <w:t>29,901,342.00</w:t>
      </w:r>
      <w:r>
        <w:rPr/>
        <w:t>元，截至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日抵押物净值</w:t>
      </w:r>
      <w:r>
        <w:rPr>
          <w:rFonts w:ascii="Times New Roman" w:hAnsi="Times New Roman" w:cs="Times New Roman" w:eastAsia="Times New Roman" w:hint="default"/>
        </w:rPr>
        <w:t>27,808,248.07</w:t>
      </w:r>
      <w:r>
        <w:rPr/>
        <w:t>元。</w:t>
      </w:r>
    </w:p>
    <w:p>
      <w:pPr>
        <w:spacing w:line="240" w:lineRule="auto" w:before="4"/>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29</w:t>
      </w:r>
      <w:r>
        <w:rPr/>
        <w:t>、预计负债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6"/>
        <w:gridCol w:w="2407"/>
        <w:gridCol w:w="2393"/>
        <w:gridCol w:w="2381"/>
      </w:tblGrid>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39,676,419.00</w:t>
            </w:r>
          </w:p>
        </w:tc>
        <w:tc>
          <w:tcPr>
            <w:tcW w:w="2393" w:type="dxa"/>
            <w:tcBorders>
              <w:top w:val="single" w:sz="4" w:space="0" w:color="000000"/>
              <w:left w:val="single" w:sz="4" w:space="0" w:color="000000"/>
              <w:bottom w:val="single" w:sz="4" w:space="0" w:color="000000"/>
              <w:right w:val="single" w:sz="13" w:space="0" w:color="C7EBCC"/>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40,918,419.00</w:t>
            </w:r>
          </w:p>
        </w:tc>
        <w:tc>
          <w:tcPr>
            <w:tcW w:w="238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维护</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39,676,419.00</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40,918,419.00</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94"/>
        <w:jc w:val="left"/>
        <w:rPr>
          <w:b w:val="0"/>
          <w:bCs w:val="0"/>
        </w:rPr>
      </w:pPr>
      <w:r>
        <w:rPr>
          <w:rFonts w:ascii="Times New Roman" w:hAnsi="Times New Roman" w:cs="Times New Roman" w:eastAsia="Times New Roman" w:hint="default"/>
        </w:rPr>
        <w:t>30</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1"/>
        <w:jc w:val="right"/>
      </w:pPr>
      <w:r>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10"/>
        <w:gridCol w:w="1184"/>
        <w:gridCol w:w="1195"/>
        <w:gridCol w:w="1198"/>
        <w:gridCol w:w="1195"/>
        <w:gridCol w:w="1185"/>
        <w:gridCol w:w="1208"/>
      </w:tblGrid>
      <w:tr>
        <w:trPr>
          <w:trHeight w:val="205"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7"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27" w:right="0"/>
              <w:jc w:val="left"/>
              <w:rPr>
                <w:rFonts w:ascii="Times New Roman" w:hAnsi="Times New Roman" w:cs="Times New Roman" w:eastAsia="Times New Roman" w:hint="default"/>
                <w:sz w:val="18"/>
                <w:szCs w:val="18"/>
              </w:rPr>
            </w:pPr>
            <w:r>
              <w:rPr>
                <w:rFonts w:ascii="Times New Roman"/>
                <w:sz w:val="18"/>
              </w:rPr>
              <w:t>761,191,294.00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 w:right="0"/>
              <w:jc w:val="left"/>
              <w:rPr>
                <w:rFonts w:ascii="Times New Roman" w:hAnsi="Times New Roman" w:cs="Times New Roman" w:eastAsia="Times New Roman" w:hint="default"/>
                <w:sz w:val="18"/>
                <w:szCs w:val="18"/>
              </w:rPr>
            </w:pPr>
            <w:r>
              <w:rPr>
                <w:rFonts w:ascii="Times New Roman"/>
                <w:sz w:val="18"/>
              </w:rPr>
              <w:t>761,191,294.00</w:t>
            </w:r>
          </w:p>
        </w:tc>
      </w:tr>
    </w:tbl>
    <w:p>
      <w:pPr>
        <w:spacing w:line="240" w:lineRule="auto" w:before="3"/>
        <w:rPr>
          <w:rFonts w:ascii="宋体" w:hAnsi="宋体" w:cs="宋体" w:eastAsia="宋体" w:hint="default"/>
          <w:sz w:val="19"/>
          <w:szCs w:val="19"/>
        </w:rPr>
      </w:pPr>
    </w:p>
    <w:p>
      <w:pPr>
        <w:pStyle w:val="Heading3"/>
        <w:spacing w:line="240" w:lineRule="auto" w:before="36"/>
        <w:ind w:right="94"/>
        <w:jc w:val="left"/>
        <w:rPr>
          <w:b w:val="0"/>
          <w:bCs w:val="0"/>
        </w:rPr>
      </w:pPr>
      <w:r>
        <w:rPr>
          <w:rFonts w:ascii="Times New Roman" w:hAnsi="Times New Roman" w:cs="Times New Roman" w:eastAsia="Times New Roman" w:hint="default"/>
        </w:rPr>
        <w:t>31</w:t>
      </w:r>
      <w:r>
        <w:rPr/>
        <w:t>、资本公积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7"/>
        <w:gridCol w:w="1802"/>
        <w:gridCol w:w="1791"/>
        <w:gridCol w:w="1791"/>
        <w:gridCol w:w="1790"/>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24,535,631.59</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4,309,371.69</w:t>
            </w:r>
          </w:p>
        </w:tc>
        <w:tc>
          <w:tcPr>
            <w:tcW w:w="1791"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28,845,003.28</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4,115,497.69</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1,028,418.00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1" w:right="0"/>
              <w:jc w:val="left"/>
              <w:rPr>
                <w:rFonts w:ascii="Times New Roman" w:hAnsi="Times New Roman" w:cs="Times New Roman" w:eastAsia="Times New Roman" w:hint="default"/>
                <w:sz w:val="18"/>
                <w:szCs w:val="18"/>
              </w:rPr>
            </w:pPr>
            <w:r>
              <w:rPr>
                <w:rFonts w:ascii="Times New Roman"/>
                <w:sz w:val="18"/>
              </w:rPr>
              <w:t>4,309,371.69</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834,544.00</w:t>
            </w:r>
          </w:p>
        </w:tc>
      </w:tr>
    </w:tbl>
    <w:p>
      <w:pPr>
        <w:spacing w:after="0" w:line="240" w:lineRule="auto"/>
        <w:jc w:val="right"/>
        <w:rPr>
          <w:rFonts w:ascii="Times New Roman" w:hAnsi="Times New Roman" w:cs="Times New Roman" w:eastAsia="Times New Roman" w:hint="default"/>
          <w:sz w:val="18"/>
          <w:szCs w:val="18"/>
        </w:rPr>
        <w:sectPr>
          <w:footerReference w:type="default" r:id="rId22"/>
          <w:pgSz w:w="11910" w:h="16840"/>
          <w:pgMar w:footer="980" w:header="745" w:top="1060" w:bottom="1160" w:left="980" w:right="940"/>
          <w:pgNumType w:start="110"/>
        </w:sectPr>
      </w:pPr>
    </w:p>
    <w:p>
      <w:pPr>
        <w:spacing w:line="240" w:lineRule="auto" w:before="6"/>
        <w:rPr>
          <w:rFonts w:ascii="宋体" w:hAnsi="宋体" w:cs="宋体" w:eastAsia="宋体" w:hint="default"/>
          <w:sz w:val="28"/>
          <w:szCs w:val="28"/>
        </w:rPr>
      </w:pPr>
    </w:p>
    <w:tbl>
      <w:tblPr>
        <w:tblW w:w="0" w:type="auto"/>
        <w:jc w:val="left"/>
        <w:tblInd w:w="669" w:type="dxa"/>
        <w:tblLayout w:type="fixed"/>
        <w:tblCellMar>
          <w:top w:w="0" w:type="dxa"/>
          <w:left w:w="0" w:type="dxa"/>
          <w:bottom w:w="0" w:type="dxa"/>
          <w:right w:w="0" w:type="dxa"/>
        </w:tblCellMar>
        <w:tblLook w:val="01E0"/>
      </w:tblPr>
      <w:tblGrid>
        <w:gridCol w:w="2409"/>
        <w:gridCol w:w="1791"/>
        <w:gridCol w:w="1791"/>
        <w:gridCol w:w="1791"/>
        <w:gridCol w:w="1790"/>
      </w:tblGrid>
      <w:tr>
        <w:trPr>
          <w:trHeight w:val="401" w:hRule="exact"/>
        </w:trPr>
        <w:tc>
          <w:tcPr>
            <w:tcW w:w="240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）原制度资本公积转入</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834,544.00</w:t>
            </w:r>
          </w:p>
        </w:tc>
        <w:tc>
          <w:tcPr>
            <w:tcW w:w="1791"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834,544.00</w:t>
            </w:r>
          </w:p>
        </w:tc>
      </w:tr>
      <w:tr>
        <w:trPr>
          <w:trHeight w:val="404" w:hRule="exact"/>
        </w:trPr>
        <w:tc>
          <w:tcPr>
            <w:tcW w:w="240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）以权益结算的股份支付</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3,280,953.69</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1,028,418.00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4,309,371.69</w:t>
            </w:r>
          </w:p>
        </w:tc>
        <w:tc>
          <w:tcPr>
            <w:tcW w:w="17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28,651,129.28</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5,337,789.69</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4,309,371.69</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29,679,547.28</w:t>
            </w:r>
          </w:p>
        </w:tc>
      </w:tr>
    </w:tbl>
    <w:p>
      <w:pPr>
        <w:pStyle w:val="BodyText"/>
        <w:spacing w:line="240" w:lineRule="auto" w:before="49"/>
        <w:ind w:left="672" w:right="0"/>
        <w:jc w:val="left"/>
      </w:pPr>
      <w:r>
        <w:rPr/>
        <w:t>其他说明，包括本期增减变动情况、变动原因说明：</w:t>
      </w:r>
    </w:p>
    <w:p>
      <w:pPr>
        <w:pStyle w:val="BodyText"/>
        <w:spacing w:line="240" w:lineRule="auto" w:before="115"/>
        <w:ind w:left="672"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年终止实施股权激励计划，将已确认的其他资本公积</w:t>
      </w:r>
      <w:r>
        <w:rPr>
          <w:rFonts w:ascii="Times New Roman" w:hAnsi="Times New Roman" w:cs="Times New Roman" w:eastAsia="Times New Roman" w:hint="default"/>
        </w:rPr>
        <w:t>4,309,371.69</w:t>
      </w:r>
      <w:r>
        <w:rPr/>
        <w:t>元全部转到资本溢价。</w:t>
      </w:r>
    </w:p>
    <w:p>
      <w:pPr>
        <w:pStyle w:val="BodyText"/>
        <w:spacing w:line="240" w:lineRule="auto" w:before="63"/>
        <w:ind w:left="672" w:right="0"/>
        <w:jc w:val="left"/>
      </w:pPr>
      <w:r>
        <w:rPr/>
        <w:t>（</w:t>
      </w:r>
      <w:r>
        <w:rPr>
          <w:rFonts w:ascii="Times New Roman" w:hAnsi="Times New Roman" w:cs="Times New Roman" w:eastAsia="Times New Roman" w:hint="default"/>
        </w:rPr>
        <w:t>2</w:t>
      </w:r>
      <w:r>
        <w:rPr/>
        <w:t>）股份支付详见财务报告十二、股份支付。</w:t>
      </w:r>
    </w:p>
    <w:p>
      <w:pPr>
        <w:spacing w:line="240" w:lineRule="auto" w:before="2"/>
        <w:rPr>
          <w:rFonts w:ascii="宋体" w:hAnsi="宋体" w:cs="宋体" w:eastAsia="宋体" w:hint="default"/>
          <w:sz w:val="26"/>
          <w:szCs w:val="26"/>
        </w:rPr>
      </w:pPr>
    </w:p>
    <w:p>
      <w:pPr>
        <w:pStyle w:val="Heading3"/>
        <w:spacing w:line="240" w:lineRule="auto"/>
        <w:ind w:left="672" w:right="0"/>
        <w:jc w:val="left"/>
        <w:rPr>
          <w:b w:val="0"/>
          <w:bCs w:val="0"/>
        </w:rPr>
      </w:pPr>
      <w:r>
        <w:rPr>
          <w:rFonts w:ascii="Times New Roman" w:hAnsi="Times New Roman" w:cs="Times New Roman" w:eastAsia="Times New Roman" w:hint="default"/>
        </w:rPr>
        <w:t>32</w:t>
      </w:r>
      <w:r>
        <w:rPr/>
        <w:t>、其他综合收益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6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378"/>
        <w:gridCol w:w="1159"/>
        <w:gridCol w:w="1133"/>
        <w:gridCol w:w="1277"/>
        <w:gridCol w:w="708"/>
        <w:gridCol w:w="1277"/>
        <w:gridCol w:w="991"/>
        <w:gridCol w:w="852"/>
      </w:tblGrid>
      <w:tr>
        <w:trPr>
          <w:trHeight w:val="398" w:hRule="exact"/>
        </w:trPr>
        <w:tc>
          <w:tcPr>
            <w:tcW w:w="3378" w:type="dxa"/>
            <w:vMerge w:val="restart"/>
            <w:tcBorders>
              <w:top w:val="single" w:sz="4" w:space="0" w:color="000000"/>
              <w:left w:val="single" w:sz="4" w:space="0" w:color="000000"/>
              <w:right w:val="single" w:sz="4" w:space="0" w:color="000000"/>
            </w:tcBorders>
            <w:shd w:val="clear" w:color="auto" w:fill="D2D2D2"/>
          </w:tcPr>
          <w:p>
            <w:pPr/>
          </w:p>
        </w:tc>
        <w:tc>
          <w:tcPr>
            <w:tcW w:w="1159" w:type="dxa"/>
            <w:vMerge w:val="restart"/>
            <w:tcBorders>
              <w:top w:val="single" w:sz="4" w:space="0" w:color="000000"/>
              <w:left w:val="single" w:sz="4" w:space="0" w:color="000000"/>
              <w:right w:val="single" w:sz="4" w:space="0" w:color="000000"/>
            </w:tcBorders>
            <w:shd w:val="clear" w:color="auto" w:fill="D2D2D2"/>
          </w:tcPr>
          <w:p>
            <w:pPr/>
          </w:p>
        </w:tc>
        <w:tc>
          <w:tcPr>
            <w:tcW w:w="538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852" w:type="dxa"/>
            <w:vMerge w:val="restart"/>
            <w:tcBorders>
              <w:top w:val="single" w:sz="4" w:space="0" w:color="000000"/>
              <w:left w:val="single" w:sz="4" w:space="0" w:color="000000"/>
              <w:right w:val="single" w:sz="4" w:space="0" w:color="000000"/>
            </w:tcBorders>
            <w:shd w:val="clear" w:color="auto" w:fill="D2D2D2"/>
          </w:tcPr>
          <w:p>
            <w:pPr/>
          </w:p>
        </w:tc>
      </w:tr>
      <w:tr>
        <w:trPr>
          <w:trHeight w:val="143" w:hRule="exact"/>
        </w:trPr>
        <w:tc>
          <w:tcPr>
            <w:tcW w:w="3378" w:type="dxa"/>
            <w:vMerge/>
            <w:tcBorders>
              <w:left w:val="single" w:sz="4" w:space="0" w:color="000000"/>
              <w:bottom w:val="nil" w:sz="6" w:space="0" w:color="auto"/>
              <w:right w:val="single" w:sz="4" w:space="0" w:color="000000"/>
            </w:tcBorders>
            <w:shd w:val="clear" w:color="auto" w:fill="D2D2D2"/>
          </w:tcPr>
          <w:p>
            <w:pPr/>
          </w:p>
        </w:tc>
        <w:tc>
          <w:tcPr>
            <w:tcW w:w="1159" w:type="dxa"/>
            <w:vMerge/>
            <w:tcBorders>
              <w:left w:val="single" w:sz="4" w:space="0" w:color="000000"/>
              <w:bottom w:val="nil" w:sz="6" w:space="0" w:color="auto"/>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23" w:right="22"/>
              <w:jc w:val="center"/>
              <w:rPr>
                <w:rFonts w:ascii="宋体" w:hAnsi="宋体" w:cs="宋体" w:eastAsia="宋体" w:hint="default"/>
                <w:sz w:val="18"/>
                <w:szCs w:val="18"/>
              </w:rPr>
            </w:pPr>
            <w:r>
              <w:rPr>
                <w:rFonts w:ascii="宋体" w:hAnsi="宋体" w:cs="宋体" w:eastAsia="宋体" w:hint="default"/>
                <w:spacing w:val="-6"/>
                <w:sz w:val="18"/>
                <w:szCs w:val="18"/>
              </w:rPr>
              <w:t>减：前期计入其</w:t>
            </w:r>
            <w:r>
              <w:rPr>
                <w:rFonts w:ascii="宋体" w:hAnsi="宋体" w:cs="宋体" w:eastAsia="宋体" w:hint="default"/>
                <w:sz w:val="18"/>
                <w:szCs w:val="18"/>
              </w:rPr>
              <w:t> 他综合收益当 期转入损益</w:t>
            </w: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r>
      <w:tr>
        <w:trPr>
          <w:trHeight w:val="369" w:hRule="exact"/>
        </w:trPr>
        <w:tc>
          <w:tcPr>
            <w:tcW w:w="3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2"/>
              <w:ind w:left="201" w:right="108" w:hanging="89"/>
              <w:jc w:val="left"/>
              <w:rPr>
                <w:rFonts w:ascii="宋体" w:hAnsi="宋体" w:cs="宋体" w:eastAsia="宋体" w:hint="default"/>
                <w:sz w:val="18"/>
                <w:szCs w:val="18"/>
              </w:rPr>
            </w:pPr>
            <w:r>
              <w:rPr>
                <w:rFonts w:ascii="宋体" w:hAnsi="宋体" w:cs="宋体" w:eastAsia="宋体" w:hint="default"/>
                <w:sz w:val="18"/>
                <w:szCs w:val="18"/>
              </w:rPr>
              <w:t>本期所得税 前发生额</w:t>
            </w:r>
          </w:p>
        </w:tc>
        <w:tc>
          <w:tcPr>
            <w:tcW w:w="1277" w:type="dxa"/>
            <w:vMerge/>
            <w:tcBorders>
              <w:left w:val="single" w:sz="4" w:space="0" w:color="000000"/>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2"/>
              <w:ind w:left="79" w:right="19" w:hanging="56"/>
              <w:jc w:val="left"/>
              <w:rPr>
                <w:rFonts w:ascii="宋体" w:hAnsi="宋体" w:cs="宋体" w:eastAsia="宋体" w:hint="default"/>
                <w:sz w:val="18"/>
                <w:szCs w:val="18"/>
              </w:rPr>
            </w:pPr>
            <w:r>
              <w:rPr>
                <w:rFonts w:ascii="宋体" w:hAnsi="宋体" w:cs="宋体" w:eastAsia="宋体" w:hint="default"/>
                <w:spacing w:val="-17"/>
                <w:sz w:val="18"/>
                <w:szCs w:val="18"/>
              </w:rPr>
              <w:t>减：所得</w:t>
            </w:r>
            <w:r>
              <w:rPr>
                <w:rFonts w:ascii="宋体" w:hAnsi="宋体" w:cs="宋体" w:eastAsia="宋体" w:hint="default"/>
                <w:sz w:val="18"/>
                <w:szCs w:val="18"/>
              </w:rPr>
              <w:t> 税费用</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2"/>
              <w:ind w:left="453" w:right="92" w:hanging="360"/>
              <w:jc w:val="left"/>
              <w:rPr>
                <w:rFonts w:ascii="宋体" w:hAnsi="宋体" w:cs="宋体" w:eastAsia="宋体" w:hint="default"/>
                <w:sz w:val="18"/>
                <w:szCs w:val="18"/>
              </w:rPr>
            </w:pPr>
            <w:r>
              <w:rPr>
                <w:rFonts w:ascii="宋体" w:hAnsi="宋体" w:cs="宋体" w:eastAsia="宋体" w:hint="default"/>
                <w:sz w:val="18"/>
                <w:szCs w:val="18"/>
              </w:rPr>
              <w:t>税后归属于母 公司</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2"/>
              <w:ind w:left="132" w:right="38" w:hanging="92"/>
              <w:jc w:val="left"/>
              <w:rPr>
                <w:rFonts w:ascii="宋体" w:hAnsi="宋体" w:cs="宋体" w:eastAsia="宋体" w:hint="default"/>
                <w:sz w:val="18"/>
                <w:szCs w:val="18"/>
              </w:rPr>
            </w:pPr>
            <w:r>
              <w:rPr>
                <w:rFonts w:ascii="宋体" w:hAnsi="宋体" w:cs="宋体" w:eastAsia="宋体" w:hint="default"/>
                <w:sz w:val="18"/>
                <w:szCs w:val="18"/>
              </w:rPr>
              <w:t>税后归属于 少数股东</w:t>
            </w:r>
          </w:p>
        </w:tc>
        <w:tc>
          <w:tcPr>
            <w:tcW w:w="8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3378" w:type="dxa"/>
            <w:vMerge w:val="restart"/>
            <w:tcBorders>
              <w:top w:val="nil" w:sz="6" w:space="0" w:color="auto"/>
              <w:left w:val="single" w:sz="4" w:space="0" w:color="000000"/>
              <w:right w:val="single" w:sz="4" w:space="0" w:color="000000"/>
            </w:tcBorders>
            <w:shd w:val="clear" w:color="auto" w:fill="D2D2D2"/>
          </w:tcPr>
          <w:p>
            <w:pPr/>
          </w:p>
        </w:tc>
        <w:tc>
          <w:tcPr>
            <w:tcW w:w="1159" w:type="dxa"/>
            <w:vMerge w:val="restart"/>
            <w:tcBorders>
              <w:top w:val="nil" w:sz="6" w:space="0" w:color="auto"/>
              <w:left w:val="single" w:sz="4" w:space="0" w:color="000000"/>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3378" w:type="dxa"/>
            <w:vMerge/>
            <w:tcBorders>
              <w:left w:val="single" w:sz="4" w:space="0" w:color="000000"/>
              <w:bottom w:val="single" w:sz="4" w:space="0" w:color="000000"/>
              <w:right w:val="single" w:sz="4" w:space="0" w:color="000000"/>
            </w:tcBorders>
            <w:shd w:val="clear" w:color="auto" w:fill="D2D2D2"/>
          </w:tcPr>
          <w:p>
            <w:pPr/>
          </w:p>
        </w:tc>
        <w:tc>
          <w:tcPr>
            <w:tcW w:w="1159"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115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17,543,598.68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1,431.88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17,561,272.66</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-17,559,840.78</w:t>
            </w: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-16,242.10</w:t>
            </w:r>
          </w:p>
        </w:tc>
      </w:tr>
      <w:tr>
        <w:trPr>
          <w:trHeight w:val="401" w:hRule="exact"/>
        </w:trPr>
        <w:tc>
          <w:tcPr>
            <w:tcW w:w="3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可供出售金融资产公允价值变动损益</w:t>
            </w:r>
          </w:p>
        </w:tc>
        <w:tc>
          <w:tcPr>
            <w:tcW w:w="115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17,561,272.66</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17,561,272.66</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-17,561,272.66</w:t>
            </w: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15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-17,673.98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1,431.88</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1,431.88</w:t>
            </w: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-16,242.10</w:t>
            </w:r>
          </w:p>
        </w:tc>
      </w:tr>
      <w:tr>
        <w:trPr>
          <w:trHeight w:val="401" w:hRule="exact"/>
        </w:trPr>
        <w:tc>
          <w:tcPr>
            <w:tcW w:w="3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15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17,543,598.68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1,431.88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17,561,272.66</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-17,559,840.78</w:t>
            </w: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-16,242.10</w:t>
            </w:r>
          </w:p>
        </w:tc>
      </w:tr>
    </w:tbl>
    <w:p>
      <w:pPr>
        <w:spacing w:line="240" w:lineRule="auto" w:before="3"/>
        <w:rPr>
          <w:rFonts w:ascii="宋体" w:hAnsi="宋体" w:cs="宋体" w:eastAsia="宋体" w:hint="default"/>
          <w:sz w:val="19"/>
          <w:szCs w:val="19"/>
        </w:rPr>
      </w:pPr>
    </w:p>
    <w:p>
      <w:pPr>
        <w:pStyle w:val="Heading3"/>
        <w:spacing w:line="240" w:lineRule="auto" w:before="36"/>
        <w:ind w:left="672" w:right="0"/>
        <w:jc w:val="left"/>
        <w:rPr>
          <w:b w:val="0"/>
          <w:bCs w:val="0"/>
        </w:rPr>
      </w:pPr>
      <w:r>
        <w:rPr>
          <w:rFonts w:ascii="Times New Roman" w:hAnsi="Times New Roman" w:cs="Times New Roman" w:eastAsia="Times New Roman" w:hint="default"/>
        </w:rPr>
        <w:t>33</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6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68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37,037,929.92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3,628,241.33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40,666,171.25</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1,322,286.97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1,322,286.97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38,360,216.89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3,628,241.33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41,988,458.22</w:t>
            </w:r>
          </w:p>
        </w:tc>
      </w:tr>
    </w:tbl>
    <w:p>
      <w:pPr>
        <w:pStyle w:val="BodyText"/>
        <w:spacing w:line="357" w:lineRule="auto" w:before="49"/>
        <w:ind w:left="672" w:right="4404"/>
        <w:jc w:val="left"/>
      </w:pPr>
      <w:r>
        <w:rPr/>
        <w:t>盈余公积说明，包括本期增减变动情况、变动原因说明： 盈余公积的增加系根据公司章程，按当年净利润的</w:t>
      </w:r>
      <w:r>
        <w:rPr>
          <w:rFonts w:ascii="Times New Roman" w:hAnsi="Times New Roman" w:cs="Times New Roman" w:eastAsia="Times New Roman" w:hint="default"/>
        </w:rPr>
        <w:t>10%</w:t>
      </w:r>
      <w:r>
        <w:rPr/>
        <w:t>计提法定盈余公积。</w:t>
      </w:r>
    </w:p>
    <w:p>
      <w:pPr>
        <w:spacing w:line="240" w:lineRule="auto" w:before="9"/>
        <w:rPr>
          <w:rFonts w:ascii="宋体" w:hAnsi="宋体" w:cs="宋体" w:eastAsia="宋体" w:hint="default"/>
          <w:sz w:val="18"/>
          <w:szCs w:val="18"/>
        </w:rPr>
      </w:pPr>
    </w:p>
    <w:p>
      <w:pPr>
        <w:pStyle w:val="Heading3"/>
        <w:spacing w:line="240" w:lineRule="auto"/>
        <w:ind w:left="672" w:right="0"/>
        <w:jc w:val="left"/>
        <w:rPr>
          <w:b w:val="0"/>
          <w:bCs w:val="0"/>
        </w:rPr>
      </w:pPr>
      <w:r>
        <w:rPr>
          <w:rFonts w:ascii="Times New Roman" w:hAnsi="Times New Roman" w:cs="Times New Roman" w:eastAsia="Times New Roman" w:hint="default"/>
        </w:rPr>
        <w:t>34</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6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680" w:type="dxa"/>
        <w:tblLayout w:type="fixed"/>
        <w:tblCellMar>
          <w:top w:w="0" w:type="dxa"/>
          <w:left w:w="0" w:type="dxa"/>
          <w:bottom w:w="0" w:type="dxa"/>
          <w:right w:w="0" w:type="dxa"/>
        </w:tblCellMar>
        <w:tblLook w:val="01E0"/>
      </w:tblPr>
      <w:tblGrid>
        <w:gridCol w:w="3714"/>
        <w:gridCol w:w="2924"/>
        <w:gridCol w:w="2919"/>
      </w:tblGrid>
      <w:tr>
        <w:trPr>
          <w:trHeight w:val="404"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655,538,787.81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539,597,421.58</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655,538,787.81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539,597,421.58</w:t>
            </w:r>
          </w:p>
        </w:tc>
      </w:tr>
      <w:tr>
        <w:trPr>
          <w:trHeight w:val="401"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132,007,798.40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124,382,450.37</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3,628,241.33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2,585,766.49</w:t>
            </w:r>
          </w:p>
        </w:tc>
      </w:tr>
      <w:tr>
        <w:trPr>
          <w:trHeight w:val="401"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7,611,912.94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5,855,317.65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460" w:right="4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25"/>
        <w:gridCol w:w="2924"/>
        <w:gridCol w:w="2919"/>
      </w:tblGrid>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6" w:right="0"/>
              <w:jc w:val="left"/>
              <w:rPr>
                <w:rFonts w:ascii="Times New Roman" w:hAnsi="Times New Roman" w:cs="Times New Roman" w:eastAsia="Times New Roman" w:hint="default"/>
                <w:sz w:val="18"/>
                <w:szCs w:val="18"/>
              </w:rPr>
            </w:pPr>
            <w:r>
              <w:rPr>
                <w:rFonts w:ascii="Times New Roman"/>
                <w:sz w:val="18"/>
              </w:rPr>
              <w:t>776,306,431.94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655,538,787.81</w:t>
            </w:r>
          </w:p>
        </w:tc>
      </w:tr>
    </w:tbl>
    <w:p>
      <w:pPr>
        <w:pStyle w:val="BodyText"/>
        <w:spacing w:line="240" w:lineRule="auto" w:before="49"/>
        <w:ind w:right="146"/>
        <w:jc w:val="left"/>
      </w:pPr>
      <w:r>
        <w:rPr/>
        <w:t>调整期初未分配利润明细：</w:t>
      </w:r>
    </w:p>
    <w:p>
      <w:pPr>
        <w:pStyle w:val="BodyText"/>
        <w:spacing w:line="240" w:lineRule="auto" w:before="115"/>
        <w:ind w:right="146"/>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46"/>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146"/>
        <w:jc w:val="left"/>
      </w:pPr>
      <w:r>
        <w:rPr>
          <w:rFonts w:ascii="Times New Roman" w:hAnsi="Times New Roman" w:cs="Times New Roman" w:eastAsia="Times New Roman" w:hint="default"/>
        </w:rPr>
        <w:t>3)</w:t>
      </w:r>
      <w:r>
        <w:rPr/>
        <w:t>、由于重大会计差错更正，影响期初未分配利润</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46"/>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46"/>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3"/>
        <w:spacing w:line="240" w:lineRule="auto"/>
        <w:ind w:right="146"/>
        <w:jc w:val="left"/>
        <w:rPr>
          <w:b w:val="0"/>
          <w:bCs w:val="0"/>
        </w:rPr>
      </w:pPr>
      <w:r>
        <w:rPr>
          <w:rFonts w:ascii="Times New Roman" w:hAnsi="Times New Roman" w:cs="Times New Roman" w:eastAsia="Times New Roman" w:hint="default"/>
        </w:rPr>
        <w:t>35</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960,166,932.01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571,095,979.25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839,083,686.73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457,532,442.30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11,544,551.41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9,994,457.09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9,587,590.94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5,011,643.74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971,711,483.42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581,090,436.34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848,671,277.67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462,544,086.04</w:t>
            </w:r>
          </w:p>
        </w:tc>
      </w:tr>
    </w:tbl>
    <w:p>
      <w:pPr>
        <w:spacing w:line="240" w:lineRule="auto" w:before="3"/>
        <w:rPr>
          <w:rFonts w:ascii="宋体" w:hAnsi="宋体" w:cs="宋体" w:eastAsia="宋体" w:hint="default"/>
          <w:sz w:val="19"/>
          <w:szCs w:val="19"/>
        </w:rPr>
      </w:pPr>
    </w:p>
    <w:p>
      <w:pPr>
        <w:pStyle w:val="Heading3"/>
        <w:spacing w:line="240" w:lineRule="auto" w:before="36"/>
        <w:ind w:right="146"/>
        <w:jc w:val="left"/>
        <w:rPr>
          <w:b w:val="0"/>
          <w:bCs w:val="0"/>
        </w:rPr>
      </w:pPr>
      <w:r>
        <w:rPr>
          <w:rFonts w:ascii="Times New Roman" w:hAnsi="Times New Roman" w:cs="Times New Roman" w:eastAsia="Times New Roman" w:hint="default"/>
        </w:rPr>
        <w:t>36</w:t>
      </w:r>
      <w:r>
        <w:rPr/>
        <w:t>、营业税金及附加</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63,414.46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152,898.20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3,369,552.08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3,672,868.67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2,383,053.91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2,624,363.20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454,942.69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883,496.38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6,270,963.14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7,333,626.45</w:t>
            </w:r>
          </w:p>
        </w:tc>
      </w:tr>
    </w:tbl>
    <w:p>
      <w:pPr>
        <w:spacing w:line="240" w:lineRule="auto" w:before="3"/>
        <w:rPr>
          <w:rFonts w:ascii="宋体" w:hAnsi="宋体" w:cs="宋体" w:eastAsia="宋体" w:hint="default"/>
          <w:sz w:val="19"/>
          <w:szCs w:val="19"/>
        </w:rPr>
      </w:pPr>
    </w:p>
    <w:p>
      <w:pPr>
        <w:pStyle w:val="Heading3"/>
        <w:spacing w:line="240" w:lineRule="auto" w:before="36"/>
        <w:ind w:right="146"/>
        <w:jc w:val="left"/>
        <w:rPr>
          <w:b w:val="0"/>
          <w:bCs w:val="0"/>
        </w:rPr>
      </w:pPr>
      <w:r>
        <w:rPr>
          <w:rFonts w:ascii="Times New Roman" w:hAnsi="Times New Roman" w:cs="Times New Roman" w:eastAsia="Times New Roman" w:hint="default"/>
        </w:rPr>
        <w:t>37</w:t>
      </w:r>
      <w:r>
        <w:rPr/>
        <w:t>、销售费用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工资福利费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7,404,696.60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13,091,741.51</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6,090,544.09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5,294,408.05</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1,775,817.06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2,738,230.85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市场服务费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26,633,612.19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29,895,190.48</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6,845,696.54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7,529,581.37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维护费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13,684,651.71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10,140,729.62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6,836,396.58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1,975,231.87</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9,764,623.30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7,190,099.59</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4,398,005.13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5,563,497.58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2,925,003.42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3,899,192.84</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5,458,582.81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7,524,748.14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91,817,629.43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94,842,651.90</w:t>
            </w:r>
          </w:p>
        </w:tc>
      </w:tr>
    </w:tbl>
    <w:p>
      <w:pPr>
        <w:spacing w:line="240" w:lineRule="auto" w:before="3"/>
        <w:rPr>
          <w:rFonts w:ascii="宋体" w:hAnsi="宋体" w:cs="宋体" w:eastAsia="宋体" w:hint="default"/>
          <w:sz w:val="19"/>
          <w:szCs w:val="19"/>
        </w:rPr>
      </w:pPr>
    </w:p>
    <w:p>
      <w:pPr>
        <w:pStyle w:val="Heading3"/>
        <w:spacing w:line="240" w:lineRule="auto" w:before="36"/>
        <w:ind w:right="146"/>
        <w:jc w:val="left"/>
        <w:rPr>
          <w:b w:val="0"/>
          <w:bCs w:val="0"/>
        </w:rPr>
      </w:pPr>
      <w:r>
        <w:rPr>
          <w:rFonts w:ascii="Times New Roman" w:hAnsi="Times New Roman" w:cs="Times New Roman" w:eastAsia="Times New Roman" w:hint="default"/>
        </w:rPr>
        <w:t>38</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41,390,104.95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33,682,099.06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65,213,075.12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43,020,251.65</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工资福利费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17,409,834.02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15,483,094.67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8,263,850.66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6,882,125.47</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4,921,579.47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4,074,758.24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5,908,918.70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4,613,642.94</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748,843.98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1,036,776.78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3,377,668.75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3,304,201.41</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1,028,418.00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1,695,386.00</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3,319,515.98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2,234,331.65</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2,434,618.90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2,581,775.77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1,695,899.44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1,942,685.72</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16,165,282.99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10,533,598.66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171,877,610.96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131,084,728.02</w:t>
            </w:r>
          </w:p>
        </w:tc>
      </w:tr>
    </w:tbl>
    <w:p>
      <w:pPr>
        <w:spacing w:line="240" w:lineRule="auto" w:before="3"/>
        <w:rPr>
          <w:rFonts w:ascii="宋体" w:hAnsi="宋体" w:cs="宋体" w:eastAsia="宋体" w:hint="default"/>
          <w:sz w:val="19"/>
          <w:szCs w:val="19"/>
        </w:rPr>
      </w:pPr>
    </w:p>
    <w:p>
      <w:pPr>
        <w:pStyle w:val="Heading3"/>
        <w:spacing w:line="240" w:lineRule="auto" w:before="36"/>
        <w:ind w:right="146"/>
        <w:jc w:val="left"/>
        <w:rPr>
          <w:b w:val="0"/>
          <w:bCs w:val="0"/>
        </w:rPr>
      </w:pPr>
      <w:r>
        <w:rPr>
          <w:rFonts w:ascii="Times New Roman" w:hAnsi="Times New Roman" w:cs="Times New Roman" w:eastAsia="Times New Roman" w:hint="default"/>
        </w:rPr>
        <w:t>39</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2,113,448.02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881,523.56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1,234,955.88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357,961.45</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-102,825.48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-1,411,900.52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661,863.17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754,994.02</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1,437,529.83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-133,344.39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46"/>
        <w:jc w:val="left"/>
        <w:rPr>
          <w:b w:val="0"/>
          <w:bCs w:val="0"/>
        </w:rPr>
      </w:pPr>
      <w:r>
        <w:rPr>
          <w:rFonts w:ascii="Times New Roman" w:hAnsi="Times New Roman" w:cs="Times New Roman" w:eastAsia="Times New Roman" w:hint="default"/>
        </w:rPr>
        <w:t>40</w:t>
      </w:r>
      <w:r>
        <w:rPr/>
        <w:t>、资产减值损失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865,145.67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7,842,755.52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4,112,267.20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1,231,894.38</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4,977,412.87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9,074,649.90</w:t>
            </w:r>
          </w:p>
        </w:tc>
      </w:tr>
    </w:tbl>
    <w:p>
      <w:pPr>
        <w:spacing w:line="240" w:lineRule="auto" w:before="3"/>
        <w:rPr>
          <w:rFonts w:ascii="宋体" w:hAnsi="宋体" w:cs="宋体" w:eastAsia="宋体" w:hint="default"/>
          <w:sz w:val="19"/>
          <w:szCs w:val="19"/>
        </w:rPr>
      </w:pPr>
    </w:p>
    <w:p>
      <w:pPr>
        <w:pStyle w:val="Heading3"/>
        <w:spacing w:line="240" w:lineRule="auto" w:before="36"/>
        <w:ind w:right="146"/>
        <w:jc w:val="left"/>
        <w:rPr>
          <w:b w:val="0"/>
          <w:bCs w:val="0"/>
        </w:rPr>
      </w:pPr>
      <w:r>
        <w:rPr>
          <w:rFonts w:ascii="Times New Roman" w:hAnsi="Times New Roman" w:cs="Times New Roman" w:eastAsia="Times New Roman" w:hint="default"/>
        </w:rPr>
        <w:t>41</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8"/>
        <w:gridCol w:w="3202"/>
        <w:gridCol w:w="2919"/>
      </w:tblGrid>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46,050.38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15,225.00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13,398.00</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28,625,434.03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15,988,725.94</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1,502,716.41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881,802.76</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30,189,425.82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16,883,926.70</w:t>
            </w:r>
          </w:p>
        </w:tc>
      </w:tr>
    </w:tbl>
    <w:p>
      <w:pPr>
        <w:spacing w:line="240" w:lineRule="auto" w:before="3"/>
        <w:rPr>
          <w:rFonts w:ascii="宋体" w:hAnsi="宋体" w:cs="宋体" w:eastAsia="宋体" w:hint="default"/>
          <w:sz w:val="19"/>
          <w:szCs w:val="19"/>
        </w:rPr>
      </w:pPr>
    </w:p>
    <w:p>
      <w:pPr>
        <w:pStyle w:val="Heading3"/>
        <w:spacing w:line="240" w:lineRule="auto" w:before="36"/>
        <w:ind w:right="146"/>
        <w:jc w:val="left"/>
        <w:rPr>
          <w:b w:val="0"/>
          <w:bCs w:val="0"/>
        </w:rPr>
      </w:pPr>
      <w:r>
        <w:rPr>
          <w:rFonts w:ascii="Times New Roman" w:hAnsi="Times New Roman" w:cs="Times New Roman" w:eastAsia="Times New Roman" w:hint="default"/>
        </w:rPr>
        <w:t>42</w:t>
      </w:r>
      <w:r>
        <w:rPr/>
        <w:t>、营业外收入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6"/>
        <w:gridCol w:w="2396"/>
        <w:gridCol w:w="2393"/>
        <w:gridCol w:w="2393"/>
      </w:tblGrid>
      <w:tr>
        <w:trPr>
          <w:trHeight w:val="161" w:hRule="exact"/>
        </w:trPr>
        <w:tc>
          <w:tcPr>
            <w:tcW w:w="237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214,259.60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128,741.72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214,259.60</w:t>
            </w: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214,259.60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128,741.72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214,259.60</w:t>
            </w: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1,446,000.00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1,954,600.00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1,446,000.00</w:t>
            </w: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补贴收入</w:t>
            </w:r>
            <w:r>
              <w:rPr>
                <w:rFonts w:ascii="Times New Roman" w:hAnsi="Times New Roman" w:cs="Times New Roman" w:eastAsia="Times New Roman" w:hint="default"/>
                <w:sz w:val="18"/>
                <w:szCs w:val="18"/>
              </w:rPr>
              <w:t>-</w:t>
            </w:r>
            <w:r>
              <w:rPr>
                <w:rFonts w:ascii="宋体" w:hAnsi="宋体" w:cs="宋体" w:eastAsia="宋体" w:hint="default"/>
                <w:sz w:val="18"/>
                <w:szCs w:val="18"/>
              </w:rPr>
              <w:t>增值税退税</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19,451,161.98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17,572,042.47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742,220.31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509,526.22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742,220.31</w:t>
            </w: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21,853,641.89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20,164,910.41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2,402,479.91</w:t>
            </w:r>
          </w:p>
        </w:tc>
      </w:tr>
    </w:tbl>
    <w:p>
      <w:pPr>
        <w:pStyle w:val="BodyText"/>
        <w:spacing w:line="240" w:lineRule="auto" w:before="49"/>
        <w:ind w:right="146"/>
        <w:jc w:val="left"/>
      </w:pPr>
      <w:r>
        <w:rPr/>
        <w:t>计入当期损益的政府补助：</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25"/>
        <w:gridCol w:w="1854"/>
        <w:gridCol w:w="1277"/>
        <w:gridCol w:w="1913"/>
      </w:tblGrid>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7"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
              <w:jc w:val="righ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广州市民营企业奖励专项资金</w:t>
            </w:r>
          </w:p>
        </w:tc>
        <w:tc>
          <w:tcPr>
            <w:tcW w:w="1854" w:type="dxa"/>
            <w:tcBorders>
              <w:top w:val="single" w:sz="4" w:space="0" w:color="000000"/>
              <w:left w:val="single" w:sz="12" w:space="0" w:color="C7EB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创新型企业专项项目经费</w:t>
            </w:r>
          </w:p>
        </w:tc>
        <w:tc>
          <w:tcPr>
            <w:tcW w:w="1854" w:type="dxa"/>
            <w:tcBorders>
              <w:top w:val="single" w:sz="4" w:space="0" w:color="000000"/>
              <w:left w:val="single" w:sz="12" w:space="0" w:color="C7EB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促进外贸进出口奖励资金</w:t>
            </w:r>
          </w:p>
        </w:tc>
        <w:tc>
          <w:tcPr>
            <w:tcW w:w="1854" w:type="dxa"/>
            <w:tcBorders>
              <w:top w:val="single" w:sz="4" w:space="0" w:color="000000"/>
              <w:left w:val="single" w:sz="12" w:space="0" w:color="C7EBCC"/>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12" w:hRule="exact"/>
        </w:trPr>
        <w:tc>
          <w:tcPr>
            <w:tcW w:w="4525"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年天河区</w:t>
            </w:r>
            <w:r>
              <w:rPr>
                <w:rFonts w:ascii="Times New Roman" w:hAnsi="Times New Roman" w:cs="Times New Roman" w:eastAsia="Times New Roman" w:hint="default"/>
                <w:sz w:val="18"/>
                <w:szCs w:val="18"/>
              </w:rPr>
              <w:t>“1+6”</w:t>
            </w:r>
            <w:r>
              <w:rPr>
                <w:rFonts w:ascii="宋体" w:hAnsi="宋体" w:cs="宋体" w:eastAsia="宋体" w:hint="default"/>
                <w:sz w:val="18"/>
                <w:szCs w:val="18"/>
              </w:rPr>
              <w:t>政策扶持奖励资金</w:t>
            </w:r>
          </w:p>
        </w:tc>
        <w:tc>
          <w:tcPr>
            <w:tcW w:w="1854" w:type="dxa"/>
            <w:tcBorders>
              <w:top w:val="single" w:sz="4" w:space="0" w:color="000000"/>
              <w:left w:val="single" w:sz="12" w:space="0" w:color="C7EB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82" w:hRule="exact"/>
        </w:trPr>
        <w:tc>
          <w:tcPr>
            <w:tcW w:w="4525"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年广州市战略主导产业发展资金工业设计示范企业</w:t>
            </w:r>
          </w:p>
        </w:tc>
        <w:tc>
          <w:tcPr>
            <w:tcW w:w="1854" w:type="dxa"/>
            <w:tcBorders>
              <w:top w:val="single" w:sz="4" w:space="0" w:color="000000"/>
              <w:left w:val="single" w:sz="12" w:space="0" w:color="C7EBCC"/>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9"/>
              <w:jc w:val="righ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525"/>
        <w:gridCol w:w="1854"/>
        <w:gridCol w:w="1277"/>
        <w:gridCol w:w="1913"/>
      </w:tblGrid>
      <w:tr>
        <w:trPr>
          <w:trHeight w:val="362" w:hRule="exact"/>
        </w:trPr>
        <w:tc>
          <w:tcPr>
            <w:tcW w:w="4525"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和红棉至尊奖</w:t>
            </w:r>
          </w:p>
        </w:tc>
        <w:tc>
          <w:tcPr>
            <w:tcW w:w="1854" w:type="dxa"/>
            <w:tcBorders>
              <w:top w:val="single" w:sz="4" w:space="0" w:color="000000"/>
              <w:left w:val="single" w:sz="12" w:space="0" w:color="C7EBCC"/>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中小企业扶持发展专项基金</w:t>
            </w:r>
          </w:p>
        </w:tc>
        <w:tc>
          <w:tcPr>
            <w:tcW w:w="1854" w:type="dxa"/>
            <w:tcBorders>
              <w:top w:val="single" w:sz="4" w:space="0" w:color="000000"/>
              <w:left w:val="single" w:sz="12" w:space="0" w:color="C7EB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8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1,446,000.00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7" w:right="0"/>
              <w:jc w:val="left"/>
              <w:rPr>
                <w:rFonts w:ascii="Times New Roman" w:hAnsi="Times New Roman" w:cs="Times New Roman" w:eastAsia="Times New Roman" w:hint="default"/>
                <w:sz w:val="18"/>
                <w:szCs w:val="18"/>
              </w:rPr>
            </w:pPr>
            <w:r>
              <w:rPr>
                <w:rFonts w:ascii="Times New Roman"/>
                <w:sz w:val="18"/>
              </w:rPr>
              <w:t>1,954,600.00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4"/>
        <w:jc w:val="left"/>
      </w:pPr>
      <w:r>
        <w:rPr/>
        <w:t>其他说明：</w:t>
      </w:r>
    </w:p>
    <w:p>
      <w:pPr>
        <w:pStyle w:val="BodyText"/>
        <w:spacing w:line="300" w:lineRule="auto" w:before="115"/>
        <w:ind w:left="513" w:right="183"/>
        <w:jc w:val="left"/>
      </w:pPr>
      <w:r>
        <w:rPr/>
        <w:t>补贴收入</w:t>
      </w:r>
      <w:r>
        <w:rPr>
          <w:rFonts w:ascii="Times New Roman" w:hAnsi="Times New Roman" w:cs="Times New Roman" w:eastAsia="Times New Roman" w:hint="default"/>
        </w:rPr>
        <w:t>-</w:t>
      </w:r>
      <w:r>
        <w:rPr/>
        <w:t>增值税退税 根据财税【</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92</w:t>
      </w:r>
      <w:r>
        <w:rPr/>
        <w:t>号《财政部、国家税务总局关于嵌入式软件增值税政策的通知》、财税【</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100</w:t>
      </w:r>
      <w:r>
        <w:rPr/>
        <w:t>号《财政部、</w:t>
      </w:r>
    </w:p>
    <w:p>
      <w:pPr>
        <w:pStyle w:val="BodyText"/>
        <w:spacing w:line="309" w:lineRule="auto" w:before="13"/>
        <w:ind w:right="94"/>
        <w:jc w:val="left"/>
      </w:pPr>
      <w:r>
        <w:rPr>
          <w:spacing w:val="-2"/>
        </w:rPr>
        <w:t>国家税务总局关于软件产品增值税政策的通知》的有关规定：增值税一般纳税人随同计算机网络、计算机硬件和机器设备等</w:t>
      </w:r>
      <w:r>
        <w:rPr>
          <w:spacing w:val="-63"/>
        </w:rPr>
        <w:t> </w:t>
      </w:r>
      <w:r>
        <w:rPr>
          <w:spacing w:val="-63"/>
        </w:rPr>
      </w:r>
      <w:r>
        <w:rPr>
          <w:spacing w:val="-2"/>
        </w:rPr>
        <w:t>一并销售其自行开发生产的嵌入式软件，如果能够按照《财政部、国家税务总局关于贯彻落实〈中共中央、国务院关于加强</w:t>
      </w:r>
      <w:r>
        <w:rPr>
          <w:spacing w:val="-67"/>
        </w:rPr>
        <w:t> </w:t>
      </w:r>
      <w:r>
        <w:rPr>
          <w:spacing w:val="-67"/>
        </w:rPr>
      </w:r>
      <w:r>
        <w:rPr/>
        <w:t>技术创新，发展高科技，实现产业化的决定〉有关税收问题的通知》（财税字【</w:t>
      </w:r>
      <w:r>
        <w:rPr>
          <w:rFonts w:ascii="Times New Roman" w:hAnsi="Times New Roman" w:cs="Times New Roman" w:eastAsia="Times New Roman" w:hint="default"/>
        </w:rPr>
        <w:t>1999</w:t>
      </w:r>
      <w:r>
        <w:rPr/>
        <w:t>】</w:t>
      </w:r>
      <w:r>
        <w:rPr>
          <w:rFonts w:ascii="Times New Roman" w:hAnsi="Times New Roman" w:cs="Times New Roman" w:eastAsia="Times New Roman" w:hint="default"/>
        </w:rPr>
        <w:t>273</w:t>
      </w:r>
      <w:r>
        <w:rPr/>
        <w:t>号）第一条第三款之规定，分别 </w:t>
      </w:r>
      <w:r>
        <w:rPr>
          <w:spacing w:val="-9"/>
        </w:rPr>
        <w:t>核算嵌入式软件与计算机硬件、机器设备等的销售额，可以享受软件产品增值税优惠政策。公司符合财税【</w:t>
      </w:r>
      <w:r>
        <w:rPr>
          <w:rFonts w:ascii="Times New Roman" w:hAnsi="Times New Roman" w:cs="Times New Roman" w:eastAsia="Times New Roman" w:hint="default"/>
          <w:spacing w:val="-9"/>
        </w:rPr>
        <w:t>2008</w:t>
      </w:r>
      <w:r>
        <w:rPr>
          <w:spacing w:val="-9"/>
        </w:rPr>
        <w:t>】</w:t>
      </w:r>
      <w:r>
        <w:rPr>
          <w:rFonts w:ascii="Times New Roman" w:hAnsi="Times New Roman" w:cs="Times New Roman" w:eastAsia="Times New Roman" w:hint="default"/>
          <w:spacing w:val="-9"/>
        </w:rPr>
        <w:t>92</w:t>
      </w:r>
      <w:r>
        <w:rPr>
          <w:spacing w:val="-9"/>
        </w:rPr>
        <w:t>号、【</w:t>
      </w:r>
      <w:r>
        <w:rPr>
          <w:rFonts w:ascii="Times New Roman" w:hAnsi="Times New Roman" w:cs="Times New Roman" w:eastAsia="Times New Roman" w:hint="default"/>
          <w:spacing w:val="-9"/>
        </w:rPr>
        <w:t>2011</w:t>
      </w:r>
      <w:r>
        <w:rPr>
          <w:spacing w:val="-9"/>
        </w:rPr>
        <w:t>】</w:t>
      </w:r>
      <w:r>
        <w:rPr>
          <w:spacing w:val="-70"/>
        </w:rPr>
        <w:t> </w:t>
      </w:r>
      <w:r>
        <w:rPr>
          <w:rFonts w:ascii="Times New Roman" w:hAnsi="Times New Roman" w:cs="Times New Roman" w:eastAsia="Times New Roman" w:hint="default"/>
        </w:rPr>
        <w:t>100</w:t>
      </w:r>
      <w:r>
        <w:rPr/>
        <w:t>号之规定，嵌入式软件销售收入享受增值税即征即退优惠政策。</w:t>
      </w:r>
      <w:r>
        <w:rPr>
          <w:rFonts w:ascii="Times New Roman" w:hAnsi="Times New Roman" w:cs="Times New Roman" w:eastAsia="Times New Roman" w:hint="default"/>
        </w:rPr>
        <w:t>2014</w:t>
      </w:r>
      <w:r>
        <w:rPr/>
        <w:t>年软件收入增值税退税金额</w:t>
      </w:r>
      <w:r>
        <w:rPr>
          <w:rFonts w:ascii="Times New Roman" w:hAnsi="Times New Roman" w:cs="Times New Roman" w:eastAsia="Times New Roman" w:hint="default"/>
        </w:rPr>
        <w:t>19,451,161.98</w:t>
      </w:r>
      <w:r>
        <w:rPr/>
        <w:t>元，截至</w:t>
      </w:r>
    </w:p>
    <w:p>
      <w:pPr>
        <w:pStyle w:val="BodyText"/>
        <w:spacing w:line="240" w:lineRule="auto" w:before="5"/>
        <w:ind w:right="94"/>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日尚有</w:t>
      </w:r>
      <w:r>
        <w:rPr>
          <w:rFonts w:ascii="Times New Roman" w:hAnsi="Times New Roman" w:cs="Times New Roman" w:eastAsia="Times New Roman" w:hint="default"/>
        </w:rPr>
        <w:t>6,150,266.74</w:t>
      </w:r>
      <w:r>
        <w:rPr/>
        <w:t>元未收到。</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Heading3"/>
        <w:spacing w:line="240" w:lineRule="auto"/>
        <w:ind w:right="94"/>
        <w:jc w:val="left"/>
        <w:rPr>
          <w:b w:val="0"/>
          <w:bCs w:val="0"/>
        </w:rPr>
      </w:pPr>
      <w:r>
        <w:rPr>
          <w:rFonts w:ascii="Times New Roman" w:hAnsi="Times New Roman" w:cs="Times New Roman" w:eastAsia="Times New Roman" w:hint="default"/>
        </w:rPr>
        <w:t>43</w:t>
      </w:r>
      <w:r>
        <w:rPr/>
        <w:t>、营业外支出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13,914,779.08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14,935,045.48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7,388,453.04</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13,914,779.08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14,935,045.48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7,388,453.04</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罚款、赔款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8,708.46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8,708.46</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短款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353,490.00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307,850.00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353,490.00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材料、旧机报废损失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2,884,534.27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12,050,066.85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2,884,534.27</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44,324.25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2,445.74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44,324.25</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26,155.21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9,378.04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26,155.21</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17,331,991.27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27,425,886.11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10,805,665.23</w:t>
            </w:r>
          </w:p>
        </w:tc>
      </w:tr>
    </w:tbl>
    <w:p>
      <w:pPr>
        <w:spacing w:line="240" w:lineRule="auto" w:before="3"/>
        <w:rPr>
          <w:rFonts w:ascii="宋体" w:hAnsi="宋体" w:cs="宋体" w:eastAsia="宋体" w:hint="default"/>
          <w:sz w:val="19"/>
          <w:szCs w:val="19"/>
        </w:rPr>
      </w:pPr>
    </w:p>
    <w:p>
      <w:pPr>
        <w:pStyle w:val="Heading3"/>
        <w:spacing w:line="240" w:lineRule="auto" w:before="36"/>
        <w:ind w:right="94"/>
        <w:jc w:val="left"/>
        <w:rPr>
          <w:b w:val="0"/>
          <w:bCs w:val="0"/>
        </w:rPr>
      </w:pPr>
      <w:r>
        <w:rPr>
          <w:rFonts w:ascii="Times New Roman" w:hAnsi="Times New Roman" w:cs="Times New Roman" w:eastAsia="Times New Roman" w:hint="default"/>
        </w:rPr>
        <w:t>44</w:t>
      </w:r>
      <w:r>
        <w:rPr/>
        <w:t>、所得税费用</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20,699,175.32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32,308,194.97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-3,755,996.43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-3,142,814.59</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16,943,178.89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29,165,380.38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146"/>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148,950,977.29</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22,342,646.59</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-814,158.01</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-3,061,158.62</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-6,303,857.66</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3,254,555.87</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1,525,150.72</w:t>
            </w:r>
          </w:p>
        </w:tc>
      </w:tr>
      <w:tr>
        <w:trPr>
          <w:trHeight w:val="40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16,943,178.89</w:t>
            </w:r>
          </w:p>
        </w:tc>
      </w:tr>
    </w:tbl>
    <w:p>
      <w:pPr>
        <w:spacing w:line="240" w:lineRule="auto" w:before="3"/>
        <w:rPr>
          <w:rFonts w:ascii="宋体" w:hAnsi="宋体" w:cs="宋体" w:eastAsia="宋体" w:hint="default"/>
          <w:sz w:val="19"/>
          <w:szCs w:val="19"/>
        </w:rPr>
      </w:pPr>
    </w:p>
    <w:p>
      <w:pPr>
        <w:spacing w:line="544" w:lineRule="auto" w:before="36"/>
        <w:ind w:left="152" w:right="64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18"/>
          <w:szCs w:val="18"/>
        </w:rPr>
        <w:t>详见附注七、合并财务报表项目注释</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32</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46</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8"/>
        <w:ind w:right="146"/>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2,188,220.31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2,393,458.22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1,234,955.88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357,961.45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55,116,109.24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21,216,647.94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58,539,285.43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23,968,067.61</w:t>
            </w:r>
          </w:p>
        </w:tc>
      </w:tr>
    </w:tbl>
    <w:p>
      <w:pPr>
        <w:spacing w:line="240" w:lineRule="auto" w:before="3"/>
        <w:rPr>
          <w:rFonts w:ascii="宋体" w:hAnsi="宋体" w:cs="宋体" w:eastAsia="宋体" w:hint="default"/>
          <w:sz w:val="19"/>
          <w:szCs w:val="19"/>
        </w:rPr>
      </w:pPr>
    </w:p>
    <w:p>
      <w:pPr>
        <w:pStyle w:val="Heading3"/>
        <w:spacing w:line="240" w:lineRule="auto" w:before="36"/>
        <w:ind w:right="146"/>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期间费用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107,995,697.52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113,445,639.94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532,677.92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1,573,070.29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52,650,442.16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89,114,810.34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161,178,817.60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204,133,520.57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46"/>
        <w:jc w:val="left"/>
        <w:rPr>
          <w:b w:val="0"/>
          <w:bCs w:val="0"/>
        </w:rPr>
      </w:pPr>
      <w:r>
        <w:rPr>
          <w:rFonts w:ascii="Times New Roman" w:hAnsi="Times New Roman" w:cs="Times New Roman" w:eastAsia="Times New Roman" w:hint="default"/>
        </w:rPr>
        <w:t>47</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6"/>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649"/>
        <w:gridCol w:w="1961"/>
        <w:gridCol w:w="1949"/>
      </w:tblGrid>
      <w:tr>
        <w:trPr>
          <w:trHeight w:val="401"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2"/>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1"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0"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132,007,798.40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124,382,450.37</w:t>
            </w:r>
          </w:p>
        </w:tc>
      </w:tr>
      <w:tr>
        <w:trPr>
          <w:trHeight w:val="40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4,977,412.87</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9,074,649.90</w:t>
            </w:r>
          </w:p>
        </w:tc>
      </w:tr>
      <w:tr>
        <w:trPr>
          <w:trHeight w:val="401"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9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70,023,092.53</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70,360,616.91</w:t>
            </w:r>
          </w:p>
        </w:tc>
      </w:tr>
      <w:tr>
        <w:trPr>
          <w:trHeight w:val="40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4,537,210.52</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4,258,563.51</w:t>
            </w:r>
          </w:p>
        </w:tc>
      </w:tr>
      <w:tr>
        <w:trPr>
          <w:trHeight w:val="401"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656,105.36</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795,959.99</w:t>
            </w:r>
          </w:p>
        </w:tc>
      </w:tr>
      <w:tr>
        <w:trPr>
          <w:trHeight w:val="40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13,700,519.48</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14,806,303.76</w:t>
            </w:r>
          </w:p>
        </w:tc>
      </w:tr>
      <w:tr>
        <w:trPr>
          <w:trHeight w:val="401"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2,113,448.02</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881,523.56</w:t>
            </w:r>
          </w:p>
        </w:tc>
      </w:tr>
      <w:tr>
        <w:trPr>
          <w:trHeight w:val="40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-30,189,425.82</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-16,883,926.70</w:t>
            </w:r>
          </w:p>
        </w:tc>
      </w:tr>
      <w:tr>
        <w:trPr>
          <w:trHeight w:val="401"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-930,853.76</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805,285.36</w:t>
            </w:r>
          </w:p>
        </w:tc>
      </w:tr>
      <w:tr>
        <w:trPr>
          <w:trHeight w:val="40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-5,923,320.90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-3,065,530.93</w:t>
            </w:r>
          </w:p>
        </w:tc>
      </w:tr>
      <w:tr>
        <w:trPr>
          <w:trHeight w:val="401"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-16,937,535.87</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74,688,672.48</w:t>
            </w:r>
          </w:p>
        </w:tc>
      </w:tr>
      <w:tr>
        <w:trPr>
          <w:trHeight w:val="40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-126,137,833.50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-137,848,452.47</w:t>
            </w:r>
          </w:p>
        </w:tc>
      </w:tr>
      <w:tr>
        <w:trPr>
          <w:trHeight w:val="401"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128,530,496.73</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-42,653,938.24</w:t>
            </w:r>
          </w:p>
        </w:tc>
      </w:tr>
      <w:tr>
        <w:trPr>
          <w:trHeight w:val="404"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176,427,114.06</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99,602,177.50</w:t>
            </w:r>
          </w:p>
        </w:tc>
      </w:tr>
      <w:tr>
        <w:trPr>
          <w:trHeight w:val="401"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9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268,239,983.46</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154,381,976.18</w:t>
            </w:r>
          </w:p>
        </w:tc>
      </w:tr>
      <w:tr>
        <w:trPr>
          <w:trHeight w:val="403"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9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154,381,976.18</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281,938,465.16</w:t>
            </w:r>
          </w:p>
        </w:tc>
      </w:tr>
      <w:tr>
        <w:trPr>
          <w:trHeight w:val="401" w:hRule="exact"/>
        </w:trPr>
        <w:tc>
          <w:tcPr>
            <w:tcW w:w="5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113,858,007.28</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-127,556,488.98</w:t>
            </w:r>
          </w:p>
        </w:tc>
      </w:tr>
    </w:tbl>
    <w:p>
      <w:pPr>
        <w:spacing w:line="240" w:lineRule="auto" w:before="3"/>
        <w:rPr>
          <w:rFonts w:ascii="宋体" w:hAnsi="宋体" w:cs="宋体" w:eastAsia="宋体" w:hint="default"/>
          <w:sz w:val="19"/>
          <w:szCs w:val="19"/>
        </w:rPr>
      </w:pPr>
    </w:p>
    <w:p>
      <w:pPr>
        <w:pStyle w:val="Heading3"/>
        <w:spacing w:line="240" w:lineRule="auto" w:before="36"/>
        <w:ind w:right="146"/>
        <w:jc w:val="left"/>
        <w:rPr>
          <w:b w:val="0"/>
          <w:bCs w:val="0"/>
        </w:rPr>
      </w:pPr>
      <w:r>
        <w:rPr/>
        <w:t>（</w:t>
      </w:r>
      <w:r>
        <w:rPr>
          <w:rFonts w:ascii="Times New Roman" w:hAnsi="Times New Roman" w:cs="Times New Roman" w:eastAsia="Times New Roman" w:hint="default"/>
        </w:rPr>
        <w:t>2</w:t>
      </w:r>
      <w:r>
        <w:rPr/>
        <w:t>）本期无支付的取得子公司的现金净额</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6"/>
        <w:jc w:val="left"/>
        <w:rPr>
          <w:b w:val="0"/>
          <w:bCs w:val="0"/>
        </w:rPr>
      </w:pPr>
      <w:r>
        <w:rPr/>
        <w:t>（</w:t>
      </w:r>
      <w:r>
        <w:rPr>
          <w:rFonts w:ascii="Times New Roman" w:hAnsi="Times New Roman" w:cs="Times New Roman" w:eastAsia="Times New Roman" w:hint="default"/>
        </w:rPr>
        <w:t>3</w:t>
      </w:r>
      <w:r>
        <w:rPr/>
        <w:t>）本期无收到的处置子公司的现金净额</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6"/>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268,239,983.46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154,381,976.18</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199,084.52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254,071.26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6"/>
        <w:gridCol w:w="3058"/>
        <w:gridCol w:w="3185"/>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268,040,821.38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154,127,904.92</w:t>
            </w:r>
          </w:p>
        </w:tc>
      </w:tr>
      <w:tr>
        <w:trPr>
          <w:trHeight w:val="404"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77.56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268,239,983.46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154,381,976.18</w:t>
            </w:r>
          </w:p>
        </w:tc>
      </w:tr>
    </w:tbl>
    <w:p>
      <w:pPr>
        <w:pStyle w:val="BodyText"/>
        <w:spacing w:line="357" w:lineRule="auto" w:before="49"/>
        <w:ind w:right="3114"/>
        <w:jc w:val="left"/>
      </w:pPr>
      <w:r>
        <w:rPr/>
        <w:t>其他说明： 注：现金和现金等价物不含母公司或集团内子公司使用受限制的现金和现金等价物。</w:t>
      </w:r>
    </w:p>
    <w:p>
      <w:pPr>
        <w:spacing w:line="240" w:lineRule="auto" w:before="6"/>
        <w:rPr>
          <w:rFonts w:ascii="宋体" w:hAnsi="宋体" w:cs="宋体" w:eastAsia="宋体" w:hint="default"/>
          <w:sz w:val="20"/>
          <w:szCs w:val="20"/>
        </w:rPr>
      </w:pPr>
    </w:p>
    <w:p>
      <w:pPr>
        <w:pStyle w:val="Heading3"/>
        <w:spacing w:line="240" w:lineRule="auto"/>
        <w:ind w:right="146"/>
        <w:jc w:val="left"/>
        <w:rPr>
          <w:b w:val="0"/>
          <w:bCs w:val="0"/>
        </w:rPr>
      </w:pPr>
      <w:r>
        <w:rPr>
          <w:rFonts w:ascii="Times New Roman" w:hAnsi="Times New Roman" w:cs="Times New Roman" w:eastAsia="Times New Roman" w:hint="default"/>
        </w:rPr>
        <w:t>48</w:t>
      </w:r>
      <w:r>
        <w:rPr/>
        <w:t>、所有权或使用权受到限制的资产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81"/>
        <w:gridCol w:w="3161"/>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81" w:type="dxa"/>
            <w:tcBorders>
              <w:top w:val="single" w:sz="4" w:space="0" w:color="000000"/>
              <w:left w:val="single" w:sz="10" w:space="0" w:color="D2D2D2"/>
              <w:bottom w:val="single" w:sz="4" w:space="0" w:color="000000"/>
              <w:right w:val="single" w:sz="13" w:space="0" w:color="C7EBCC"/>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21,983,335.94</w:t>
            </w:r>
          </w:p>
        </w:tc>
        <w:tc>
          <w:tcPr>
            <w:tcW w:w="316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81" w:type="dxa"/>
            <w:tcBorders>
              <w:top w:val="single" w:sz="4" w:space="0" w:color="000000"/>
              <w:left w:val="single" w:sz="10" w:space="0" w:color="D2D2D2"/>
              <w:bottom w:val="single" w:sz="4" w:space="0" w:color="000000"/>
              <w:right w:val="single" w:sz="13" w:space="0" w:color="C7EBCC"/>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36,305,748.07</w:t>
            </w:r>
          </w:p>
        </w:tc>
        <w:tc>
          <w:tcPr>
            <w:tcW w:w="316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借款抵押</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81"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58,289,084.01</w:t>
            </w:r>
          </w:p>
        </w:tc>
        <w:tc>
          <w:tcPr>
            <w:tcW w:w="3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46"/>
        <w:jc w:val="left"/>
        <w:rPr>
          <w:b w:val="0"/>
          <w:bCs w:val="0"/>
        </w:rPr>
      </w:pPr>
      <w:r>
        <w:rPr>
          <w:rFonts w:ascii="Times New Roman" w:hAnsi="Times New Roman" w:cs="Times New Roman" w:eastAsia="Times New Roman" w:hint="default"/>
        </w:rPr>
        <w:t>49</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6"/>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84"/>
        <w:gridCol w:w="2305"/>
        <w:gridCol w:w="2380"/>
        <w:gridCol w:w="2402"/>
      </w:tblGrid>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5"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40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7,972,540.80</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1,302,222.65</w:t>
            </w:r>
          </w:p>
        </w:tc>
        <w:tc>
          <w:tcPr>
            <w:tcW w:w="238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6.1190</w:t>
            </w:r>
          </w:p>
        </w:tc>
        <w:tc>
          <w:tcPr>
            <w:tcW w:w="2402" w:type="dxa"/>
            <w:tcBorders>
              <w:top w:val="single" w:sz="4" w:space="0" w:color="000000"/>
              <w:left w:val="single" w:sz="12" w:space="0" w:color="C7EB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7,968,319.10</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10.22</w:t>
            </w:r>
          </w:p>
        </w:tc>
        <w:tc>
          <w:tcPr>
            <w:tcW w:w="238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7.4556</w:t>
            </w:r>
          </w:p>
        </w:tc>
        <w:tc>
          <w:tcPr>
            <w:tcW w:w="2402" w:type="dxa"/>
            <w:tcBorders>
              <w:top w:val="single" w:sz="4" w:space="0" w:color="000000"/>
              <w:left w:val="single" w:sz="12" w:space="0" w:color="C7EB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76.19</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5,255.00</w:t>
            </w:r>
          </w:p>
        </w:tc>
        <w:tc>
          <w:tcPr>
            <w:tcW w:w="238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0.78887</w:t>
            </w:r>
          </w:p>
        </w:tc>
        <w:tc>
          <w:tcPr>
            <w:tcW w:w="2402" w:type="dxa"/>
            <w:tcBorders>
              <w:top w:val="single" w:sz="4" w:space="0" w:color="000000"/>
              <w:left w:val="single" w:sz="12" w:space="0" w:color="C7EB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4,145.51</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23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402" w:type="dxa"/>
            <w:tcBorders>
              <w:top w:val="single" w:sz="4" w:space="0" w:color="000000"/>
              <w:left w:val="single" w:sz="12" w:space="0" w:color="C0C0C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256,268.88</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33,961.02</w:t>
            </w:r>
          </w:p>
        </w:tc>
        <w:tc>
          <w:tcPr>
            <w:tcW w:w="238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6.1190</w:t>
            </w:r>
          </w:p>
        </w:tc>
        <w:tc>
          <w:tcPr>
            <w:tcW w:w="2402" w:type="dxa"/>
            <w:tcBorders>
              <w:top w:val="single" w:sz="4" w:space="0" w:color="000000"/>
              <w:left w:val="single" w:sz="12" w:space="0" w:color="C7EB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207,807.48</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6,500.00</w:t>
            </w:r>
          </w:p>
        </w:tc>
        <w:tc>
          <w:tcPr>
            <w:tcW w:w="238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7.4556</w:t>
            </w:r>
          </w:p>
        </w:tc>
        <w:tc>
          <w:tcPr>
            <w:tcW w:w="2402" w:type="dxa"/>
            <w:tcBorders>
              <w:top w:val="single" w:sz="4" w:space="0" w:color="000000"/>
              <w:left w:val="single" w:sz="12" w:space="0" w:color="C7EB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48,461.40</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05" w:type="dxa"/>
            <w:tcBorders>
              <w:top w:val="single" w:sz="4" w:space="0" w:color="000000"/>
              <w:left w:val="single" w:sz="10" w:space="0" w:color="C7EBCC"/>
              <w:bottom w:val="single" w:sz="4" w:space="0" w:color="000000"/>
              <w:right w:val="single" w:sz="4" w:space="0" w:color="000000"/>
            </w:tcBorders>
          </w:tcPr>
          <w:p>
            <w:pPr/>
          </w:p>
        </w:tc>
        <w:tc>
          <w:tcPr>
            <w:tcW w:w="2380" w:type="dxa"/>
            <w:tcBorders>
              <w:top w:val="single" w:sz="4" w:space="0" w:color="000000"/>
              <w:left w:val="single" w:sz="4" w:space="0" w:color="000000"/>
              <w:bottom w:val="single" w:sz="4" w:space="0" w:color="000000"/>
              <w:right w:val="single" w:sz="4" w:space="0" w:color="000000"/>
            </w:tcBorders>
            <w:shd w:val="clear" w:color="auto" w:fill="C7EBCC"/>
          </w:tcPr>
          <w:p>
            <w:pPr/>
          </w:p>
        </w:tc>
        <w:tc>
          <w:tcPr>
            <w:tcW w:w="2402" w:type="dxa"/>
            <w:tcBorders>
              <w:top w:val="single" w:sz="4" w:space="0" w:color="000000"/>
              <w:left w:val="single" w:sz="12" w:space="0" w:color="C7EB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67,277,904.28</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C7EB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10,994,918.17</w:t>
            </w:r>
          </w:p>
        </w:tc>
        <w:tc>
          <w:tcPr>
            <w:tcW w:w="238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6.1190</w:t>
            </w:r>
          </w:p>
        </w:tc>
        <w:tc>
          <w:tcPr>
            <w:tcW w:w="2402" w:type="dxa"/>
            <w:tcBorders>
              <w:top w:val="single" w:sz="4" w:space="0" w:color="000000"/>
              <w:left w:val="single" w:sz="12" w:space="0" w:color="C7EB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67,277,904.28</w:t>
            </w:r>
          </w:p>
        </w:tc>
      </w:tr>
    </w:tbl>
    <w:p>
      <w:pPr>
        <w:spacing w:line="240" w:lineRule="auto" w:before="3"/>
        <w:rPr>
          <w:rFonts w:ascii="宋体" w:hAnsi="宋体" w:cs="宋体" w:eastAsia="宋体" w:hint="default"/>
          <w:sz w:val="19"/>
          <w:szCs w:val="19"/>
        </w:rPr>
      </w:pPr>
    </w:p>
    <w:p>
      <w:pPr>
        <w:pStyle w:val="Heading3"/>
        <w:spacing w:line="259" w:lineRule="auto" w:before="36"/>
        <w:ind w:right="146"/>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4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left="532" w:right="814"/>
        <w:jc w:val="left"/>
        <w:rPr>
          <w:b w:val="0"/>
          <w:bCs w:val="0"/>
        </w:rPr>
      </w:pPr>
      <w:r>
        <w:rPr/>
        <w:t>八、合并范围的变更</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532" w:right="814"/>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532" w:right="814"/>
        <w:jc w:val="left"/>
        <w:rPr>
          <w:b w:val="0"/>
          <w:bCs w:val="0"/>
        </w:rPr>
      </w:pPr>
      <w:r>
        <w:rPr/>
        <w:t>（</w:t>
      </w:r>
      <w:r>
        <w:rPr>
          <w:rFonts w:ascii="Times New Roman" w:hAnsi="Times New Roman" w:cs="Times New Roman" w:eastAsia="Times New Roman" w:hint="default"/>
        </w:rPr>
        <w:t>1</w:t>
      </w:r>
      <w:r>
        <w:rPr/>
        <w:t>）其他说明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32" w:right="814"/>
        <w:jc w:val="left"/>
      </w:pPr>
      <w:r>
        <w:rPr/>
        <w:t>本报告期未发生非同一控制下企业合并。</w:t>
      </w:r>
    </w:p>
    <w:p>
      <w:pPr>
        <w:spacing w:line="240" w:lineRule="auto" w:before="0"/>
        <w:rPr>
          <w:rFonts w:ascii="宋体" w:hAnsi="宋体" w:cs="宋体" w:eastAsia="宋体" w:hint="default"/>
          <w:sz w:val="18"/>
          <w:szCs w:val="18"/>
        </w:rPr>
      </w:pPr>
    </w:p>
    <w:p>
      <w:pPr>
        <w:pStyle w:val="Heading3"/>
        <w:spacing w:line="240" w:lineRule="auto" w:before="120"/>
        <w:ind w:left="532" w:right="814"/>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532" w:right="814"/>
        <w:jc w:val="left"/>
        <w:rPr>
          <w:b w:val="0"/>
          <w:bCs w:val="0"/>
        </w:rPr>
      </w:pPr>
      <w:r>
        <w:rPr/>
        <w:t>（</w:t>
      </w:r>
      <w:r>
        <w:rPr>
          <w:rFonts w:ascii="Times New Roman" w:hAnsi="Times New Roman" w:cs="Times New Roman" w:eastAsia="Times New Roman" w:hint="default"/>
        </w:rPr>
        <w:t>1</w:t>
      </w:r>
      <w:r>
        <w:rPr/>
        <w:t>）本期期末未发生的同一控制下企业合并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532" w:right="814"/>
        <w:jc w:val="left"/>
        <w:rPr>
          <w:b w:val="0"/>
          <w:bCs w:val="0"/>
        </w:rPr>
      </w:pPr>
      <w:r>
        <w:rPr>
          <w:rFonts w:ascii="Times New Roman" w:hAnsi="Times New Roman" w:cs="Times New Roman" w:eastAsia="Times New Roman" w:hint="default"/>
        </w:rPr>
        <w:t>3</w:t>
      </w:r>
      <w:r>
        <w:rPr/>
        <w:t>、本报告期末未发生反向购买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532" w:right="814"/>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32" w:right="814"/>
        <w:jc w:val="left"/>
      </w:pPr>
      <w:r>
        <w:rPr/>
        <w:t>是否存在单次处置对子公司投资即丧失控制权的情形</w:t>
      </w:r>
    </w:p>
    <w:p>
      <w:pPr>
        <w:pStyle w:val="BodyText"/>
        <w:spacing w:line="340" w:lineRule="auto" w:before="115"/>
        <w:ind w:left="532" w:right="44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是否存在通过多次交易分步处置对子公司投资且在本期丧失控制权的情形</w:t>
      </w:r>
    </w:p>
    <w:p>
      <w:pPr>
        <w:pStyle w:val="BodyText"/>
        <w:spacing w:line="240" w:lineRule="auto" w:before="41"/>
        <w:ind w:left="532" w:right="8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left="532" w:right="814"/>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32" w:right="814"/>
        <w:jc w:val="left"/>
      </w:pPr>
      <w:r>
        <w:rPr/>
        <w:t>说明其他原因导致的合并范围变动（如，新设子公司、清算子公司等）及其相关情况：</w:t>
      </w:r>
    </w:p>
    <w:p>
      <w:pPr>
        <w:pStyle w:val="BodyText"/>
        <w:spacing w:line="300" w:lineRule="auto" w:before="117"/>
        <w:ind w:left="532" w:right="544" w:firstLine="36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09</w:t>
      </w:r>
      <w:r>
        <w:rPr/>
        <w:t>月</w:t>
      </w:r>
      <w:r>
        <w:rPr>
          <w:rFonts w:ascii="Times New Roman" w:hAnsi="Times New Roman" w:cs="Times New Roman" w:eastAsia="Times New Roman" w:hint="default"/>
        </w:rPr>
        <w:t>15</w:t>
      </w:r>
      <w:r>
        <w:rPr/>
        <w:t>日广州御银科技股份有限公司认缴注册资本</w:t>
      </w:r>
      <w:r>
        <w:rPr>
          <w:rFonts w:ascii="Times New Roman" w:hAnsi="Times New Roman" w:cs="Times New Roman" w:eastAsia="Times New Roman" w:hint="default"/>
        </w:rPr>
        <w:t>3,000.00</w:t>
      </w:r>
      <w:r>
        <w:rPr/>
        <w:t>万元成立广州御银信息科技有限公司，注册资本分两 期缴纳，截止到审计报告日，实缴资本为</w:t>
      </w:r>
      <w:r>
        <w:rPr>
          <w:rFonts w:ascii="Times New Roman" w:hAnsi="Times New Roman" w:cs="Times New Roman" w:eastAsia="Times New Roman" w:hint="default"/>
        </w:rPr>
        <w:t>1,500.00</w:t>
      </w:r>
      <w:r>
        <w:rPr/>
        <w:t>万元。从成立日起，广州御银信息科技有限公司纳入合并范围。</w:t>
      </w:r>
    </w:p>
    <w:p>
      <w:pPr>
        <w:spacing w:line="240" w:lineRule="auto" w:before="5"/>
        <w:rPr>
          <w:rFonts w:ascii="宋体" w:hAnsi="宋体" w:cs="宋体" w:eastAsia="宋体" w:hint="default"/>
          <w:sz w:val="20"/>
          <w:szCs w:val="20"/>
        </w:rPr>
      </w:pPr>
    </w:p>
    <w:p>
      <w:pPr>
        <w:pStyle w:val="Heading2"/>
        <w:spacing w:line="240" w:lineRule="auto"/>
        <w:ind w:left="532" w:right="814"/>
        <w:jc w:val="left"/>
        <w:rPr>
          <w:b w:val="0"/>
          <w:bCs w:val="0"/>
        </w:rPr>
      </w:pP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532" w:right="814"/>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532" w:right="814"/>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01" w:type="dxa"/>
        <w:tblLayout w:type="fixed"/>
        <w:tblCellMar>
          <w:top w:w="0" w:type="dxa"/>
          <w:left w:w="0" w:type="dxa"/>
          <w:bottom w:w="0" w:type="dxa"/>
          <w:right w:w="0" w:type="dxa"/>
        </w:tblCellMar>
        <w:tblLook w:val="01E0"/>
      </w:tblPr>
      <w:tblGrid>
        <w:gridCol w:w="2694"/>
        <w:gridCol w:w="994"/>
        <w:gridCol w:w="991"/>
        <w:gridCol w:w="3404"/>
        <w:gridCol w:w="709"/>
        <w:gridCol w:w="709"/>
        <w:gridCol w:w="992"/>
      </w:tblGrid>
      <w:tr>
        <w:trPr>
          <w:trHeight w:val="401" w:hRule="exact"/>
        </w:trPr>
        <w:tc>
          <w:tcPr>
            <w:tcW w:w="26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89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34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2694"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3404"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99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广州御新软件有限公司</w:t>
            </w:r>
          </w:p>
        </w:tc>
        <w:tc>
          <w:tcPr>
            <w:tcW w:w="99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9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340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自动柜员机及点钞机设备的研发、销售</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716"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25" w:right="137"/>
              <w:jc w:val="left"/>
              <w:rPr>
                <w:rFonts w:ascii="宋体" w:hAnsi="宋体" w:cs="宋体" w:eastAsia="宋体" w:hint="default"/>
                <w:sz w:val="18"/>
                <w:szCs w:val="18"/>
              </w:rPr>
            </w:pPr>
            <w:r>
              <w:rPr>
                <w:rFonts w:ascii="宋体" w:hAnsi="宋体" w:cs="宋体" w:eastAsia="宋体" w:hint="default"/>
                <w:sz w:val="18"/>
                <w:szCs w:val="18"/>
              </w:rPr>
              <w:t>广州御银自动柜员机技术有限公 司</w:t>
            </w:r>
          </w:p>
        </w:tc>
        <w:tc>
          <w:tcPr>
            <w:tcW w:w="99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9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340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4"/>
                <w:sz w:val="18"/>
                <w:szCs w:val="18"/>
              </w:rPr>
              <w:t>电子产品、金融机具设备、自动柜员机的研</w:t>
            </w:r>
            <w:r>
              <w:rPr>
                <w:rFonts w:ascii="宋体" w:hAnsi="宋体" w:cs="宋体" w:eastAsia="宋体" w:hint="default"/>
                <w:sz w:val="18"/>
                <w:szCs w:val="18"/>
              </w:rPr>
              <w:t> 究、开发、销售</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992"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713"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广州御银金融服务有限公司</w:t>
            </w:r>
          </w:p>
        </w:tc>
        <w:tc>
          <w:tcPr>
            <w:tcW w:w="99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9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340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4" w:lineRule="auto" w:before="49"/>
              <w:ind w:left="24" w:right="22"/>
              <w:jc w:val="left"/>
              <w:rPr>
                <w:rFonts w:ascii="宋体" w:hAnsi="宋体" w:cs="宋体" w:eastAsia="宋体" w:hint="default"/>
                <w:sz w:val="18"/>
                <w:szCs w:val="18"/>
              </w:rPr>
            </w:pPr>
            <w:r>
              <w:rPr>
                <w:rFonts w:ascii="宋体" w:hAnsi="宋体" w:cs="宋体" w:eastAsia="宋体" w:hint="default"/>
                <w:spacing w:val="-4"/>
                <w:sz w:val="18"/>
                <w:szCs w:val="18"/>
              </w:rPr>
              <w:t>对柜员机进行维护及管理，对现金及有价证</w:t>
            </w:r>
            <w:r>
              <w:rPr>
                <w:rFonts w:ascii="宋体" w:hAnsi="宋体" w:cs="宋体" w:eastAsia="宋体" w:hint="default"/>
                <w:sz w:val="18"/>
                <w:szCs w:val="18"/>
              </w:rPr>
              <w:t> 券清分处理</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20.00%</w:t>
            </w:r>
          </w:p>
        </w:tc>
        <w:tc>
          <w:tcPr>
            <w:tcW w:w="992"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715"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安徽御银电子科技有限公司</w:t>
            </w:r>
          </w:p>
        </w:tc>
        <w:tc>
          <w:tcPr>
            <w:tcW w:w="99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99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340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自动柜员机及点钞机设备的研发、销售</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22" w:right="59"/>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r>
    </w:tbl>
    <w:p>
      <w:pPr>
        <w:spacing w:after="0" w:line="316" w:lineRule="auto"/>
        <w:jc w:val="left"/>
        <w:rPr>
          <w:rFonts w:ascii="宋体" w:hAnsi="宋体" w:cs="宋体" w:eastAsia="宋体" w:hint="default"/>
          <w:sz w:val="18"/>
          <w:szCs w:val="18"/>
        </w:rPr>
        <w:sectPr>
          <w:pgSz w:w="11910" w:h="16840"/>
          <w:pgMar w:header="745" w:footer="980" w:top="1060" w:bottom="1160" w:left="600" w:right="580"/>
        </w:sectPr>
      </w:pPr>
    </w:p>
    <w:p>
      <w:pPr>
        <w:spacing w:line="240" w:lineRule="auto" w:before="6"/>
        <w:rPr>
          <w:rFonts w:ascii="宋体" w:hAnsi="宋体" w:cs="宋体" w:eastAsia="宋体" w:hint="default"/>
          <w:b/>
          <w:bCs/>
          <w:sz w:val="28"/>
          <w:szCs w:val="28"/>
        </w:rPr>
      </w:pPr>
    </w:p>
    <w:tbl>
      <w:tblPr>
        <w:tblW w:w="0" w:type="auto"/>
        <w:jc w:val="left"/>
        <w:tblInd w:w="101" w:type="dxa"/>
        <w:tblLayout w:type="fixed"/>
        <w:tblCellMar>
          <w:top w:w="0" w:type="dxa"/>
          <w:left w:w="0" w:type="dxa"/>
          <w:bottom w:w="0" w:type="dxa"/>
          <w:right w:w="0" w:type="dxa"/>
        </w:tblCellMar>
        <w:tblLook w:val="01E0"/>
      </w:tblPr>
      <w:tblGrid>
        <w:gridCol w:w="2694"/>
        <w:gridCol w:w="994"/>
        <w:gridCol w:w="991"/>
        <w:gridCol w:w="3404"/>
        <w:gridCol w:w="709"/>
        <w:gridCol w:w="709"/>
        <w:gridCol w:w="992"/>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御银（中国）科技国际有限公司</w:t>
            </w:r>
          </w:p>
        </w:tc>
        <w:tc>
          <w:tcPr>
            <w:tcW w:w="99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维尔京群岛</w:t>
            </w:r>
          </w:p>
        </w:tc>
        <w:tc>
          <w:tcPr>
            <w:tcW w:w="99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维尔京群岛</w:t>
            </w:r>
          </w:p>
        </w:tc>
        <w:tc>
          <w:tcPr>
            <w:tcW w:w="340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0"/>
              <w:ind w:left="25" w:right="0"/>
              <w:jc w:val="left"/>
              <w:rPr>
                <w:rFonts w:ascii="宋体" w:hAnsi="宋体" w:cs="宋体" w:eastAsia="宋体" w:hint="default"/>
                <w:sz w:val="18"/>
                <w:szCs w:val="18"/>
              </w:rPr>
            </w:pPr>
            <w:r>
              <w:rPr>
                <w:rFonts w:ascii="宋体" w:hAnsi="宋体" w:cs="宋体" w:eastAsia="宋体" w:hint="default"/>
                <w:sz w:val="18"/>
                <w:szCs w:val="18"/>
              </w:rPr>
              <w:t>御银科技（香港）有限公司</w:t>
            </w:r>
          </w:p>
        </w:tc>
        <w:tc>
          <w:tcPr>
            <w:tcW w:w="99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9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340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1" w:right="0"/>
              <w:jc w:val="lef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25"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广州御银自动柜员机科技有限公 司</w:t>
            </w:r>
            <w:r>
              <w:rPr>
                <w:rFonts w:ascii="Times New Roman" w:hAnsi="Times New Roman" w:cs="Times New Roman" w:eastAsia="Times New Roman"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9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340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4"/>
                <w:sz w:val="18"/>
                <w:szCs w:val="18"/>
              </w:rPr>
              <w:t>电子产品、金融机具设备、自动柜员机的研</w:t>
            </w:r>
            <w:r>
              <w:rPr>
                <w:rFonts w:ascii="宋体" w:hAnsi="宋体" w:cs="宋体" w:eastAsia="宋体" w:hint="default"/>
                <w:sz w:val="18"/>
                <w:szCs w:val="18"/>
              </w:rPr>
              <w:t> 究、开发、销售</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直接设立</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北京青年御银科技有限责任公司</w:t>
            </w:r>
          </w:p>
        </w:tc>
        <w:tc>
          <w:tcPr>
            <w:tcW w:w="99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340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4"/>
                <w:sz w:val="18"/>
                <w:szCs w:val="18"/>
              </w:rPr>
              <w:t>技术开发、技术转让、技术咨询、技术服务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4" w:lineRule="auto" w:before="50"/>
              <w:ind w:left="22" w:right="59"/>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广州御银信息科技有限公司</w:t>
            </w:r>
          </w:p>
        </w:tc>
        <w:tc>
          <w:tcPr>
            <w:tcW w:w="99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9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340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直接设立</w:t>
            </w:r>
          </w:p>
        </w:tc>
      </w:tr>
    </w:tbl>
    <w:p>
      <w:pPr>
        <w:pStyle w:val="BodyText"/>
        <w:spacing w:line="240" w:lineRule="auto" w:before="50"/>
        <w:ind w:left="532" w:right="814"/>
        <w:jc w:val="left"/>
      </w:pPr>
      <w:r>
        <w:rPr/>
        <w:t>其他说明：</w:t>
      </w:r>
    </w:p>
    <w:p>
      <w:pPr>
        <w:pStyle w:val="BodyText"/>
        <w:spacing w:line="240" w:lineRule="auto" w:before="115"/>
        <w:ind w:left="532" w:right="814"/>
        <w:jc w:val="left"/>
      </w:pPr>
      <w:r>
        <w:rPr>
          <w:rFonts w:ascii="Times New Roman" w:hAnsi="Times New Roman" w:cs="Times New Roman" w:eastAsia="Times New Roman" w:hint="default"/>
        </w:rPr>
        <w:t>*</w:t>
      </w:r>
      <w:r>
        <w:rPr/>
        <w:t>广州御银先端电子科技有限公司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日名称变更为广州御银自动柜员机科技有限公司。</w:t>
      </w:r>
    </w:p>
    <w:p>
      <w:pPr>
        <w:spacing w:line="240" w:lineRule="auto" w:before="2"/>
        <w:rPr>
          <w:rFonts w:ascii="宋体" w:hAnsi="宋体" w:cs="宋体" w:eastAsia="宋体" w:hint="default"/>
          <w:sz w:val="26"/>
          <w:szCs w:val="26"/>
        </w:rPr>
      </w:pPr>
    </w:p>
    <w:p>
      <w:pPr>
        <w:pStyle w:val="Heading3"/>
        <w:spacing w:line="240" w:lineRule="auto"/>
        <w:ind w:left="532" w:right="814"/>
        <w:jc w:val="left"/>
        <w:rPr>
          <w:b w:val="0"/>
          <w:bCs w:val="0"/>
        </w:rPr>
      </w:pPr>
      <w:r>
        <w:rPr>
          <w:rFonts w:ascii="Times New Roman" w:hAnsi="Times New Roman" w:cs="Times New Roman" w:eastAsia="Times New Roman" w:hint="default"/>
        </w:rPr>
        <w:t>2</w:t>
      </w:r>
      <w:r>
        <w:rPr/>
        <w:t>、本报告期无在子公司的所有者权益份额发生变化且仍控制子公司的交易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532" w:right="814"/>
        <w:jc w:val="left"/>
        <w:rPr>
          <w:b w:val="0"/>
          <w:bCs w:val="0"/>
        </w:rPr>
      </w:pPr>
      <w:r>
        <w:rPr>
          <w:rFonts w:ascii="Times New Roman" w:hAnsi="Times New Roman" w:cs="Times New Roman" w:eastAsia="Times New Roman" w:hint="default"/>
        </w:rPr>
        <w:t>3</w:t>
      </w:r>
      <w:r>
        <w:rPr/>
        <w:t>、本报告期无在合营安排或联营企业中的权益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532" w:right="814"/>
        <w:jc w:val="left"/>
        <w:rPr>
          <w:b w:val="0"/>
          <w:bCs w:val="0"/>
        </w:rPr>
      </w:pPr>
      <w:r>
        <w:rPr>
          <w:rFonts w:ascii="Times New Roman" w:hAnsi="Times New Roman" w:cs="Times New Roman" w:eastAsia="Times New Roman" w:hint="default"/>
        </w:rPr>
        <w:t>4</w:t>
      </w:r>
      <w:r>
        <w:rPr/>
        <w:t>、本报告期无重要的共同经营</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532" w:right="814"/>
        <w:jc w:val="left"/>
        <w:rPr>
          <w:b w:val="0"/>
          <w:bCs w:val="0"/>
        </w:rPr>
      </w:pPr>
      <w:r>
        <w:rPr>
          <w:rFonts w:ascii="Times New Roman" w:hAnsi="Times New Roman" w:cs="Times New Roman" w:eastAsia="Times New Roman" w:hint="default"/>
        </w:rPr>
        <w:t>5</w:t>
      </w:r>
      <w:r>
        <w:rPr/>
        <w:t>、本报告期无未纳入合并财务报表范围的结构化主体中的权益</w:t>
      </w:r>
      <w:r>
        <w:rPr>
          <w:b w:val="0"/>
          <w:bCs w:val="0"/>
        </w:rPr>
      </w:r>
    </w:p>
    <w:p>
      <w:pPr>
        <w:spacing w:line="240" w:lineRule="auto" w:before="8"/>
        <w:rPr>
          <w:rFonts w:ascii="宋体" w:hAnsi="宋体" w:cs="宋体" w:eastAsia="宋体" w:hint="default"/>
          <w:b/>
          <w:bCs/>
          <w:sz w:val="22"/>
          <w:szCs w:val="22"/>
        </w:rPr>
      </w:pPr>
    </w:p>
    <w:p>
      <w:pPr>
        <w:pStyle w:val="Heading2"/>
        <w:spacing w:line="240" w:lineRule="auto"/>
        <w:ind w:left="532" w:right="814"/>
        <w:jc w:val="left"/>
        <w:rPr>
          <w:b w:val="0"/>
          <w:bCs w:val="0"/>
        </w:rPr>
      </w:pP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532" w:right="544" w:firstLine="360"/>
        <w:jc w:val="left"/>
      </w:pPr>
      <w:r>
        <w:rPr>
          <w:spacing w:val="-2"/>
        </w:rPr>
        <w:t>本公司在经营过程中面临各种金融风险：信用风险、市场风险和流动性风险。公司董事会全面负责风险管理目标和政策</w:t>
      </w:r>
      <w:r>
        <w:rPr/>
        <w:t> </w:t>
      </w:r>
      <w:r>
        <w:rPr>
          <w:spacing w:val="-2"/>
        </w:rPr>
        <w:t>的确定，并对风险管理目标和政策承担最终责任，但是董事会已授权本公司经营管理层设计和实施能确保风险管理目标和政</w:t>
      </w:r>
      <w:r>
        <w:rPr>
          <w:spacing w:val="-64"/>
        </w:rPr>
        <w:t> </w:t>
      </w:r>
      <w:r>
        <w:rPr>
          <w:spacing w:val="-64"/>
        </w:rPr>
      </w:r>
      <w:r>
        <w:rPr/>
        <w:t>策得以有效执行的程序。董事会通过职能部门递交的月度报告来审查已执行程序的有效性以及风险管理目标和政策的合理 性。本公司的内部审计师也会审计风险管理的政策和程序，并且将有关发现汇报给审计委员会。</w:t>
      </w:r>
    </w:p>
    <w:p>
      <w:pPr>
        <w:pStyle w:val="BodyText"/>
        <w:spacing w:line="240" w:lineRule="auto" w:before="19"/>
        <w:ind w:left="893" w:right="544"/>
        <w:jc w:val="left"/>
      </w:pPr>
      <w:r>
        <w:rPr/>
        <w:t>本公司风险管理的总体目标是在不过度影响公司竞争力和应变力的情况下，制定尽可能降低风险的风险管理政策。</w:t>
      </w:r>
    </w:p>
    <w:p>
      <w:pPr>
        <w:pStyle w:val="BodyText"/>
        <w:spacing w:line="300" w:lineRule="auto" w:before="76"/>
        <w:ind w:left="893" w:right="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信用风险</w:t>
      </w:r>
      <w:r>
        <w:rPr>
          <w:w w:val="99"/>
        </w:rPr>
        <w:t> </w:t>
      </w:r>
      <w:r>
        <w:rPr>
          <w:spacing w:val="-4"/>
          <w:w w:val="99"/>
        </w:rPr>
        <w:t>信用风险是指金融工具的一方不履行义务，造成另一方发生财务损失的风险。本公司主要面临赊销导致的客户信用风险。</w:t>
      </w:r>
      <w:r>
        <w:rPr>
          <w:spacing w:val="-4"/>
        </w:rPr>
      </w:r>
    </w:p>
    <w:p>
      <w:pPr>
        <w:pStyle w:val="BodyText"/>
        <w:spacing w:line="316" w:lineRule="auto" w:before="31"/>
        <w:ind w:left="532" w:right="544"/>
        <w:jc w:val="left"/>
      </w:pPr>
      <w:r>
        <w:rPr>
          <w:spacing w:val="-2"/>
        </w:rPr>
        <w:t>在签订新合同之前，本公司会对新客户的信用风险进行评估，包括外部信用评级和在某些情况下的银行资信证明（当此信息</w:t>
      </w:r>
      <w:r>
        <w:rPr>
          <w:spacing w:val="-63"/>
        </w:rPr>
        <w:t> </w:t>
      </w:r>
      <w:r>
        <w:rPr>
          <w:spacing w:val="-63"/>
        </w:rPr>
      </w:r>
      <w:r>
        <w:rPr/>
        <w:t>可获取时）。公司对每一客户均设置了赊销限额，该限额为无需获得额外批准的最大额度。</w:t>
      </w:r>
    </w:p>
    <w:p>
      <w:pPr>
        <w:pStyle w:val="BodyText"/>
        <w:spacing w:line="316" w:lineRule="auto" w:before="19"/>
        <w:ind w:left="532" w:right="544" w:firstLine="360"/>
        <w:jc w:val="left"/>
      </w:pPr>
      <w:r>
        <w:rPr/>
        <w:t>公司通过对已有客户信用评级的季度监控以及应收账款账龄分析的月度审核来确保公司的整体信用风险在可控的范围 </w:t>
      </w:r>
      <w:r>
        <w:rPr>
          <w:spacing w:val="-2"/>
        </w:rPr>
        <w:t>内。在监控客户的信用风险时，按照客户的信用特征对其分组。被评为“高风险”级别的客户会放在受限制客户名单里，并</w:t>
      </w:r>
      <w:r>
        <w:rPr>
          <w:spacing w:val="-68"/>
        </w:rPr>
        <w:t> </w:t>
      </w:r>
      <w:r>
        <w:rPr>
          <w:spacing w:val="-68"/>
        </w:rPr>
      </w:r>
      <w:r>
        <w:rPr/>
        <w:t>且只有在额外批准的前提下，公司才可在未来期间内对其赊销，否则必须要求其提前支付相应款项。</w:t>
      </w:r>
    </w:p>
    <w:p>
      <w:pPr>
        <w:pStyle w:val="BodyText"/>
        <w:spacing w:line="300" w:lineRule="auto" w:before="19"/>
        <w:ind w:left="893" w:right="544"/>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市场风险</w:t>
      </w:r>
      <w:r>
        <w:rPr>
          <w:w w:val="99"/>
        </w:rPr>
        <w:t> </w:t>
      </w:r>
      <w:r>
        <w:rPr>
          <w:spacing w:val="-2"/>
        </w:rPr>
        <w:t>金融工具的市场风险，是指金融工具的公允价值或未来现金流量因市场价格变动而发生波动的风险，包括汇率风险、利</w:t>
      </w:r>
    </w:p>
    <w:p>
      <w:pPr>
        <w:pStyle w:val="BodyText"/>
        <w:spacing w:line="240" w:lineRule="auto" w:before="31"/>
        <w:ind w:left="532" w:right="814"/>
        <w:jc w:val="left"/>
      </w:pPr>
      <w:r>
        <w:rPr/>
        <w:t>率风险和其他价格风险。</w:t>
      </w:r>
    </w:p>
    <w:p>
      <w:pPr>
        <w:pStyle w:val="BodyText"/>
        <w:spacing w:line="300" w:lineRule="auto" w:before="76"/>
        <w:ind w:left="893" w:right="544"/>
        <w:jc w:val="left"/>
      </w:pPr>
      <w:r>
        <w:rPr>
          <w:rFonts w:ascii="Times New Roman" w:hAnsi="Times New Roman" w:cs="Times New Roman" w:eastAsia="Times New Roman" w:hint="default"/>
        </w:rPr>
        <w:t>1.</w:t>
      </w:r>
      <w:r>
        <w:rPr/>
        <w:t>利率风险 </w:t>
      </w:r>
      <w:r>
        <w:rPr>
          <w:spacing w:val="-2"/>
        </w:rPr>
        <w:t>利率风险，是指金融工具的公允价值或未来现金流量因市场利率变动而发生波动的风险。本公司面临的利率风险主要来</w:t>
      </w:r>
    </w:p>
    <w:p>
      <w:pPr>
        <w:pStyle w:val="BodyText"/>
        <w:spacing w:line="316" w:lineRule="auto" w:before="31"/>
        <w:ind w:left="532" w:right="544"/>
        <w:jc w:val="left"/>
      </w:pPr>
      <w:r>
        <w:rPr>
          <w:spacing w:val="-2"/>
        </w:rPr>
        <w:t>源于银行长短期借款。公司通过建立良好的银企关系，对授信额度、授信品种以及授信期限进行合理的设计，保障银行授信</w:t>
      </w:r>
      <w:r>
        <w:rPr>
          <w:spacing w:val="-65"/>
        </w:rPr>
        <w:t> </w:t>
      </w:r>
      <w:r>
        <w:rPr>
          <w:spacing w:val="-65"/>
        </w:rPr>
      </w:r>
      <w:r>
        <w:rPr/>
        <w:t>额度充足，满足公司各类融资需求。并且通过缩短单笔借款的期限，特别约定提前还款条款，合理降低利率波动风险。</w:t>
      </w:r>
    </w:p>
    <w:p>
      <w:pPr>
        <w:pStyle w:val="BodyText"/>
        <w:spacing w:line="300" w:lineRule="auto" w:before="19"/>
        <w:ind w:left="893" w:right="544"/>
        <w:jc w:val="left"/>
      </w:pPr>
      <w:r>
        <w:rPr>
          <w:rFonts w:ascii="Times New Roman" w:hAnsi="Times New Roman" w:cs="Times New Roman" w:eastAsia="Times New Roman" w:hint="default"/>
        </w:rPr>
        <w:t>2.</w:t>
      </w:r>
      <w:r>
        <w:rPr/>
        <w:t>汇率风险 </w:t>
      </w:r>
      <w:r>
        <w:rPr>
          <w:spacing w:val="-2"/>
        </w:rPr>
        <w:t>汇率风险，是指金融工具的公允价值或未来现金流量因外汇汇率变动而发生波动的风险。本公司尽可能将外币收入与外</w:t>
      </w:r>
    </w:p>
    <w:p>
      <w:pPr>
        <w:pStyle w:val="BodyText"/>
        <w:spacing w:line="316" w:lineRule="auto" w:before="31"/>
        <w:ind w:left="532" w:right="544"/>
        <w:jc w:val="left"/>
      </w:pPr>
      <w:r>
        <w:rPr>
          <w:spacing w:val="-2"/>
        </w:rPr>
        <w:t>币支出相匹配以降低汇率风险。本公司面临的汇率风险主要来源于以美元计价的金融资产和金融负债，外币金融资产和负债</w:t>
      </w:r>
      <w:r>
        <w:rPr>
          <w:spacing w:val="-64"/>
        </w:rPr>
        <w:t> </w:t>
      </w:r>
      <w:r>
        <w:rPr>
          <w:spacing w:val="-64"/>
        </w:rPr>
      </w:r>
      <w:r>
        <w:rPr/>
        <w:t>占总资产比重较小。</w:t>
      </w:r>
    </w:p>
    <w:p>
      <w:pPr>
        <w:spacing w:after="0" w:line="316" w:lineRule="auto"/>
        <w:jc w:val="left"/>
        <w:sectPr>
          <w:footerReference w:type="default" r:id="rId23"/>
          <w:pgSz w:w="11910" w:h="16840"/>
          <w:pgMar w:footer="980" w:header="745" w:top="1060" w:bottom="1160" w:left="600" w:right="580"/>
          <w:pgNumType w:start="120"/>
        </w:sectPr>
      </w:pPr>
    </w:p>
    <w:p>
      <w:pPr>
        <w:spacing w:line="240" w:lineRule="auto" w:before="9"/>
        <w:rPr>
          <w:rFonts w:ascii="宋体" w:hAnsi="宋体" w:cs="宋体" w:eastAsia="宋体" w:hint="default"/>
          <w:sz w:val="25"/>
          <w:szCs w:val="25"/>
        </w:rPr>
      </w:pPr>
    </w:p>
    <w:p>
      <w:pPr>
        <w:pStyle w:val="BodyText"/>
        <w:spacing w:line="309" w:lineRule="auto" w:before="44"/>
        <w:ind w:left="513" w:right="1853"/>
        <w:jc w:val="left"/>
      </w:pPr>
      <w:r>
        <w:rPr>
          <w:rFonts w:ascii="Times New Roman" w:hAnsi="Times New Roman" w:cs="Times New Roman" w:eastAsia="Times New Roman" w:hint="default"/>
        </w:rPr>
        <w:t>3.</w:t>
      </w:r>
      <w:r>
        <w:rPr/>
        <w:t>其他价格风险 本公司持有其他公司的权益投资，管理层认为这些投资活动面临的市场价格风险是可以接受的。 </w:t>
      </w:r>
      <w:r>
        <w:rPr>
          <w:rFonts w:ascii="Times New Roman" w:hAnsi="Times New Roman" w:cs="Times New Roman" w:eastAsia="Times New Roman" w:hint="default"/>
        </w:rPr>
        <w:t>(</w:t>
      </w:r>
      <w:r>
        <w:rPr/>
        <w:t>三</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流动性风险</w:t>
      </w:r>
    </w:p>
    <w:p>
      <w:pPr>
        <w:pStyle w:val="BodyText"/>
        <w:spacing w:line="316" w:lineRule="auto" w:before="5"/>
        <w:ind w:right="150" w:firstLine="360"/>
        <w:jc w:val="both"/>
      </w:pPr>
      <w:r>
        <w:rPr>
          <w:spacing w:val="-2"/>
        </w:rPr>
        <w:t>流动风险，是指企业在履行以交付现金或其他金融资产的方式结算的义务时发生资金短缺的风险。本公司的政策是确保</w:t>
      </w:r>
      <w:r>
        <w:rPr/>
        <w:t> </w:t>
      </w:r>
      <w:r>
        <w:rPr>
          <w:spacing w:val="-2"/>
        </w:rPr>
        <w:t>拥有充足的现金以偿还到期债务。流动性风险由本公司的财务部门集中控制。财务部门通过监控现金余额、可随时变现的有</w:t>
      </w:r>
      <w:r>
        <w:rPr>
          <w:spacing w:val="-63"/>
        </w:rPr>
        <w:t> </w:t>
      </w:r>
      <w:r>
        <w:rPr>
          <w:spacing w:val="-63"/>
        </w:rPr>
      </w:r>
      <w:r>
        <w:rPr/>
        <w:t>价证券以及对未来</w:t>
      </w:r>
      <w:r>
        <w:rPr>
          <w:rFonts w:ascii="Times New Roman" w:hAnsi="Times New Roman" w:cs="Times New Roman" w:eastAsia="Times New Roman" w:hint="default"/>
        </w:rPr>
        <w:t>12</w:t>
      </w:r>
      <w:r>
        <w:rPr/>
        <w:t>个月现金流量的滚动预测，确保公司在所有合理预测的情况下拥有充足的资金偿还债务。</w:t>
      </w:r>
    </w:p>
    <w:p>
      <w:pPr>
        <w:spacing w:line="240" w:lineRule="auto" w:before="4"/>
        <w:rPr>
          <w:rFonts w:ascii="宋体" w:hAnsi="宋体" w:cs="宋体" w:eastAsia="宋体" w:hint="default"/>
          <w:sz w:val="19"/>
          <w:szCs w:val="19"/>
        </w:rPr>
      </w:pPr>
    </w:p>
    <w:p>
      <w:pPr>
        <w:pStyle w:val="Heading2"/>
        <w:spacing w:line="240" w:lineRule="auto"/>
        <w:ind w:right="146"/>
        <w:jc w:val="left"/>
        <w:rPr>
          <w:b w:val="0"/>
          <w:bCs w:val="0"/>
        </w:rPr>
      </w:pPr>
      <w:r>
        <w:rPr/>
        <w:t>十一、关联方及关联交易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6"/>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46"/>
        <w:jc w:val="left"/>
      </w:pPr>
      <w:r>
        <w:rPr>
          <w:spacing w:val="-1"/>
        </w:rPr>
        <w:t>公司实际控制人为杨文江，其持股比例为</w:t>
      </w:r>
      <w:r>
        <w:rPr>
          <w:rFonts w:ascii="Times New Roman" w:hAnsi="Times New Roman" w:cs="Times New Roman" w:eastAsia="Times New Roman" w:hint="default"/>
          <w:spacing w:val="-1"/>
        </w:rPr>
        <w:t>28.61%</w:t>
      </w:r>
      <w:r>
        <w:rPr>
          <w:spacing w:val="-1"/>
        </w:rPr>
        <w:t>。截至审计报告日杨文江持股比例情况详见财务报告十四、</w:t>
      </w:r>
      <w:r>
        <w:rPr>
          <w:rFonts w:ascii="Times New Roman" w:hAnsi="Times New Roman" w:cs="Times New Roman" w:eastAsia="Times New Roman" w:hint="default"/>
          <w:spacing w:val="-1"/>
        </w:rPr>
        <w:t>2</w:t>
      </w:r>
      <w:r>
        <w:rPr>
          <w:spacing w:val="-1"/>
        </w:rPr>
        <w:t>、其他资产负</w:t>
      </w:r>
      <w:r>
        <w:rPr>
          <w:spacing w:val="-43"/>
        </w:rPr>
        <w:t> </w:t>
      </w:r>
      <w:r>
        <w:rPr>
          <w:spacing w:val="-43"/>
        </w:rPr>
      </w:r>
      <w:r>
        <w:rPr/>
        <w:t>债表日后事项说明。</w:t>
      </w:r>
    </w:p>
    <w:p>
      <w:pPr>
        <w:spacing w:line="240" w:lineRule="auto" w:before="10"/>
        <w:rPr>
          <w:rFonts w:ascii="宋体" w:hAnsi="宋体" w:cs="宋体" w:eastAsia="宋体" w:hint="default"/>
          <w:sz w:val="23"/>
          <w:szCs w:val="23"/>
        </w:rPr>
      </w:pPr>
    </w:p>
    <w:p>
      <w:pPr>
        <w:pStyle w:val="Heading3"/>
        <w:spacing w:line="240" w:lineRule="auto"/>
        <w:ind w:right="146"/>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6"/>
        <w:jc w:val="left"/>
      </w:pPr>
      <w:r>
        <w:rPr/>
        <w:t>本企业子公司的情况详见财务报告九、在其他主体中的权益。</w:t>
      </w:r>
    </w:p>
    <w:p>
      <w:pPr>
        <w:spacing w:line="240" w:lineRule="auto" w:before="0"/>
        <w:rPr>
          <w:rFonts w:ascii="宋体" w:hAnsi="宋体" w:cs="宋体" w:eastAsia="宋体" w:hint="default"/>
          <w:sz w:val="18"/>
          <w:szCs w:val="18"/>
        </w:rPr>
      </w:pPr>
    </w:p>
    <w:p>
      <w:pPr>
        <w:pStyle w:val="Heading3"/>
        <w:spacing w:line="240" w:lineRule="auto" w:before="118"/>
        <w:ind w:right="146"/>
        <w:jc w:val="left"/>
        <w:rPr>
          <w:b w:val="0"/>
          <w:bCs w:val="0"/>
        </w:rPr>
      </w:pPr>
      <w:r>
        <w:rPr>
          <w:rFonts w:ascii="Times New Roman" w:hAnsi="Times New Roman" w:cs="Times New Roman" w:eastAsia="Times New Roman" w:hint="default"/>
        </w:rPr>
        <w:t>3</w:t>
      </w:r>
      <w:r>
        <w:rPr/>
        <w:t>、本企业无合营和联营企业情况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6"/>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广州基准机械电子科技有限公司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本公司控股股东亲属控制的企业</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广州昭耀投资服务部（有限合伙）</w:t>
            </w:r>
          </w:p>
        </w:tc>
        <w:tc>
          <w:tcPr>
            <w:tcW w:w="478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本公司控股股东占其出资额的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广州杰萃投资有限公司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本公司控股股东控股</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广州御融通电子设备开发有限公司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本公司控股股东控股</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广州智萃电子科技有限公司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本公司控股股东控股</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广州七一一电子信息科技有限公司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本公司控股股东控股</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478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公司控股股东及关键管理人员</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陈国军</w:t>
            </w:r>
          </w:p>
        </w:tc>
        <w:tc>
          <w:tcPr>
            <w:tcW w:w="478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谭骅</w:t>
            </w:r>
          </w:p>
        </w:tc>
        <w:tc>
          <w:tcPr>
            <w:tcW w:w="478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梁晓芹</w:t>
            </w:r>
          </w:p>
        </w:tc>
        <w:tc>
          <w:tcPr>
            <w:tcW w:w="478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高永坚</w:t>
            </w:r>
          </w:p>
        </w:tc>
        <w:tc>
          <w:tcPr>
            <w:tcW w:w="478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庞泰松</w:t>
            </w:r>
          </w:p>
        </w:tc>
        <w:tc>
          <w:tcPr>
            <w:tcW w:w="478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徐德银</w:t>
            </w:r>
          </w:p>
        </w:tc>
        <w:tc>
          <w:tcPr>
            <w:tcW w:w="478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李克福</w:t>
            </w:r>
          </w:p>
        </w:tc>
        <w:tc>
          <w:tcPr>
            <w:tcW w:w="478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石本仁</w:t>
            </w:r>
          </w:p>
        </w:tc>
        <w:tc>
          <w:tcPr>
            <w:tcW w:w="478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张华</w:t>
            </w:r>
          </w:p>
        </w:tc>
        <w:tc>
          <w:tcPr>
            <w:tcW w:w="478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38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徐印州</w:t>
            </w:r>
          </w:p>
        </w:tc>
        <w:tc>
          <w:tcPr>
            <w:tcW w:w="478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梁行</w:t>
            </w:r>
          </w:p>
        </w:tc>
        <w:tc>
          <w:tcPr>
            <w:tcW w:w="478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bl>
    <w:p>
      <w:pPr>
        <w:spacing w:line="240" w:lineRule="auto" w:before="3"/>
        <w:rPr>
          <w:rFonts w:ascii="宋体" w:hAnsi="宋体" w:cs="宋体" w:eastAsia="宋体" w:hint="default"/>
          <w:b/>
          <w:bCs/>
          <w:sz w:val="19"/>
          <w:szCs w:val="19"/>
        </w:rPr>
      </w:pPr>
    </w:p>
    <w:p>
      <w:pPr>
        <w:pStyle w:val="Heading3"/>
        <w:spacing w:line="240" w:lineRule="auto" w:before="36"/>
        <w:ind w:left="392" w:right="273"/>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392" w:right="273"/>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392" w:right="273"/>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389" w:type="dxa"/>
        <w:tblLayout w:type="fixed"/>
        <w:tblCellMar>
          <w:top w:w="0" w:type="dxa"/>
          <w:left w:w="0" w:type="dxa"/>
          <w:bottom w:w="0" w:type="dxa"/>
          <w:right w:w="0" w:type="dxa"/>
        </w:tblCellMar>
        <w:tblLook w:val="01E0"/>
      </w:tblPr>
      <w:tblGrid>
        <w:gridCol w:w="2834"/>
        <w:gridCol w:w="1811"/>
        <w:gridCol w:w="2270"/>
        <w:gridCol w:w="2655"/>
      </w:tblGrid>
      <w:tr>
        <w:trPr>
          <w:trHeight w:val="401"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83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广州基准机械电子科技有限公司</w:t>
            </w:r>
          </w:p>
        </w:tc>
        <w:tc>
          <w:tcPr>
            <w:tcW w:w="181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2270" w:type="dxa"/>
            <w:tcBorders>
              <w:top w:val="single" w:sz="4" w:space="0" w:color="000000"/>
              <w:left w:val="single" w:sz="12" w:space="0" w:color="C7EB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22,036,399.53</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7" w:right="0"/>
              <w:jc w:val="left"/>
              <w:rPr>
                <w:rFonts w:ascii="Times New Roman" w:hAnsi="Times New Roman" w:cs="Times New Roman" w:eastAsia="Times New Roman" w:hint="default"/>
                <w:sz w:val="18"/>
                <w:szCs w:val="18"/>
              </w:rPr>
            </w:pPr>
            <w:r>
              <w:rPr>
                <w:rFonts w:ascii="Times New Roman"/>
                <w:sz w:val="18"/>
              </w:rPr>
              <w:t>16,505,497.26</w:t>
            </w:r>
          </w:p>
        </w:tc>
      </w:tr>
      <w:tr>
        <w:trPr>
          <w:trHeight w:val="401" w:hRule="exact"/>
        </w:trPr>
        <w:tc>
          <w:tcPr>
            <w:tcW w:w="283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广州基准机械电子科技有限公司</w:t>
            </w:r>
          </w:p>
        </w:tc>
        <w:tc>
          <w:tcPr>
            <w:tcW w:w="181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接受加工劳务</w:t>
            </w:r>
          </w:p>
        </w:tc>
        <w:tc>
          <w:tcPr>
            <w:tcW w:w="2270" w:type="dxa"/>
            <w:tcBorders>
              <w:top w:val="single" w:sz="4" w:space="0" w:color="000000"/>
              <w:left w:val="single" w:sz="12" w:space="0" w:color="C7EB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3,409,128.21</w:t>
            </w:r>
          </w:p>
        </w:tc>
        <w:tc>
          <w:tcPr>
            <w:tcW w:w="265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left="392" w:right="273"/>
        <w:jc w:val="left"/>
        <w:rPr>
          <w:b w:val="0"/>
          <w:bCs w:val="0"/>
        </w:rPr>
      </w:pPr>
      <w:r>
        <w:rPr/>
        <w:t>（</w:t>
      </w:r>
      <w:r>
        <w:rPr>
          <w:rFonts w:ascii="Times New Roman" w:hAnsi="Times New Roman" w:cs="Times New Roman" w:eastAsia="Times New Roman" w:hint="default"/>
        </w:rPr>
        <w:t>2</w:t>
      </w:r>
      <w:r>
        <w:rPr/>
        <w:t>）本报告期无关联受托管理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392" w:right="273"/>
        <w:jc w:val="left"/>
        <w:rPr>
          <w:b w:val="0"/>
          <w:bCs w:val="0"/>
        </w:rPr>
      </w:pPr>
      <w:r>
        <w:rPr/>
        <w:t>（</w:t>
      </w:r>
      <w:r>
        <w:rPr>
          <w:rFonts w:ascii="Times New Roman" w:hAnsi="Times New Roman" w:cs="Times New Roman" w:eastAsia="Times New Roman" w:hint="default"/>
        </w:rPr>
        <w:t>3</w:t>
      </w:r>
      <w:r>
        <w:rPr/>
        <w:t>）本报告期无关联租赁情况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392" w:right="273"/>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392" w:right="273"/>
        <w:jc w:val="left"/>
      </w:pPr>
      <w:r>
        <w:rPr/>
        <w:t>本公司作为担保方</w:t>
      </w:r>
    </w:p>
    <w:p>
      <w:pPr>
        <w:pStyle w:val="BodyText"/>
        <w:spacing w:line="240" w:lineRule="auto" w:before="117"/>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2835"/>
        <w:gridCol w:w="1277"/>
        <w:gridCol w:w="1916"/>
        <w:gridCol w:w="1913"/>
        <w:gridCol w:w="1916"/>
      </w:tblGrid>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4"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广州御银自动柜员机技术有限公司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9" w:right="0"/>
              <w:jc w:val="left"/>
              <w:rPr>
                <w:rFonts w:ascii="Times New Roman" w:hAnsi="Times New Roman" w:cs="Times New Roman" w:eastAsia="Times New Roman" w:hint="default"/>
                <w:sz w:val="18"/>
                <w:szCs w:val="18"/>
              </w:rPr>
            </w:pPr>
            <w:r>
              <w:rPr>
                <w:rFonts w:ascii="Times New Roman"/>
                <w:sz w:val="18"/>
              </w:rPr>
              <w:t>12,837,604.21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360" w:lineRule="auto" w:before="49"/>
        <w:ind w:left="753" w:right="273" w:hanging="361"/>
        <w:jc w:val="left"/>
        <w:rPr>
          <w:rFonts w:ascii="Times New Roman" w:hAnsi="Times New Roman" w:cs="Times New Roman" w:eastAsia="Times New Roman" w:hint="default"/>
        </w:rPr>
      </w:pPr>
      <w:r>
        <w:rPr/>
        <w:t>关联担保情况说明 子公司广州御银自动柜员机技术有限公司与中国工商银行股份有限公司广州工业大道支行签订了编号为工业支行</w:t>
      </w:r>
      <w:r>
        <w:rPr>
          <w:rFonts w:ascii="Times New Roman" w:hAnsi="Times New Roman" w:cs="Times New Roman" w:eastAsia="Times New Roman" w:hint="default"/>
        </w:rPr>
        <w:t>2012</w:t>
      </w:r>
    </w:p>
    <w:p>
      <w:pPr>
        <w:pStyle w:val="BodyText"/>
        <w:spacing w:line="212" w:lineRule="exact"/>
        <w:ind w:left="392" w:right="0"/>
        <w:jc w:val="both"/>
      </w:pPr>
      <w:r>
        <w:rPr/>
        <w:t>年项借字第</w:t>
      </w:r>
      <w:r>
        <w:rPr>
          <w:rFonts w:ascii="Times New Roman" w:hAnsi="Times New Roman" w:cs="Times New Roman" w:eastAsia="Times New Roman" w:hint="default"/>
        </w:rPr>
        <w:t>006</w:t>
      </w:r>
      <w:r>
        <w:rPr/>
        <w:t>号的固定资产借款合同，本合同项下借款额度为人民币</w:t>
      </w:r>
      <w:r>
        <w:rPr>
          <w:rFonts w:ascii="Times New Roman" w:hAnsi="Times New Roman" w:cs="Times New Roman" w:eastAsia="Times New Roman" w:hint="default"/>
        </w:rPr>
        <w:t>8,500.00</w:t>
      </w:r>
      <w:r>
        <w:rPr/>
        <w:t>万元，用途为“柜员机产能扩充”项目建设，</w:t>
      </w:r>
    </w:p>
    <w:p>
      <w:pPr>
        <w:pStyle w:val="BodyText"/>
        <w:spacing w:line="309" w:lineRule="auto" w:before="63"/>
        <w:ind w:left="392" w:right="191"/>
        <w:jc w:val="both"/>
      </w:pPr>
      <w:r>
        <w:rPr/>
        <w:t>期限为</w:t>
      </w:r>
      <w:r>
        <w:rPr>
          <w:rFonts w:ascii="Times New Roman" w:hAnsi="Times New Roman" w:cs="Times New Roman" w:eastAsia="Times New Roman" w:hint="default"/>
        </w:rPr>
        <w:t>5</w:t>
      </w:r>
      <w:r>
        <w:rPr/>
        <w:t>年。杨文江、广州御银科技股份有限公司为其提供担保，担保范围包括主债权本金、利息、复利、罚息、违约金、 </w:t>
      </w:r>
      <w:r>
        <w:rPr>
          <w:spacing w:val="-2"/>
        </w:rPr>
        <w:t>损害赔偿金、汇率损失及实现债权的费用；保证期间为：自主合同项下的借款期限届满之次日起两年；中国工商银行股份有</w:t>
      </w:r>
      <w:r>
        <w:rPr>
          <w:spacing w:val="-64"/>
        </w:rPr>
        <w:t> </w:t>
      </w:r>
      <w:r>
        <w:rPr>
          <w:spacing w:val="-64"/>
        </w:rPr>
      </w:r>
      <w:r>
        <w:rPr/>
        <w:t>限公司广州工业大道支行根据主合同之约定宣布借款提前到期的，则保证期间为借款提前到期日之次日起两年。</w:t>
      </w:r>
    </w:p>
    <w:p>
      <w:pPr>
        <w:pStyle w:val="BodyText"/>
        <w:spacing w:line="309" w:lineRule="auto" w:before="24"/>
        <w:ind w:left="392" w:right="184" w:firstLine="360"/>
        <w:jc w:val="left"/>
      </w:pPr>
      <w:r>
        <w:rPr/>
        <w:t>公司与中国工商银行股份有限公司广州工业大道支行签订了编号为工业支行</w:t>
      </w:r>
      <w:r>
        <w:rPr>
          <w:rFonts w:ascii="Times New Roman" w:hAnsi="Times New Roman" w:cs="Times New Roman" w:eastAsia="Times New Roman" w:hint="default"/>
        </w:rPr>
        <w:t>2013</w:t>
      </w:r>
      <w:r>
        <w:rPr/>
        <w:t>年项借字第</w:t>
      </w:r>
      <w:r>
        <w:rPr>
          <w:rFonts w:ascii="Times New Roman" w:hAnsi="Times New Roman" w:cs="Times New Roman" w:eastAsia="Times New Roman" w:hint="default"/>
        </w:rPr>
        <w:t>006</w:t>
      </w:r>
      <w:r>
        <w:rPr/>
        <w:t>号的固定资产借款合 同，本合同项下借款额度为人民币</w:t>
      </w:r>
      <w:r>
        <w:rPr>
          <w:rFonts w:ascii="Times New Roman" w:hAnsi="Times New Roman" w:cs="Times New Roman" w:eastAsia="Times New Roman" w:hint="default"/>
        </w:rPr>
        <w:t>13,000.00</w:t>
      </w:r>
      <w:r>
        <w:rPr/>
        <w:t>万元，用途为“御银科技园”项目建设，期限为</w:t>
      </w:r>
      <w:r>
        <w:rPr>
          <w:rFonts w:ascii="Times New Roman" w:hAnsi="Times New Roman" w:cs="Times New Roman" w:eastAsia="Times New Roman" w:hint="default"/>
        </w:rPr>
        <w:t>5</w:t>
      </w:r>
      <w:r>
        <w:rPr/>
        <w:t>年。子公司广州御银自动柜员 </w:t>
      </w:r>
      <w:r>
        <w:rPr>
          <w:spacing w:val="-2"/>
        </w:rPr>
        <w:t>机技术有限公司为其提供担保，担保范围包括主债权本金、利息、复利、罚息、违约金、损害赔偿金、汇率损失及实现债权</w:t>
      </w:r>
      <w:r>
        <w:rPr>
          <w:spacing w:val="-70"/>
        </w:rPr>
        <w:t> </w:t>
      </w:r>
      <w:r>
        <w:rPr>
          <w:spacing w:val="-70"/>
        </w:rPr>
      </w:r>
      <w:r>
        <w:rPr>
          <w:spacing w:val="-2"/>
        </w:rPr>
        <w:t>的费用；保证期间为：自主合同项下的借款期限届满之次日起两年；中国工商银行股份有限公司广州工业大道支行根据主合</w:t>
      </w:r>
      <w:r>
        <w:rPr>
          <w:spacing w:val="-66"/>
        </w:rPr>
        <w:t> </w:t>
      </w:r>
      <w:r>
        <w:rPr>
          <w:spacing w:val="-66"/>
        </w:rPr>
      </w:r>
      <w:r>
        <w:rPr/>
        <w:t>同之约定宣布借款提前到期的，则保证期间为借款提前到期日之次日起两年。</w:t>
      </w:r>
    </w:p>
    <w:p>
      <w:pPr>
        <w:spacing w:line="240" w:lineRule="auto" w:before="3"/>
        <w:rPr>
          <w:rFonts w:ascii="宋体" w:hAnsi="宋体" w:cs="宋体" w:eastAsia="宋体" w:hint="default"/>
          <w:sz w:val="23"/>
          <w:szCs w:val="23"/>
        </w:rPr>
      </w:pPr>
    </w:p>
    <w:p>
      <w:pPr>
        <w:pStyle w:val="Heading3"/>
        <w:spacing w:line="240" w:lineRule="auto"/>
        <w:ind w:left="392" w:right="0"/>
        <w:jc w:val="both"/>
        <w:rPr>
          <w:b w:val="0"/>
          <w:bCs w:val="0"/>
        </w:rPr>
      </w:pPr>
      <w:r>
        <w:rPr/>
        <w:t>（</w:t>
      </w:r>
      <w:r>
        <w:rPr>
          <w:rFonts w:ascii="Times New Roman" w:hAnsi="Times New Roman" w:cs="Times New Roman" w:eastAsia="Times New Roman" w:hint="default"/>
        </w:rPr>
        <w:t>5</w:t>
      </w:r>
      <w:r>
        <w:rPr/>
        <w:t>）本报告期无关联方资金拆借</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392" w:right="0"/>
        <w:jc w:val="both"/>
        <w:rPr>
          <w:b w:val="0"/>
          <w:bCs w:val="0"/>
        </w:rPr>
      </w:pPr>
      <w:r>
        <w:rPr/>
        <w:t>（</w:t>
      </w:r>
      <w:r>
        <w:rPr>
          <w:rFonts w:ascii="Times New Roman" w:hAnsi="Times New Roman" w:cs="Times New Roman" w:eastAsia="Times New Roman" w:hint="default"/>
        </w:rPr>
        <w:t>6</w:t>
      </w:r>
      <w:r>
        <w:rPr/>
        <w:t>）本报告期无关联方资产转让、债务重组情况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392" w:right="0"/>
        <w:jc w:val="both"/>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91"/>
        <w:jc w:val="right"/>
      </w:pPr>
      <w:r>
        <w:rPr/>
        <w:t>单位：</w:t>
      </w:r>
      <w:r>
        <w:rPr>
          <w:spacing w:val="1"/>
        </w:rPr>
        <w:t> </w:t>
      </w:r>
      <w:r>
        <w:rPr/>
        <w:t>元</w:t>
      </w:r>
    </w:p>
    <w:p>
      <w:pPr>
        <w:spacing w:after="0" w:line="240" w:lineRule="auto"/>
        <w:jc w:val="right"/>
        <w:sectPr>
          <w:pgSz w:w="11910" w:h="16840"/>
          <w:pgMar w:header="745" w:footer="980" w:top="1060" w:bottom="1160" w:left="74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300.72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307.53</w:t>
            </w:r>
          </w:p>
        </w:tc>
      </w:tr>
    </w:tbl>
    <w:p>
      <w:pPr>
        <w:spacing w:line="240" w:lineRule="auto" w:before="3"/>
        <w:rPr>
          <w:rFonts w:ascii="宋体" w:hAnsi="宋体" w:cs="宋体" w:eastAsia="宋体" w:hint="default"/>
          <w:sz w:val="19"/>
          <w:szCs w:val="19"/>
        </w:rPr>
      </w:pPr>
    </w:p>
    <w:p>
      <w:pPr>
        <w:pStyle w:val="Heading3"/>
        <w:spacing w:line="240" w:lineRule="auto" w:before="36"/>
        <w:ind w:right="146"/>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6"/>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83"/>
        <w:gridCol w:w="1604"/>
        <w:gridCol w:w="1596"/>
        <w:gridCol w:w="1594"/>
        <w:gridCol w:w="1594"/>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2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83" w:type="dxa"/>
            <w:tcBorders>
              <w:top w:val="single" w:sz="4" w:space="0" w:color="000000"/>
              <w:left w:val="single" w:sz="4" w:space="0" w:color="000000"/>
              <w:bottom w:val="single" w:sz="4" w:space="0" w:color="000000"/>
              <w:right w:val="single" w:sz="4" w:space="0" w:color="000000"/>
            </w:tcBorders>
            <w:shd w:val="clear" w:color="auto" w:fill="C7EBCC"/>
          </w:tcPr>
          <w:p>
            <w:pPr/>
          </w:p>
        </w:tc>
        <w:tc>
          <w:tcPr>
            <w:tcW w:w="1604" w:type="dxa"/>
            <w:tcBorders>
              <w:top w:val="single" w:sz="4" w:space="0" w:color="000000"/>
              <w:left w:val="single" w:sz="10" w:space="0" w:color="C7EBCC"/>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BCC"/>
          </w:tcPr>
          <w:p>
            <w:pPr/>
          </w:p>
        </w:tc>
        <w:tc>
          <w:tcPr>
            <w:tcW w:w="158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张成虎</w:t>
            </w:r>
          </w:p>
        </w:tc>
        <w:tc>
          <w:tcPr>
            <w:tcW w:w="1604" w:type="dxa"/>
            <w:tcBorders>
              <w:top w:val="single" w:sz="4" w:space="0" w:color="000000"/>
              <w:left w:val="single" w:sz="10" w:space="0" w:color="C7EBCC"/>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102,962.36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5,148.12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81,061.87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4,053.09</w:t>
            </w: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BCC"/>
          </w:tcPr>
          <w:p>
            <w:pPr/>
          </w:p>
        </w:tc>
        <w:tc>
          <w:tcPr>
            <w:tcW w:w="158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高永坚</w:t>
            </w:r>
          </w:p>
        </w:tc>
        <w:tc>
          <w:tcPr>
            <w:tcW w:w="1604" w:type="dxa"/>
            <w:tcBorders>
              <w:top w:val="single" w:sz="4" w:space="0" w:color="000000"/>
              <w:left w:val="single" w:sz="10" w:space="0" w:color="C7EBCC"/>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41,022.40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2,051.12</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BCC"/>
          </w:tcPr>
          <w:p>
            <w:pPr/>
          </w:p>
        </w:tc>
        <w:tc>
          <w:tcPr>
            <w:tcW w:w="158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庞泰松</w:t>
            </w:r>
          </w:p>
        </w:tc>
        <w:tc>
          <w:tcPr>
            <w:tcW w:w="1604" w:type="dxa"/>
            <w:tcBorders>
              <w:top w:val="single" w:sz="4" w:space="0" w:color="000000"/>
              <w:left w:val="single" w:sz="10" w:space="0" w:color="C7EBCC"/>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BCC"/>
          </w:tcPr>
          <w:p>
            <w:pPr/>
          </w:p>
        </w:tc>
        <w:tc>
          <w:tcPr>
            <w:tcW w:w="158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李克福</w:t>
            </w:r>
          </w:p>
        </w:tc>
        <w:tc>
          <w:tcPr>
            <w:tcW w:w="1604" w:type="dxa"/>
            <w:tcBorders>
              <w:top w:val="single" w:sz="4" w:space="0" w:color="000000"/>
              <w:left w:val="single" w:sz="10" w:space="0" w:color="C7EB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46"/>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27"/>
        <w:gridCol w:w="2647"/>
        <w:gridCol w:w="2404"/>
        <w:gridCol w:w="2393"/>
      </w:tblGrid>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64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right="66"/>
              <w:jc w:val="center"/>
              <w:rPr>
                <w:rFonts w:ascii="宋体" w:hAnsi="宋体" w:cs="宋体" w:eastAsia="宋体" w:hint="default"/>
                <w:sz w:val="18"/>
                <w:szCs w:val="18"/>
              </w:rPr>
            </w:pPr>
            <w:r>
              <w:rPr>
                <w:rFonts w:ascii="宋体" w:hAnsi="宋体" w:cs="宋体" w:eastAsia="宋体" w:hint="default"/>
                <w:sz w:val="18"/>
                <w:szCs w:val="18"/>
              </w:rPr>
              <w:t>广州基准机械电子科技有限公司</w:t>
            </w:r>
          </w:p>
        </w:tc>
        <w:tc>
          <w:tcPr>
            <w:tcW w:w="2404" w:type="dxa"/>
            <w:tcBorders>
              <w:top w:val="single" w:sz="4" w:space="0" w:color="000000"/>
              <w:left w:val="single" w:sz="10" w:space="0" w:color="C7EBCC"/>
              <w:bottom w:val="single" w:sz="4" w:space="0" w:color="000000"/>
              <w:right w:val="single" w:sz="4" w:space="0" w:color="000000"/>
            </w:tcBorders>
          </w:tcPr>
          <w:p>
            <w:pPr>
              <w:pStyle w:val="TableParagraph"/>
              <w:spacing w:line="240" w:lineRule="auto" w:before="91"/>
              <w:ind w:left="1552" w:right="0"/>
              <w:jc w:val="left"/>
              <w:rPr>
                <w:rFonts w:ascii="Times New Roman" w:hAnsi="Times New Roman" w:cs="Times New Roman" w:eastAsia="Times New Roman" w:hint="default"/>
                <w:sz w:val="18"/>
                <w:szCs w:val="18"/>
              </w:rPr>
            </w:pPr>
            <w:r>
              <w:rPr>
                <w:rFonts w:ascii="Times New Roman"/>
                <w:sz w:val="18"/>
              </w:rPr>
              <w:t>607,481.41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2,944,237.72</w:t>
            </w:r>
          </w:p>
        </w:tc>
      </w:tr>
    </w:tbl>
    <w:p>
      <w:pPr>
        <w:spacing w:line="240" w:lineRule="auto" w:before="3"/>
        <w:rPr>
          <w:rFonts w:ascii="宋体" w:hAnsi="宋体" w:cs="宋体" w:eastAsia="宋体" w:hint="default"/>
          <w:sz w:val="19"/>
          <w:szCs w:val="19"/>
        </w:rPr>
      </w:pPr>
    </w:p>
    <w:p>
      <w:pPr>
        <w:spacing w:line="487" w:lineRule="auto" w:before="36"/>
        <w:ind w:left="152" w:right="735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、本报告期无关联方承诺</w:t>
      </w:r>
      <w:r>
        <w:rPr>
          <w:rFonts w:ascii="宋体" w:hAnsi="宋体" w:cs="宋体" w:eastAsia="宋体" w:hint="default"/>
          <w:b/>
          <w:bCs/>
          <w:w w:val="100"/>
          <w:sz w:val="21"/>
          <w:szCs w:val="21"/>
        </w:rPr>
        <w:t> </w:t>
      </w:r>
      <w:r>
        <w:rPr>
          <w:rFonts w:ascii="宋体" w:hAnsi="宋体" w:cs="宋体" w:eastAsia="宋体" w:hint="default"/>
          <w:b/>
          <w:bCs/>
          <w:sz w:val="24"/>
          <w:szCs w:val="24"/>
        </w:rPr>
        <w:t>十二、股份支付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5"/>
        <w:ind w:right="14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3,179,146.88</w:t>
            </w:r>
          </w:p>
        </w:tc>
      </w:tr>
      <w:tr>
        <w:trPr>
          <w:trHeight w:val="403" w:hRule="exact"/>
        </w:trPr>
        <w:tc>
          <w:tcPr>
            <w:tcW w:w="5455" w:type="dxa"/>
            <w:tcBorders>
              <w:top w:val="single" w:sz="4" w:space="0" w:color="000000"/>
              <w:left w:val="single" w:sz="4" w:space="0" w:color="000000"/>
              <w:bottom w:val="single" w:sz="4" w:space="0" w:color="000000"/>
              <w:right w:val="single" w:sz="10" w:space="0" w:color="C7EBCC"/>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5455" w:type="dxa"/>
            <w:tcBorders>
              <w:top w:val="single" w:sz="4" w:space="0" w:color="000000"/>
              <w:left w:val="single" w:sz="4" w:space="0" w:color="000000"/>
              <w:bottom w:val="single" w:sz="4" w:space="0" w:color="000000"/>
              <w:right w:val="single" w:sz="10" w:space="0" w:color="C7EBCC"/>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3"/>
        <w:spacing w:line="240" w:lineRule="auto" w:before="36"/>
        <w:ind w:right="146"/>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4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left="0" w:right="191"/>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ind w:left="0" w:right="196"/>
        <w:jc w:val="right"/>
      </w:pPr>
      <w:r>
        <w:rPr/>
        <w:pict>
          <v:shape style="position:absolute;margin-left:56.459999pt;margin-top:-69.788300pt;width:479.2pt;height:163.35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69"/>
                    <w:gridCol w:w="5600"/>
                  </w:tblGrid>
                  <w:tr>
                    <w:trPr>
                      <w:trHeight w:val="1025"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560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00" w:lineRule="auto" w:before="49"/>
                          <w:ind w:left="23" w:right="20"/>
                          <w:jc w:val="both"/>
                          <w:rPr>
                            <w:rFonts w:ascii="宋体" w:hAnsi="宋体" w:cs="宋体" w:eastAsia="宋体" w:hint="default"/>
                            <w:sz w:val="18"/>
                            <w:szCs w:val="18"/>
                          </w:rPr>
                        </w:pPr>
                        <w:r>
                          <w:rPr>
                            <w:rFonts w:ascii="宋体" w:hAnsi="宋体" w:cs="宋体" w:eastAsia="宋体" w:hint="default"/>
                            <w:sz w:val="18"/>
                            <w:szCs w:val="18"/>
                          </w:rPr>
                          <w:t>根据《企业会计准则第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金融工具确认和计量》中关于公允价值确 </w:t>
                        </w:r>
                        <w:r>
                          <w:rPr>
                            <w:rFonts w:ascii="宋体" w:hAnsi="宋体" w:cs="宋体" w:eastAsia="宋体" w:hint="default"/>
                            <w:spacing w:val="-8"/>
                            <w:sz w:val="18"/>
                            <w:szCs w:val="18"/>
                          </w:rPr>
                          <w:t>定的相关规定，公司选择</w:t>
                        </w:r>
                        <w:r>
                          <w:rPr>
                            <w:rFonts w:ascii="宋体" w:hAnsi="宋体" w:cs="宋体" w:eastAsia="宋体" w:hint="default"/>
                            <w:spacing w:val="-39"/>
                            <w:sz w:val="18"/>
                            <w:szCs w:val="18"/>
                          </w:rPr>
                          <w:t> </w:t>
                        </w:r>
                        <w:r>
                          <w:rPr>
                            <w:rFonts w:ascii="Times New Roman" w:hAnsi="Times New Roman" w:cs="Times New Roman" w:eastAsia="Times New Roman" w:hint="default"/>
                            <w:w w:val="99"/>
                            <w:sz w:val="18"/>
                            <w:szCs w:val="18"/>
                          </w:rPr>
                          <w:t>Black-Scholes</w:t>
                        </w:r>
                        <w:r>
                          <w:rPr>
                            <w:rFonts w:ascii="Times New Roman" w:hAnsi="Times New Roman" w:cs="Times New Roman" w:eastAsia="Times New Roman" w:hint="default"/>
                            <w:spacing w:val="5"/>
                            <w:w w:val="99"/>
                            <w:sz w:val="18"/>
                            <w:szCs w:val="18"/>
                          </w:rPr>
                          <w:t> </w:t>
                        </w:r>
                        <w:r>
                          <w:rPr>
                            <w:rFonts w:ascii="宋体" w:hAnsi="宋体" w:cs="宋体" w:eastAsia="宋体" w:hint="default"/>
                            <w:spacing w:val="-1"/>
                            <w:sz w:val="18"/>
                            <w:szCs w:val="18"/>
                          </w:rPr>
                          <w:t>模型对授予的股票期权的公允价</w:t>
                        </w:r>
                        <w:r>
                          <w:rPr>
                            <w:rFonts w:ascii="宋体" w:hAnsi="宋体" w:cs="宋体" w:eastAsia="宋体" w:hint="default"/>
                            <w:sz w:val="18"/>
                            <w:szCs w:val="18"/>
                          </w:rPr>
                          <w:t> 值进行测算。</w:t>
                        </w:r>
                      </w:p>
                    </w:tc>
                  </w:tr>
                  <w:tr>
                    <w:trPr>
                      <w:trHeight w:val="1027"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560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pacing w:val="-2"/>
                            <w:sz w:val="18"/>
                            <w:szCs w:val="18"/>
                          </w:rPr>
                          <w:t>在等待期内的每个资产负债表日，根据最新取得的可行权人数变动、业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5"/>
                            <w:sz w:val="18"/>
                            <w:szCs w:val="18"/>
                          </w:rPr>
                          <w:t>绩指标完成情况等信息，修正预计可行权的股票期权数量。在可行权日</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最终预计可行权权益工具的数量与实际可行权工具的数量一致。</w:t>
                        </w:r>
                      </w:p>
                    </w:tc>
                  </w:tr>
                  <w:tr>
                    <w:trPr>
                      <w:trHeight w:val="401"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560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8,069,683.11</w:t>
                        </w:r>
                      </w:p>
                    </w:tc>
                  </w:tr>
                  <w:tr>
                    <w:trPr>
                      <w:trHeight w:val="401"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1,028,418.00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3"/>
        <w:spacing w:line="240" w:lineRule="auto" w:before="36"/>
        <w:ind w:right="94"/>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94"/>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88" w:firstLine="360"/>
        <w:jc w:val="both"/>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12</w:t>
      </w:r>
      <w:r>
        <w:rPr>
          <w:spacing w:val="-2"/>
        </w:rPr>
        <w:t>日，公司第四届董事会第十四次会议审议通过了《关于对首期股票期权激励计划进行调整及注销部分</w:t>
      </w:r>
      <w:r>
        <w:rPr/>
        <w:t> 已授予股票期权的议案》</w:t>
      </w:r>
      <w:r>
        <w:rPr>
          <w:rFonts w:ascii="Times New Roman" w:hAnsi="Times New Roman" w:cs="Times New Roman" w:eastAsia="Times New Roman" w:hint="default"/>
        </w:rPr>
        <w:t>,</w:t>
      </w:r>
      <w:r>
        <w:rPr/>
        <w:t>经本次调整及注销后，首期股票期权激励计划的激励对象人数由</w:t>
      </w:r>
      <w:r>
        <w:rPr>
          <w:rFonts w:ascii="Times New Roman" w:hAnsi="Times New Roman" w:cs="Times New Roman" w:eastAsia="Times New Roman" w:hint="default"/>
        </w:rPr>
        <w:t>20</w:t>
      </w:r>
      <w:r>
        <w:rPr/>
        <w:t>人减少至</w:t>
      </w:r>
      <w:r>
        <w:rPr>
          <w:rFonts w:ascii="Times New Roman" w:hAnsi="Times New Roman" w:cs="Times New Roman" w:eastAsia="Times New Roman" w:hint="default"/>
        </w:rPr>
        <w:t>17</w:t>
      </w:r>
      <w:r>
        <w:rPr/>
        <w:t>人，其中：首次授</w:t>
      </w:r>
      <w:r>
        <w:rPr>
          <w:spacing w:val="-86"/>
        </w:rPr>
        <w:t> </w:t>
      </w:r>
      <w:r>
        <w:rPr>
          <w:spacing w:val="-1"/>
        </w:rPr>
        <w:t>予股票期权的激励对象</w:t>
      </w:r>
      <w:r>
        <w:rPr>
          <w:rFonts w:ascii="Times New Roman" w:hAnsi="Times New Roman" w:cs="Times New Roman" w:eastAsia="Times New Roman" w:hint="default"/>
          <w:spacing w:val="-1"/>
        </w:rPr>
        <w:t>17</w:t>
      </w:r>
      <w:r>
        <w:rPr>
          <w:spacing w:val="-1"/>
        </w:rPr>
        <w:t>人，预留股票期权的激励对象人数</w:t>
      </w:r>
      <w:r>
        <w:rPr>
          <w:rFonts w:ascii="Times New Roman" w:hAnsi="Times New Roman" w:cs="Times New Roman" w:eastAsia="Times New Roman" w:hint="default"/>
          <w:spacing w:val="-1"/>
        </w:rPr>
        <w:t>0</w:t>
      </w:r>
      <w:r>
        <w:rPr>
          <w:spacing w:val="-1"/>
        </w:rPr>
        <w:t>人。首次已授予股票期权数量调整为</w:t>
      </w:r>
      <w:r>
        <w:rPr>
          <w:rFonts w:ascii="Times New Roman" w:hAnsi="Times New Roman" w:cs="Times New Roman" w:eastAsia="Times New Roman" w:hint="default"/>
          <w:spacing w:val="-1"/>
        </w:rPr>
        <w:t>149.396</w:t>
      </w:r>
      <w:r>
        <w:rPr>
          <w:spacing w:val="-1"/>
        </w:rPr>
        <w:t>万份，行权价格调</w:t>
      </w:r>
      <w:r>
        <w:rPr>
          <w:spacing w:val="-71"/>
        </w:rPr>
        <w:t> </w:t>
      </w:r>
      <w:r>
        <w:rPr>
          <w:spacing w:val="-71"/>
        </w:rPr>
      </w:r>
      <w:r>
        <w:rPr/>
        <w:t>整为</w:t>
      </w:r>
      <w:r>
        <w:rPr>
          <w:rFonts w:ascii="Times New Roman" w:hAnsi="Times New Roman" w:cs="Times New Roman" w:eastAsia="Times New Roman" w:hint="default"/>
        </w:rPr>
        <w:t>5.32</w:t>
      </w:r>
      <w:r>
        <w:rPr/>
        <w:t>元；预留部分股票期权数量调整为</w:t>
      </w:r>
      <w:r>
        <w:rPr>
          <w:rFonts w:ascii="Times New Roman" w:hAnsi="Times New Roman" w:cs="Times New Roman" w:eastAsia="Times New Roman" w:hint="default"/>
        </w:rPr>
        <w:t>0</w:t>
      </w:r>
      <w:r>
        <w:rPr/>
        <w:t>万份。</w:t>
      </w:r>
    </w:p>
    <w:p>
      <w:pPr>
        <w:pStyle w:val="BodyText"/>
        <w:spacing w:line="316" w:lineRule="auto" w:before="13"/>
        <w:ind w:right="94" w:firstLine="360"/>
        <w:jc w:val="left"/>
      </w:pPr>
      <w:r>
        <w:rPr>
          <w:spacing w:val="-2"/>
        </w:rPr>
        <w:t>鉴于原激励对象石海平先生、夏晖先生、祝坚贞女士离职，已不符合激励对象的获授资格，取消上述已授予激励对象的</w:t>
      </w:r>
      <w:r>
        <w:rPr/>
        <w:t> 股票期权。</w:t>
      </w:r>
    </w:p>
    <w:p>
      <w:pPr>
        <w:pStyle w:val="BodyText"/>
        <w:spacing w:line="319" w:lineRule="auto" w:before="19"/>
        <w:ind w:right="94" w:firstLine="360"/>
        <w:jc w:val="left"/>
      </w:pPr>
      <w:r>
        <w:rPr>
          <w:spacing w:val="-2"/>
        </w:rPr>
        <w:t>本次股票期权激励计划的调整及注销部分已授予股票期权不会对公司的财务状况和经营成果产生实质性影响，也不会影</w:t>
      </w:r>
      <w:r>
        <w:rPr/>
        <w:t> 响公司经营团队勤勉尽责，公司管理团队将继续认真履行职责，尽全力为股东创造价值。</w:t>
      </w:r>
    </w:p>
    <w:p>
      <w:pPr>
        <w:pStyle w:val="BodyText"/>
        <w:spacing w:line="300" w:lineRule="auto" w:before="17"/>
        <w:ind w:right="172" w:firstLine="360"/>
        <w:jc w:val="left"/>
      </w:pPr>
      <w:r>
        <w:rPr/>
        <w:t>（</w:t>
      </w:r>
      <w:r>
        <w:rPr>
          <w:spacing w:val="-2"/>
        </w:rPr>
        <w:t>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21</w:t>
      </w:r>
      <w:r>
        <w:rPr/>
        <w:t>日，公司第四届董事会第十五次会议审议通过了《关于终止实施</w:t>
      </w:r>
      <w:r>
        <w:rPr>
          <w:rFonts w:ascii="Times New Roman" w:hAnsi="Times New Roman" w:cs="Times New Roman" w:eastAsia="Times New Roman" w:hint="default"/>
        </w:rPr>
        <w:t>&lt;</w:t>
      </w:r>
      <w:r>
        <w:rPr/>
        <w:t>广州御银科技股份有限公司股票 期权激励计划（草案）修订稿</w:t>
      </w:r>
      <w:r>
        <w:rPr>
          <w:rFonts w:ascii="Times New Roman" w:hAnsi="Times New Roman" w:cs="Times New Roman" w:eastAsia="Times New Roman" w:hint="default"/>
        </w:rPr>
        <w:t>&gt;</w:t>
      </w:r>
      <w:r>
        <w:rPr/>
        <w:t>并注销已授予股票期权的议案》，《股票期权激励计划实施考核办法》一并终止。公司董事 会承诺自本决议公告之日起</w:t>
      </w:r>
      <w:r>
        <w:rPr>
          <w:rFonts w:ascii="Times New Roman" w:hAnsi="Times New Roman" w:cs="Times New Roman" w:eastAsia="Times New Roman" w:hint="default"/>
        </w:rPr>
        <w:t>6</w:t>
      </w:r>
      <w:r>
        <w:rPr/>
        <w:t>个月内，不再审议和披露股权激励计划。</w:t>
      </w:r>
    </w:p>
    <w:p>
      <w:pPr>
        <w:pStyle w:val="BodyText"/>
        <w:spacing w:line="316" w:lineRule="auto" w:before="13"/>
        <w:ind w:right="94" w:firstLine="360"/>
        <w:jc w:val="left"/>
      </w:pPr>
      <w:r>
        <w:rPr>
          <w:spacing w:val="-4"/>
        </w:rPr>
        <w:t>公司实施股票期权激励计划的目的在于建立健全公司的激励约束机制，充分调动核心骨干员工的积极性，促进公司持续、</w:t>
      </w:r>
      <w:r>
        <w:rPr/>
        <w:t> </w:t>
      </w:r>
      <w:r>
        <w:rPr>
          <w:spacing w:val="-2"/>
        </w:rPr>
        <w:t>健康的发展。但是自公司推出股票期权激励计划以来，国内外宏观经济形势和资本市场环境发生了较大变化，目前整体趋势</w:t>
      </w:r>
      <w:r>
        <w:rPr>
          <w:spacing w:val="-63"/>
        </w:rPr>
        <w:t> </w:t>
      </w:r>
      <w:r>
        <w:rPr>
          <w:spacing w:val="-63"/>
        </w:rPr>
      </w:r>
      <w:r>
        <w:rPr>
          <w:spacing w:val="-4"/>
        </w:rPr>
        <w:t>仍不明朗，同时为加快主业拓展，公司也引进一批中高端的复合型管理、技术和销售人才，该部分人才将为公司新产品研发、</w:t>
      </w:r>
      <w:r>
        <w:rPr>
          <w:spacing w:val="-46"/>
        </w:rPr>
        <w:t> </w:t>
      </w:r>
      <w:r>
        <w:rPr>
          <w:spacing w:val="-46"/>
        </w:rPr>
      </w:r>
      <w:r>
        <w:rPr>
          <w:spacing w:val="-2"/>
        </w:rPr>
        <w:t>市场开拓等做出重要贡献，股权激励计划无法覆盖公司现任高管及新进骨干核心员工，若继续实施公司股权激励计划将无法</w:t>
      </w:r>
      <w:r>
        <w:rPr>
          <w:spacing w:val="-64"/>
        </w:rPr>
        <w:t> </w:t>
      </w:r>
      <w:r>
        <w:rPr>
          <w:spacing w:val="-64"/>
        </w:rPr>
      </w:r>
      <w:r>
        <w:rPr/>
        <w:t>达到预期的激励效果。</w:t>
      </w:r>
    </w:p>
    <w:p>
      <w:pPr>
        <w:pStyle w:val="BodyText"/>
        <w:spacing w:line="300" w:lineRule="auto" w:before="19"/>
        <w:ind w:right="94" w:firstLine="360"/>
        <w:jc w:val="left"/>
      </w:pPr>
      <w:r>
        <w:rPr/>
        <w:t>本次公司股票期权激励计划的终止，影响公司 </w:t>
      </w:r>
      <w:r>
        <w:rPr>
          <w:rFonts w:ascii="Times New Roman" w:hAnsi="Times New Roman" w:cs="Times New Roman" w:eastAsia="Times New Roman" w:hint="default"/>
        </w:rPr>
        <w:t>2014 </w:t>
      </w:r>
      <w:r>
        <w:rPr/>
        <w:t>度损益</w:t>
      </w:r>
      <w:r>
        <w:rPr>
          <w:spacing w:val="-4"/>
        </w:rPr>
        <w:t> </w:t>
      </w:r>
      <w:r>
        <w:rPr>
          <w:rFonts w:ascii="Times New Roman" w:hAnsi="Times New Roman" w:cs="Times New Roman" w:eastAsia="Times New Roman" w:hint="default"/>
        </w:rPr>
        <w:t>102.84</w:t>
      </w:r>
      <w:r>
        <w:rPr/>
        <w:t>万元，但由于其并不实际对外支付，不会对公司的 财务状况产生实质性影响，不会影响股东的权益，也不会影响公司管理团队的勤勉尽职。</w:t>
      </w:r>
    </w:p>
    <w:p>
      <w:pPr>
        <w:spacing w:line="240" w:lineRule="auto" w:before="11"/>
        <w:rPr>
          <w:rFonts w:ascii="宋体" w:hAnsi="宋体" w:cs="宋体" w:eastAsia="宋体" w:hint="default"/>
          <w:sz w:val="21"/>
          <w:szCs w:val="21"/>
        </w:rPr>
      </w:pPr>
    </w:p>
    <w:p>
      <w:pPr>
        <w:pStyle w:val="Heading2"/>
        <w:spacing w:line="240" w:lineRule="auto"/>
        <w:ind w:right="94"/>
        <w:jc w:val="left"/>
        <w:rPr>
          <w:b w:val="0"/>
          <w:bCs w:val="0"/>
        </w:rPr>
      </w:pPr>
      <w:r>
        <w:rPr/>
        <w:t>十三、承诺及或有事项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4"/>
        <w:jc w:val="left"/>
      </w:pPr>
      <w:r>
        <w:rPr/>
        <w:t>资产负债表日存在的重要承诺</w:t>
      </w:r>
    </w:p>
    <w:p>
      <w:pPr>
        <w:pStyle w:val="BodyText"/>
        <w:spacing w:line="240" w:lineRule="auto" w:before="117"/>
        <w:ind w:right="94"/>
        <w:jc w:val="left"/>
      </w:pPr>
      <w:r>
        <w:rPr>
          <w:rFonts w:ascii="Times New Roman" w:hAnsi="Times New Roman" w:cs="Times New Roman" w:eastAsia="Times New Roman" w:hint="default"/>
        </w:rPr>
        <w:t>(1)</w:t>
      </w:r>
      <w:r>
        <w:rPr/>
        <w:t>与关联方相关的重大承诺事项明细详见本附注十一、</w:t>
      </w:r>
      <w:r>
        <w:rPr>
          <w:rFonts w:ascii="Times New Roman" w:hAnsi="Times New Roman" w:cs="Times New Roman" w:eastAsia="Times New Roman" w:hint="default"/>
        </w:rPr>
        <w:t>5</w:t>
      </w:r>
      <w:r>
        <w:rPr/>
        <w:t>、（</w:t>
      </w:r>
      <w:r>
        <w:rPr>
          <w:rFonts w:ascii="Times New Roman" w:hAnsi="Times New Roman" w:cs="Times New Roman" w:eastAsia="Times New Roman" w:hint="default"/>
        </w:rPr>
        <w:t>4</w:t>
      </w:r>
      <w:r>
        <w:rPr/>
        <w:t>）关联担保情况。</w:t>
      </w:r>
    </w:p>
    <w:p>
      <w:pPr>
        <w:spacing w:after="0" w:line="240" w:lineRule="auto"/>
        <w:jc w:val="left"/>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94"/>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91" w:firstLine="360"/>
        <w:jc w:val="both"/>
      </w:pPr>
      <w:r>
        <w:rPr>
          <w:spacing w:val="-1"/>
        </w:rPr>
        <w:t>西安冠林智能科技有限公司（以下简称“西安冠林公司”）于</w:t>
      </w:r>
      <w:r>
        <w:rPr>
          <w:rFonts w:ascii="Times New Roman" w:hAnsi="Times New Roman" w:cs="Times New Roman" w:eastAsia="Times New Roman" w:hint="default"/>
          <w:spacing w:val="-1"/>
        </w:rPr>
        <w:t>2008</w:t>
      </w:r>
      <w:r>
        <w:rPr>
          <w:spacing w:val="-1"/>
        </w:rPr>
        <w:t>年至</w:t>
      </w:r>
      <w:r>
        <w:rPr>
          <w:rFonts w:ascii="Times New Roman" w:hAnsi="Times New Roman" w:cs="Times New Roman" w:eastAsia="Times New Roman" w:hint="default"/>
          <w:spacing w:val="-1"/>
        </w:rPr>
        <w:t>2009</w:t>
      </w:r>
      <w:r>
        <w:rPr>
          <w:spacing w:val="-1"/>
        </w:rPr>
        <w:t>年为本公司代理销售</w:t>
      </w:r>
      <w:r>
        <w:rPr>
          <w:rFonts w:ascii="Times New Roman" w:hAnsi="Times New Roman" w:cs="Times New Roman" w:eastAsia="Times New Roman" w:hint="default"/>
          <w:spacing w:val="-1"/>
        </w:rPr>
        <w:t>ATM</w:t>
      </w:r>
      <w:r>
        <w:rPr>
          <w:spacing w:val="-1"/>
        </w:rPr>
        <w:t>设备共</w:t>
      </w:r>
      <w:r>
        <w:rPr>
          <w:rFonts w:ascii="Times New Roman" w:hAnsi="Times New Roman" w:cs="Times New Roman" w:eastAsia="Times New Roman" w:hint="default"/>
          <w:spacing w:val="-1"/>
        </w:rPr>
        <w:t>180</w:t>
      </w:r>
      <w:r>
        <w:rPr>
          <w:spacing w:val="-1"/>
        </w:rPr>
        <w:t>台，金</w:t>
      </w:r>
      <w:r>
        <w:rPr/>
        <w:t> </w:t>
      </w:r>
      <w:r>
        <w:rPr>
          <w:spacing w:val="-1"/>
        </w:rPr>
        <w:t>额</w:t>
      </w:r>
      <w:r>
        <w:rPr>
          <w:rFonts w:ascii="Times New Roman" w:hAnsi="Times New Roman" w:cs="Times New Roman" w:eastAsia="Times New Roman" w:hint="default"/>
          <w:spacing w:val="-1"/>
        </w:rPr>
        <w:t>15,630,000.00</w:t>
      </w:r>
      <w:r>
        <w:rPr>
          <w:spacing w:val="-1"/>
        </w:rPr>
        <w:t>元，截至</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日，已向本公司支付货款</w:t>
      </w:r>
      <w:r>
        <w:rPr>
          <w:rFonts w:ascii="Times New Roman" w:hAnsi="Times New Roman" w:cs="Times New Roman" w:eastAsia="Times New Roman" w:hint="default"/>
          <w:spacing w:val="-1"/>
        </w:rPr>
        <w:t>10,704,100.00</w:t>
      </w:r>
      <w:r>
        <w:rPr>
          <w:spacing w:val="-1"/>
        </w:rPr>
        <w:t>元，尚有</w:t>
      </w:r>
      <w:r>
        <w:rPr>
          <w:rFonts w:ascii="Times New Roman" w:hAnsi="Times New Roman" w:cs="Times New Roman" w:eastAsia="Times New Roman" w:hint="default"/>
          <w:spacing w:val="-1"/>
        </w:rPr>
        <w:t>4,925,900.00</w:t>
      </w:r>
      <w:r>
        <w:rPr>
          <w:spacing w:val="-1"/>
        </w:rPr>
        <w:t>元未支付，公司经多次催</w:t>
      </w:r>
      <w:r>
        <w:rPr>
          <w:spacing w:val="-69"/>
        </w:rPr>
        <w:t> </w:t>
      </w:r>
      <w:r>
        <w:rPr>
          <w:spacing w:val="-69"/>
        </w:rPr>
      </w:r>
      <w:r>
        <w:rPr/>
        <w:t>收无法收回。</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日，公司向西安市中级人民法院提起诉讼，要求西安冠林公司支付拖欠货款</w:t>
      </w:r>
      <w:r>
        <w:rPr>
          <w:rFonts w:ascii="Times New Roman" w:hAnsi="Times New Roman" w:cs="Times New Roman" w:eastAsia="Times New Roman" w:hint="default"/>
        </w:rPr>
        <w:t>4,925,900.00</w:t>
      </w:r>
      <w:r>
        <w:rPr/>
        <w:t>元以及 相关利息。</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日一审法院首次开庭，双方完成了初步证据质证。截至本财务报告批准报出日，该案件已结案，判 决西安冠林公司应向御银公司支付拖欠货款</w:t>
      </w:r>
      <w:r>
        <w:rPr>
          <w:rFonts w:ascii="Times New Roman" w:hAnsi="Times New Roman" w:cs="Times New Roman" w:eastAsia="Times New Roman" w:hint="default"/>
        </w:rPr>
        <w:t>4,925,900.00</w:t>
      </w:r>
      <w:r>
        <w:rPr/>
        <w:t>，案件受理费由西安冠林公司承担。</w:t>
      </w:r>
    </w:p>
    <w:p>
      <w:pPr>
        <w:spacing w:line="240" w:lineRule="auto" w:before="4"/>
        <w:rPr>
          <w:rFonts w:ascii="宋体" w:hAnsi="宋体" w:cs="宋体" w:eastAsia="宋体" w:hint="default"/>
          <w:sz w:val="22"/>
          <w:szCs w:val="22"/>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公司不存在需要披露的重要或有事项。</w:t>
      </w:r>
    </w:p>
    <w:p>
      <w:pPr>
        <w:spacing w:line="240" w:lineRule="auto" w:before="1"/>
        <w:rPr>
          <w:rFonts w:ascii="宋体" w:hAnsi="宋体" w:cs="宋体" w:eastAsia="宋体" w:hint="default"/>
          <w:sz w:val="25"/>
          <w:szCs w:val="25"/>
        </w:rPr>
      </w:pPr>
    </w:p>
    <w:p>
      <w:pPr>
        <w:pStyle w:val="Heading2"/>
        <w:spacing w:line="240" w:lineRule="auto"/>
        <w:ind w:right="94"/>
        <w:jc w:val="left"/>
        <w:rPr>
          <w:b w:val="0"/>
          <w:bCs w:val="0"/>
        </w:rPr>
      </w:pPr>
      <w:r>
        <w:rPr/>
        <w:t>十四、资产负债表日后事项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、利润分配情况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25,119,312.70</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25,119,312.70</w:t>
            </w:r>
          </w:p>
        </w:tc>
      </w:tr>
    </w:tbl>
    <w:p>
      <w:pPr>
        <w:spacing w:line="240" w:lineRule="auto" w:before="3"/>
        <w:rPr>
          <w:rFonts w:ascii="宋体" w:hAnsi="宋体" w:cs="宋体" w:eastAsia="宋体" w:hint="default"/>
          <w:sz w:val="19"/>
          <w:szCs w:val="19"/>
        </w:rPr>
      </w:pPr>
    </w:p>
    <w:p>
      <w:pPr>
        <w:pStyle w:val="Heading3"/>
        <w:spacing w:line="240" w:lineRule="auto" w:before="36"/>
        <w:ind w:right="94"/>
        <w:jc w:val="left"/>
        <w:rPr>
          <w:b w:val="0"/>
          <w:bCs w:val="0"/>
        </w:rPr>
      </w:pPr>
      <w:r>
        <w:rPr>
          <w:rFonts w:ascii="Times New Roman" w:hAnsi="Times New Roman" w:cs="Times New Roman" w:eastAsia="Times New Roman" w:hint="default"/>
        </w:rPr>
        <w:t>2</w:t>
      </w:r>
      <w:r>
        <w:rPr/>
        <w:t>、其他资产负债表日后事项说明</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88" w:firstLine="360"/>
        <w:jc w:val="both"/>
      </w:pPr>
      <w:r>
        <w:rPr>
          <w:spacing w:val="-2"/>
        </w:rPr>
        <w:t>（</w:t>
      </w:r>
      <w:r>
        <w:rPr>
          <w:rFonts w:ascii="Times New Roman" w:hAnsi="Times New Roman" w:cs="Times New Roman" w:eastAsia="Times New Roman" w:hint="default"/>
          <w:spacing w:val="-2"/>
        </w:rPr>
        <w:t>1</w:t>
      </w:r>
      <w:r>
        <w:rPr>
          <w:spacing w:val="-2"/>
        </w:rPr>
        <w:t>）杨文江由于个人需求，于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23</w:t>
      </w:r>
      <w:r>
        <w:rPr>
          <w:spacing w:val="-2"/>
        </w:rPr>
        <w:t>日至</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24</w:t>
      </w:r>
      <w:r>
        <w:rPr>
          <w:spacing w:val="-2"/>
        </w:rPr>
        <w:t>日通过深圳证券交易所大宗交易系统减持股份</w:t>
      </w:r>
      <w:r>
        <w:rPr>
          <w:rFonts w:ascii="Times New Roman" w:hAnsi="Times New Roman" w:cs="Times New Roman" w:eastAsia="Times New Roman" w:hint="default"/>
          <w:spacing w:val="-2"/>
        </w:rPr>
        <w:t>3,805.00</w:t>
      </w:r>
      <w:r>
        <w:rPr>
          <w:spacing w:val="-2"/>
        </w:rPr>
        <w:t>万股。本次</w:t>
      </w:r>
      <w:r>
        <w:rPr/>
        <w:t> 减持后，其持股比例为</w:t>
      </w:r>
      <w:r>
        <w:rPr>
          <w:rFonts w:ascii="Times New Roman" w:hAnsi="Times New Roman" w:cs="Times New Roman" w:eastAsia="Times New Roman" w:hint="default"/>
        </w:rPr>
        <w:t>23.61%</w:t>
      </w:r>
      <w:r>
        <w:rPr/>
        <w:t>，仍为公司实际控制人。</w:t>
      </w:r>
    </w:p>
    <w:p>
      <w:pPr>
        <w:pStyle w:val="BodyText"/>
        <w:spacing w:line="300" w:lineRule="auto" w:before="13"/>
        <w:ind w:right="192" w:firstLine="360"/>
        <w:jc w:val="both"/>
      </w:pPr>
      <w:r>
        <w:rPr>
          <w:spacing w:val="-1"/>
        </w:rPr>
        <w:t>（</w:t>
      </w:r>
      <w:r>
        <w:rPr>
          <w:rFonts w:ascii="Times New Roman" w:hAnsi="Times New Roman" w:cs="Times New Roman" w:eastAsia="Times New Roman" w:hint="default"/>
          <w:spacing w:val="-1"/>
        </w:rPr>
        <w:t>2</w:t>
      </w:r>
      <w:r>
        <w:rPr>
          <w:spacing w:val="-1"/>
        </w:rPr>
        <w:t>）公司于</w:t>
      </w:r>
      <w:r>
        <w:rPr>
          <w:rFonts w:ascii="Times New Roman" w:hAnsi="Times New Roman" w:cs="Times New Roman" w:eastAsia="Times New Roman" w:hint="default"/>
          <w:spacing w:val="-1"/>
        </w:rPr>
        <w:t>2015</w:t>
      </w:r>
      <w:r>
        <w:rPr>
          <w:spacing w:val="-1"/>
        </w:rPr>
        <w:t>年第一次临时股东大会审议通过了《关于</w:t>
      </w:r>
      <w:r>
        <w:rPr>
          <w:rFonts w:ascii="Times New Roman" w:hAnsi="Times New Roman" w:cs="Times New Roman" w:eastAsia="Times New Roman" w:hint="default"/>
          <w:spacing w:val="-1"/>
        </w:rPr>
        <w:t>&lt;</w:t>
      </w:r>
      <w:r>
        <w:rPr>
          <w:spacing w:val="-1"/>
        </w:rPr>
        <w:t>广州御银科技股份有限公司第一期员工持股计划（草案）</w:t>
      </w:r>
      <w:r>
        <w:rPr>
          <w:rFonts w:ascii="Times New Roman" w:hAnsi="Times New Roman" w:cs="Times New Roman" w:eastAsia="Times New Roman" w:hint="default"/>
          <w:spacing w:val="-1"/>
        </w:rPr>
        <w:t>&gt;</w:t>
      </w:r>
      <w:r>
        <w:rPr>
          <w:rFonts w:ascii="Times New Roman" w:hAnsi="Times New Roman" w:cs="Times New Roman" w:eastAsia="Times New Roman" w:hint="default"/>
        </w:rPr>
        <w:t> </w:t>
      </w:r>
      <w:r>
        <w:rPr/>
        <w:t>及其摘要的议案》、《关于提请股东大会授权董事会办理公司第一期员工持股计划相关事宜的议案》。</w:t>
      </w:r>
    </w:p>
    <w:p>
      <w:pPr>
        <w:pStyle w:val="BodyText"/>
        <w:spacing w:line="300" w:lineRule="auto" w:before="31"/>
        <w:ind w:right="94" w:firstLine="360"/>
        <w:jc w:val="left"/>
      </w:pPr>
      <w:r>
        <w:rPr/>
        <w:t>主要内容为：公司通过二级市场购买等法律法规许可的方式取得并持有御银股份股票，实施公司总员工人数不超过</w:t>
      </w:r>
      <w:r>
        <w:rPr>
          <w:rFonts w:ascii="Times New Roman" w:hAnsi="Times New Roman" w:cs="Times New Roman" w:eastAsia="Times New Roman" w:hint="default"/>
        </w:rPr>
        <w:t>62</w:t>
      </w:r>
      <w:r>
        <w:rPr>
          <w:rFonts w:ascii="Times New Roman" w:hAnsi="Times New Roman" w:cs="Times New Roman" w:eastAsia="Times New Roman" w:hint="default"/>
          <w:spacing w:val="1"/>
        </w:rPr>
        <w:t> </w:t>
      </w:r>
      <w:r>
        <w:rPr>
          <w:spacing w:val="-2"/>
        </w:rPr>
        <w:t>人的员工持股计划。本员工持股计划的资金来源具体包括：①公司员工的自筹资金，金额不超过</w:t>
      </w:r>
      <w:r>
        <w:rPr>
          <w:rFonts w:ascii="Times New Roman" w:hAnsi="Times New Roman" w:cs="Times New Roman" w:eastAsia="Times New Roman" w:hint="default"/>
          <w:spacing w:val="-2"/>
        </w:rPr>
        <w:t>705</w:t>
      </w:r>
      <w:r>
        <w:rPr>
          <w:spacing w:val="-2"/>
        </w:rPr>
        <w:t>万元；②控股股东借款：</w:t>
      </w:r>
      <w:r>
        <w:rPr>
          <w:spacing w:val="-62"/>
        </w:rPr>
        <w:t> </w:t>
      </w:r>
      <w:r>
        <w:rPr>
          <w:spacing w:val="-62"/>
        </w:rPr>
      </w:r>
      <w:r>
        <w:rPr/>
        <w:t>公司控股股东杨文江先生拟向员工持股计划提供借款支持，借款部分与自筹部分的比例为</w:t>
      </w:r>
      <w:r>
        <w:rPr>
          <w:rFonts w:ascii="Times New Roman" w:hAnsi="Times New Roman" w:cs="Times New Roman" w:eastAsia="Times New Roman" w:hint="default"/>
        </w:rPr>
        <w:t>4:1</w:t>
      </w:r>
      <w:r>
        <w:rPr/>
        <w:t>，借款期限为员工持股计划的 </w:t>
      </w:r>
      <w:r>
        <w:rPr>
          <w:spacing w:val="-2"/>
        </w:rPr>
        <w:t>存续期。员工持股计划的资金总额不超过</w:t>
      </w:r>
      <w:r>
        <w:rPr>
          <w:rFonts w:ascii="Times New Roman" w:hAnsi="Times New Roman" w:cs="Times New Roman" w:eastAsia="Times New Roman" w:hint="default"/>
          <w:spacing w:val="-2"/>
        </w:rPr>
        <w:t>3,525</w:t>
      </w:r>
      <w:r>
        <w:rPr>
          <w:spacing w:val="-2"/>
        </w:rPr>
        <w:t>万元，涉及的标的股票数量约</w:t>
      </w:r>
      <w:r>
        <w:rPr>
          <w:rFonts w:ascii="Times New Roman" w:hAnsi="Times New Roman" w:cs="Times New Roman" w:eastAsia="Times New Roman" w:hint="default"/>
          <w:spacing w:val="-2"/>
        </w:rPr>
        <w:t>500.71</w:t>
      </w:r>
      <w:r>
        <w:rPr>
          <w:spacing w:val="-2"/>
        </w:rPr>
        <w:t>万股，涉及的股票数量约占公司现有股本</w:t>
      </w:r>
      <w:r>
        <w:rPr>
          <w:spacing w:val="-59"/>
        </w:rPr>
        <w:t> </w:t>
      </w:r>
      <w:r>
        <w:rPr>
          <w:spacing w:val="-59"/>
        </w:rPr>
      </w:r>
      <w:r>
        <w:rPr/>
        <w:t>总额的</w:t>
      </w:r>
      <w:r>
        <w:rPr>
          <w:rFonts w:ascii="Times New Roman" w:hAnsi="Times New Roman" w:cs="Times New Roman" w:eastAsia="Times New Roman" w:hint="default"/>
        </w:rPr>
        <w:t>0.66%</w:t>
      </w:r>
      <w:r>
        <w:rPr/>
        <w:t>，累计不超过公司股本总额的</w:t>
      </w:r>
      <w:r>
        <w:rPr>
          <w:rFonts w:ascii="Times New Roman" w:hAnsi="Times New Roman" w:cs="Times New Roman" w:eastAsia="Times New Roman" w:hint="default"/>
        </w:rPr>
        <w:t>10%</w:t>
      </w:r>
      <w:r>
        <w:rPr/>
        <w:t>，任一持有人持有的员工持股计划份额所对应的标的股票数量不超过公司股 本总额的</w:t>
      </w:r>
      <w:r>
        <w:rPr>
          <w:rFonts w:ascii="Times New Roman" w:hAnsi="Times New Roman" w:cs="Times New Roman" w:eastAsia="Times New Roman" w:hint="default"/>
        </w:rPr>
        <w:t>1%</w:t>
      </w:r>
      <w:r>
        <w:rPr/>
        <w:t>。</w:t>
      </w:r>
    </w:p>
    <w:p>
      <w:pPr>
        <w:pStyle w:val="BodyText"/>
        <w:spacing w:line="316" w:lineRule="auto" w:before="13"/>
        <w:ind w:right="191" w:firstLine="360"/>
        <w:jc w:val="both"/>
      </w:pPr>
      <w:r>
        <w:rPr>
          <w:spacing w:val="-5"/>
        </w:rPr>
        <w:t>计划草案获得股东大会批准后，公司董事会委托广发证券资产管理（广东）有限公司（以下简称“广发资管”）设立“广</w:t>
      </w:r>
      <w:r>
        <w:rPr/>
        <w:t> 发御银</w:t>
      </w:r>
      <w:r>
        <w:rPr>
          <w:rFonts w:ascii="Times New Roman" w:hAnsi="Times New Roman" w:cs="Times New Roman" w:eastAsia="Times New Roman" w:hint="default"/>
        </w:rPr>
        <w:t>1</w:t>
      </w:r>
      <w:r>
        <w:rPr/>
        <w:t>号定向资产管理计划”。</w:t>
      </w:r>
    </w:p>
    <w:p>
      <w:pPr>
        <w:pStyle w:val="BodyText"/>
        <w:spacing w:line="300" w:lineRule="auto"/>
        <w:ind w:right="191" w:firstLine="360"/>
        <w:jc w:val="both"/>
      </w:pPr>
      <w:r>
        <w:rPr>
          <w:spacing w:val="-2"/>
        </w:rPr>
        <w:t>员工持股计划的存续期和锁定期：员工持股计划存续期为不超过</w:t>
      </w:r>
      <w:r>
        <w:rPr>
          <w:rFonts w:ascii="Times New Roman" w:hAnsi="Times New Roman" w:cs="Times New Roman" w:eastAsia="Times New Roman" w:hint="default"/>
          <w:spacing w:val="-2"/>
        </w:rPr>
        <w:t>18</w:t>
      </w:r>
      <w:r>
        <w:rPr>
          <w:spacing w:val="-2"/>
        </w:rPr>
        <w:t>个月，自员工持股计划（草案）通过股东大会审议之</w:t>
      </w:r>
      <w:r>
        <w:rPr/>
        <w:t> 日起计算。计划所获标的股票的锁定期为</w:t>
      </w:r>
      <w:r>
        <w:rPr>
          <w:rFonts w:ascii="Times New Roman" w:hAnsi="Times New Roman" w:cs="Times New Roman" w:eastAsia="Times New Roman" w:hint="default"/>
        </w:rPr>
        <w:t>12</w:t>
      </w:r>
      <w:r>
        <w:rPr/>
        <w:t>个月，自公司公告最后一笔标的股票买入过户至“广发御银</w:t>
      </w:r>
      <w:r>
        <w:rPr>
          <w:rFonts w:ascii="Times New Roman" w:hAnsi="Times New Roman" w:cs="Times New Roman" w:eastAsia="Times New Roman" w:hint="default"/>
        </w:rPr>
        <w:t>1</w:t>
      </w:r>
      <w:r>
        <w:rPr/>
        <w:t>号定向资产管理计 划”名下之日起计算。</w:t>
      </w:r>
    </w:p>
    <w:p>
      <w:pPr>
        <w:pStyle w:val="BodyText"/>
        <w:spacing w:line="300" w:lineRule="auto" w:before="31"/>
        <w:ind w:right="191" w:firstLine="360"/>
        <w:jc w:val="both"/>
      </w:pPr>
      <w:r>
        <w:rPr/>
        <w:t>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16</w:t>
      </w:r>
      <w:r>
        <w:rPr/>
        <w:t>日，广发资管通过二级市场买入的方式完成了公司第一期员工持股计划股票的购买，购买均价</w:t>
      </w:r>
      <w:r>
        <w:rPr>
          <w:rFonts w:ascii="Times New Roman" w:hAnsi="Times New Roman" w:cs="Times New Roman" w:eastAsia="Times New Roman" w:hint="default"/>
        </w:rPr>
        <w:t>8.63</w:t>
      </w:r>
      <w:r>
        <w:rPr/>
        <w:t>元</w:t>
      </w:r>
      <w:r>
        <w:rPr>
          <w:rFonts w:ascii="Times New Roman" w:hAnsi="Times New Roman" w:cs="Times New Roman" w:eastAsia="Times New Roman" w:hint="default"/>
        </w:rPr>
        <w:t>/ </w:t>
      </w:r>
      <w:r>
        <w:rPr>
          <w:spacing w:val="-2"/>
        </w:rPr>
        <w:t>股，购买数量</w:t>
      </w:r>
      <w:r>
        <w:rPr>
          <w:rFonts w:ascii="Times New Roman" w:hAnsi="Times New Roman" w:cs="Times New Roman" w:eastAsia="Times New Roman" w:hint="default"/>
          <w:spacing w:val="-2"/>
        </w:rPr>
        <w:t>4,037,985</w:t>
      </w:r>
      <w:r>
        <w:rPr>
          <w:spacing w:val="-2"/>
        </w:rPr>
        <w:t>股，占公司总股本的比例为</w:t>
      </w:r>
      <w:r>
        <w:rPr>
          <w:spacing w:val="43"/>
        </w:rPr>
        <w:t> </w:t>
      </w:r>
      <w:r>
        <w:rPr>
          <w:rFonts w:ascii="Times New Roman" w:hAnsi="Times New Roman" w:cs="Times New Roman" w:eastAsia="Times New Roman" w:hint="default"/>
          <w:spacing w:val="-2"/>
        </w:rPr>
        <w:t>0.53%</w:t>
      </w:r>
      <w:r>
        <w:rPr>
          <w:spacing w:val="-2"/>
        </w:rPr>
        <w:t>，累计不超过公司股本总额的</w:t>
      </w:r>
      <w:r>
        <w:rPr>
          <w:rFonts w:ascii="Times New Roman" w:hAnsi="Times New Roman" w:cs="Times New Roman" w:eastAsia="Times New Roman" w:hint="default"/>
          <w:spacing w:val="-2"/>
        </w:rPr>
        <w:t>10%</w:t>
      </w:r>
      <w:r>
        <w:rPr>
          <w:spacing w:val="-2"/>
        </w:rPr>
        <w:t>，任意持有人持有的员工持股计</w:t>
      </w:r>
      <w:r>
        <w:rPr>
          <w:spacing w:val="-83"/>
        </w:rPr>
        <w:t> </w:t>
      </w:r>
      <w:r>
        <w:rPr>
          <w:spacing w:val="-83"/>
        </w:rPr>
      </w:r>
      <w:r>
        <w:rPr/>
        <w:t>划份额所对应的标的股票数量不超过公司股本总额的</w:t>
      </w:r>
      <w:r>
        <w:rPr>
          <w:rFonts w:ascii="Times New Roman" w:hAnsi="Times New Roman" w:cs="Times New Roman" w:eastAsia="Times New Roman" w:hint="default"/>
        </w:rPr>
        <w:t>1%</w:t>
      </w:r>
      <w:r>
        <w:rPr/>
        <w:t>。该计划所购买的股票锁定期至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16</w:t>
      </w:r>
      <w:r>
        <w:rPr/>
        <w:t>日。</w:t>
      </w:r>
    </w:p>
    <w:p>
      <w:pPr>
        <w:spacing w:after="0" w:line="300" w:lineRule="auto"/>
        <w:jc w:val="both"/>
        <w:sectPr>
          <w:pgSz w:w="11910" w:h="16840"/>
          <w:pgMar w:header="745" w:footer="980"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146"/>
        <w:jc w:val="left"/>
        <w:rPr>
          <w:b w:val="0"/>
          <w:bCs w:val="0"/>
        </w:rPr>
      </w:pPr>
      <w:r>
        <w:rPr/>
        <w:t>十五、其他重要事项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46"/>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46"/>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6"/>
        <w:jc w:val="left"/>
      </w:pPr>
      <w:r>
        <w:rPr/>
        <w:t>本报告期未发生采用追溯重述法的前期会计差错更正事项。</w:t>
      </w:r>
    </w:p>
    <w:p>
      <w:pPr>
        <w:spacing w:line="240" w:lineRule="auto" w:before="0"/>
        <w:rPr>
          <w:rFonts w:ascii="宋体" w:hAnsi="宋体" w:cs="宋体" w:eastAsia="宋体" w:hint="default"/>
          <w:sz w:val="18"/>
          <w:szCs w:val="18"/>
        </w:rPr>
      </w:pPr>
    </w:p>
    <w:p>
      <w:pPr>
        <w:pStyle w:val="Heading3"/>
        <w:spacing w:line="240" w:lineRule="auto" w:before="118"/>
        <w:ind w:right="146"/>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6"/>
        <w:jc w:val="left"/>
      </w:pPr>
      <w:r>
        <w:rPr/>
        <w:t>本报告期未发生采用未来适用法的前期会计差错更正事项。</w:t>
      </w:r>
    </w:p>
    <w:p>
      <w:pPr>
        <w:spacing w:line="240" w:lineRule="auto" w:before="0"/>
        <w:rPr>
          <w:rFonts w:ascii="宋体" w:hAnsi="宋体" w:cs="宋体" w:eastAsia="宋体" w:hint="default"/>
          <w:sz w:val="18"/>
          <w:szCs w:val="18"/>
        </w:rPr>
      </w:pPr>
    </w:p>
    <w:p>
      <w:pPr>
        <w:spacing w:line="520" w:lineRule="auto" w:before="120"/>
        <w:ind w:left="152" w:right="653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、债务重组</w:t>
      </w:r>
      <w:r>
        <w:rPr>
          <w:rFonts w:ascii="宋体" w:hAnsi="宋体" w:cs="宋体" w:eastAsia="宋体" w:hint="default"/>
          <w:b/>
          <w:bCs/>
          <w:spacing w:val="-104"/>
          <w:sz w:val="21"/>
          <w:szCs w:val="21"/>
        </w:rPr>
        <w:t> </w:t>
      </w:r>
      <w:r>
        <w:rPr>
          <w:rFonts w:ascii="宋体" w:hAnsi="宋体" w:cs="宋体" w:eastAsia="宋体" w:hint="default"/>
          <w:spacing w:val="-2"/>
          <w:sz w:val="21"/>
          <w:szCs w:val="21"/>
        </w:rPr>
        <w:t>本报告期未发生债务重组。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、资产置换</w:t>
      </w:r>
      <w:r>
        <w:rPr>
          <w:rFonts w:ascii="宋体" w:hAnsi="宋体" w:cs="宋体" w:eastAsia="宋体" w:hint="default"/>
          <w:sz w:val="21"/>
          <w:szCs w:val="21"/>
        </w:rPr>
      </w:r>
    </w:p>
    <w:p>
      <w:pPr>
        <w:spacing w:line="520" w:lineRule="auto" w:before="49"/>
        <w:ind w:left="152" w:right="65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）非货币性资产交换</w:t>
      </w:r>
      <w:r>
        <w:rPr>
          <w:rFonts w:ascii="宋体" w:hAnsi="宋体" w:cs="宋体" w:eastAsia="宋体" w:hint="default"/>
          <w:b/>
          <w:bCs/>
          <w:w w:val="100"/>
          <w:sz w:val="21"/>
          <w:szCs w:val="21"/>
        </w:rPr>
        <w:t> </w:t>
      </w:r>
      <w:r>
        <w:rPr>
          <w:rFonts w:ascii="宋体" w:hAnsi="宋体" w:cs="宋体" w:eastAsia="宋体" w:hint="default"/>
          <w:spacing w:val="-2"/>
          <w:sz w:val="21"/>
          <w:szCs w:val="21"/>
        </w:rPr>
        <w:t>本报告期未发生资产置换。</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、年金计划</w:t>
      </w:r>
      <w:r>
        <w:rPr>
          <w:rFonts w:ascii="宋体" w:hAnsi="宋体" w:cs="宋体" w:eastAsia="宋体" w:hint="default"/>
          <w:b/>
          <w:bCs/>
          <w:spacing w:val="-104"/>
          <w:sz w:val="21"/>
          <w:szCs w:val="21"/>
        </w:rPr>
        <w:t> </w:t>
      </w:r>
      <w:r>
        <w:rPr>
          <w:rFonts w:ascii="宋体" w:hAnsi="宋体" w:cs="宋体" w:eastAsia="宋体" w:hint="default"/>
          <w:spacing w:val="-2"/>
          <w:sz w:val="21"/>
          <w:szCs w:val="21"/>
        </w:rPr>
        <w:t>本报告期未发生年金计划。</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、本报告期无终止经营</w:t>
      </w:r>
      <w:r>
        <w:rPr>
          <w:rFonts w:ascii="宋体" w:hAnsi="宋体" w:cs="宋体" w:eastAsia="宋体" w:hint="default"/>
          <w:sz w:val="21"/>
          <w:szCs w:val="21"/>
        </w:rPr>
      </w:r>
    </w:p>
    <w:p>
      <w:pPr>
        <w:pStyle w:val="Heading3"/>
        <w:spacing w:line="240" w:lineRule="auto" w:before="51"/>
        <w:ind w:right="146"/>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46"/>
        <w:jc w:val="left"/>
        <w:rPr>
          <w:b w:val="0"/>
          <w:bCs w:val="0"/>
        </w:rPr>
      </w:pPr>
      <w:r>
        <w:rPr/>
        <w:t>（</w:t>
      </w:r>
      <w:r>
        <w:rPr>
          <w:rFonts w:ascii="Times New Roman" w:hAnsi="Times New Roman" w:cs="Times New Roman" w:eastAsia="Times New Roman" w:hint="default"/>
        </w:rPr>
        <w:t>1</w:t>
      </w:r>
      <w:r>
        <w:rPr/>
        <w:t>）公司无报告分部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6"/>
        <w:jc w:val="left"/>
        <w:rPr>
          <w:b w:val="0"/>
          <w:bCs w:val="0"/>
        </w:rPr>
      </w:pPr>
      <w:r>
        <w:rPr/>
        <w:t>（</w:t>
      </w:r>
      <w:r>
        <w:rPr>
          <w:rFonts w:ascii="Times New Roman" w:hAnsi="Times New Roman" w:cs="Times New Roman" w:eastAsia="Times New Roman" w:hint="default"/>
        </w:rPr>
        <w:t>2</w:t>
      </w:r>
      <w:r>
        <w:rPr/>
        <w:t>）其他说明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46"/>
        <w:jc w:val="left"/>
      </w:pPr>
      <w:r>
        <w:rPr/>
        <w:t>①主营业务（分产品）</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084"/>
        <w:gridCol w:w="1604"/>
        <w:gridCol w:w="1558"/>
        <w:gridCol w:w="1560"/>
        <w:gridCol w:w="1561"/>
      </w:tblGrid>
      <w:tr>
        <w:trPr>
          <w:trHeight w:val="355" w:hRule="exact"/>
        </w:trPr>
        <w:tc>
          <w:tcPr>
            <w:tcW w:w="2084" w:type="dxa"/>
            <w:vMerge w:val="restart"/>
            <w:tcBorders>
              <w:top w:val="single" w:sz="6" w:space="0" w:color="000000"/>
              <w:left w:val="single" w:sz="6" w:space="0" w:color="000000"/>
              <w:right w:val="single" w:sz="6" w:space="0" w:color="000000"/>
            </w:tcBorders>
          </w:tcPr>
          <w:p>
            <w:pPr>
              <w:pStyle w:val="TableParagraph"/>
              <w:spacing w:line="240" w:lineRule="auto" w:before="20"/>
              <w:ind w:left="677"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3162"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21" w:type="dxa"/>
            <w:gridSpan w:val="2"/>
            <w:tcBorders>
              <w:top w:val="single" w:sz="6" w:space="0" w:color="000000"/>
              <w:left w:val="single" w:sz="6" w:space="0" w:color="000000"/>
              <w:bottom w:val="single" w:sz="12"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3" w:hRule="exact"/>
        </w:trPr>
        <w:tc>
          <w:tcPr>
            <w:tcW w:w="2084" w:type="dxa"/>
            <w:vMerge/>
            <w:tcBorders>
              <w:left w:val="single" w:sz="6" w:space="0" w:color="000000"/>
              <w:bottom w:val="single" w:sz="12" w:space="0" w:color="000000"/>
              <w:right w:val="single" w:sz="6" w:space="0" w:color="000000"/>
            </w:tcBorders>
          </w:tcPr>
          <w:p>
            <w:pPr/>
          </w:p>
        </w:tc>
        <w:tc>
          <w:tcPr>
            <w:tcW w:w="16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3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415"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51" w:hRule="exact"/>
        </w:trPr>
        <w:tc>
          <w:tcPr>
            <w:tcW w:w="20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ATM</w:t>
            </w:r>
            <w:r>
              <w:rPr>
                <w:rFonts w:ascii="宋体" w:hAnsi="宋体" w:cs="宋体" w:eastAsia="宋体" w:hint="default"/>
                <w:sz w:val="18"/>
                <w:szCs w:val="18"/>
              </w:rPr>
              <w:t>销售</w:t>
            </w:r>
          </w:p>
        </w:tc>
        <w:tc>
          <w:tcPr>
            <w:tcW w:w="16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596,630,347.35</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351,741,787.43</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490,342,842.48</w:t>
            </w:r>
          </w:p>
        </w:tc>
        <w:tc>
          <w:tcPr>
            <w:tcW w:w="156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277,773,876.38</w:t>
            </w:r>
          </w:p>
        </w:tc>
      </w:tr>
      <w:tr>
        <w:trPr>
          <w:trHeight w:val="353" w:hRule="exact"/>
        </w:trPr>
        <w:tc>
          <w:tcPr>
            <w:tcW w:w="20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ATM</w:t>
            </w:r>
            <w:r>
              <w:rPr>
                <w:rFonts w:ascii="宋体" w:hAnsi="宋体" w:cs="宋体" w:eastAsia="宋体" w:hint="default"/>
                <w:sz w:val="18"/>
                <w:szCs w:val="18"/>
              </w:rPr>
              <w:t>合作运营</w:t>
            </w:r>
          </w:p>
        </w:tc>
        <w:tc>
          <w:tcPr>
            <w:tcW w:w="16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132,466,288.90</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88,892,677.44</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159,428,780.27</w:t>
            </w:r>
          </w:p>
        </w:tc>
        <w:tc>
          <w:tcPr>
            <w:tcW w:w="156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94,221,245.00</w:t>
            </w:r>
          </w:p>
        </w:tc>
      </w:tr>
      <w:tr>
        <w:trPr>
          <w:trHeight w:val="353" w:hRule="exact"/>
        </w:trPr>
        <w:tc>
          <w:tcPr>
            <w:tcW w:w="20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ATM</w:t>
            </w:r>
            <w:r>
              <w:rPr>
                <w:rFonts w:ascii="宋体" w:hAnsi="宋体" w:cs="宋体" w:eastAsia="宋体" w:hint="default"/>
                <w:sz w:val="18"/>
                <w:szCs w:val="18"/>
              </w:rPr>
              <w:t>融资租赁</w:t>
            </w:r>
          </w:p>
        </w:tc>
        <w:tc>
          <w:tcPr>
            <w:tcW w:w="16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169,852,176.47</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113,042,328.76</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148,906,639.87</w:t>
            </w:r>
          </w:p>
        </w:tc>
        <w:tc>
          <w:tcPr>
            <w:tcW w:w="156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77,093,248.93</w:t>
            </w:r>
          </w:p>
        </w:tc>
      </w:tr>
      <w:tr>
        <w:trPr>
          <w:trHeight w:val="350" w:hRule="exact"/>
        </w:trPr>
        <w:tc>
          <w:tcPr>
            <w:tcW w:w="20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ATM</w:t>
            </w:r>
            <w:r>
              <w:rPr>
                <w:rFonts w:ascii="宋体" w:hAnsi="宋体" w:cs="宋体" w:eastAsia="宋体" w:hint="default"/>
                <w:sz w:val="18"/>
                <w:szCs w:val="18"/>
              </w:rPr>
              <w:t>技术、金融服务</w:t>
            </w:r>
          </w:p>
        </w:tc>
        <w:tc>
          <w:tcPr>
            <w:tcW w:w="16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61,218,119.29</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17,419,185.62</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40,405,424.11</w:t>
            </w:r>
          </w:p>
        </w:tc>
        <w:tc>
          <w:tcPr>
            <w:tcW w:w="156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8,444,071.99</w:t>
            </w:r>
          </w:p>
        </w:tc>
      </w:tr>
      <w:tr>
        <w:trPr>
          <w:trHeight w:val="355" w:hRule="exact"/>
        </w:trPr>
        <w:tc>
          <w:tcPr>
            <w:tcW w:w="20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3"/>
                <w:sz w:val="18"/>
                <w:szCs w:val="18"/>
              </w:rPr>
              <w:t> </w:t>
            </w:r>
            <w:r>
              <w:rPr>
                <w:rFonts w:ascii="宋体" w:hAnsi="宋体" w:cs="宋体" w:eastAsia="宋体" w:hint="default"/>
                <w:sz w:val="18"/>
                <w:szCs w:val="18"/>
              </w:rPr>
              <w:t>计</w:t>
            </w:r>
          </w:p>
        </w:tc>
        <w:tc>
          <w:tcPr>
            <w:tcW w:w="16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960,166,932.01</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571,095,979.25</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839,083,686.73</w:t>
            </w:r>
          </w:p>
        </w:tc>
        <w:tc>
          <w:tcPr>
            <w:tcW w:w="156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457,532,442.30</w:t>
            </w:r>
          </w:p>
        </w:tc>
      </w:tr>
    </w:tbl>
    <w:p>
      <w:pPr>
        <w:pStyle w:val="BodyText"/>
        <w:spacing w:line="240" w:lineRule="auto" w:before="8"/>
        <w:ind w:right="146"/>
        <w:jc w:val="left"/>
      </w:pPr>
      <w:r>
        <w:rPr/>
        <w:t>②主营业务（分地区）</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084"/>
        <w:gridCol w:w="3162"/>
        <w:gridCol w:w="3121"/>
      </w:tblGrid>
      <w:tr>
        <w:trPr>
          <w:trHeight w:val="355" w:hRule="exact"/>
        </w:trPr>
        <w:tc>
          <w:tcPr>
            <w:tcW w:w="20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677"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31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21"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上期金额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525" w:type="dxa"/>
        <w:tblLayout w:type="fixed"/>
        <w:tblCellMar>
          <w:top w:w="0" w:type="dxa"/>
          <w:left w:w="0" w:type="dxa"/>
          <w:bottom w:w="0" w:type="dxa"/>
          <w:right w:w="0" w:type="dxa"/>
        </w:tblCellMar>
        <w:tblLook w:val="01E0"/>
      </w:tblPr>
      <w:tblGrid>
        <w:gridCol w:w="2084"/>
        <w:gridCol w:w="1604"/>
        <w:gridCol w:w="1558"/>
        <w:gridCol w:w="1560"/>
        <w:gridCol w:w="1561"/>
      </w:tblGrid>
      <w:tr>
        <w:trPr>
          <w:trHeight w:val="355" w:hRule="exact"/>
        </w:trPr>
        <w:tc>
          <w:tcPr>
            <w:tcW w:w="2084" w:type="dxa"/>
            <w:tcBorders>
              <w:top w:val="single" w:sz="6" w:space="0" w:color="000000"/>
              <w:left w:val="single" w:sz="6" w:space="0" w:color="000000"/>
              <w:bottom w:val="single" w:sz="12" w:space="0" w:color="000000"/>
              <w:right w:val="single" w:sz="6" w:space="0" w:color="000000"/>
            </w:tcBorders>
          </w:tcPr>
          <w:p>
            <w:pPr/>
          </w:p>
        </w:tc>
        <w:tc>
          <w:tcPr>
            <w:tcW w:w="16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3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1"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7"/>
              <w:ind w:left="415"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51" w:hRule="exact"/>
        </w:trPr>
        <w:tc>
          <w:tcPr>
            <w:tcW w:w="20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广州地区</w:t>
            </w:r>
          </w:p>
        </w:tc>
        <w:tc>
          <w:tcPr>
            <w:tcW w:w="16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28,477,337.49</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15,277,155.74</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35,927,072.18</w:t>
            </w:r>
          </w:p>
        </w:tc>
        <w:tc>
          <w:tcPr>
            <w:tcW w:w="156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17,250,687.42</w:t>
            </w:r>
          </w:p>
        </w:tc>
      </w:tr>
      <w:tr>
        <w:trPr>
          <w:trHeight w:val="353" w:hRule="exact"/>
        </w:trPr>
        <w:tc>
          <w:tcPr>
            <w:tcW w:w="20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广东省</w:t>
            </w:r>
            <w:r>
              <w:rPr>
                <w:rFonts w:ascii="Times New Roman" w:hAnsi="Times New Roman" w:cs="Times New Roman" w:eastAsia="Times New Roman" w:hint="default"/>
                <w:sz w:val="18"/>
                <w:szCs w:val="18"/>
              </w:rPr>
              <w:t>(</w:t>
            </w:r>
            <w:r>
              <w:rPr>
                <w:rFonts w:ascii="宋体" w:hAnsi="宋体" w:cs="宋体" w:eastAsia="宋体" w:hint="default"/>
                <w:sz w:val="18"/>
                <w:szCs w:val="18"/>
              </w:rPr>
              <w:t>除广州</w:t>
            </w:r>
            <w:r>
              <w:rPr>
                <w:rFonts w:ascii="Times New Roman" w:hAnsi="Times New Roman" w:cs="Times New Roman" w:eastAsia="Times New Roman" w:hint="default"/>
                <w:sz w:val="18"/>
                <w:szCs w:val="18"/>
              </w:rPr>
              <w:t>)</w:t>
            </w:r>
            <w:r>
              <w:rPr>
                <w:rFonts w:ascii="宋体" w:hAnsi="宋体" w:cs="宋体" w:eastAsia="宋体" w:hint="default"/>
                <w:sz w:val="18"/>
                <w:szCs w:val="18"/>
              </w:rPr>
              <w:t>地区</w:t>
            </w:r>
          </w:p>
        </w:tc>
        <w:tc>
          <w:tcPr>
            <w:tcW w:w="16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234,439,729.95</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137,581,015.57</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214,435,778.41</w:t>
            </w:r>
          </w:p>
        </w:tc>
        <w:tc>
          <w:tcPr>
            <w:tcW w:w="156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104,734,465.32</w:t>
            </w:r>
          </w:p>
        </w:tc>
      </w:tr>
      <w:tr>
        <w:trPr>
          <w:trHeight w:val="353" w:hRule="exact"/>
        </w:trPr>
        <w:tc>
          <w:tcPr>
            <w:tcW w:w="20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广东省外地区</w:t>
            </w:r>
          </w:p>
        </w:tc>
        <w:tc>
          <w:tcPr>
            <w:tcW w:w="16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697,249,864.57</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418,237,807.94</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588,720,836.14</w:t>
            </w:r>
          </w:p>
        </w:tc>
        <w:tc>
          <w:tcPr>
            <w:tcW w:w="156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335,547,289.56</w:t>
            </w:r>
          </w:p>
        </w:tc>
      </w:tr>
      <w:tr>
        <w:trPr>
          <w:trHeight w:val="353" w:hRule="exact"/>
        </w:trPr>
        <w:tc>
          <w:tcPr>
            <w:tcW w:w="20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960,166,932.01</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571,095,979.25</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839,083,686.73</w:t>
            </w:r>
          </w:p>
        </w:tc>
        <w:tc>
          <w:tcPr>
            <w:tcW w:w="156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457,532,442.30</w:t>
            </w:r>
          </w:p>
        </w:tc>
      </w:tr>
    </w:tbl>
    <w:p>
      <w:pPr>
        <w:pStyle w:val="BodyText"/>
        <w:spacing w:line="240" w:lineRule="auto" w:before="8"/>
        <w:ind w:left="532" w:right="5725"/>
        <w:jc w:val="left"/>
      </w:pPr>
      <w:r>
        <w:rPr/>
        <w:t>③公司前五名客户的营业收入情况</w:t>
      </w:r>
    </w:p>
    <w:p>
      <w:pPr>
        <w:spacing w:line="240" w:lineRule="auto" w:before="3"/>
        <w:rPr>
          <w:rFonts w:ascii="宋体" w:hAnsi="宋体" w:cs="宋体" w:eastAsia="宋体" w:hint="default"/>
          <w:sz w:val="5"/>
          <w:szCs w:val="5"/>
        </w:rPr>
      </w:pPr>
    </w:p>
    <w:tbl>
      <w:tblPr>
        <w:tblW w:w="0" w:type="auto"/>
        <w:jc w:val="left"/>
        <w:tblInd w:w="525" w:type="dxa"/>
        <w:tblLayout w:type="fixed"/>
        <w:tblCellMar>
          <w:top w:w="0" w:type="dxa"/>
          <w:left w:w="0" w:type="dxa"/>
          <w:bottom w:w="0" w:type="dxa"/>
          <w:right w:w="0" w:type="dxa"/>
        </w:tblCellMar>
        <w:tblLook w:val="01E0"/>
      </w:tblPr>
      <w:tblGrid>
        <w:gridCol w:w="3687"/>
        <w:gridCol w:w="2268"/>
        <w:gridCol w:w="2410"/>
      </w:tblGrid>
      <w:tr>
        <w:trPr>
          <w:trHeight w:val="665" w:hRule="exact"/>
        </w:trPr>
        <w:tc>
          <w:tcPr>
            <w:tcW w:w="36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2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587"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241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占公司全部营业收入的比例</w:t>
            </w:r>
          </w:p>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w:t>
            </w:r>
          </w:p>
        </w:tc>
      </w:tr>
      <w:tr>
        <w:trPr>
          <w:trHeight w:val="353" w:hRule="exact"/>
        </w:trPr>
        <w:tc>
          <w:tcPr>
            <w:tcW w:w="36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88,979,116.36</w:t>
            </w:r>
          </w:p>
        </w:tc>
        <w:tc>
          <w:tcPr>
            <w:tcW w:w="241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left="1039" w:right="0"/>
              <w:jc w:val="left"/>
              <w:rPr>
                <w:rFonts w:ascii="Times New Roman" w:hAnsi="Times New Roman" w:cs="Times New Roman" w:eastAsia="Times New Roman" w:hint="default"/>
                <w:sz w:val="18"/>
                <w:szCs w:val="18"/>
              </w:rPr>
            </w:pPr>
            <w:r>
              <w:rPr>
                <w:rFonts w:ascii="Times New Roman"/>
                <w:sz w:val="18"/>
              </w:rPr>
              <w:t>9.16</w:t>
            </w:r>
          </w:p>
        </w:tc>
      </w:tr>
      <w:tr>
        <w:trPr>
          <w:trHeight w:val="353" w:hRule="exact"/>
        </w:trPr>
        <w:tc>
          <w:tcPr>
            <w:tcW w:w="36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77,758,675.19</w:t>
            </w:r>
          </w:p>
        </w:tc>
        <w:tc>
          <w:tcPr>
            <w:tcW w:w="241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left="1039" w:right="0"/>
              <w:jc w:val="left"/>
              <w:rPr>
                <w:rFonts w:ascii="Times New Roman" w:hAnsi="Times New Roman" w:cs="Times New Roman" w:eastAsia="Times New Roman" w:hint="default"/>
                <w:sz w:val="18"/>
                <w:szCs w:val="18"/>
              </w:rPr>
            </w:pPr>
            <w:r>
              <w:rPr>
                <w:rFonts w:ascii="Times New Roman"/>
                <w:sz w:val="18"/>
              </w:rPr>
              <w:t>8.00</w:t>
            </w:r>
          </w:p>
        </w:tc>
      </w:tr>
      <w:tr>
        <w:trPr>
          <w:trHeight w:val="350" w:hRule="exact"/>
        </w:trPr>
        <w:tc>
          <w:tcPr>
            <w:tcW w:w="36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77,216,666.57</w:t>
            </w:r>
          </w:p>
        </w:tc>
        <w:tc>
          <w:tcPr>
            <w:tcW w:w="241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left="1039" w:right="0"/>
              <w:jc w:val="left"/>
              <w:rPr>
                <w:rFonts w:ascii="Times New Roman" w:hAnsi="Times New Roman" w:cs="Times New Roman" w:eastAsia="Times New Roman" w:hint="default"/>
                <w:sz w:val="18"/>
                <w:szCs w:val="18"/>
              </w:rPr>
            </w:pPr>
            <w:r>
              <w:rPr>
                <w:rFonts w:ascii="Times New Roman"/>
                <w:sz w:val="18"/>
              </w:rPr>
              <w:t>7.95</w:t>
            </w:r>
          </w:p>
        </w:tc>
      </w:tr>
      <w:tr>
        <w:trPr>
          <w:trHeight w:val="353" w:hRule="exact"/>
        </w:trPr>
        <w:tc>
          <w:tcPr>
            <w:tcW w:w="36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51,620,589.18</w:t>
            </w:r>
          </w:p>
        </w:tc>
        <w:tc>
          <w:tcPr>
            <w:tcW w:w="241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left="1039" w:right="0"/>
              <w:jc w:val="left"/>
              <w:rPr>
                <w:rFonts w:ascii="Times New Roman" w:hAnsi="Times New Roman" w:cs="Times New Roman" w:eastAsia="Times New Roman" w:hint="default"/>
                <w:sz w:val="18"/>
                <w:szCs w:val="18"/>
              </w:rPr>
            </w:pPr>
            <w:r>
              <w:rPr>
                <w:rFonts w:ascii="Times New Roman"/>
                <w:sz w:val="18"/>
              </w:rPr>
              <w:t>5.31</w:t>
            </w:r>
          </w:p>
        </w:tc>
      </w:tr>
      <w:tr>
        <w:trPr>
          <w:trHeight w:val="353" w:hRule="exact"/>
        </w:trPr>
        <w:tc>
          <w:tcPr>
            <w:tcW w:w="36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46,995,393.32</w:t>
            </w:r>
          </w:p>
        </w:tc>
        <w:tc>
          <w:tcPr>
            <w:tcW w:w="241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1"/>
              <w:ind w:left="1039" w:right="0"/>
              <w:jc w:val="left"/>
              <w:rPr>
                <w:rFonts w:ascii="Times New Roman" w:hAnsi="Times New Roman" w:cs="Times New Roman" w:eastAsia="Times New Roman" w:hint="default"/>
                <w:sz w:val="18"/>
                <w:szCs w:val="18"/>
              </w:rPr>
            </w:pPr>
            <w:r>
              <w:rPr>
                <w:rFonts w:ascii="Times New Roman"/>
                <w:sz w:val="18"/>
              </w:rPr>
              <w:t>4.84</w:t>
            </w:r>
          </w:p>
        </w:tc>
      </w:tr>
      <w:tr>
        <w:trPr>
          <w:trHeight w:val="353" w:hRule="exact"/>
        </w:trPr>
        <w:tc>
          <w:tcPr>
            <w:tcW w:w="36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342,570,440.62</w:t>
            </w:r>
          </w:p>
        </w:tc>
        <w:tc>
          <w:tcPr>
            <w:tcW w:w="241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left="993" w:right="0"/>
              <w:jc w:val="left"/>
              <w:rPr>
                <w:rFonts w:ascii="Times New Roman" w:hAnsi="Times New Roman" w:cs="Times New Roman" w:eastAsia="Times New Roman" w:hint="default"/>
                <w:sz w:val="18"/>
                <w:szCs w:val="18"/>
              </w:rPr>
            </w:pPr>
            <w:r>
              <w:rPr>
                <w:rFonts w:ascii="Times New Roman"/>
                <w:sz w:val="18"/>
              </w:rPr>
              <w:t>35.26</w:t>
            </w:r>
          </w:p>
        </w:tc>
      </w:tr>
    </w:tbl>
    <w:p>
      <w:pPr>
        <w:spacing w:line="240" w:lineRule="auto" w:before="3"/>
        <w:rPr>
          <w:rFonts w:ascii="宋体" w:hAnsi="宋体" w:cs="宋体" w:eastAsia="宋体" w:hint="default"/>
          <w:sz w:val="19"/>
          <w:szCs w:val="19"/>
        </w:rPr>
      </w:pPr>
    </w:p>
    <w:p>
      <w:pPr>
        <w:pStyle w:val="Heading3"/>
        <w:spacing w:line="240" w:lineRule="auto" w:before="36"/>
        <w:ind w:left="532" w:right="454"/>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32" w:right="5725"/>
        <w:jc w:val="left"/>
      </w:pPr>
      <w:r>
        <w:rPr/>
        <w:t>本报告期无其他对投资者决策有影响的重要事项。</w:t>
      </w:r>
    </w:p>
    <w:p>
      <w:pPr>
        <w:spacing w:line="240" w:lineRule="auto" w:before="3"/>
        <w:rPr>
          <w:rFonts w:ascii="宋体" w:hAnsi="宋体" w:cs="宋体" w:eastAsia="宋体" w:hint="default"/>
          <w:sz w:val="25"/>
          <w:szCs w:val="25"/>
        </w:rPr>
      </w:pPr>
    </w:p>
    <w:p>
      <w:pPr>
        <w:pStyle w:val="Heading2"/>
        <w:spacing w:line="240" w:lineRule="auto"/>
        <w:ind w:left="532" w:right="5725"/>
        <w:jc w:val="left"/>
        <w:rPr>
          <w:b w:val="0"/>
          <w:bCs w:val="0"/>
        </w:rPr>
      </w:pPr>
      <w:r>
        <w:rPr/>
        <w:t>十六、母公司财务报表主要项目注释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532" w:right="5725"/>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532" w:right="5725"/>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4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2038"/>
        <w:gridCol w:w="774"/>
        <w:gridCol w:w="761"/>
        <w:gridCol w:w="763"/>
        <w:gridCol w:w="898"/>
        <w:gridCol w:w="994"/>
        <w:gridCol w:w="850"/>
        <w:gridCol w:w="708"/>
        <w:gridCol w:w="853"/>
        <w:gridCol w:w="850"/>
        <w:gridCol w:w="852"/>
      </w:tblGrid>
      <w:tr>
        <w:trPr>
          <w:trHeight w:val="401" w:hRule="exact"/>
        </w:trPr>
        <w:tc>
          <w:tcPr>
            <w:tcW w:w="203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9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6" w:hRule="exact"/>
        </w:trPr>
        <w:tc>
          <w:tcPr>
            <w:tcW w:w="20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038"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661" w:type="dxa"/>
            <w:gridSpan w:val="2"/>
            <w:vMerge/>
            <w:tcBorders>
              <w:left w:val="single" w:sz="4" w:space="0" w:color="000000"/>
              <w:bottom w:val="single" w:sz="4" w:space="0" w:color="000000"/>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58" w:type="dxa"/>
            <w:gridSpan w:val="2"/>
            <w:vMerge/>
            <w:tcBorders>
              <w:left w:val="single" w:sz="4" w:space="0" w:color="000000"/>
              <w:bottom w:val="single" w:sz="4" w:space="0" w:color="000000"/>
              <w:right w:val="single" w:sz="4" w:space="0" w:color="000000"/>
            </w:tcBorders>
            <w:shd w:val="clear" w:color="auto" w:fill="D2D2D2"/>
          </w:tcPr>
          <w:p>
            <w:pPr/>
          </w:p>
        </w:tc>
        <w:tc>
          <w:tcPr>
            <w:tcW w:w="1702" w:type="dxa"/>
            <w:gridSpan w:val="2"/>
            <w:vMerge/>
            <w:tcBorders>
              <w:left w:val="single" w:sz="4" w:space="0" w:color="000000"/>
              <w:bottom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9" w:hRule="exact"/>
        </w:trPr>
        <w:tc>
          <w:tcPr>
            <w:tcW w:w="2038" w:type="dxa"/>
            <w:vMerge w:val="restart"/>
            <w:tcBorders>
              <w:top w:val="nil" w:sz="6" w:space="0" w:color="auto"/>
              <w:left w:val="single" w:sz="4" w:space="0" w:color="000000"/>
              <w:right w:val="single" w:sz="4" w:space="0" w:color="000000"/>
            </w:tcBorders>
            <w:shd w:val="clear" w:color="auto" w:fill="D2D2D2"/>
          </w:tcPr>
          <w:p>
            <w:pPr/>
          </w:p>
        </w:tc>
        <w:tc>
          <w:tcPr>
            <w:tcW w:w="7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94" w:type="dxa"/>
            <w:vMerge/>
            <w:tcBorders>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852"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038" w:type="dxa"/>
            <w:vMerge/>
            <w:tcBorders>
              <w:left w:val="single" w:sz="4" w:space="0" w:color="000000"/>
              <w:bottom w:val="single" w:sz="4" w:space="0" w:color="000000"/>
              <w:right w:val="single" w:sz="4" w:space="0" w:color="000000"/>
            </w:tcBorders>
            <w:shd w:val="clear" w:color="auto" w:fill="D2D2D2"/>
          </w:tcPr>
          <w:p>
            <w:pPr/>
          </w:p>
        </w:tc>
        <w:tc>
          <w:tcPr>
            <w:tcW w:w="774" w:type="dxa"/>
            <w:vMerge/>
            <w:tcBorders>
              <w:left w:val="single" w:sz="4" w:space="0" w:color="000000"/>
              <w:bottom w:val="single" w:sz="4" w:space="0" w:color="000000"/>
              <w:right w:val="single" w:sz="4" w:space="0" w:color="000000"/>
            </w:tcBorders>
            <w:shd w:val="clear" w:color="auto" w:fill="D2D2D2"/>
          </w:tcPr>
          <w:p>
            <w:pPr/>
          </w:p>
        </w:tc>
        <w:tc>
          <w:tcPr>
            <w:tcW w:w="761" w:type="dxa"/>
            <w:vMerge/>
            <w:tcBorders>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853"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5" w:hRule="exact"/>
        </w:trPr>
        <w:tc>
          <w:tcPr>
            <w:tcW w:w="2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 w:right="33"/>
              <w:jc w:val="left"/>
              <w:rPr>
                <w:rFonts w:ascii="宋体" w:hAnsi="宋体" w:cs="宋体" w:eastAsia="宋体" w:hint="default"/>
                <w:sz w:val="18"/>
                <w:szCs w:val="18"/>
              </w:rPr>
            </w:pPr>
            <w:r>
              <w:rPr>
                <w:rFonts w:ascii="宋体" w:hAnsi="宋体" w:cs="宋体" w:eastAsia="宋体" w:hint="default"/>
                <w:sz w:val="18"/>
                <w:szCs w:val="18"/>
              </w:rPr>
              <w:t>按信用风险特征组合计提 坏账准备的应收账款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345,038,</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103.49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23,888,0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98.68</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6.92%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321,150,004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277,785,4</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39.78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22,471,20</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3.09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8.09%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255,314,2</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36.69</w:t>
            </w:r>
          </w:p>
        </w:tc>
      </w:tr>
      <w:tr>
        <w:trPr>
          <w:trHeight w:val="161" w:hRule="exact"/>
        </w:trPr>
        <w:tc>
          <w:tcPr>
            <w:tcW w:w="20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345,038,</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103.49</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23,888,0</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98.68</w:t>
            </w: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6.92%</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321,150,004</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.81</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277,785,4</w:t>
            </w:r>
          </w:p>
          <w:p>
            <w:pPr>
              <w:pStyle w:val="TableParagraph"/>
              <w:spacing w:line="240" w:lineRule="auto" w:before="102"/>
              <w:ind w:left="412" w:right="0"/>
              <w:jc w:val="left"/>
              <w:rPr>
                <w:rFonts w:ascii="Times New Roman" w:hAnsi="Times New Roman" w:cs="Times New Roman" w:eastAsia="Times New Roman" w:hint="default"/>
                <w:sz w:val="18"/>
                <w:szCs w:val="18"/>
              </w:rPr>
            </w:pPr>
            <w:r>
              <w:rPr>
                <w:rFonts w:ascii="Times New Roman"/>
                <w:sz w:val="18"/>
              </w:rPr>
              <w:t>39.78</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100.00%</w:t>
            </w: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22,471,20</w:t>
            </w:r>
          </w:p>
          <w:p>
            <w:pPr>
              <w:pStyle w:val="TableParagraph"/>
              <w:spacing w:line="240" w:lineRule="auto" w:before="102"/>
              <w:ind w:left="504" w:right="0"/>
              <w:jc w:val="left"/>
              <w:rPr>
                <w:rFonts w:ascii="Times New Roman" w:hAnsi="Times New Roman" w:cs="Times New Roman" w:eastAsia="Times New Roman" w:hint="default"/>
                <w:sz w:val="18"/>
                <w:szCs w:val="18"/>
              </w:rPr>
            </w:pPr>
            <w:r>
              <w:rPr>
                <w:rFonts w:ascii="Times New Roman"/>
                <w:sz w:val="18"/>
              </w:rPr>
              <w:t>3.09</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8.09%</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255,314,2</w:t>
            </w:r>
          </w:p>
          <w:p>
            <w:pPr>
              <w:pStyle w:val="TableParagraph"/>
              <w:spacing w:line="240" w:lineRule="auto" w:before="102"/>
              <w:ind w:left="412" w:right="0"/>
              <w:jc w:val="left"/>
              <w:rPr>
                <w:rFonts w:ascii="Times New Roman" w:hAnsi="Times New Roman" w:cs="Times New Roman" w:eastAsia="Times New Roman" w:hint="default"/>
                <w:sz w:val="18"/>
                <w:szCs w:val="18"/>
              </w:rPr>
            </w:pPr>
            <w:r>
              <w:rPr>
                <w:rFonts w:ascii="Times New Roman"/>
                <w:sz w:val="18"/>
              </w:rPr>
              <w:t>36.69</w:t>
            </w:r>
          </w:p>
        </w:tc>
      </w:tr>
      <w:tr>
        <w:trPr>
          <w:trHeight w:val="391" w:hRule="exact"/>
        </w:trPr>
        <w:tc>
          <w:tcPr>
            <w:tcW w:w="20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161" w:hRule="exact"/>
        </w:trPr>
        <w:tc>
          <w:tcPr>
            <w:tcW w:w="20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600" w:right="720"/>
        </w:sectPr>
      </w:pPr>
    </w:p>
    <w:p>
      <w:pPr>
        <w:pStyle w:val="BodyText"/>
        <w:spacing w:line="240" w:lineRule="auto" w:before="49"/>
        <w:ind w:left="532" w:right="-20"/>
        <w:jc w:val="left"/>
      </w:pPr>
      <w:r>
        <w:rPr/>
        <w:t>期末单项金额重大并单项计提坏账准备的应收账款：</w:t>
      </w:r>
    </w:p>
    <w:p>
      <w:pPr>
        <w:pStyle w:val="BodyText"/>
        <w:spacing w:line="338" w:lineRule="auto" w:before="118"/>
        <w:ind w:left="532"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3"/>
        <w:ind w:left="532"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532" w:right="0"/>
        <w:jc w:val="left"/>
      </w:pPr>
      <w:r>
        <w:rPr/>
        <w:t>单位：</w:t>
      </w:r>
      <w:r>
        <w:rPr>
          <w:spacing w:val="1"/>
        </w:rPr>
        <w:t> </w:t>
      </w:r>
      <w:r>
        <w:rPr/>
        <w:t>元</w:t>
      </w:r>
    </w:p>
    <w:p>
      <w:pPr>
        <w:spacing w:after="0" w:line="240" w:lineRule="auto"/>
        <w:jc w:val="left"/>
        <w:sectPr>
          <w:type w:val="continuous"/>
          <w:pgSz w:w="11910" w:h="16840"/>
          <w:pgMar w:top="1060" w:bottom="1160" w:left="600" w:right="720"/>
          <w:cols w:num="2" w:equalWidth="0">
            <w:col w:w="4673" w:space="4156"/>
            <w:col w:w="1761"/>
          </w:cols>
        </w:sectPr>
      </w:pPr>
    </w:p>
    <w:p>
      <w:pPr>
        <w:spacing w:line="240" w:lineRule="auto" w:before="2"/>
        <w:rPr>
          <w:rFonts w:ascii="宋体" w:hAnsi="宋体" w:cs="宋体" w:eastAsia="宋体" w:hint="default"/>
          <w:sz w:val="8"/>
          <w:szCs w:val="8"/>
        </w:rPr>
      </w:pPr>
    </w:p>
    <w:tbl>
      <w:tblPr>
        <w:tblW w:w="0" w:type="auto"/>
        <w:jc w:val="left"/>
        <w:tblInd w:w="529" w:type="dxa"/>
        <w:tblLayout w:type="fixed"/>
        <w:tblCellMar>
          <w:top w:w="0" w:type="dxa"/>
          <w:left w:w="0" w:type="dxa"/>
          <w:bottom w:w="0" w:type="dxa"/>
          <w:right w:w="0" w:type="dxa"/>
        </w:tblCellMar>
        <w:tblLook w:val="01E0"/>
      </w:tblPr>
      <w:tblGrid>
        <w:gridCol w:w="2493"/>
        <w:gridCol w:w="2295"/>
        <w:gridCol w:w="2391"/>
        <w:gridCol w:w="2387"/>
      </w:tblGrid>
      <w:tr>
        <w:trPr>
          <w:trHeight w:val="403"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type w:val="continuous"/>
          <w:pgSz w:w="11910" w:h="16840"/>
          <w:pgMar w:top="1060" w:bottom="1160" w:left="600" w:right="7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401"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4" w:hRule="exact"/>
        </w:trPr>
        <w:tc>
          <w:tcPr>
            <w:tcW w:w="249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327,098,241.14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16,354,912.06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327,098,241.14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16,354,912.06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9,790,941.27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979,094.13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1,949,841.21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974,920.61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6,199,079.87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5,579,171.88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345,038,103.49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23,888,098.68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6.92%</w:t>
            </w:r>
          </w:p>
        </w:tc>
      </w:tr>
    </w:tbl>
    <w:p>
      <w:pPr>
        <w:pStyle w:val="BodyText"/>
        <w:spacing w:line="357" w:lineRule="auto" w:before="49"/>
        <w:ind w:right="5454"/>
        <w:jc w:val="left"/>
      </w:pPr>
      <w:r>
        <w:rPr/>
        <w:t>确定该组合依据的说明： 组合中，采用余额百分比法计提坏账准备的应收账款：</w:t>
      </w:r>
    </w:p>
    <w:p>
      <w:pPr>
        <w:pStyle w:val="BodyText"/>
        <w:spacing w:line="338" w:lineRule="auto" w:before="29"/>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line="240" w:lineRule="auto" w:before="8"/>
        <w:rPr>
          <w:rFonts w:ascii="宋体" w:hAnsi="宋体" w:cs="宋体" w:eastAsia="宋体" w:hint="default"/>
          <w:sz w:val="21"/>
          <w:szCs w:val="21"/>
        </w:rPr>
      </w:pPr>
    </w:p>
    <w:p>
      <w:pPr>
        <w:pStyle w:val="Heading3"/>
        <w:spacing w:line="240" w:lineRule="auto"/>
        <w:ind w:right="146"/>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6"/>
        <w:jc w:val="left"/>
      </w:pPr>
      <w:r>
        <w:rPr/>
        <w:t>本期计提坏账准备金额</w:t>
      </w:r>
      <w:r>
        <w:rPr>
          <w:spacing w:val="-46"/>
        </w:rPr>
        <w:t> </w:t>
      </w:r>
      <w:r>
        <w:rPr>
          <w:rFonts w:ascii="Times New Roman" w:hAnsi="Times New Roman" w:cs="Times New Roman" w:eastAsia="Times New Roman" w:hint="default"/>
        </w:rPr>
        <w:t>23,888,098.68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3"/>
        <w:spacing w:line="240" w:lineRule="auto"/>
        <w:ind w:right="146"/>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3"/>
        <w:gridCol w:w="4587"/>
      </w:tblGrid>
      <w:tr>
        <w:trPr>
          <w:trHeight w:val="398"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6" w:hRule="exact"/>
        </w:trPr>
        <w:tc>
          <w:tcPr>
            <w:tcW w:w="4983"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21,826.00</w:t>
            </w:r>
          </w:p>
        </w:tc>
      </w:tr>
    </w:tbl>
    <w:p>
      <w:pPr>
        <w:spacing w:line="240" w:lineRule="auto" w:before="3"/>
        <w:rPr>
          <w:rFonts w:ascii="宋体" w:hAnsi="宋体" w:cs="宋体" w:eastAsia="宋体" w:hint="default"/>
          <w:sz w:val="19"/>
          <w:szCs w:val="19"/>
        </w:rPr>
      </w:pPr>
    </w:p>
    <w:p>
      <w:pPr>
        <w:pStyle w:val="Heading3"/>
        <w:spacing w:line="240" w:lineRule="auto" w:before="36"/>
        <w:ind w:right="146"/>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748" w:type="dxa"/>
        <w:tblLayout w:type="fixed"/>
        <w:tblCellMar>
          <w:top w:w="0" w:type="dxa"/>
          <w:left w:w="0" w:type="dxa"/>
          <w:bottom w:w="0" w:type="dxa"/>
          <w:right w:w="0" w:type="dxa"/>
        </w:tblCellMar>
        <w:tblLook w:val="01E0"/>
      </w:tblPr>
      <w:tblGrid>
        <w:gridCol w:w="2588"/>
        <w:gridCol w:w="1630"/>
        <w:gridCol w:w="1875"/>
        <w:gridCol w:w="1678"/>
      </w:tblGrid>
      <w:tr>
        <w:trPr>
          <w:trHeight w:val="353" w:hRule="exact"/>
        </w:trPr>
        <w:tc>
          <w:tcPr>
            <w:tcW w:w="2588"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183" w:type="dxa"/>
            <w:gridSpan w:val="3"/>
            <w:tcBorders>
              <w:top w:val="single" w:sz="6" w:space="0" w:color="000000"/>
              <w:left w:val="single" w:sz="6" w:space="0" w:color="000000"/>
              <w:bottom w:val="single" w:sz="12"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65" w:hRule="exact"/>
        </w:trPr>
        <w:tc>
          <w:tcPr>
            <w:tcW w:w="2588" w:type="dxa"/>
            <w:vMerge/>
            <w:tcBorders>
              <w:left w:val="single" w:sz="6" w:space="0" w:color="000000"/>
              <w:bottom w:val="single" w:sz="12" w:space="0" w:color="000000"/>
              <w:right w:val="single" w:sz="6" w:space="0" w:color="000000"/>
            </w:tcBorders>
          </w:tcPr>
          <w:p>
            <w:pPr/>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4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75"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705" w:right="27"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占应收账款合计数的比 例</w:t>
            </w:r>
            <w:r>
              <w:rPr>
                <w:rFonts w:ascii="Times New Roman" w:hAnsi="Times New Roman" w:cs="Times New Roman" w:eastAsia="Times New Roman" w:hint="default"/>
                <w:sz w:val="18"/>
                <w:szCs w:val="18"/>
              </w:rPr>
              <w:t>(%)</w:t>
            </w:r>
          </w:p>
        </w:tc>
        <w:tc>
          <w:tcPr>
            <w:tcW w:w="167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left="47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3" w:hRule="exact"/>
        </w:trPr>
        <w:tc>
          <w:tcPr>
            <w:tcW w:w="25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64,443,849.29</w:t>
            </w:r>
          </w:p>
        </w:tc>
        <w:tc>
          <w:tcPr>
            <w:tcW w:w="18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18.68</w:t>
            </w:r>
          </w:p>
        </w:tc>
        <w:tc>
          <w:tcPr>
            <w:tcW w:w="167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3,222,192.46</w:t>
            </w:r>
          </w:p>
        </w:tc>
      </w:tr>
      <w:tr>
        <w:trPr>
          <w:trHeight w:val="350" w:hRule="exact"/>
        </w:trPr>
        <w:tc>
          <w:tcPr>
            <w:tcW w:w="25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38,289,920.00</w:t>
            </w:r>
          </w:p>
        </w:tc>
        <w:tc>
          <w:tcPr>
            <w:tcW w:w="18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11.10</w:t>
            </w:r>
          </w:p>
        </w:tc>
        <w:tc>
          <w:tcPr>
            <w:tcW w:w="167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1,914,496.00</w:t>
            </w:r>
          </w:p>
        </w:tc>
      </w:tr>
      <w:tr>
        <w:trPr>
          <w:trHeight w:val="353" w:hRule="exact"/>
        </w:trPr>
        <w:tc>
          <w:tcPr>
            <w:tcW w:w="25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37,230,765.00</w:t>
            </w:r>
          </w:p>
        </w:tc>
        <w:tc>
          <w:tcPr>
            <w:tcW w:w="18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10.79</w:t>
            </w:r>
          </w:p>
        </w:tc>
        <w:tc>
          <w:tcPr>
            <w:tcW w:w="167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1,861,538.25</w:t>
            </w:r>
          </w:p>
        </w:tc>
      </w:tr>
      <w:tr>
        <w:trPr>
          <w:trHeight w:val="353" w:hRule="exact"/>
        </w:trPr>
        <w:tc>
          <w:tcPr>
            <w:tcW w:w="25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30,063,272.90</w:t>
            </w:r>
          </w:p>
        </w:tc>
        <w:tc>
          <w:tcPr>
            <w:tcW w:w="18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8.71</w:t>
            </w:r>
          </w:p>
        </w:tc>
        <w:tc>
          <w:tcPr>
            <w:tcW w:w="167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1,503,163.65</w:t>
            </w:r>
          </w:p>
        </w:tc>
      </w:tr>
      <w:tr>
        <w:trPr>
          <w:trHeight w:val="350" w:hRule="exact"/>
        </w:trPr>
        <w:tc>
          <w:tcPr>
            <w:tcW w:w="25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26,900,800.00</w:t>
            </w:r>
          </w:p>
        </w:tc>
        <w:tc>
          <w:tcPr>
            <w:tcW w:w="18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7.80</w:t>
            </w:r>
          </w:p>
        </w:tc>
        <w:tc>
          <w:tcPr>
            <w:tcW w:w="167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1,345,040.00</w:t>
            </w:r>
          </w:p>
        </w:tc>
      </w:tr>
      <w:tr>
        <w:trPr>
          <w:trHeight w:val="355" w:hRule="exact"/>
        </w:trPr>
        <w:tc>
          <w:tcPr>
            <w:tcW w:w="25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196,928,607.19</w:t>
            </w:r>
          </w:p>
        </w:tc>
        <w:tc>
          <w:tcPr>
            <w:tcW w:w="18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57.08</w:t>
            </w:r>
          </w:p>
        </w:tc>
        <w:tc>
          <w:tcPr>
            <w:tcW w:w="167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9,846,430.36</w:t>
            </w:r>
          </w:p>
        </w:tc>
      </w:tr>
    </w:tbl>
    <w:p>
      <w:pPr>
        <w:spacing w:line="240" w:lineRule="auto" w:before="3"/>
        <w:rPr>
          <w:rFonts w:ascii="宋体" w:hAnsi="宋体" w:cs="宋体" w:eastAsia="宋体" w:hint="default"/>
          <w:b/>
          <w:bCs/>
          <w:sz w:val="19"/>
          <w:szCs w:val="19"/>
        </w:rPr>
      </w:pPr>
    </w:p>
    <w:p>
      <w:pPr>
        <w:pStyle w:val="Heading3"/>
        <w:spacing w:line="240" w:lineRule="auto" w:before="36"/>
        <w:ind w:right="146"/>
        <w:jc w:val="left"/>
        <w:rPr>
          <w:b w:val="0"/>
          <w:bCs w:val="0"/>
        </w:rPr>
      </w:pPr>
      <w:r>
        <w:rPr/>
        <w:t>（</w:t>
      </w:r>
      <w:r>
        <w:rPr>
          <w:rFonts w:ascii="Times New Roman" w:hAnsi="Times New Roman" w:cs="Times New Roman" w:eastAsia="Times New Roman" w:hint="default"/>
        </w:rPr>
        <w:t>5</w:t>
      </w:r>
      <w:r>
        <w:rPr/>
        <w:t>）本报告期无因金融资产转移而终止确认的应收账款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46"/>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6"/>
        <w:jc w:val="left"/>
      </w:pPr>
      <w:r>
        <w:rPr/>
        <w:t>本期无转移应收账款且继续涉入形成的资产、负债金额。</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left="532"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532"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2061"/>
        <w:gridCol w:w="751"/>
        <w:gridCol w:w="761"/>
        <w:gridCol w:w="763"/>
        <w:gridCol w:w="898"/>
        <w:gridCol w:w="653"/>
        <w:gridCol w:w="655"/>
        <w:gridCol w:w="761"/>
        <w:gridCol w:w="814"/>
        <w:gridCol w:w="934"/>
        <w:gridCol w:w="931"/>
      </w:tblGrid>
      <w:tr>
        <w:trPr>
          <w:trHeight w:val="401" w:hRule="exact"/>
        </w:trPr>
        <w:tc>
          <w:tcPr>
            <w:tcW w:w="206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6" w:hRule="exact"/>
        </w:trPr>
        <w:tc>
          <w:tcPr>
            <w:tcW w:w="20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20"/>
              <w:jc w:val="center"/>
              <w:rPr>
                <w:rFonts w:ascii="宋体" w:hAnsi="宋体" w:cs="宋体" w:eastAsia="宋体" w:hint="default"/>
                <w:sz w:val="18"/>
                <w:szCs w:val="18"/>
              </w:rPr>
            </w:pPr>
            <w:r>
              <w:rPr>
                <w:rFonts w:ascii="宋体" w:hAnsi="宋体" w:cs="宋体" w:eastAsia="宋体" w:hint="default"/>
                <w:sz w:val="18"/>
                <w:szCs w:val="18"/>
              </w:rPr>
              <w:t>类别</w:t>
            </w:r>
          </w:p>
        </w:tc>
        <w:tc>
          <w:tcPr>
            <w:tcW w:w="15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32" w:right="48"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061" w:type="dxa"/>
            <w:vMerge/>
            <w:tcBorders>
              <w:left w:val="single" w:sz="4" w:space="0" w:color="000000"/>
              <w:bottom w:val="nil" w:sz="6" w:space="0" w:color="auto"/>
              <w:right w:val="single" w:sz="4" w:space="0" w:color="000000"/>
            </w:tcBorders>
            <w:shd w:val="clear" w:color="auto" w:fill="D2D2D2"/>
          </w:tcPr>
          <w:p>
            <w:pPr/>
          </w:p>
        </w:tc>
        <w:tc>
          <w:tcPr>
            <w:tcW w:w="1513" w:type="dxa"/>
            <w:gridSpan w:val="2"/>
            <w:vMerge/>
            <w:tcBorders>
              <w:left w:val="single" w:sz="4" w:space="0" w:color="000000"/>
              <w:bottom w:val="single" w:sz="4" w:space="0" w:color="000000"/>
              <w:right w:val="single" w:sz="4" w:space="0" w:color="000000"/>
            </w:tcBorders>
            <w:shd w:val="clear" w:color="auto" w:fill="D2D2D2"/>
          </w:tcPr>
          <w:p>
            <w:pPr/>
          </w:p>
        </w:tc>
        <w:tc>
          <w:tcPr>
            <w:tcW w:w="1661" w:type="dxa"/>
            <w:gridSpan w:val="2"/>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9" w:hRule="exact"/>
        </w:trPr>
        <w:tc>
          <w:tcPr>
            <w:tcW w:w="2061" w:type="dxa"/>
            <w:vMerge w:val="restart"/>
            <w:tcBorders>
              <w:top w:val="nil" w:sz="6" w:space="0" w:color="auto"/>
              <w:left w:val="single" w:sz="4" w:space="0" w:color="000000"/>
              <w:right w:val="single" w:sz="4" w:space="0" w:color="000000"/>
            </w:tcBorders>
            <w:shd w:val="clear" w:color="auto" w:fill="D2D2D2"/>
          </w:tcPr>
          <w:p>
            <w:pPr/>
          </w:p>
        </w:tc>
        <w:tc>
          <w:tcPr>
            <w:tcW w:w="7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8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653" w:type="dxa"/>
            <w:vMerge/>
            <w:tcBorders>
              <w:left w:val="single" w:sz="4" w:space="0" w:color="000000"/>
              <w:right w:val="single" w:sz="4" w:space="0" w:color="000000"/>
            </w:tcBorders>
            <w:shd w:val="clear" w:color="auto" w:fill="D2D2D2"/>
          </w:tcPr>
          <w:p>
            <w:pPr/>
          </w:p>
        </w:tc>
        <w:tc>
          <w:tcPr>
            <w:tcW w:w="6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061" w:type="dxa"/>
            <w:vMerge/>
            <w:tcBorders>
              <w:left w:val="single" w:sz="4" w:space="0" w:color="000000"/>
              <w:bottom w:val="single" w:sz="4" w:space="0" w:color="000000"/>
              <w:right w:val="single" w:sz="4" w:space="0" w:color="000000"/>
            </w:tcBorders>
            <w:shd w:val="clear" w:color="auto" w:fill="D2D2D2"/>
          </w:tcPr>
          <w:p>
            <w:pPr/>
          </w:p>
        </w:tc>
        <w:tc>
          <w:tcPr>
            <w:tcW w:w="751" w:type="dxa"/>
            <w:vMerge/>
            <w:tcBorders>
              <w:left w:val="single" w:sz="4" w:space="0" w:color="000000"/>
              <w:bottom w:val="single" w:sz="4" w:space="0" w:color="000000"/>
              <w:right w:val="single" w:sz="4" w:space="0" w:color="000000"/>
            </w:tcBorders>
            <w:shd w:val="clear" w:color="auto" w:fill="D2D2D2"/>
          </w:tcPr>
          <w:p>
            <w:pPr/>
          </w:p>
        </w:tc>
        <w:tc>
          <w:tcPr>
            <w:tcW w:w="761" w:type="dxa"/>
            <w:vMerge/>
            <w:tcBorders>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5" w:type="dxa"/>
            <w:vMerge/>
            <w:tcBorders>
              <w:left w:val="single" w:sz="4" w:space="0" w:color="000000"/>
              <w:bottom w:val="single" w:sz="4" w:space="0" w:color="000000"/>
              <w:right w:val="single" w:sz="4" w:space="0" w:color="000000"/>
            </w:tcBorders>
            <w:shd w:val="clear" w:color="auto" w:fill="D2D2D2"/>
          </w:tcPr>
          <w:p>
            <w:pPr/>
          </w:p>
        </w:tc>
        <w:tc>
          <w:tcPr>
            <w:tcW w:w="761" w:type="dxa"/>
            <w:vMerge/>
            <w:tcBorders>
              <w:left w:val="single" w:sz="4" w:space="0" w:color="000000"/>
              <w:bottom w:val="single" w:sz="4" w:space="0" w:color="000000"/>
              <w:right w:val="single" w:sz="4" w:space="0" w:color="000000"/>
            </w:tcBorders>
            <w:shd w:val="clear" w:color="auto" w:fill="D2D2D2"/>
          </w:tcPr>
          <w:p>
            <w:pPr/>
          </w:p>
        </w:tc>
        <w:tc>
          <w:tcPr>
            <w:tcW w:w="814" w:type="dxa"/>
            <w:vMerge/>
            <w:tcBorders>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5" w:hRule="exact"/>
        </w:trPr>
        <w:tc>
          <w:tcPr>
            <w:tcW w:w="2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 w:right="57"/>
              <w:jc w:val="left"/>
              <w:rPr>
                <w:rFonts w:ascii="宋体" w:hAnsi="宋体" w:cs="宋体" w:eastAsia="宋体" w:hint="default"/>
                <w:sz w:val="18"/>
                <w:szCs w:val="18"/>
              </w:rPr>
            </w:pPr>
            <w:r>
              <w:rPr>
                <w:rFonts w:ascii="宋体" w:hAnsi="宋体" w:cs="宋体" w:eastAsia="宋体" w:hint="default"/>
                <w:sz w:val="18"/>
                <w:szCs w:val="18"/>
              </w:rPr>
              <w:t>按信用风险特征组合计提 坏账准备的其他应收款</w:t>
            </w:r>
          </w:p>
        </w:tc>
        <w:tc>
          <w:tcPr>
            <w:tcW w:w="7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82" w:right="0"/>
              <w:jc w:val="left"/>
              <w:rPr>
                <w:rFonts w:ascii="Times New Roman" w:hAnsi="Times New Roman" w:cs="Times New Roman" w:eastAsia="Times New Roman" w:hint="default"/>
                <w:sz w:val="18"/>
                <w:szCs w:val="18"/>
              </w:rPr>
            </w:pPr>
            <w:r>
              <w:rPr>
                <w:rFonts w:ascii="Times New Roman"/>
                <w:sz w:val="18"/>
              </w:rPr>
              <w:t>33,328,5</w:t>
            </w:r>
          </w:p>
          <w:p>
            <w:pPr>
              <w:pStyle w:val="TableParagraph"/>
              <w:spacing w:line="240" w:lineRule="auto" w:before="105"/>
              <w:ind w:left="308" w:right="0"/>
              <w:jc w:val="left"/>
              <w:rPr>
                <w:rFonts w:ascii="Times New Roman" w:hAnsi="Times New Roman" w:cs="Times New Roman" w:eastAsia="Times New Roman" w:hint="default"/>
                <w:sz w:val="18"/>
                <w:szCs w:val="18"/>
              </w:rPr>
            </w:pPr>
            <w:r>
              <w:rPr>
                <w:rFonts w:ascii="Times New Roman"/>
                <w:sz w:val="18"/>
              </w:rPr>
              <w:t>66.41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1,995,91</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1.20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5.99%</w:t>
            </w:r>
          </w:p>
        </w:tc>
        <w:tc>
          <w:tcPr>
            <w:tcW w:w="653"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68"/>
              <w:ind w:left="81" w:right="0"/>
              <w:jc w:val="left"/>
              <w:rPr>
                <w:rFonts w:ascii="Times New Roman" w:hAnsi="Times New Roman" w:cs="Times New Roman" w:eastAsia="Times New Roman" w:hint="default"/>
                <w:sz w:val="18"/>
                <w:szCs w:val="18"/>
              </w:rPr>
            </w:pPr>
            <w:r>
              <w:rPr>
                <w:rFonts w:ascii="Times New Roman"/>
                <w:sz w:val="18"/>
              </w:rPr>
              <w:t>31,332,</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655.21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20,194,</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987.63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2,311,615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11.45%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17,883,371.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87</w:t>
            </w:r>
          </w:p>
        </w:tc>
      </w:tr>
      <w:tr>
        <w:trPr>
          <w:trHeight w:val="161" w:hRule="exact"/>
        </w:trPr>
        <w:tc>
          <w:tcPr>
            <w:tcW w:w="2061" w:type="dxa"/>
            <w:tcBorders>
              <w:top w:val="single" w:sz="4" w:space="0" w:color="000000"/>
              <w:left w:val="single" w:sz="4" w:space="0" w:color="000000"/>
              <w:bottom w:val="nil" w:sz="6" w:space="0" w:color="auto"/>
              <w:right w:val="single" w:sz="4" w:space="0" w:color="000000"/>
            </w:tcBorders>
            <w:shd w:val="clear" w:color="auto" w:fill="D2D2D2"/>
          </w:tcPr>
          <w:p>
            <w:pPr/>
          </w:p>
        </w:tc>
        <w:tc>
          <w:tcPr>
            <w:tcW w:w="751" w:type="dxa"/>
            <w:vMerge w:val="restart"/>
            <w:tcBorders>
              <w:top w:val="single" w:sz="4" w:space="0" w:color="000000"/>
              <w:left w:val="single" w:sz="9" w:space="0" w:color="D2D2D2"/>
              <w:right w:val="single" w:sz="4" w:space="0" w:color="000000"/>
            </w:tcBorders>
          </w:tcPr>
          <w:p>
            <w:pPr>
              <w:pStyle w:val="TableParagraph"/>
              <w:spacing w:line="240" w:lineRule="auto" w:before="91"/>
              <w:ind w:left="82" w:right="0"/>
              <w:jc w:val="left"/>
              <w:rPr>
                <w:rFonts w:ascii="Times New Roman" w:hAnsi="Times New Roman" w:cs="Times New Roman" w:eastAsia="Times New Roman" w:hint="default"/>
                <w:sz w:val="18"/>
                <w:szCs w:val="18"/>
              </w:rPr>
            </w:pPr>
            <w:r>
              <w:rPr>
                <w:rFonts w:ascii="Times New Roman"/>
                <w:sz w:val="18"/>
              </w:rPr>
              <w:t>33,328,5</w:t>
            </w:r>
          </w:p>
          <w:p>
            <w:pPr>
              <w:pStyle w:val="TableParagraph"/>
              <w:spacing w:line="240" w:lineRule="auto" w:before="105"/>
              <w:ind w:left="308" w:right="0"/>
              <w:jc w:val="left"/>
              <w:rPr>
                <w:rFonts w:ascii="Times New Roman" w:hAnsi="Times New Roman" w:cs="Times New Roman" w:eastAsia="Times New Roman" w:hint="default"/>
                <w:sz w:val="18"/>
                <w:szCs w:val="18"/>
              </w:rPr>
            </w:pPr>
            <w:r>
              <w:rPr>
                <w:rFonts w:ascii="Times New Roman"/>
                <w:sz w:val="18"/>
              </w:rPr>
              <w:t>66.41</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1,995,91</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1.20</w:t>
            </w: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5.99%</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31,332,</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655.21</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20,194,</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987.63</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2,311,615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.76</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11.45%</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17,883,371.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87</w:t>
            </w:r>
          </w:p>
        </w:tc>
      </w:tr>
      <w:tr>
        <w:trPr>
          <w:trHeight w:val="391" w:hRule="exact"/>
        </w:trPr>
        <w:tc>
          <w:tcPr>
            <w:tcW w:w="20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51"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20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51"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600" w:right="980"/>
        </w:sectPr>
      </w:pPr>
    </w:p>
    <w:p>
      <w:pPr>
        <w:pStyle w:val="BodyText"/>
        <w:spacing w:line="240" w:lineRule="auto" w:before="49"/>
        <w:ind w:left="532" w:right="-20"/>
        <w:jc w:val="left"/>
      </w:pPr>
      <w:r>
        <w:rPr/>
        <w:t>期末单项金额重大并单项计提坏账准备的其他应收款：</w:t>
      </w:r>
    </w:p>
    <w:p>
      <w:pPr>
        <w:pStyle w:val="BodyText"/>
        <w:spacing w:line="338" w:lineRule="auto" w:before="117"/>
        <w:ind w:left="532"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3"/>
        <w:ind w:left="532"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left="532" w:right="0"/>
        <w:jc w:val="left"/>
      </w:pPr>
      <w:r>
        <w:rPr/>
        <w:t>单位：</w:t>
      </w:r>
      <w:r>
        <w:rPr>
          <w:spacing w:val="1"/>
        </w:rPr>
        <w:t> </w:t>
      </w:r>
      <w:r>
        <w:rPr/>
        <w:t>元</w:t>
      </w:r>
    </w:p>
    <w:p>
      <w:pPr>
        <w:spacing w:after="0" w:line="240" w:lineRule="auto"/>
        <w:jc w:val="left"/>
        <w:sectPr>
          <w:type w:val="continuous"/>
          <w:pgSz w:w="11910" w:h="16840"/>
          <w:pgMar w:top="1060" w:bottom="1160" w:left="600" w:right="980"/>
          <w:cols w:num="2" w:equalWidth="0">
            <w:col w:w="4853" w:space="3976"/>
            <w:col w:w="1501"/>
          </w:cols>
        </w:sectPr>
      </w:pPr>
    </w:p>
    <w:p>
      <w:pPr>
        <w:spacing w:line="240" w:lineRule="auto" w:before="3"/>
        <w:rPr>
          <w:rFonts w:ascii="宋体" w:hAnsi="宋体" w:cs="宋体" w:eastAsia="宋体" w:hint="default"/>
          <w:sz w:val="8"/>
          <w:szCs w:val="8"/>
        </w:rPr>
      </w:pPr>
    </w:p>
    <w:tbl>
      <w:tblPr>
        <w:tblW w:w="0" w:type="auto"/>
        <w:jc w:val="left"/>
        <w:tblInd w:w="527" w:type="dxa"/>
        <w:tblLayout w:type="fixed"/>
        <w:tblCellMar>
          <w:top w:w="0" w:type="dxa"/>
          <w:left w:w="0" w:type="dxa"/>
          <w:bottom w:w="0" w:type="dxa"/>
          <w:right w:w="0" w:type="dxa"/>
        </w:tblCellMar>
        <w:tblLook w:val="01E0"/>
      </w:tblPr>
      <w:tblGrid>
        <w:gridCol w:w="2494"/>
        <w:gridCol w:w="2295"/>
        <w:gridCol w:w="2391"/>
        <w:gridCol w:w="2391"/>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31,247,881.44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1,562,394.07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31,247,881.44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1,562,394.07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1,144,275.83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114,427.58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534,939.13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267,469.57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57,355.53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51,619.98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32,984,451.93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1,995,911.20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6.05%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600" w:right="980"/>
        </w:sectPr>
      </w:pPr>
    </w:p>
    <w:p>
      <w:pPr>
        <w:pStyle w:val="BodyText"/>
        <w:spacing w:line="348" w:lineRule="auto" w:before="49"/>
        <w:ind w:left="532" w:right="-20"/>
        <w:jc w:val="left"/>
      </w:pPr>
      <w:r>
        <w:rPr/>
        <w:t>确定该组合依据的说明： 详见财务报告五、</w:t>
      </w:r>
      <w:r>
        <w:rPr>
          <w:rFonts w:ascii="Times New Roman" w:hAnsi="Times New Roman" w:cs="Times New Roman" w:eastAsia="Times New Roman" w:hint="default"/>
        </w:rPr>
        <w:t>10</w:t>
      </w:r>
      <w:r>
        <w:rPr/>
        <w:t>、应收款项。 组合中，采用余额百分比法计提坏账准备的其他应收款：</w:t>
      </w:r>
    </w:p>
    <w:p>
      <w:pPr>
        <w:pStyle w:val="BodyText"/>
        <w:spacing w:line="240" w:lineRule="auto" w:before="36"/>
        <w:ind w:left="532"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532" w:right="0"/>
        <w:jc w:val="left"/>
      </w:pPr>
      <w:r>
        <w:rPr/>
        <w:t>单位：</w:t>
      </w:r>
      <w:r>
        <w:rPr>
          <w:spacing w:val="1"/>
        </w:rPr>
        <w:t> </w:t>
      </w:r>
      <w:r>
        <w:rPr/>
        <w:t>元</w:t>
      </w:r>
    </w:p>
    <w:p>
      <w:pPr>
        <w:spacing w:after="0" w:line="240" w:lineRule="auto"/>
        <w:jc w:val="left"/>
        <w:sectPr>
          <w:type w:val="continuous"/>
          <w:pgSz w:w="11910" w:h="16840"/>
          <w:pgMar w:top="1060" w:bottom="1160" w:left="600" w:right="980"/>
          <w:cols w:num="2" w:equalWidth="0">
            <w:col w:w="5033" w:space="3796"/>
            <w:col w:w="1501"/>
          </w:cols>
        </w:sectPr>
      </w:pPr>
    </w:p>
    <w:p>
      <w:pPr>
        <w:spacing w:line="240" w:lineRule="auto" w:before="4"/>
        <w:rPr>
          <w:rFonts w:ascii="宋体" w:hAnsi="宋体" w:cs="宋体" w:eastAsia="宋体" w:hint="default"/>
          <w:sz w:val="8"/>
          <w:szCs w:val="8"/>
        </w:rPr>
      </w:pPr>
    </w:p>
    <w:tbl>
      <w:tblPr>
        <w:tblW w:w="0" w:type="auto"/>
        <w:jc w:val="left"/>
        <w:tblInd w:w="527" w:type="dxa"/>
        <w:tblLayout w:type="fixed"/>
        <w:tblCellMar>
          <w:top w:w="0" w:type="dxa"/>
          <w:left w:w="0" w:type="dxa"/>
          <w:bottom w:w="0" w:type="dxa"/>
          <w:right w:w="0" w:type="dxa"/>
        </w:tblCellMar>
        <w:tblLook w:val="01E0"/>
      </w:tblPr>
      <w:tblGrid>
        <w:gridCol w:w="2492"/>
        <w:gridCol w:w="2295"/>
        <w:gridCol w:w="2391"/>
        <w:gridCol w:w="2393"/>
      </w:tblGrid>
      <w:tr>
        <w:trPr>
          <w:trHeight w:val="404" w:hRule="exact"/>
        </w:trPr>
        <w:tc>
          <w:tcPr>
            <w:tcW w:w="24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0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492"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应收补贴款</w:t>
            </w:r>
            <w:r>
              <w:rPr>
                <w:rFonts w:ascii="Times New Roman" w:hAnsi="Times New Roman" w:cs="Times New Roman" w:eastAsia="Times New Roman" w:hint="default"/>
                <w:sz w:val="18"/>
                <w:szCs w:val="18"/>
              </w:rPr>
              <w:t>-</w:t>
            </w:r>
            <w:r>
              <w:rPr>
                <w:rFonts w:ascii="宋体" w:hAnsi="宋体" w:cs="宋体" w:eastAsia="宋体" w:hint="default"/>
                <w:sz w:val="18"/>
                <w:szCs w:val="18"/>
              </w:rPr>
              <w:t>增值税退税</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344,114.48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344,114.48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60" w:lineRule="auto" w:before="49"/>
        <w:ind w:left="532" w:right="7074"/>
        <w:jc w:val="left"/>
      </w:pPr>
      <w:r>
        <w:rPr/>
        <w:t>确定该组合依据的说明： 详见财务报告五、</w:t>
      </w:r>
      <w:r>
        <w:rPr>
          <w:rFonts w:ascii="Times New Roman" w:hAnsi="Times New Roman" w:cs="Times New Roman" w:eastAsia="Times New Roman" w:hint="default"/>
        </w:rPr>
        <w:t>10</w:t>
      </w:r>
      <w:r>
        <w:rPr/>
        <w:t>、应收款项。</w:t>
      </w:r>
    </w:p>
    <w:p>
      <w:pPr>
        <w:spacing w:after="0" w:line="360" w:lineRule="auto"/>
        <w:jc w:val="left"/>
        <w:sectPr>
          <w:type w:val="continuous"/>
          <w:pgSz w:w="11910" w:h="16840"/>
          <w:pgMar w:top="1060" w:bottom="1160" w:left="600" w:right="980"/>
        </w:sectPr>
      </w:pPr>
    </w:p>
    <w:p>
      <w:pPr>
        <w:spacing w:line="240" w:lineRule="auto" w:before="9"/>
        <w:rPr>
          <w:rFonts w:ascii="宋体" w:hAnsi="宋体" w:cs="宋体" w:eastAsia="宋体" w:hint="default"/>
          <w:sz w:val="25"/>
          <w:szCs w:val="25"/>
        </w:rPr>
      </w:pPr>
    </w:p>
    <w:p>
      <w:pPr>
        <w:pStyle w:val="BodyText"/>
        <w:spacing w:line="240" w:lineRule="auto" w:before="44"/>
        <w:ind w:right="146"/>
        <w:jc w:val="left"/>
      </w:pPr>
      <w:r>
        <w:rPr/>
        <w:t>组合中，采用其他方法计提坏账准备的其他应收款：</w:t>
      </w:r>
    </w:p>
    <w:p>
      <w:pPr>
        <w:pStyle w:val="BodyText"/>
        <w:spacing w:line="240" w:lineRule="auto" w:before="117"/>
        <w:ind w:right="14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46"/>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46"/>
        <w:jc w:val="left"/>
      </w:pPr>
      <w:r>
        <w:rPr/>
        <w:t>本期计提坏账准备金额</w:t>
      </w:r>
      <w:r>
        <w:rPr>
          <w:spacing w:val="-48"/>
        </w:rPr>
        <w:t> </w:t>
      </w:r>
      <w:r>
        <w:rPr>
          <w:rFonts w:ascii="Times New Roman" w:hAnsi="Times New Roman" w:cs="Times New Roman" w:eastAsia="Times New Roman" w:hint="default"/>
        </w:rPr>
        <w:t>1,995,911.20</w:t>
      </w:r>
      <w:r>
        <w:rPr>
          <w:rFonts w:ascii="Times New Roman" w:hAnsi="Times New Roman" w:cs="Times New Roman" w:eastAsia="Times New Roman" w:hint="default"/>
          <w:spacing w:val="-1"/>
        </w:rPr>
        <w:t> </w:t>
      </w:r>
      <w:r>
        <w:rPr/>
        <w:t>元；本期收回或转回坏账准备金额</w:t>
      </w:r>
      <w:r>
        <w:rPr>
          <w:spacing w:val="-49"/>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2"/>
        <w:rPr>
          <w:rFonts w:ascii="宋体" w:hAnsi="宋体" w:cs="宋体" w:eastAsia="宋体" w:hint="default"/>
          <w:sz w:val="26"/>
          <w:szCs w:val="26"/>
        </w:rPr>
      </w:pPr>
    </w:p>
    <w:p>
      <w:pPr>
        <w:pStyle w:val="Heading3"/>
        <w:spacing w:line="240" w:lineRule="auto"/>
        <w:ind w:right="146"/>
        <w:jc w:val="left"/>
        <w:rPr>
          <w:b w:val="0"/>
          <w:bCs w:val="0"/>
        </w:rPr>
      </w:pPr>
      <w:r>
        <w:rPr/>
        <w:t>（</w:t>
      </w:r>
      <w:r>
        <w:rPr>
          <w:rFonts w:ascii="Times New Roman" w:hAnsi="Times New Roman" w:cs="Times New Roman" w:eastAsia="Times New Roman" w:hint="default"/>
        </w:rPr>
        <w:t>3</w:t>
      </w:r>
      <w:r>
        <w:rPr/>
        <w:t>）本期无实际核销的其他应收款情况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6"/>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1"/>
        <w:gridCol w:w="3101"/>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4" w:hRule="exact"/>
        </w:trPr>
        <w:tc>
          <w:tcPr>
            <w:tcW w:w="336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应收补贴款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344,114.48</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571,374.45</w:t>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25,286,935.80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1,732,907.01</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5,662,379.33</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13,350,482.97</w:t>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405,136.80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1,290,223.20</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招标保证金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1,630,000.00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3,250,000.00</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33,328,566.41</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20,194,987.63</w:t>
            </w:r>
          </w:p>
        </w:tc>
      </w:tr>
    </w:tbl>
    <w:p>
      <w:pPr>
        <w:spacing w:line="240" w:lineRule="auto" w:before="3"/>
        <w:rPr>
          <w:rFonts w:ascii="宋体" w:hAnsi="宋体" w:cs="宋体" w:eastAsia="宋体" w:hint="default"/>
          <w:sz w:val="19"/>
          <w:szCs w:val="19"/>
        </w:rPr>
      </w:pPr>
    </w:p>
    <w:p>
      <w:pPr>
        <w:pStyle w:val="Heading3"/>
        <w:spacing w:line="240" w:lineRule="auto" w:before="36"/>
        <w:ind w:right="146"/>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40"/>
        <w:gridCol w:w="1564"/>
        <w:gridCol w:w="1551"/>
        <w:gridCol w:w="1616"/>
        <w:gridCol w:w="1615"/>
      </w:tblGrid>
      <w:tr>
        <w:trPr>
          <w:trHeight w:val="708"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8" w:hRule="exact"/>
        </w:trPr>
        <w:tc>
          <w:tcPr>
            <w:tcW w:w="168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4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64" w:type="dxa"/>
            <w:tcBorders>
              <w:top w:val="single" w:sz="4" w:space="0" w:color="000000"/>
              <w:left w:val="single" w:sz="9" w:space="0" w:color="C7EBCC"/>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21,314,616.25</w:t>
            </w:r>
          </w:p>
        </w:tc>
        <w:tc>
          <w:tcPr>
            <w:tcW w:w="155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63.95%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1,065,730.81</w:t>
            </w:r>
          </w:p>
        </w:tc>
      </w:tr>
      <w:tr>
        <w:trPr>
          <w:trHeight w:val="401" w:hRule="exact"/>
        </w:trPr>
        <w:tc>
          <w:tcPr>
            <w:tcW w:w="168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4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64" w:type="dxa"/>
            <w:tcBorders>
              <w:top w:val="single" w:sz="4" w:space="0" w:color="000000"/>
              <w:left w:val="single" w:sz="9" w:space="0" w:color="C7EB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2,413,374.60</w:t>
            </w:r>
          </w:p>
        </w:tc>
        <w:tc>
          <w:tcPr>
            <w:tcW w:w="155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120,668.73</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4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64" w:type="dxa"/>
            <w:tcBorders>
              <w:top w:val="single" w:sz="4" w:space="0" w:color="000000"/>
              <w:left w:val="single" w:sz="9" w:space="0" w:color="C7EB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1,412,398.06</w:t>
            </w:r>
          </w:p>
        </w:tc>
        <w:tc>
          <w:tcPr>
            <w:tcW w:w="155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70,619.90</w:t>
            </w:r>
          </w:p>
        </w:tc>
      </w:tr>
      <w:tr>
        <w:trPr>
          <w:trHeight w:val="401" w:hRule="exact"/>
        </w:trPr>
        <w:tc>
          <w:tcPr>
            <w:tcW w:w="168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4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招标保证金</w:t>
            </w:r>
          </w:p>
        </w:tc>
        <w:tc>
          <w:tcPr>
            <w:tcW w:w="1564" w:type="dxa"/>
            <w:tcBorders>
              <w:top w:val="single" w:sz="4" w:space="0" w:color="000000"/>
              <w:left w:val="single" w:sz="9" w:space="0" w:color="C7EB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1,030,000.00</w:t>
            </w:r>
          </w:p>
        </w:tc>
        <w:tc>
          <w:tcPr>
            <w:tcW w:w="155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51,500.00</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40"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招标保证金</w:t>
            </w:r>
          </w:p>
        </w:tc>
        <w:tc>
          <w:tcPr>
            <w:tcW w:w="1564" w:type="dxa"/>
            <w:tcBorders>
              <w:top w:val="single" w:sz="4" w:space="0" w:color="000000"/>
              <w:left w:val="single" w:sz="9" w:space="0" w:color="C7EB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w:t>
            </w:r>
          </w:p>
        </w:tc>
        <w:tc>
          <w:tcPr>
            <w:tcW w:w="1551"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401"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56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26,770,388.91</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80.32%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1,338,519.44</w:t>
            </w:r>
          </w:p>
        </w:tc>
      </w:tr>
    </w:tbl>
    <w:p>
      <w:pPr>
        <w:spacing w:line="240" w:lineRule="auto" w:before="3"/>
        <w:rPr>
          <w:rFonts w:ascii="宋体" w:hAnsi="宋体" w:cs="宋体" w:eastAsia="宋体" w:hint="default"/>
          <w:sz w:val="19"/>
          <w:szCs w:val="19"/>
        </w:rPr>
      </w:pPr>
    </w:p>
    <w:p>
      <w:pPr>
        <w:pStyle w:val="Heading3"/>
        <w:spacing w:line="240" w:lineRule="auto" w:before="36"/>
        <w:ind w:right="146"/>
        <w:jc w:val="left"/>
        <w:rPr>
          <w:b w:val="0"/>
          <w:bCs w:val="0"/>
        </w:rPr>
      </w:pPr>
      <w:r>
        <w:rPr/>
        <w:t>（</w:t>
      </w:r>
      <w:r>
        <w:rPr>
          <w:rFonts w:ascii="Times New Roman" w:hAnsi="Times New Roman" w:cs="Times New Roman" w:eastAsia="Times New Roman" w:hint="default"/>
        </w:rPr>
        <w:t>6</w:t>
      </w:r>
      <w:r>
        <w:rPr/>
        <w:t>）本报告期无涉及政府补助的应收款项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6"/>
        <w:jc w:val="left"/>
        <w:rPr>
          <w:b w:val="0"/>
          <w:bCs w:val="0"/>
        </w:rPr>
      </w:pPr>
      <w:r>
        <w:rPr/>
        <w:t>（</w:t>
      </w:r>
      <w:r>
        <w:rPr>
          <w:rFonts w:ascii="Times New Roman" w:hAnsi="Times New Roman" w:cs="Times New Roman" w:eastAsia="Times New Roman" w:hint="default"/>
        </w:rPr>
        <w:t>7</w:t>
      </w:r>
      <w:r>
        <w:rPr/>
        <w:t>）本报告期无因金融资产转移而终止确认的其他应收款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6"/>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46"/>
        <w:jc w:val="left"/>
      </w:pPr>
      <w:r>
        <w:rPr/>
        <w:t>本期无转移其他应收款且继续涉入形成的资产、负债。</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left="532" w:right="5725"/>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41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540" w:type="dxa"/>
        <w:tblLayout w:type="fixed"/>
        <w:tblCellMar>
          <w:top w:w="0" w:type="dxa"/>
          <w:left w:w="0" w:type="dxa"/>
          <w:bottom w:w="0" w:type="dxa"/>
          <w:right w:w="0" w:type="dxa"/>
        </w:tblCellMar>
        <w:tblLook w:val="01E0"/>
      </w:tblPr>
      <w:tblGrid>
        <w:gridCol w:w="1356"/>
        <w:gridCol w:w="1369"/>
        <w:gridCol w:w="1368"/>
        <w:gridCol w:w="1366"/>
        <w:gridCol w:w="1368"/>
        <w:gridCol w:w="1366"/>
        <w:gridCol w:w="1368"/>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68,662,718.86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68,662,718.86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53,662,718.86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53,662,718.86</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68,662,718.86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68,662,718.86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53,662,718.86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53,662,718.86</w:t>
            </w:r>
          </w:p>
        </w:tc>
      </w:tr>
    </w:tbl>
    <w:p>
      <w:pPr>
        <w:spacing w:line="240" w:lineRule="auto" w:before="3"/>
        <w:rPr>
          <w:rFonts w:ascii="宋体" w:hAnsi="宋体" w:cs="宋体" w:eastAsia="宋体" w:hint="default"/>
          <w:sz w:val="19"/>
          <w:szCs w:val="19"/>
        </w:rPr>
      </w:pPr>
    </w:p>
    <w:p>
      <w:pPr>
        <w:pStyle w:val="Heading3"/>
        <w:spacing w:line="240" w:lineRule="auto" w:before="36"/>
        <w:ind w:left="532" w:right="5725"/>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4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2694"/>
        <w:gridCol w:w="1419"/>
        <w:gridCol w:w="1133"/>
        <w:gridCol w:w="852"/>
        <w:gridCol w:w="1116"/>
        <w:gridCol w:w="1577"/>
        <w:gridCol w:w="1560"/>
      </w:tblGrid>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4"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 w:right="0"/>
              <w:jc w:val="left"/>
              <w:rPr>
                <w:rFonts w:ascii="宋体" w:hAnsi="宋体" w:cs="宋体" w:eastAsia="宋体" w:hint="default"/>
                <w:sz w:val="18"/>
                <w:szCs w:val="18"/>
              </w:rPr>
            </w:pPr>
            <w:r>
              <w:rPr>
                <w:rFonts w:ascii="宋体" w:hAnsi="宋体" w:cs="宋体" w:eastAsia="宋体" w:hint="default"/>
                <w:sz w:val="18"/>
                <w:szCs w:val="18"/>
              </w:rPr>
              <w:t>本期计提减值准备</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减值准备期末余额</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广州御新软件有限公司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2,000,000.00</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安徽御银电子科技有限公司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4,992,258.86</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4,992,258.86</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广州御银金融服务有限公司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24,000,000.00</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御银（中国）科技国际有限公司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670,460.00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670,460.00</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316" w:lineRule="auto" w:before="49"/>
              <w:ind w:left="25" w:right="137"/>
              <w:jc w:val="left"/>
              <w:rPr>
                <w:rFonts w:ascii="宋体" w:hAnsi="宋体" w:cs="宋体" w:eastAsia="宋体" w:hint="default"/>
                <w:sz w:val="18"/>
                <w:szCs w:val="18"/>
              </w:rPr>
            </w:pPr>
            <w:r>
              <w:rPr>
                <w:rFonts w:ascii="宋体" w:hAnsi="宋体" w:cs="宋体" w:eastAsia="宋体" w:hint="default"/>
                <w:sz w:val="18"/>
                <w:szCs w:val="18"/>
              </w:rPr>
              <w:t>广州御银自动柜员机科技有限公 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20,000,000.00</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北京青年御银科技有限公司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2,000,000.00</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广州御银信息科技有限公司</w:t>
            </w:r>
          </w:p>
        </w:tc>
        <w:tc>
          <w:tcPr>
            <w:tcW w:w="141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15,000,000.00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15,000,000.00</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53,662,718.86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15,000,000.00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68,662,718.86</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left="532" w:right="5725"/>
        <w:jc w:val="left"/>
        <w:rPr>
          <w:b w:val="0"/>
          <w:bCs w:val="0"/>
        </w:rPr>
      </w:pPr>
      <w:r>
        <w:rPr/>
        <w:t>（</w:t>
      </w:r>
      <w:r>
        <w:rPr>
          <w:rFonts w:ascii="Times New Roman" w:hAnsi="Times New Roman" w:cs="Times New Roman" w:eastAsia="Times New Roman" w:hint="default"/>
        </w:rPr>
        <w:t>2</w:t>
      </w:r>
      <w:r>
        <w:rPr/>
        <w:t>）本报告期无对联营、合营企业投资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532" w:right="5725"/>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4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527" w:type="dxa"/>
        <w:tblLayout w:type="fixed"/>
        <w:tblCellMar>
          <w:top w:w="0" w:type="dxa"/>
          <w:left w:w="0" w:type="dxa"/>
          <w:bottom w:w="0" w:type="dxa"/>
          <w:right w:w="0" w:type="dxa"/>
        </w:tblCellMar>
        <w:tblLook w:val="01E0"/>
      </w:tblPr>
      <w:tblGrid>
        <w:gridCol w:w="1996"/>
        <w:gridCol w:w="1835"/>
        <w:gridCol w:w="1913"/>
        <w:gridCol w:w="1913"/>
        <w:gridCol w:w="1916"/>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896,878,073.43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633,874,675.45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753,877,333.25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499,349,430.08</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11,429,424.86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9,404,694.96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9,174,642.26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5,011,643.74</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908,307,498.29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643,279,370.41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763,051,975.51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504,361,073.82</w:t>
            </w:r>
          </w:p>
        </w:tc>
      </w:tr>
    </w:tbl>
    <w:p>
      <w:pPr>
        <w:spacing w:line="240" w:lineRule="auto" w:before="3"/>
        <w:rPr>
          <w:rFonts w:ascii="宋体" w:hAnsi="宋体" w:cs="宋体" w:eastAsia="宋体" w:hint="default"/>
          <w:sz w:val="19"/>
          <w:szCs w:val="19"/>
        </w:rPr>
      </w:pPr>
    </w:p>
    <w:p>
      <w:pPr>
        <w:pStyle w:val="Heading3"/>
        <w:spacing w:line="240" w:lineRule="auto" w:before="36"/>
        <w:ind w:left="532" w:right="5725"/>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4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54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6"/>
              <w:jc w:val="center"/>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15,225.00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13,398.00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600" w:right="720"/>
        </w:sectPr>
      </w:pPr>
    </w:p>
    <w:p>
      <w:pPr>
        <w:spacing w:line="240" w:lineRule="auto" w:before="6"/>
        <w:rPr>
          <w:rFonts w:ascii="宋体" w:hAnsi="宋体" w:cs="宋体" w:eastAsia="宋体" w:hint="default"/>
          <w:sz w:val="28"/>
          <w:szCs w:val="28"/>
        </w:rPr>
      </w:pPr>
    </w:p>
    <w:tbl>
      <w:tblPr>
        <w:tblW w:w="0" w:type="auto"/>
        <w:jc w:val="left"/>
        <w:tblInd w:w="527"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C7EBCC"/>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1,502,716.41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881,802.76</w:t>
            </w:r>
          </w:p>
        </w:tc>
      </w:tr>
      <w:tr>
        <w:trPr>
          <w:trHeight w:val="40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1,517,941.41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895,200.76</w:t>
            </w:r>
          </w:p>
        </w:tc>
      </w:tr>
    </w:tbl>
    <w:p>
      <w:pPr>
        <w:spacing w:line="240" w:lineRule="auto" w:before="1"/>
        <w:rPr>
          <w:rFonts w:ascii="宋体" w:hAnsi="宋体" w:cs="宋体" w:eastAsia="宋体" w:hint="default"/>
          <w:sz w:val="18"/>
          <w:szCs w:val="18"/>
        </w:rPr>
      </w:pPr>
    </w:p>
    <w:p>
      <w:pPr>
        <w:pStyle w:val="Heading2"/>
        <w:spacing w:line="240" w:lineRule="auto" w:before="26"/>
        <w:ind w:left="532" w:right="0"/>
        <w:jc w:val="left"/>
        <w:rPr>
          <w:b w:val="0"/>
          <w:bCs w:val="0"/>
        </w:rPr>
      </w:pPr>
      <w:r>
        <w:rPr/>
        <w:t>十七、补充资料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532"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5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540" w:type="dxa"/>
        <w:tblLayout w:type="fixed"/>
        <w:tblCellMar>
          <w:top w:w="0" w:type="dxa"/>
          <w:left w:w="0" w:type="dxa"/>
          <w:bottom w:w="0" w:type="dxa"/>
          <w:right w:w="0" w:type="dxa"/>
        </w:tblCellMar>
        <w:tblLook w:val="01E0"/>
      </w:tblPr>
      <w:tblGrid>
        <w:gridCol w:w="7491"/>
        <w:gridCol w:w="1289"/>
        <w:gridCol w:w="779"/>
      </w:tblGrid>
      <w:tr>
        <w:trPr>
          <w:trHeight w:val="401" w:hRule="exact"/>
        </w:trPr>
        <w:tc>
          <w:tcPr>
            <w:tcW w:w="7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7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2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-7,174,193.44</w:t>
            </w:r>
          </w:p>
        </w:tc>
        <w:tc>
          <w:tcPr>
            <w:tcW w:w="779" w:type="dxa"/>
            <w:tcBorders>
              <w:top w:val="single" w:sz="4" w:space="0" w:color="000000"/>
              <w:left w:val="single" w:sz="4" w:space="0" w:color="000000"/>
              <w:bottom w:val="single" w:sz="4" w:space="0" w:color="000000"/>
              <w:right w:val="single" w:sz="4" w:space="0" w:color="000000"/>
            </w:tcBorders>
            <w:shd w:val="clear" w:color="auto" w:fill="C7EBCC"/>
          </w:tcPr>
          <w:p>
            <w:pPr/>
          </w:p>
        </w:tc>
      </w:tr>
      <w:tr>
        <w:trPr>
          <w:trHeight w:val="713" w:hRule="exact"/>
        </w:trPr>
        <w:tc>
          <w:tcPr>
            <w:tcW w:w="7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8"/>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计入当期损益的政府补助（与企业业务密切相关，按照国家统一标准定额或定量享受的政府补 助除外）</w:t>
            </w:r>
          </w:p>
        </w:tc>
        <w:tc>
          <w:tcPr>
            <w:tcW w:w="12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1,446,000.00</w:t>
            </w:r>
          </w:p>
        </w:tc>
        <w:tc>
          <w:tcPr>
            <w:tcW w:w="779" w:type="dxa"/>
            <w:tcBorders>
              <w:top w:val="single" w:sz="4" w:space="0" w:color="000000"/>
              <w:left w:val="single" w:sz="4" w:space="0" w:color="000000"/>
              <w:bottom w:val="single" w:sz="4" w:space="0" w:color="000000"/>
              <w:right w:val="single" w:sz="4" w:space="0" w:color="000000"/>
            </w:tcBorders>
            <w:shd w:val="clear" w:color="auto" w:fill="C7EBCC"/>
          </w:tcPr>
          <w:p>
            <w:pPr/>
          </w:p>
        </w:tc>
      </w:tr>
      <w:tr>
        <w:trPr>
          <w:trHeight w:val="1027" w:hRule="exact"/>
        </w:trPr>
        <w:tc>
          <w:tcPr>
            <w:tcW w:w="7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5"/>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除同公司正常经营业务相关的有效套期保值业务外，持有交易性金融资产、交易性金融负债产 生的公允价值变动损益，以及处置交易性金融资产、交易性金融负债和可供出售金融资产取得 的投资收益</w:t>
            </w:r>
          </w:p>
        </w:tc>
        <w:tc>
          <w:tcPr>
            <w:tcW w:w="12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30,174,200.82</w:t>
            </w:r>
          </w:p>
        </w:tc>
        <w:tc>
          <w:tcPr>
            <w:tcW w:w="779" w:type="dxa"/>
            <w:tcBorders>
              <w:top w:val="single" w:sz="4" w:space="0" w:color="000000"/>
              <w:left w:val="single" w:sz="4" w:space="0" w:color="000000"/>
              <w:bottom w:val="single" w:sz="4" w:space="0" w:color="000000"/>
              <w:right w:val="single" w:sz="4" w:space="0" w:color="000000"/>
            </w:tcBorders>
            <w:shd w:val="clear" w:color="auto" w:fill="C7EBCC"/>
          </w:tcPr>
          <w:p>
            <w:pPr/>
          </w:p>
        </w:tc>
      </w:tr>
      <w:tr>
        <w:trPr>
          <w:trHeight w:val="401" w:hRule="exact"/>
        </w:trPr>
        <w:tc>
          <w:tcPr>
            <w:tcW w:w="7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2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-2,674,991.88</w:t>
            </w:r>
          </w:p>
        </w:tc>
        <w:tc>
          <w:tcPr>
            <w:tcW w:w="779" w:type="dxa"/>
            <w:tcBorders>
              <w:top w:val="single" w:sz="4" w:space="0" w:color="000000"/>
              <w:left w:val="single" w:sz="4" w:space="0" w:color="000000"/>
              <w:bottom w:val="single" w:sz="4" w:space="0" w:color="000000"/>
              <w:right w:val="single" w:sz="4" w:space="0" w:color="000000"/>
            </w:tcBorders>
            <w:shd w:val="clear" w:color="auto" w:fill="C7EBCC"/>
          </w:tcPr>
          <w:p>
            <w:pPr/>
          </w:p>
        </w:tc>
      </w:tr>
      <w:tr>
        <w:trPr>
          <w:trHeight w:val="403" w:hRule="exact"/>
        </w:trPr>
        <w:tc>
          <w:tcPr>
            <w:tcW w:w="7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2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3,301,272.98</w:t>
            </w:r>
          </w:p>
        </w:tc>
        <w:tc>
          <w:tcPr>
            <w:tcW w:w="779" w:type="dxa"/>
            <w:tcBorders>
              <w:top w:val="single" w:sz="4" w:space="0" w:color="000000"/>
              <w:left w:val="single" w:sz="4" w:space="0" w:color="000000"/>
              <w:bottom w:val="single" w:sz="4" w:space="0" w:color="000000"/>
              <w:right w:val="single" w:sz="4" w:space="0" w:color="000000"/>
            </w:tcBorders>
            <w:shd w:val="clear" w:color="auto" w:fill="C7EBCC"/>
          </w:tcPr>
          <w:p>
            <w:pPr/>
          </w:p>
        </w:tc>
      </w:tr>
      <w:tr>
        <w:trPr>
          <w:trHeight w:val="401" w:hRule="exact"/>
        </w:trPr>
        <w:tc>
          <w:tcPr>
            <w:tcW w:w="7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9"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18,469,742.52</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left="532"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left="532" w:right="180"/>
        <w:jc w:val="left"/>
      </w:pPr>
      <w:r>
        <w:rPr/>
        <w:t>开发行证券的公司信息披露解释性公告第</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spacing w:val="-4"/>
        </w:rPr>
        <w:t>号</w:t>
      </w:r>
      <w:r>
        <w:rPr>
          <w:rFonts w:ascii="Times New Roman" w:hAnsi="Times New Roman" w:cs="Times New Roman" w:eastAsia="Times New Roman" w:hint="default"/>
          <w:spacing w:val="-4"/>
        </w:rPr>
        <w:t>——</w:t>
      </w:r>
      <w:r>
        <w:rPr>
          <w:spacing w:val="-4"/>
        </w:rPr>
        <w:t>非经常性损益》中列举的非经常性损益项目界定为经常性损益的项目，应</w:t>
      </w:r>
      <w:r>
        <w:rPr>
          <w:spacing w:val="-41"/>
        </w:rPr>
        <w:t> </w:t>
      </w:r>
      <w:r>
        <w:rPr/>
        <w:t>说明原因。</w:t>
      </w:r>
    </w:p>
    <w:p>
      <w:pPr>
        <w:pStyle w:val="BodyText"/>
        <w:spacing w:line="240" w:lineRule="auto" w:before="72"/>
        <w:ind w:left="5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left="532"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13" w:type="dxa"/>
        <w:tblLayout w:type="fixed"/>
        <w:tblCellMar>
          <w:top w:w="0" w:type="dxa"/>
          <w:left w:w="0" w:type="dxa"/>
          <w:bottom w:w="0" w:type="dxa"/>
          <w:right w:w="0" w:type="dxa"/>
        </w:tblCellMar>
        <w:tblLook w:val="01E0"/>
      </w:tblPr>
      <w:tblGrid>
        <w:gridCol w:w="4243"/>
        <w:gridCol w:w="1916"/>
        <w:gridCol w:w="1913"/>
        <w:gridCol w:w="1913"/>
      </w:tblGrid>
      <w:tr>
        <w:trPr>
          <w:trHeight w:val="206" w:hRule="exact"/>
        </w:trPr>
        <w:tc>
          <w:tcPr>
            <w:tcW w:w="424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42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6"/>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9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4243" w:type="dxa"/>
            <w:vMerge/>
            <w:tcBorders>
              <w:left w:val="single" w:sz="4" w:space="0" w:color="000000"/>
              <w:bottom w:val="nil" w:sz="6" w:space="0" w:color="auto"/>
              <w:right w:val="single" w:sz="4" w:space="0" w:color="000000"/>
            </w:tcBorders>
            <w:shd w:val="clear" w:color="auto" w:fill="D2D2D2"/>
          </w:tcPr>
          <w:p>
            <w:pPr/>
          </w:p>
        </w:tc>
        <w:tc>
          <w:tcPr>
            <w:tcW w:w="1916"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424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4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0.17</w:t>
            </w:r>
          </w:p>
        </w:tc>
      </w:tr>
      <w:tr>
        <w:trPr>
          <w:trHeight w:val="401" w:hRule="exact"/>
        </w:trPr>
        <w:tc>
          <w:tcPr>
            <w:tcW w:w="4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0.1492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0.1492</w:t>
            </w:r>
          </w:p>
        </w:tc>
      </w:tr>
    </w:tbl>
    <w:p>
      <w:pPr>
        <w:spacing w:line="240" w:lineRule="auto" w:before="3"/>
        <w:rPr>
          <w:rFonts w:ascii="宋体" w:hAnsi="宋体" w:cs="宋体" w:eastAsia="宋体" w:hint="default"/>
          <w:b/>
          <w:bCs/>
          <w:sz w:val="19"/>
          <w:szCs w:val="19"/>
        </w:rPr>
      </w:pPr>
    </w:p>
    <w:p>
      <w:pPr>
        <w:pStyle w:val="Heading3"/>
        <w:spacing w:line="240" w:lineRule="auto" w:before="36"/>
        <w:ind w:left="532"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532"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left="532"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600" w:right="980"/>
        </w:sectPr>
      </w:pPr>
    </w:p>
    <w:p>
      <w:pPr>
        <w:spacing w:line="240" w:lineRule="auto" w:before="10"/>
        <w:rPr>
          <w:rFonts w:ascii="宋体" w:hAnsi="宋体" w:cs="宋体" w:eastAsia="宋体" w:hint="default"/>
          <w:sz w:val="24"/>
          <w:szCs w:val="24"/>
        </w:rPr>
      </w:pPr>
    </w:p>
    <w:p>
      <w:pPr>
        <w:pStyle w:val="Heading3"/>
        <w:spacing w:line="240" w:lineRule="auto" w:before="36"/>
        <w:ind w:left="392" w:right="0"/>
        <w:jc w:val="left"/>
        <w:rPr>
          <w:b w:val="0"/>
          <w:bCs w:val="0"/>
        </w:rPr>
      </w:pPr>
      <w:r>
        <w:rPr>
          <w:rFonts w:ascii="Times New Roman" w:hAnsi="Times New Roman" w:cs="Times New Roman" w:eastAsia="Times New Roman" w:hint="default"/>
        </w:rPr>
        <w:t>4</w:t>
      </w:r>
      <w:r>
        <w:rPr/>
        <w:t>、会计政策变更相关补充资料</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39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392" w:right="0"/>
        <w:jc w:val="left"/>
      </w:pPr>
      <w:r>
        <w:rPr/>
        <w:t>公司根据财政部</w:t>
      </w:r>
      <w:r>
        <w:rPr>
          <w:spacing w:val="-46"/>
        </w:rPr>
        <w:t> </w:t>
      </w:r>
      <w:r>
        <w:rPr>
          <w:rFonts w:ascii="Times New Roman" w:hAnsi="Times New Roman" w:cs="Times New Roman" w:eastAsia="Times New Roman" w:hint="default"/>
        </w:rPr>
        <w:t>2014 </w:t>
      </w:r>
      <w:r>
        <w:rPr/>
        <w:t>年发布的《企业会计准则第</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长期股权投资》等八项会计准则变更了相关会计政策并对比较财</w:t>
      </w:r>
    </w:p>
    <w:p>
      <w:pPr>
        <w:pStyle w:val="BodyText"/>
        <w:spacing w:line="240" w:lineRule="auto" w:before="63"/>
        <w:ind w:left="392" w:right="0"/>
        <w:jc w:val="left"/>
      </w:pPr>
      <w:r>
        <w:rPr/>
        <w:t>务报表进行了追溯重述，重述后的</w:t>
      </w:r>
      <w:r>
        <w:rPr>
          <w:spacing w:val="-4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 </w:t>
      </w:r>
      <w:r>
        <w:rPr/>
        <w:t>日、</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5"/>
        </w:rPr>
        <w:t> </w:t>
      </w:r>
      <w:r>
        <w:rPr>
          <w:rFonts w:ascii="Times New Roman" w:hAnsi="Times New Roman" w:cs="Times New Roman" w:eastAsia="Times New Roman" w:hint="default"/>
        </w:rPr>
        <w:t>31 </w:t>
      </w:r>
      <w:r>
        <w:rPr/>
        <w:t>日合并资产负债表如下：</w:t>
      </w:r>
    </w:p>
    <w:p>
      <w:pPr>
        <w:pStyle w:val="BodyText"/>
        <w:spacing w:line="240" w:lineRule="auto" w:before="103"/>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2808"/>
        <w:gridCol w:w="2355"/>
        <w:gridCol w:w="2338"/>
        <w:gridCol w:w="2338"/>
      </w:tblGrid>
      <w:tr>
        <w:trPr>
          <w:trHeight w:val="401" w:hRule="exact"/>
        </w:trPr>
        <w:tc>
          <w:tcPr>
            <w:tcW w:w="2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2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287,664,602.68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163,835,716.70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290,223,319.40</w:t>
            </w:r>
          </w:p>
        </w:tc>
      </w:tr>
      <w:tr>
        <w:trPr>
          <w:trHeight w:val="715" w:hRule="exact"/>
        </w:trPr>
        <w:tc>
          <w:tcPr>
            <w:tcW w:w="2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23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10,001,147.60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33,000,750.00</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137,099,458.08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237,897,056.53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320,701,697.63</w:t>
            </w:r>
          </w:p>
        </w:tc>
      </w:tr>
      <w:tr>
        <w:trPr>
          <w:trHeight w:val="403" w:hRule="exact"/>
        </w:trPr>
        <w:tc>
          <w:tcPr>
            <w:tcW w:w="2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3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7,118,058.27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12,184,521.39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10,756,532.78</w:t>
            </w:r>
          </w:p>
        </w:tc>
      </w:tr>
      <w:tr>
        <w:trPr>
          <w:trHeight w:val="401" w:hRule="exact"/>
        </w:trPr>
        <w:tc>
          <w:tcPr>
            <w:tcW w:w="2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27,503,661.02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26,297,338.01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16,544,909.77</w:t>
            </w:r>
          </w:p>
        </w:tc>
      </w:tr>
      <w:tr>
        <w:trPr>
          <w:trHeight w:val="403" w:hRule="exact"/>
        </w:trPr>
        <w:tc>
          <w:tcPr>
            <w:tcW w:w="2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3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329,830,770.82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255,142,098.34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272,079,634.21</w:t>
            </w:r>
          </w:p>
        </w:tc>
      </w:tr>
      <w:tr>
        <w:trPr>
          <w:trHeight w:val="401" w:hRule="exact"/>
        </w:trPr>
        <w:tc>
          <w:tcPr>
            <w:tcW w:w="2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3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41,520,542.38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52,285,122.41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65,155,184.11</w:t>
            </w:r>
          </w:p>
        </w:tc>
      </w:tr>
      <w:tr>
        <w:trPr>
          <w:trHeight w:val="403" w:hRule="exact"/>
        </w:trPr>
        <w:tc>
          <w:tcPr>
            <w:tcW w:w="2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3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6,647,613.61</w:t>
            </w:r>
          </w:p>
        </w:tc>
        <w:tc>
          <w:tcPr>
            <w:tcW w:w="233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2,607,681.29</w:t>
            </w:r>
          </w:p>
        </w:tc>
      </w:tr>
      <w:tr>
        <w:trPr>
          <w:trHeight w:val="401" w:hRule="exact"/>
        </w:trPr>
        <w:tc>
          <w:tcPr>
            <w:tcW w:w="2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3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847,385,854.46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780,642,603.38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978,068,959.19</w:t>
            </w:r>
          </w:p>
        </w:tc>
      </w:tr>
      <w:tr>
        <w:trPr>
          <w:trHeight w:val="403" w:hRule="exact"/>
        </w:trPr>
        <w:tc>
          <w:tcPr>
            <w:tcW w:w="2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3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104,716,890.72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93,363,236.40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33,851,000.00</w:t>
            </w:r>
          </w:p>
        </w:tc>
      </w:tr>
      <w:tr>
        <w:trPr>
          <w:trHeight w:val="403" w:hRule="exact"/>
        </w:trPr>
        <w:tc>
          <w:tcPr>
            <w:tcW w:w="2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3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149,565,620.52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164,612,561.43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205,482,775.34</w:t>
            </w:r>
          </w:p>
        </w:tc>
      </w:tr>
      <w:tr>
        <w:trPr>
          <w:trHeight w:val="401" w:hRule="exact"/>
        </w:trPr>
        <w:tc>
          <w:tcPr>
            <w:tcW w:w="2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3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336,407,305.76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398,437,917.16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335,039,953.14</w:t>
            </w:r>
          </w:p>
        </w:tc>
      </w:tr>
      <w:tr>
        <w:trPr>
          <w:trHeight w:val="403" w:hRule="exact"/>
        </w:trPr>
        <w:tc>
          <w:tcPr>
            <w:tcW w:w="2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3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222,245,170.27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204,620,194.16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210,040,029.10</w:t>
            </w:r>
          </w:p>
        </w:tc>
      </w:tr>
      <w:tr>
        <w:trPr>
          <w:trHeight w:val="401" w:hRule="exact"/>
        </w:trPr>
        <w:tc>
          <w:tcPr>
            <w:tcW w:w="2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3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65,771,397.41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72,219,563.85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72,673,598.45</w:t>
            </w:r>
          </w:p>
        </w:tc>
      </w:tr>
      <w:tr>
        <w:trPr>
          <w:trHeight w:val="403" w:hRule="exact"/>
        </w:trPr>
        <w:tc>
          <w:tcPr>
            <w:tcW w:w="2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3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10,131,695.33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4,734,876.81</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3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1,255,925.99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459,966.00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1,411,478.48</w:t>
            </w:r>
          </w:p>
        </w:tc>
      </w:tr>
      <w:tr>
        <w:trPr>
          <w:trHeight w:val="403" w:hRule="exact"/>
        </w:trPr>
        <w:tc>
          <w:tcPr>
            <w:tcW w:w="2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3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10,774,553.57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9,969,268.21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10,900,121.97</w:t>
            </w:r>
          </w:p>
        </w:tc>
      </w:tr>
      <w:tr>
        <w:trPr>
          <w:trHeight w:val="401" w:hRule="exact"/>
        </w:trPr>
        <w:tc>
          <w:tcPr>
            <w:tcW w:w="2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3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1,853,035.66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6,514,493.17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5,309,140.68</w:t>
            </w:r>
          </w:p>
        </w:tc>
      </w:tr>
      <w:tr>
        <w:trPr>
          <w:trHeight w:val="403" w:hRule="exact"/>
        </w:trPr>
        <w:tc>
          <w:tcPr>
            <w:tcW w:w="2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3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902,721,595.23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954,932,077.19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874,708,097.16</w:t>
            </w:r>
          </w:p>
        </w:tc>
      </w:tr>
      <w:tr>
        <w:trPr>
          <w:trHeight w:val="401" w:hRule="exact"/>
        </w:trPr>
        <w:tc>
          <w:tcPr>
            <w:tcW w:w="2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3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1,750,107,449.69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1,735,574,680.57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1,852,777,056.35</w:t>
            </w:r>
          </w:p>
        </w:tc>
      </w:tr>
      <w:tr>
        <w:trPr>
          <w:trHeight w:val="404" w:hRule="exact"/>
        </w:trPr>
        <w:tc>
          <w:tcPr>
            <w:tcW w:w="2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3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125,142,480.42</w:t>
            </w:r>
          </w:p>
        </w:tc>
        <w:tc>
          <w:tcPr>
            <w:tcW w:w="233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3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5,823,982.00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9,000,524.00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6,054,000.00</w:t>
            </w:r>
          </w:p>
        </w:tc>
      </w:tr>
      <w:tr>
        <w:trPr>
          <w:trHeight w:val="401" w:hRule="exact"/>
        </w:trPr>
        <w:tc>
          <w:tcPr>
            <w:tcW w:w="2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37,798,320.94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87,490,113.87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109,370,949.21</w:t>
            </w:r>
          </w:p>
        </w:tc>
      </w:tr>
      <w:tr>
        <w:trPr>
          <w:trHeight w:val="403" w:hRule="exact"/>
        </w:trPr>
        <w:tc>
          <w:tcPr>
            <w:tcW w:w="2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53,899,096.17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12,558,711.63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6,578,438.99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740" w:right="980"/>
        </w:sectPr>
      </w:pPr>
    </w:p>
    <w:p>
      <w:pPr>
        <w:spacing w:line="240" w:lineRule="auto" w:before="6"/>
        <w:rPr>
          <w:rFonts w:ascii="宋体" w:hAnsi="宋体" w:cs="宋体" w:eastAsia="宋体"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2812"/>
        <w:gridCol w:w="2351"/>
        <w:gridCol w:w="2338"/>
        <w:gridCol w:w="2338"/>
      </w:tblGrid>
      <w:tr>
        <w:trPr>
          <w:trHeight w:val="401" w:hRule="exact"/>
        </w:trPr>
        <w:tc>
          <w:tcPr>
            <w:tcW w:w="2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3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2,573,721.81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2,528,224.16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6,858,832.03</w:t>
            </w:r>
          </w:p>
        </w:tc>
      </w:tr>
      <w:tr>
        <w:trPr>
          <w:trHeight w:val="404" w:hRule="exact"/>
        </w:trPr>
        <w:tc>
          <w:tcPr>
            <w:tcW w:w="2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3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15,598,160.26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14,058,601.42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45,837,610.21</w:t>
            </w:r>
          </w:p>
        </w:tc>
      </w:tr>
      <w:tr>
        <w:trPr>
          <w:trHeight w:val="401" w:hRule="exact"/>
        </w:trPr>
        <w:tc>
          <w:tcPr>
            <w:tcW w:w="2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3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120,270.75</w:t>
            </w:r>
          </w:p>
        </w:tc>
        <w:tc>
          <w:tcPr>
            <w:tcW w:w="233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39,453,910.02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17,539,784.87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10,690,351.19</w:t>
            </w:r>
          </w:p>
        </w:tc>
      </w:tr>
      <w:tr>
        <w:trPr>
          <w:trHeight w:val="401" w:hRule="exact"/>
        </w:trPr>
        <w:tc>
          <w:tcPr>
            <w:tcW w:w="2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3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280,409,942.37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143,175,959.95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185,390,181.63</w:t>
            </w:r>
          </w:p>
        </w:tc>
      </w:tr>
      <w:tr>
        <w:trPr>
          <w:trHeight w:val="403" w:hRule="exact"/>
        </w:trPr>
        <w:tc>
          <w:tcPr>
            <w:tcW w:w="2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3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40,452,254.45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43,548,591.89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17,837,604.21</w:t>
            </w:r>
          </w:p>
        </w:tc>
      </w:tr>
      <w:tr>
        <w:trPr>
          <w:trHeight w:val="403" w:hRule="exact"/>
        </w:trPr>
        <w:tc>
          <w:tcPr>
            <w:tcW w:w="2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3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43,443,000.00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40,918,419.00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39,676,419.00</w:t>
            </w:r>
          </w:p>
        </w:tc>
      </w:tr>
      <w:tr>
        <w:trPr>
          <w:trHeight w:val="401" w:hRule="exact"/>
        </w:trPr>
        <w:tc>
          <w:tcPr>
            <w:tcW w:w="2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3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9,712,214.00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6,646,683.07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723,362.17</w:t>
            </w:r>
          </w:p>
        </w:tc>
      </w:tr>
      <w:tr>
        <w:trPr>
          <w:trHeight w:val="403" w:hRule="exact"/>
        </w:trPr>
        <w:tc>
          <w:tcPr>
            <w:tcW w:w="2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3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93,607,468.45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91,113,693.96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58,237,385.38</w:t>
            </w:r>
          </w:p>
        </w:tc>
      </w:tr>
      <w:tr>
        <w:trPr>
          <w:trHeight w:val="401" w:hRule="exact"/>
        </w:trPr>
        <w:tc>
          <w:tcPr>
            <w:tcW w:w="2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3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374,017,410.82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234,289,653.91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243,627,567.01</w:t>
            </w:r>
          </w:p>
        </w:tc>
      </w:tr>
      <w:tr>
        <w:trPr>
          <w:trHeight w:val="403" w:hRule="exact"/>
        </w:trPr>
        <w:tc>
          <w:tcPr>
            <w:tcW w:w="2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3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3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585,531,765.00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761,191,294.00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761,191,294.00</w:t>
            </w:r>
          </w:p>
        </w:tc>
      </w:tr>
      <w:tr>
        <w:trPr>
          <w:trHeight w:val="403" w:hRule="exact"/>
        </w:trPr>
        <w:tc>
          <w:tcPr>
            <w:tcW w:w="2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3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202,615,272.28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28,651,129.28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29,679,547.28</w:t>
            </w:r>
          </w:p>
        </w:tc>
      </w:tr>
      <w:tr>
        <w:trPr>
          <w:trHeight w:val="401" w:hRule="exact"/>
        </w:trPr>
        <w:tc>
          <w:tcPr>
            <w:tcW w:w="2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3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12,571,129.61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17,543,598.68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-16,242.10</w:t>
            </w:r>
          </w:p>
        </w:tc>
      </w:tr>
      <w:tr>
        <w:trPr>
          <w:trHeight w:val="403" w:hRule="exact"/>
        </w:trPr>
        <w:tc>
          <w:tcPr>
            <w:tcW w:w="2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3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35,774,450.40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38,360,216.89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41,988,458.22</w:t>
            </w:r>
          </w:p>
        </w:tc>
      </w:tr>
      <w:tr>
        <w:trPr>
          <w:trHeight w:val="401" w:hRule="exact"/>
        </w:trPr>
        <w:tc>
          <w:tcPr>
            <w:tcW w:w="2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3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539,597,421.58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655,538,787.81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776,306,431.94</w:t>
            </w:r>
          </w:p>
        </w:tc>
      </w:tr>
      <w:tr>
        <w:trPr>
          <w:trHeight w:val="403" w:hRule="exact"/>
        </w:trPr>
        <w:tc>
          <w:tcPr>
            <w:tcW w:w="2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3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1,376,090,038.87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1,501,285,026.66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1,609,149,489.34</w:t>
            </w:r>
          </w:p>
        </w:tc>
      </w:tr>
      <w:tr>
        <w:trPr>
          <w:trHeight w:val="401" w:hRule="exact"/>
        </w:trPr>
        <w:tc>
          <w:tcPr>
            <w:tcW w:w="2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3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1,376,090,038.87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1,501,285,026.66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1,609,149,489.34</w:t>
            </w:r>
          </w:p>
        </w:tc>
      </w:tr>
      <w:tr>
        <w:trPr>
          <w:trHeight w:val="404" w:hRule="exact"/>
        </w:trPr>
        <w:tc>
          <w:tcPr>
            <w:tcW w:w="2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3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1,750,107,449.69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1,735,574,680.57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1,852,777,056.35</w:t>
            </w:r>
          </w:p>
        </w:tc>
      </w:tr>
    </w:tbl>
    <w:p>
      <w:pPr>
        <w:spacing w:line="240" w:lineRule="auto" w:before="3"/>
        <w:rPr>
          <w:rFonts w:ascii="宋体" w:hAnsi="宋体" w:cs="宋体" w:eastAsia="宋体" w:hint="default"/>
          <w:sz w:val="19"/>
          <w:szCs w:val="19"/>
        </w:rPr>
      </w:pPr>
    </w:p>
    <w:p>
      <w:pPr>
        <w:pStyle w:val="Heading3"/>
        <w:spacing w:line="240" w:lineRule="auto" w:before="36"/>
        <w:ind w:left="392" w:right="0"/>
        <w:jc w:val="left"/>
        <w:rPr>
          <w:b w:val="0"/>
          <w:bCs w:val="0"/>
        </w:rPr>
      </w:pPr>
      <w:r>
        <w:rPr>
          <w:rFonts w:ascii="Times New Roman" w:hAnsi="Times New Roman" w:cs="Times New Roman" w:eastAsia="Times New Roman" w:hint="default"/>
        </w:rPr>
        <w:t>5</w:t>
      </w:r>
      <w:r>
        <w:rPr/>
        <w:t>、其他</w:t>
      </w:r>
      <w:r>
        <w:rPr>
          <w:b w:val="0"/>
          <w:bCs w:val="0"/>
        </w:rPr>
      </w:r>
    </w:p>
    <w:p>
      <w:pPr>
        <w:spacing w:after="0" w:line="240" w:lineRule="auto"/>
        <w:jc w:val="left"/>
        <w:sectPr>
          <w:pgSz w:w="11910" w:h="16840"/>
          <w:pgMar w:header="745" w:footer="980" w:top="1060" w:bottom="1160" w:left="740" w:right="98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285" w:right="146"/>
        <w:jc w:val="left"/>
        <w:rPr>
          <w:b w:val="0"/>
          <w:bCs w:val="0"/>
        </w:rPr>
      </w:pPr>
      <w:bookmarkStart w:name="_TOC_250000" w:id="12"/>
      <w:r>
        <w:rPr/>
        <w:t>第十二节</w:t>
      </w:r>
      <w:r>
        <w:rPr>
          <w:spacing w:val="-6"/>
        </w:rPr>
        <w:t> </w:t>
      </w:r>
      <w:r>
        <w:rPr/>
        <w:t>备查文件目录</w:t>
      </w:r>
      <w:bookmarkEnd w:id="12"/>
      <w:r>
        <w:rPr>
          <w:b w:val="0"/>
          <w:bCs w:val="0"/>
        </w:rPr>
      </w:r>
    </w:p>
    <w:p>
      <w:pPr>
        <w:spacing w:line="240" w:lineRule="auto" w:before="6"/>
        <w:rPr>
          <w:rFonts w:ascii="宋体" w:hAnsi="宋体" w:cs="宋体" w:eastAsia="宋体" w:hint="default"/>
          <w:b/>
          <w:bCs/>
          <w:sz w:val="42"/>
          <w:szCs w:val="42"/>
        </w:rPr>
      </w:pPr>
    </w:p>
    <w:p>
      <w:pPr>
        <w:pStyle w:val="BodyText"/>
        <w:spacing w:line="240" w:lineRule="auto"/>
        <w:ind w:right="146"/>
        <w:jc w:val="left"/>
      </w:pPr>
      <w:r>
        <w:rPr/>
        <w:t>（一）载有法定代表人、主管会计负责人、会计机构负责人签名并盖章的会计报表。</w:t>
      </w:r>
    </w:p>
    <w:p>
      <w:pPr>
        <w:pStyle w:val="BodyText"/>
        <w:spacing w:line="240" w:lineRule="auto" w:before="76"/>
        <w:ind w:right="146"/>
        <w:jc w:val="left"/>
      </w:pPr>
      <w:r>
        <w:rPr/>
        <w:t>（二）载有会计师事务所盖章、注册会计师签名并盖章的审计报告原件。</w:t>
      </w:r>
    </w:p>
    <w:p>
      <w:pPr>
        <w:pStyle w:val="BodyText"/>
        <w:spacing w:line="240" w:lineRule="auto" w:before="117"/>
        <w:ind w:right="146"/>
        <w:jc w:val="left"/>
      </w:pPr>
      <w:r>
        <w:rPr/>
        <w:t>（三）报告期内在中国证监会指定报纸上公开披露过的所有公司文件的正本及公告的原稿。</w:t>
      </w:r>
    </w:p>
    <w:sectPr>
      <w:pgSz w:w="11910" w:h="16840"/>
      <w:pgMar w:header="745" w:footer="980"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13892pt;width:6.5pt;height:11pt;mso-position-horizontal-relative:page;mso-position-vertical-relative:page;z-index:-75054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7505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7504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87</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33899pt;width:15.7pt;height:11pt;mso-position-horizontal-relative:page;mso-position-vertical-relative:page;z-index:-75047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7504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33899pt;width:17.3pt;height:11pt;mso-position-horizontal-relative:page;mso-position-vertical-relative:page;z-index:-7504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7504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070007pt;margin-top:36.265610pt;width:195.75pt;height:11.5pt;mso-position-horizontal-relative:page;mso-position-vertical-relative:page;z-index:-750568" type="#_x0000_t202" filled="false" stroked="false">
          <v:textbox inset="0,0,0,0">
            <w:txbxContent>
              <w:p>
                <w:pPr>
                  <w:pStyle w:val="BodyText"/>
                  <w:spacing w:line="214" w:lineRule="exact"/>
                  <w:ind w:left="20" w:right="0"/>
                  <w:jc w:val="left"/>
                </w:pPr>
                <w:r>
                  <w:rPr/>
                  <w:t>广州御银科技股份有限公司</w:t>
                </w:r>
                <w:r>
                  <w:rPr>
                    <w:spacing w:val="-4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4"/>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3590"/>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ind w:left="513"/>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kingteller.com.cn/" TargetMode="External"/><Relationship Id="rId10" Type="http://schemas.openxmlformats.org/officeDocument/2006/relationships/hyperlink" Target="mailto:zqb@kingteller.com.cn" TargetMode="External"/><Relationship Id="rId11" Type="http://schemas.openxmlformats.org/officeDocument/2006/relationships/hyperlink" Target="http://www.cninfo.com.cn/" TargetMode="External"/><Relationship Id="rId12" Type="http://schemas.openxmlformats.org/officeDocument/2006/relationships/image" Target="media/image2.png"/><Relationship Id="rId13" Type="http://schemas.openxmlformats.org/officeDocument/2006/relationships/hyperlink" Target="http://www.cninfo.com.cn/)%E7%9A%84" TargetMode="External"/><Relationship Id="rId14" Type="http://schemas.openxmlformats.org/officeDocument/2006/relationships/hyperlink" Target="http://www.cninfo.com.cn&#21002;&#30331;&#30340;/" TargetMode="External"/><Relationship Id="rId15" Type="http://schemas.openxmlformats.org/officeDocument/2006/relationships/image" Target="media/image3.jpe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yperlink" Target="http://www.cninfo.com.cn/)%E4%B8%BA%E5%85%AC%E5%8F%B8%E4%BF%A1%E6%81%AF%E6%8A%AB%E9%9C%B2%E7%9A%84%E6%8A%A5%E7%BA%B8%E5%92%8C%E7%BD%91%E7%AB%99" TargetMode="External"/><Relationship Id="rId19" Type="http://schemas.openxmlformats.org/officeDocument/2006/relationships/footer" Target="footer3.xml"/><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footer" Target="footer6.xml"/><Relationship Id="rId23"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广州御银科技股份有限公司</dc:creator>
  <dc:title>广州御银科技股份有限公司2014年年度报告全文</dc:title>
  <dcterms:created xsi:type="dcterms:W3CDTF">2020-05-06T16:14:05Z</dcterms:created>
  <dcterms:modified xsi:type="dcterms:W3CDTF">2020-05-06T16:14:05Z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2015-04-28T00:00:00Z</vt:filetime>
  </property>
  <property fmtid="{D5CDD505-2E9C-101B-9397-08002B2CF9AE}" pid="3" name="Creator">
    <vt:lpwstr>Microsoft® Office Word 2007</vt:lpwstr>
  </property>
  <property fmtid="{D5CDD505-2E9C-101B-9397-08002B2CF9AE}" pid="4" name="LastSaved">
    <vt:filetime>2020-05-06T00:00:00Z</vt:filetime>
  </property>
</Properties>
</file>