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tabs>
          <w:tab w:pos="6043" w:val="left" w:leader="none"/>
        </w:tabs>
        <w:spacing w:before="14"/>
        <w:ind w:left="23" w:right="0" w:firstLine="0"/>
        <w:jc w:val="center"/>
        <w:rPr>
          <w:rFonts w:ascii="宋体" w:hAnsi="宋体" w:cs="宋体" w:eastAsia="宋体" w:hint="default"/>
          <w:sz w:val="28"/>
          <w:szCs w:val="28"/>
        </w:rPr>
      </w:pPr>
      <w:r>
        <w:rPr/>
        <w:pict>
          <v:group style="position:absolute;margin-left:55.200001pt;margin-top:-48.008453pt;width:484.9pt;height:.1pt;mso-position-horizontal-relative:page;mso-position-vertical-relative:paragraph;z-index:0" coordorigin="1104,-960" coordsize="9698,2">
            <v:shape style="position:absolute;left:1104;top:-960;width:9698;height:2" coordorigin="1104,-960" coordsize="9698,0" path="m1104,-960l10802,-960e" filled="false" stroked="true" strokeweight=".72pt" strokecolor="#000000">
              <v:path arrowok="t"/>
            </v:shape>
            <w10:wrap type="none"/>
          </v:group>
        </w:pict>
      </w:r>
      <w:r>
        <w:rPr>
          <w:rFonts w:ascii="宋体" w:hAnsi="宋体" w:cs="宋体" w:eastAsia="宋体" w:hint="default"/>
          <w:spacing w:val="-1"/>
          <w:sz w:val="28"/>
          <w:szCs w:val="28"/>
        </w:rPr>
        <w:t>证券代码：</w:t>
      </w:r>
      <w:r>
        <w:rPr>
          <w:rFonts w:ascii="Times New Roman" w:hAnsi="Times New Roman" w:cs="Times New Roman" w:eastAsia="Times New Roman" w:hint="default"/>
          <w:spacing w:val="-1"/>
          <w:sz w:val="28"/>
          <w:szCs w:val="28"/>
        </w:rPr>
        <w:t>002177</w:t>
        <w:tab/>
      </w:r>
      <w:r>
        <w:rPr>
          <w:rFonts w:ascii="宋体" w:hAnsi="宋体" w:cs="宋体" w:eastAsia="宋体" w:hint="default"/>
          <w:spacing w:val="-1"/>
          <w:sz w:val="28"/>
          <w:szCs w:val="28"/>
        </w:rPr>
        <w:t>证券简称：御银股份</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3"/>
          <w:szCs w:val="33"/>
        </w:rPr>
      </w:pPr>
    </w:p>
    <w:p>
      <w:pPr>
        <w:spacing w:before="0"/>
        <w:ind w:left="23" w:right="24" w:firstLine="0"/>
        <w:jc w:val="center"/>
        <w:rPr>
          <w:rFonts w:ascii="宋体" w:hAnsi="宋体" w:cs="宋体" w:eastAsia="宋体" w:hint="default"/>
          <w:sz w:val="52"/>
          <w:szCs w:val="52"/>
        </w:rPr>
      </w:pPr>
      <w:r>
        <w:rPr>
          <w:rFonts w:ascii="宋体" w:hAnsi="宋体" w:cs="宋体" w:eastAsia="宋体" w:hint="default"/>
          <w:b/>
          <w:bCs/>
          <w:sz w:val="52"/>
          <w:szCs w:val="52"/>
        </w:rPr>
        <w:t>广州御银科技股份有限公司</w:t>
      </w:r>
      <w:r>
        <w:rPr>
          <w:rFonts w:ascii="宋体" w:hAnsi="宋体" w:cs="宋体" w:eastAsia="宋体" w:hint="default"/>
          <w:sz w:val="52"/>
          <w:szCs w:val="52"/>
        </w:rPr>
      </w:r>
    </w:p>
    <w:p>
      <w:pPr>
        <w:spacing w:before="395"/>
        <w:ind w:left="23" w:right="24"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2015</w:t>
      </w:r>
      <w:r>
        <w:rPr>
          <w:rFonts w:ascii="Times New Roman" w:hAnsi="Times New Roman" w:cs="Times New Roman" w:eastAsia="Times New Roman" w:hint="default"/>
          <w:b/>
          <w:bCs/>
          <w:spacing w:val="-1"/>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p>
      <w:pPr>
        <w:spacing w:line="1644" w:lineRule="exact"/>
        <w:ind w:left="3645"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1685597" cy="104413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85597" cy="1044130"/>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7"/>
          <w:szCs w:val="27"/>
        </w:rPr>
      </w:pPr>
    </w:p>
    <w:p>
      <w:pPr>
        <w:pStyle w:val="Heading1"/>
        <w:spacing w:line="240" w:lineRule="auto"/>
        <w:ind w:left="0" w:right="0"/>
        <w:jc w:val="center"/>
        <w:rPr>
          <w:b w:val="0"/>
          <w:bCs w:val="0"/>
        </w:rPr>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81"/>
        </w:rPr>
        <w:t> </w:t>
      </w:r>
      <w:r>
        <w:rPr>
          <w:rFonts w:ascii="Times New Roman" w:hAnsi="Times New Roman" w:cs="Times New Roman" w:eastAsia="Times New Roman" w:hint="default"/>
        </w:rPr>
        <w:t>04</w:t>
      </w:r>
      <w:r>
        <w:rPr>
          <w:rFonts w:ascii="Times New Roman" w:hAnsi="Times New Roman" w:cs="Times New Roman" w:eastAsia="Times New Roman" w:hint="default"/>
          <w:spacing w:val="-1"/>
        </w:rPr>
        <w:t> </w:t>
      </w:r>
      <w:r>
        <w:rPr/>
        <w:t>月</w:t>
      </w:r>
      <w:r>
        <w:rPr>
          <w:b w:val="0"/>
          <w:bCs w:val="0"/>
        </w:rPr>
      </w:r>
    </w:p>
    <w:p>
      <w:pPr>
        <w:spacing w:after="0" w:line="240" w:lineRule="auto"/>
        <w:jc w:val="center"/>
        <w:sectPr>
          <w:headerReference w:type="default" r:id="rId5"/>
          <w:footerReference w:type="default" r:id="rId6"/>
          <w:type w:val="continuous"/>
          <w:pgSz w:w="11910" w:h="16840"/>
          <w:pgMar w:header="786" w:footer="1021" w:top="1100" w:bottom="122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Heading1"/>
        <w:spacing w:line="240" w:lineRule="auto"/>
        <w:ind w:left="2803" w:right="153"/>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2"/>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公司负责人杨文江、主管会计工作负责人陈国军及会计机构负责人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陈国军声明：保证年度报告中财务报告的真实、准确、完整。</w:t>
      </w:r>
      <w:r>
        <w:rPr>
          <w:rFonts w:ascii="宋体" w:hAnsi="宋体" w:cs="宋体" w:eastAsia="宋体" w:hint="default"/>
          <w:sz w:val="28"/>
          <w:szCs w:val="28"/>
        </w:rPr>
      </w:r>
    </w:p>
    <w:p>
      <w:pPr>
        <w:spacing w:line="472" w:lineRule="auto" w:before="148"/>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年度报告涉及未来计划等前瞻性陈述，只是公司生产经营计划的预测，不</w:t>
      </w:r>
      <w:r>
        <w:rPr>
          <w:rFonts w:ascii="宋体" w:hAnsi="宋体" w:cs="宋体" w:eastAsia="宋体" w:hint="default"/>
          <w:spacing w:val="2"/>
          <w:sz w:val="28"/>
          <w:szCs w:val="28"/>
        </w:rPr>
      </w:r>
    </w:p>
    <w:p>
      <w:pPr>
        <w:spacing w:line="408" w:lineRule="auto" w:before="0"/>
        <w:ind w:left="152" w:right="149" w:firstLine="0"/>
        <w:jc w:val="left"/>
        <w:rPr>
          <w:rFonts w:ascii="宋体" w:hAnsi="宋体" w:cs="宋体" w:eastAsia="宋体" w:hint="default"/>
          <w:sz w:val="28"/>
          <w:szCs w:val="28"/>
        </w:rPr>
      </w:pPr>
      <w:r>
        <w:rPr>
          <w:rFonts w:ascii="宋体" w:hAnsi="宋体" w:cs="宋体" w:eastAsia="宋体" w:hint="default"/>
          <w:b/>
          <w:bCs/>
          <w:spacing w:val="2"/>
          <w:sz w:val="28"/>
          <w:szCs w:val="28"/>
        </w:rPr>
        <w:t>构成公司对投资者的实质性承诺，投资者及相关人士均应当对此保持足够的风</w:t>
      </w:r>
      <w:r>
        <w:rPr>
          <w:rFonts w:ascii="宋体" w:hAnsi="宋体" w:cs="宋体" w:eastAsia="宋体" w:hint="default"/>
          <w:b/>
          <w:bCs/>
          <w:w w:val="99"/>
          <w:sz w:val="28"/>
          <w:szCs w:val="28"/>
        </w:rPr>
        <w:t> </w:t>
      </w:r>
      <w:r>
        <w:rPr>
          <w:rFonts w:ascii="宋体" w:hAnsi="宋体" w:cs="宋体" w:eastAsia="宋体" w:hint="default"/>
          <w:b/>
          <w:bCs/>
          <w:sz w:val="28"/>
          <w:szCs w:val="28"/>
        </w:rPr>
        <w:t>险意识，并且应当理解计划、预测与承诺之间的差异。</w:t>
      </w:r>
      <w:r>
        <w:rPr>
          <w:rFonts w:ascii="宋体" w:hAnsi="宋体" w:cs="宋体" w:eastAsia="宋体" w:hint="default"/>
          <w:sz w:val="28"/>
          <w:szCs w:val="28"/>
        </w:rPr>
      </w:r>
    </w:p>
    <w:p>
      <w:pPr>
        <w:spacing w:before="162"/>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021" w:header="786" w:top="1100" w:bottom="122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第一节</w:t>
            </w:r>
            <w:r>
              <w:rPr>
                <w:spacing w:val="-18"/>
              </w:rPr>
              <w:t> </w:t>
            </w:r>
            <w:r>
              <w:rPr/>
              <w:t>重要提示、目录和释义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9783" w:val="right" w:leader="dot"/>
            </w:tabs>
            <w:spacing w:line="240" w:lineRule="auto" w:before="159"/>
            <w:ind w:right="0"/>
            <w:jc w:val="left"/>
            <w:rPr>
              <w:rFonts w:ascii="Times New Roman" w:hAnsi="Times New Roman" w:cs="Times New Roman" w:eastAsia="Times New Roman" w:hint="default"/>
              <w:b w:val="0"/>
              <w:bCs w:val="0"/>
            </w:rPr>
          </w:pPr>
          <w:hyperlink w:history="true" w:anchor="_TOC_250009">
            <w:r>
              <w:rPr/>
              <w:t>第二节</w:t>
            </w:r>
            <w:r>
              <w:rPr>
                <w:spacing w:val="-18"/>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8">
            <w:r>
              <w:rPr/>
              <w:t>第三节</w:t>
            </w:r>
            <w:r>
              <w:rPr>
                <w:spacing w:val="-18"/>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2"/>
            <w:tabs>
              <w:tab w:pos="9783" w:val="right" w:leader="dot"/>
            </w:tabs>
            <w:spacing w:line="240" w:lineRule="auto" w:before="178"/>
            <w:ind w:right="0"/>
            <w:jc w:val="left"/>
            <w:rPr>
              <w:rFonts w:ascii="Times New Roman" w:hAnsi="Times New Roman" w:cs="Times New Roman" w:eastAsia="Times New Roman" w:hint="default"/>
              <w:b w:val="0"/>
              <w:bCs w:val="0"/>
            </w:rPr>
          </w:pPr>
          <w:hyperlink w:history="true" w:anchor="_TOC_250007">
            <w:r>
              <w:rPr/>
              <w:t>第四节</w:t>
            </w:r>
            <w:r>
              <w:rPr>
                <w:spacing w:val="-17"/>
              </w:rPr>
              <w:t> </w:t>
            </w:r>
            <w:r>
              <w:rPr/>
              <w:t>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6"/>
              </w:rPr>
              <w:t>11</w:t>
            </w:r>
            <w:r>
              <w:rPr>
                <w:rFonts w:ascii="Times New Roman" w:hAnsi="Times New Roman" w:cs="Times New Roman" w:eastAsia="Times New Roman" w:hint="default"/>
                <w:b w:val="0"/>
                <w:bCs w:val="0"/>
                <w:spacing w:val="-6"/>
              </w:rPr>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7"/>
              </w:rPr>
              <w:t> </w:t>
            </w:r>
            <w:r>
              <w:rPr/>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7"/>
              </w:rPr>
              <w:t> </w:t>
            </w:r>
            <w:r>
              <w:rPr/>
              <w:t>股份变动及股东情况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7"/>
              </w:rPr>
              <w:t> </w:t>
            </w:r>
            <w:r>
              <w:rPr/>
              <w:t>优先股相关情况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7"/>
              </w:rPr>
              <w:t> </w:t>
            </w:r>
            <w:r>
              <w:rPr/>
              <w:t>董事、监事、高级管理人员和员工情况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7"/>
              </w:rPr>
              <w:t> </w:t>
            </w:r>
            <w:r>
              <w:rPr/>
              <w:t>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2"/>
            <w:tabs>
              <w:tab w:pos="9783" w:val="right" w:leader="dot"/>
            </w:tabs>
            <w:spacing w:line="240" w:lineRule="auto" w:before="188"/>
            <w:ind w:right="0"/>
            <w:jc w:val="left"/>
            <w:rPr>
              <w:rFonts w:ascii="Times New Roman" w:hAnsi="Times New Roman" w:cs="Times New Roman" w:eastAsia="Times New Roman" w:hint="default"/>
              <w:b w:val="0"/>
              <w:bCs w:val="0"/>
            </w:rPr>
          </w:pPr>
          <w:hyperlink w:history="true" w:anchor="_TOC_250001">
            <w:r>
              <w:rPr/>
              <w:t>第十节</w:t>
            </w:r>
            <w:r>
              <w:rPr>
                <w:spacing w:val="-17"/>
              </w:rPr>
              <w:t> </w:t>
            </w:r>
            <w:r>
              <w:rPr/>
              <w:t>财务报告</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17"/>
              </w:rPr>
              <w:t> </w:t>
            </w:r>
            <w:r>
              <w:rPr/>
              <w:t>备查文件目录</w:t>
            </w:r>
            <w:r>
              <w:rPr>
                <w:rFonts w:ascii="Times New Roman" w:hAnsi="Times New Roman" w:cs="Times New Roman" w:eastAsia="Times New Roman" w:hint="default"/>
              </w:rPr>
              <w:tab/>
              <w:t>138</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86" w:footer="1021" w:top="1100" w:bottom="1220" w:left="980" w:right="980"/>
        </w:sectPr>
      </w:pPr>
    </w:p>
    <w:p>
      <w:pPr>
        <w:pStyle w:val="Heading1"/>
        <w:spacing w:line="240" w:lineRule="auto" w:before="904"/>
        <w:ind w:left="0" w:right="0"/>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御银有限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广州御银科技有限公司，公司改组为股份有限公司前的主体</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中华人民共和国法定货币人民币元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广州御新软件有限公司，公司下属全资子公司，持有其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自动柜员机技术</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广州御银自动柜员机技术有限公司，公司下属全资子公司，通过广州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御新持有其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92"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安徽御银</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60"/>
              <w:jc w:val="left"/>
              <w:rPr>
                <w:rFonts w:ascii="宋体" w:hAnsi="宋体" w:cs="宋体" w:eastAsia="宋体" w:hint="default"/>
                <w:sz w:val="18"/>
                <w:szCs w:val="18"/>
              </w:rPr>
            </w:pPr>
            <w:r>
              <w:rPr>
                <w:rFonts w:ascii="宋体" w:hAnsi="宋体" w:cs="宋体" w:eastAsia="宋体" w:hint="default"/>
                <w:sz w:val="18"/>
                <w:szCs w:val="18"/>
              </w:rPr>
              <w:t>安徽御银电子科技有限公司，公司下属全资子公司，持有其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御银金融</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广州御银金融服务有限公司，公司下属全资子公司，直接持有其</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80%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股权，通过广州御新持有其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股权，公司合共持有其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御银国际</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御银（中国）科技国际有限公司，公司下属全资子公司，持有其</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股权</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自动柜员机科技</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广州御银自动柜员机科技有限公司，公司下属全资子公司，持有其</w:t>
            </w:r>
          </w:p>
          <w:p>
            <w:pPr>
              <w:pStyle w:val="TableParagraph"/>
              <w:spacing w:line="240" w:lineRule="auto" w:before="76"/>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御银香港</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御银科技（香港）有限公司，公司下属全资子公司，通过御银国际持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青年御银</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北京青年御银科技有限责任公司，公司下属全资子公司，持有其</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股权</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上海博科</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上海博科资讯股份有限公司，参股公司，通过广州御新持有其</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1.55%</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股权</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花都村镇银行</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广州花都稠州村镇银行股份有限公司，参股公司，持有其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股权</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御银信息</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60"/>
              <w:jc w:val="left"/>
              <w:rPr>
                <w:rFonts w:ascii="宋体" w:hAnsi="宋体" w:cs="宋体" w:eastAsia="宋体" w:hint="default"/>
                <w:sz w:val="18"/>
                <w:szCs w:val="18"/>
              </w:rPr>
            </w:pPr>
            <w:r>
              <w:rPr>
                <w:rFonts w:ascii="宋体" w:hAnsi="宋体" w:cs="宋体" w:eastAsia="宋体" w:hint="default"/>
                <w:sz w:val="18"/>
                <w:szCs w:val="18"/>
              </w:rPr>
              <w:t>广州御银信息科技有限公司，公司下属全资子公司，持有其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前海股权交易中心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海股权交易中心（深圳）有限公司，参股公司，持有其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7.64%</w:t>
            </w:r>
            <w:r>
              <w:rPr>
                <w:rFonts w:ascii="宋体" w:hAnsi="宋体" w:cs="宋体" w:eastAsia="宋体" w:hint="default"/>
                <w:sz w:val="18"/>
                <w:szCs w:val="18"/>
              </w:rPr>
              <w:t>股权</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佛山海晟金融租赁股份有限公司</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佛山海晟金融租赁股份有限公司，原暂定名为南海金融租赁股份有限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公司，目前相关设立手续正在审核中。</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86" w:footer="1021" w:top="1100" w:bottom="122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1"/>
        <w:spacing w:line="240" w:lineRule="auto"/>
        <w:ind w:left="2642" w:right="153"/>
        <w:jc w:val="left"/>
        <w:rPr>
          <w:b w:val="0"/>
          <w:bCs w:val="0"/>
        </w:rPr>
      </w:pPr>
      <w:bookmarkStart w:name="_TOC_250009"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御银股份</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002177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御银股份</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Guangzhou Kingteller Technology</w:t>
            </w:r>
            <w:r>
              <w:rPr>
                <w:rFonts w:ascii="Times New Roman"/>
                <w:spacing w:val="-27"/>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46"/>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KINGTELLER</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杨文江</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广州市天河区五山路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246</w:t>
            </w:r>
            <w:r>
              <w:rPr>
                <w:rFonts w:ascii="宋体" w:hAnsi="宋体" w:cs="宋体" w:eastAsia="宋体" w:hint="default"/>
                <w:sz w:val="18"/>
                <w:szCs w:val="18"/>
              </w:rPr>
              <w:t>、</w:t>
            </w:r>
            <w:r>
              <w:rPr>
                <w:rFonts w:ascii="Times New Roman" w:hAnsi="Times New Roman" w:cs="Times New Roman" w:eastAsia="Times New Roman" w:hint="default"/>
                <w:sz w:val="18"/>
                <w:szCs w:val="18"/>
              </w:rPr>
              <w:t>248</w:t>
            </w:r>
            <w:r>
              <w:rPr>
                <w:rFonts w:ascii="宋体" w:hAnsi="宋体" w:cs="宋体" w:eastAsia="宋体" w:hint="default"/>
                <w:sz w:val="18"/>
                <w:szCs w:val="18"/>
              </w:rPr>
              <w:t>、</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房自编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宋体" w:hAnsi="宋体" w:cs="宋体" w:eastAsia="宋体" w:hint="default"/>
                <w:sz w:val="18"/>
                <w:szCs w:val="18"/>
              </w:rPr>
              <w:t>、</w:t>
            </w:r>
            <w:r>
              <w:rPr>
                <w:rFonts w:ascii="Times New Roman" w:hAnsi="Times New Roman" w:cs="Times New Roman" w:eastAsia="Times New Roman" w:hint="default"/>
                <w:sz w:val="18"/>
                <w:szCs w:val="18"/>
              </w:rPr>
              <w:t>05</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510640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广东省广州市萝岗区瑞发路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510530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http://www.kingteller.com.cn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zqb@kingteller.com.cn</w:t>
              </w:r>
            </w:hyperlink>
          </w:p>
        </w:tc>
      </w:tr>
    </w:tbl>
    <w:p>
      <w:pPr>
        <w:spacing w:line="240" w:lineRule="auto" w:before="1"/>
        <w:rPr>
          <w:rFonts w:ascii="宋体" w:hAnsi="宋体" w:cs="宋体" w:eastAsia="宋体" w:hint="default"/>
          <w:b/>
          <w:bCs/>
          <w:sz w:val="18"/>
          <w:szCs w:val="18"/>
        </w:rPr>
      </w:pPr>
    </w:p>
    <w:p>
      <w:pPr>
        <w:spacing w:before="26"/>
        <w:ind w:left="152" w:right="153"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余咏芳</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广东省广州市萝岗区瑞发路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广东省广州市萝岗区瑞发路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020-29087848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020-29087848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020-29087850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020-29087850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zqb@kingteller.com.cn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zqb@kingteller.com.cn</w:t>
              </w:r>
            </w:hyperlink>
          </w:p>
        </w:tc>
      </w:tr>
    </w:tbl>
    <w:p>
      <w:pPr>
        <w:spacing w:line="240" w:lineRule="auto" w:before="1"/>
        <w:rPr>
          <w:rFonts w:ascii="宋体" w:hAnsi="宋体" w:cs="宋体" w:eastAsia="宋体" w:hint="default"/>
          <w:b/>
          <w:bCs/>
          <w:sz w:val="18"/>
          <w:szCs w:val="18"/>
        </w:rPr>
      </w:pPr>
    </w:p>
    <w:p>
      <w:pPr>
        <w:spacing w:before="26"/>
        <w:ind w:left="152" w:right="153"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http://</w:t>
            </w:r>
            <w:r>
              <w:rPr>
                <w:rFonts w:ascii="Times New Roman"/>
                <w:spacing w:val="-24"/>
                <w:sz w:val="18"/>
              </w:rPr>
              <w:t> </w:t>
            </w:r>
            <w:hyperlink r:id="rId11">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86" w:footer="1021" w:top="1100" w:bottom="1220" w:left="980" w:right="980"/>
        </w:sectPr>
      </w:pPr>
    </w:p>
    <w:p>
      <w:pPr>
        <w:spacing w:line="240" w:lineRule="auto" w:before="6"/>
        <w:rPr>
          <w:rFonts w:ascii="宋体" w:hAnsi="宋体" w:cs="宋体" w:eastAsia="宋体" w:hint="default"/>
          <w:b/>
          <w:bCs/>
          <w:sz w:val="20"/>
          <w:szCs w:val="20"/>
        </w:rPr>
      </w:pPr>
    </w:p>
    <w:p>
      <w:pPr>
        <w:spacing w:before="26"/>
        <w:ind w:left="152" w:right="153"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45"/>
        <w:gridCol w:w="6025"/>
      </w:tblGrid>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72680151-X</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spacing w:before="26"/>
        <w:ind w:left="152" w:right="153"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张锦坤、关敏洁</w:t>
            </w:r>
          </w:p>
        </w:tc>
      </w:tr>
    </w:tbl>
    <w:p>
      <w:pPr>
        <w:pStyle w:val="BodyText"/>
        <w:spacing w:line="240" w:lineRule="auto" w:before="49"/>
        <w:ind w:right="153"/>
        <w:jc w:val="left"/>
      </w:pPr>
      <w:r>
        <w:rPr/>
        <w:t>公司聘请的报告期内履行持续督导职责的保荐机构</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公司是否因会计政策变更及会计差错更正等追溯调整或重述以前年度会计数据</w:t>
      </w:r>
    </w:p>
    <w:p>
      <w:pPr>
        <w:pStyle w:val="BodyText"/>
        <w:spacing w:line="240" w:lineRule="auto" w:before="117"/>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17"/>
        <w:gridCol w:w="1588"/>
        <w:gridCol w:w="1740"/>
        <w:gridCol w:w="1837"/>
        <w:gridCol w:w="1488"/>
      </w:tblGrid>
      <w:tr>
        <w:trPr>
          <w:trHeight w:val="401"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1,097,003,512.37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971,711,483.42</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848,671,277.67</w:t>
            </w:r>
          </w:p>
        </w:tc>
      </w:tr>
      <w:tr>
        <w:trPr>
          <w:trHeight w:val="401"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69,446,758.01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132,007,798.40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124,382,450.37</w:t>
            </w:r>
          </w:p>
        </w:tc>
      </w:tr>
      <w:tr>
        <w:trPr>
          <w:trHeight w:val="715"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75,259,550.21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113,538,055.88</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131,213,366.07</w:t>
            </w:r>
          </w:p>
        </w:tc>
      </w:tr>
      <w:tr>
        <w:trPr>
          <w:trHeight w:val="401"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300,436,609.48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176,427,114.06</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70.29%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99,602,177.50</w:t>
            </w:r>
          </w:p>
        </w:tc>
      </w:tr>
      <w:tr>
        <w:trPr>
          <w:trHeight w:val="403"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-47.06%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1"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-47.06%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3"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w:t>
            </w:r>
          </w:p>
        </w:tc>
      </w:tr>
      <w:tr>
        <w:trPr>
          <w:trHeight w:val="401"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4"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2,312,826,510.80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1,852,777,056.35</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24.83%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1,735,574,680.57</w:t>
            </w:r>
          </w:p>
        </w:tc>
      </w:tr>
      <w:tr>
        <w:trPr>
          <w:trHeight w:val="401"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1,653,524,381.45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1,609,149,489.34</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1,501,285,026.66</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021" w:top="1100" w:bottom="1220" w:left="980" w:right="980"/>
        </w:sectPr>
      </w:pPr>
    </w:p>
    <w:p>
      <w:pPr>
        <w:spacing w:line="240" w:lineRule="auto" w:before="8"/>
        <w:rPr>
          <w:rFonts w:ascii="宋体" w:hAnsi="宋体" w:cs="宋体" w:eastAsia="宋体" w:hint="default"/>
          <w:sz w:val="22"/>
          <w:szCs w:val="22"/>
        </w:rPr>
      </w:pPr>
    </w:p>
    <w:p>
      <w:pPr>
        <w:pStyle w:val="BodyText"/>
        <w:spacing w:line="240" w:lineRule="auto" w:before="44"/>
        <w:ind w:right="153"/>
        <w:jc w:val="left"/>
      </w:pPr>
      <w:r>
        <w:rPr/>
        <w:t>公司报告期不存在按照国际会计准则与按照中国会计准则披露的财务报告中净利润和净资产差异情况。</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1374"/>
        <w:gridCol w:w="1366"/>
        <w:gridCol w:w="1364"/>
        <w:gridCol w:w="1366"/>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253,695,357.61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264,104,333.53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294,738,057.07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284,465,764.16</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3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33,297,687.26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21,798,778.35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6,213,891.22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8,136,401.18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13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33,611,405.61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23,639,159.63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10,050,087.00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7,958,897.97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-90,357,434.21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-70,220,755.88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3,650,116.51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457,364,683.06</w:t>
            </w:r>
          </w:p>
        </w:tc>
      </w:tr>
    </w:tbl>
    <w:p>
      <w:pPr>
        <w:pStyle w:val="BodyText"/>
        <w:spacing w:line="240" w:lineRule="auto" w:before="49"/>
        <w:ind w:right="153"/>
        <w:jc w:val="left"/>
      </w:pPr>
      <w:r>
        <w:rPr/>
        <w:t>上述财务指标或其加总数是否与公司已披露季度报告、半年度报告相关财务指标存在重大差异</w:t>
      </w:r>
    </w:p>
    <w:p>
      <w:pPr>
        <w:pStyle w:val="BodyText"/>
        <w:spacing w:line="240" w:lineRule="auto" w:before="115"/>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97"/>
        <w:gridCol w:w="211"/>
        <w:gridCol w:w="1171"/>
        <w:gridCol w:w="1371"/>
        <w:gridCol w:w="1370"/>
        <w:gridCol w:w="638"/>
      </w:tblGrid>
      <w:tr>
        <w:trPr>
          <w:trHeight w:val="404"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21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-4,533,606.53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-7,174,193.44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-14,806,303.76</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3"/>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 统一标准定额或定量享受的政府补助除外）</w:t>
            </w:r>
          </w:p>
        </w:tc>
        <w:tc>
          <w:tcPr>
            <w:tcW w:w="1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1,854,600.00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1,446,000.00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1,954,600.00</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 易性金融资产、交易性金融负债产生的公允价值变动损益， 以及处置交易性金融资产、交易性金融负债和可供出售金融 资产取得的投资收益</w:t>
            </w:r>
          </w:p>
        </w:tc>
        <w:tc>
          <w:tcPr>
            <w:tcW w:w="1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-1,326,180.55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30,174,200.82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16,870,528.70</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sz w:val="18"/>
              </w:rPr>
              <w:t>-2,850,336.28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-2,674,991.88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-11,981,314.41</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sz w:val="18"/>
              </w:rPr>
              <w:t>-1,042,731.16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3,301,272.98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-1,131,573.77</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sz w:val="18"/>
              </w:rPr>
              <w:t>-5,812,792.20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18,469,742.52</w:t>
            </w:r>
          </w:p>
        </w:tc>
        <w:tc>
          <w:tcPr>
            <w:tcW w:w="13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-6,830,915.70</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86" w:footer="1021" w:top="110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right="3470"/>
        <w:jc w:val="center"/>
        <w:rPr>
          <w:b w:val="0"/>
          <w:bCs w:val="0"/>
        </w:rPr>
      </w:pPr>
      <w:bookmarkStart w:name="_TOC_250008"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4"/>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94" w:firstLine="360"/>
        <w:jc w:val="left"/>
      </w:pPr>
      <w:r>
        <w:rPr>
          <w:rFonts w:ascii="Times New Roman" w:hAnsi="Times New Roman" w:cs="Times New Roman" w:eastAsia="Times New Roman" w:hint="default"/>
          <w:spacing w:val="-2"/>
        </w:rPr>
        <w:t>2015</w:t>
      </w:r>
      <w:r>
        <w:rPr>
          <w:spacing w:val="-2"/>
        </w:rPr>
        <w:t>年，中国经济受增速放缓，随着经济增长方式转变和经济结构调整，银行业的发展面临着重要的机遇和挑战。面对</w:t>
      </w:r>
      <w:r>
        <w:rPr/>
        <w:t> </w:t>
      </w:r>
      <w:r>
        <w:rPr>
          <w:spacing w:val="-2"/>
        </w:rPr>
        <w:t>严峻的市场状况，御银股份抓住机遇，致力于打造新的更快捷、更智慧、更专业的自助设备协助推动银行转型。公司专注金</w:t>
      </w:r>
      <w:r>
        <w:rPr>
          <w:spacing w:val="-67"/>
        </w:rPr>
        <w:t> </w:t>
      </w:r>
      <w:r>
        <w:rPr>
          <w:spacing w:val="-67"/>
        </w:rPr>
      </w:r>
      <w:r>
        <w:rPr>
          <w:spacing w:val="-2"/>
        </w:rPr>
        <w:t>融设备整体解决服务商十余年，是国内较领先运用生物识别技术于金融自助设备中的高端服务商，创新性的打造智慧银行等</w:t>
      </w:r>
      <w:r>
        <w:rPr>
          <w:spacing w:val="-64"/>
        </w:rPr>
        <w:t> </w:t>
      </w:r>
      <w:r>
        <w:rPr>
          <w:spacing w:val="-64"/>
        </w:rPr>
      </w:r>
      <w:r>
        <w:rPr/>
        <w:t>更加适应市场的高科技产品。凭借强大的科研能力，产品服务、中高端市场准入、产业链协同配套和品牌等核心竞争优势， 内生增长与外延整合双轨式发展，已享有一定的声誉和市场占有率。</w:t>
      </w:r>
    </w:p>
    <w:p>
      <w:pPr>
        <w:pStyle w:val="BodyText"/>
        <w:spacing w:line="240" w:lineRule="auto" w:before="20"/>
        <w:ind w:left="513" w:right="94"/>
        <w:jc w:val="left"/>
      </w:pPr>
      <w:r>
        <w:rPr/>
        <w:t>御银股份的主要产品为</w:t>
      </w:r>
      <w:r>
        <w:rPr>
          <w:rFonts w:ascii="Times New Roman" w:hAnsi="Times New Roman" w:cs="Times New Roman" w:eastAsia="Times New Roman" w:hint="default"/>
        </w:rPr>
        <w:t>ATM</w:t>
      </w:r>
      <w:r>
        <w:rPr/>
        <w:t>自助设备，主要是提供给银行类金融机构用于为其客户提供自助式金融服务，主营业务由</w:t>
      </w:r>
    </w:p>
    <w:p>
      <w:pPr>
        <w:pStyle w:val="BodyText"/>
        <w:spacing w:line="300" w:lineRule="auto" w:before="63"/>
        <w:ind w:left="513" w:right="94" w:hanging="361"/>
        <w:jc w:val="left"/>
      </w:pPr>
      <w:r>
        <w:rPr>
          <w:rFonts w:ascii="Times New Roman" w:hAnsi="Times New Roman" w:cs="Times New Roman" w:eastAsia="Times New Roman" w:hint="default"/>
        </w:rPr>
        <w:t>ATM</w:t>
      </w:r>
      <w:r>
        <w:rPr/>
        <w:t>产品销售和</w:t>
      </w:r>
      <w:r>
        <w:rPr>
          <w:rFonts w:ascii="Times New Roman" w:hAnsi="Times New Roman" w:cs="Times New Roman" w:eastAsia="Times New Roman" w:hint="default"/>
        </w:rPr>
        <w:t>ATM</w:t>
      </w:r>
      <w:r>
        <w:rPr/>
        <w:t>运营服务两部分组成： </w:t>
      </w:r>
      <w:r>
        <w:rPr>
          <w:rFonts w:ascii="Times New Roman" w:hAnsi="Times New Roman" w:cs="Times New Roman" w:eastAsia="Times New Roman" w:hint="default"/>
          <w:spacing w:val="-2"/>
        </w:rPr>
        <w:t>1</w:t>
      </w:r>
      <w:r>
        <w:rPr>
          <w:spacing w:val="-2"/>
        </w:rPr>
        <w:t>、金融自助设备及相关系统软件的研发、制造、销售，公司主要产品为</w:t>
      </w:r>
      <w:r>
        <w:rPr>
          <w:rFonts w:ascii="Times New Roman" w:hAnsi="Times New Roman" w:cs="Times New Roman" w:eastAsia="Times New Roman" w:hint="default"/>
          <w:spacing w:val="-2"/>
        </w:rPr>
        <w:t>KingTeller</w:t>
      </w:r>
      <w:r>
        <w:rPr>
          <w:spacing w:val="-2"/>
        </w:rPr>
        <w:t>系列金融自助设备，包括但不限于单</w:t>
      </w:r>
    </w:p>
    <w:p>
      <w:pPr>
        <w:pStyle w:val="BodyText"/>
        <w:spacing w:line="240" w:lineRule="auto" w:before="13"/>
        <w:ind w:right="94"/>
        <w:jc w:val="left"/>
      </w:pPr>
      <w:r>
        <w:rPr/>
        <w:t>取款、存取款一体机、</w:t>
      </w:r>
      <w:r>
        <w:rPr>
          <w:rFonts w:ascii="Times New Roman" w:hAnsi="Times New Roman" w:cs="Times New Roman" w:eastAsia="Times New Roman" w:hint="default"/>
        </w:rPr>
        <w:t>VTM</w:t>
      </w:r>
      <w:r>
        <w:rPr/>
        <w:t>、高速大容量存款机、智能现金出纳机、清分机等；</w:t>
      </w:r>
    </w:p>
    <w:p>
      <w:pPr>
        <w:pStyle w:val="BodyText"/>
        <w:spacing w:line="307" w:lineRule="auto" w:before="63"/>
        <w:ind w:right="190" w:firstLine="360"/>
        <w:jc w:val="both"/>
      </w:pPr>
      <w:r>
        <w:rPr>
          <w:rFonts w:ascii="Times New Roman" w:hAnsi="Times New Roman" w:cs="Times New Roman" w:eastAsia="Times New Roman" w:hint="default"/>
        </w:rPr>
        <w:t>2</w:t>
      </w:r>
      <w:r>
        <w:rPr/>
        <w:t>、为银行类金融机构提供</w:t>
      </w:r>
      <w:r>
        <w:rPr>
          <w:rFonts w:ascii="Times New Roman" w:hAnsi="Times New Roman" w:cs="Times New Roman" w:eastAsia="Times New Roman" w:hint="default"/>
        </w:rPr>
        <w:t>ATM</w:t>
      </w:r>
      <w:r>
        <w:rPr/>
        <w:t>运营服务，即公司与银行类金融机构合作建设</w:t>
      </w:r>
      <w:r>
        <w:rPr>
          <w:rFonts w:ascii="Times New Roman" w:hAnsi="Times New Roman" w:cs="Times New Roman" w:eastAsia="Times New Roman" w:hint="default"/>
        </w:rPr>
        <w:t>ATM</w:t>
      </w:r>
      <w:r>
        <w:rPr/>
        <w:t>终端，公司负责提供</w:t>
      </w:r>
      <w:r>
        <w:rPr>
          <w:rFonts w:ascii="Times New Roman" w:hAnsi="Times New Roman" w:cs="Times New Roman" w:eastAsia="Times New Roman" w:hint="default"/>
        </w:rPr>
        <w:t>ATM</w:t>
      </w:r>
      <w:r>
        <w:rPr/>
        <w:t>设备、网 点选址、设备维护、技术支持等服务，银行类金融机构负责将</w:t>
      </w:r>
      <w:r>
        <w:rPr>
          <w:rFonts w:ascii="Times New Roman" w:hAnsi="Times New Roman" w:cs="Times New Roman" w:eastAsia="Times New Roman" w:hint="default"/>
        </w:rPr>
        <w:t>ATM</w:t>
      </w:r>
      <w:r>
        <w:rPr/>
        <w:t>网点向中国银监会或其授权机构报备、提供加钞和清算 </w:t>
      </w:r>
      <w:r>
        <w:rPr>
          <w:spacing w:val="-2"/>
        </w:rPr>
        <w:t>等，合作银行在收取跨行交易的代理手续费后，按照合作协议约定的比例将公司应收取的服务费支付给公司，公司的运营服</w:t>
      </w:r>
      <w:r>
        <w:rPr>
          <w:spacing w:val="-63"/>
        </w:rPr>
        <w:t> </w:t>
      </w:r>
      <w:r>
        <w:rPr>
          <w:spacing w:val="-63"/>
        </w:rPr>
      </w:r>
      <w:r>
        <w:rPr/>
        <w:t>务根据合作条件、收款方式、收入确认等方面的差异可分为</w:t>
      </w:r>
      <w:r>
        <w:rPr>
          <w:rFonts w:ascii="Times New Roman" w:hAnsi="Times New Roman" w:cs="Times New Roman" w:eastAsia="Times New Roman" w:hint="default"/>
        </w:rPr>
        <w:t>ATM</w:t>
      </w:r>
      <w:r>
        <w:rPr/>
        <w:t>合作运营服务和</w:t>
      </w:r>
      <w:r>
        <w:rPr>
          <w:rFonts w:ascii="Times New Roman" w:hAnsi="Times New Roman" w:cs="Times New Roman" w:eastAsia="Times New Roman" w:hint="default"/>
        </w:rPr>
        <w:t>ATM</w:t>
      </w:r>
      <w:r>
        <w:rPr/>
        <w:t>融资租赁两种模式。</w:t>
      </w:r>
    </w:p>
    <w:p>
      <w:pPr>
        <w:spacing w:line="240" w:lineRule="auto" w:before="12"/>
        <w:rPr>
          <w:rFonts w:ascii="宋体" w:hAnsi="宋体" w:cs="宋体" w:eastAsia="宋体" w:hint="default"/>
          <w:sz w:val="19"/>
          <w:szCs w:val="19"/>
        </w:rPr>
      </w:pPr>
    </w:p>
    <w:p>
      <w:pPr>
        <w:pStyle w:val="Heading2"/>
        <w:spacing w:line="240" w:lineRule="auto"/>
        <w:ind w:right="94"/>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97" w:lineRule="auto" w:before="49"/>
              <w:ind w:left="16" w:right="48"/>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日以自有资金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189,000,000.00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元认购前海股权交易中心（深 圳）有限公司新增注册资本，占被投资企业增资扩股后股权的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7.6440%</w:t>
            </w:r>
            <w:r>
              <w:rPr>
                <w:rFonts w:ascii="宋体" w:hAnsi="宋体" w:cs="宋体" w:eastAsia="宋体" w:hint="default"/>
                <w:sz w:val="18"/>
                <w:szCs w:val="18"/>
              </w:rPr>
              <w:t>。</w:t>
            </w: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10" w:space="0" w:color="D2D2D2"/>
              <w:right w:val="single" w:sz="4" w:space="0" w:color="000000"/>
            </w:tcBorders>
          </w:tcPr>
          <w:p>
            <w:pPr/>
          </w:p>
        </w:tc>
      </w:tr>
      <w:tr>
        <w:trPr>
          <w:trHeight w:val="161"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公司本年度对高唐御银科技园区投资项目投入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79,074,473.72</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元，截至报告期末累计</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240,370,644.68 </w:t>
            </w:r>
            <w:r>
              <w:rPr>
                <w:rFonts w:ascii="宋体" w:hAnsi="宋体" w:cs="宋体" w:eastAsia="宋体" w:hint="default"/>
                <w:sz w:val="18"/>
                <w:szCs w:val="18"/>
              </w:rPr>
              <w:t>元，该工程完工进度为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80.19%</w:t>
            </w:r>
          </w:p>
        </w:tc>
      </w:tr>
      <w:tr>
        <w:trPr>
          <w:trHeight w:val="394"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10" w:space="0" w:color="D2D2D2"/>
              <w:right w:val="single" w:sz="4" w:space="0" w:color="000000"/>
            </w:tcBorders>
          </w:tcPr>
          <w:p>
            <w:pPr/>
          </w:p>
        </w:tc>
      </w:tr>
      <w:tr>
        <w:trPr>
          <w:trHeight w:val="161"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spacing w:before="36"/>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94"/>
        <w:jc w:val="left"/>
      </w:pPr>
      <w:r>
        <w:rPr>
          <w:rFonts w:ascii="Times New Roman" w:hAnsi="Times New Roman" w:cs="Times New Roman" w:eastAsia="Times New Roman" w:hint="default"/>
        </w:rPr>
        <w:t>1</w:t>
      </w:r>
      <w:r>
        <w:rPr/>
        <w:t>、技术研发优势 </w:t>
      </w:r>
      <w:r>
        <w:rPr>
          <w:spacing w:val="-2"/>
        </w:rPr>
        <w:t>公司一直坚持以研发创新为客户创造价值，顺应市场要求并追求行业技术高峰，增强科研实力，不断拓宽产品线，形成</w:t>
      </w:r>
    </w:p>
    <w:p>
      <w:pPr>
        <w:pStyle w:val="BodyText"/>
        <w:spacing w:line="300" w:lineRule="auto" w:before="31"/>
        <w:ind w:right="214"/>
        <w:jc w:val="left"/>
      </w:pPr>
      <w:r>
        <w:rPr/>
        <w:t>了涵盖</w:t>
      </w:r>
      <w:r>
        <w:rPr>
          <w:rFonts w:ascii="Times New Roman" w:hAnsi="Times New Roman" w:cs="Times New Roman" w:eastAsia="Times New Roman" w:hint="default"/>
        </w:rPr>
        <w:t>ATM</w:t>
      </w:r>
      <w:r>
        <w:rPr/>
        <w:t>、</w:t>
      </w:r>
      <w:r>
        <w:rPr>
          <w:rFonts w:ascii="Times New Roman" w:hAnsi="Times New Roman" w:cs="Times New Roman" w:eastAsia="Times New Roman" w:hint="default"/>
        </w:rPr>
        <w:t>CRS</w:t>
      </w:r>
      <w:r>
        <w:rPr/>
        <w:t>等金融类产品以及</w:t>
      </w:r>
      <w:r>
        <w:rPr>
          <w:rFonts w:ascii="Times New Roman" w:hAnsi="Times New Roman" w:cs="Times New Roman" w:eastAsia="Times New Roman" w:hint="default"/>
        </w:rPr>
        <w:t>VTM</w:t>
      </w:r>
      <w:r>
        <w:rPr/>
        <w:t>（远程可视柜员机）、清分机等泛金融类产品的多元化产品系列。同时对外与多 个国际主流</w:t>
      </w:r>
      <w:r>
        <w:rPr>
          <w:rFonts w:ascii="Times New Roman" w:hAnsi="Times New Roman" w:cs="Times New Roman" w:eastAsia="Times New Roman" w:hint="default"/>
        </w:rPr>
        <w:t>ATM</w:t>
      </w:r>
      <w:r>
        <w:rPr/>
        <w:t>零配件供应商建立了战略合作联盟，提高了供应链的响应速度；对内则坚持自主研发、自主创新，凝聚了</w:t>
      </w:r>
    </w:p>
    <w:p>
      <w:pPr>
        <w:spacing w:after="0" w:line="300" w:lineRule="auto"/>
        <w:jc w:val="left"/>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319" w:lineRule="auto" w:before="44"/>
        <w:ind w:right="94"/>
        <w:jc w:val="left"/>
      </w:pPr>
      <w:r>
        <w:rPr>
          <w:spacing w:val="-2"/>
        </w:rPr>
        <w:t>一批经验丰富的银行自助设备资深专家，构建顶尖的专业团队及科研平台，以掌握未来科技的制高点。并且每年投入大量的</w:t>
      </w:r>
      <w:r>
        <w:rPr>
          <w:spacing w:val="-63"/>
        </w:rPr>
        <w:t> </w:t>
      </w:r>
      <w:r>
        <w:rPr>
          <w:spacing w:val="-63"/>
        </w:rPr>
      </w:r>
      <w:r>
        <w:rPr/>
        <w:t>资金进行自主研发，逐步形成涵盖自主品牌整机研发设计生产，核心模块自主研发、设备功能模块开发、新型单体机开发、 </w:t>
      </w:r>
      <w:r>
        <w:rPr>
          <w:spacing w:val="-2"/>
        </w:rPr>
        <w:t>产品升级换代、多功能交易系统机型设计开发和验证能力的全方位研发体系，自主研发能力和研发设施达到或部分达到国际</w:t>
      </w:r>
      <w:r>
        <w:rPr>
          <w:spacing w:val="-64"/>
        </w:rPr>
        <w:t> </w:t>
      </w:r>
      <w:r>
        <w:rPr>
          <w:spacing w:val="-64"/>
        </w:rPr>
      </w:r>
      <w:r>
        <w:rPr/>
        <w:t>先进水平。</w:t>
      </w:r>
    </w:p>
    <w:p>
      <w:pPr>
        <w:pStyle w:val="BodyText"/>
        <w:spacing w:line="300" w:lineRule="auto" w:before="17"/>
        <w:ind w:left="513" w:right="273"/>
        <w:jc w:val="left"/>
      </w:pPr>
      <w:r>
        <w:rPr>
          <w:rFonts w:ascii="Times New Roman" w:hAnsi="Times New Roman" w:cs="Times New Roman" w:eastAsia="Times New Roman" w:hint="default"/>
        </w:rPr>
        <w:t>2</w:t>
      </w:r>
      <w:r>
        <w:rPr/>
        <w:t>、金融安全方面的优势 公司设计的自助设备系统具强有力的安全保障措施，其涉及机芯的全部软件系统及通讯系统都是由我司自主开发及维</w:t>
      </w:r>
    </w:p>
    <w:p>
      <w:pPr>
        <w:pStyle w:val="BodyText"/>
        <w:spacing w:line="309" w:lineRule="auto" w:before="31"/>
        <w:ind w:right="191"/>
        <w:jc w:val="both"/>
      </w:pPr>
      <w:r>
        <w:rPr>
          <w:spacing w:val="-2"/>
        </w:rPr>
        <w:t>护，我司具有完全的知识产权。通过系统内核对设备软件环境有效的进行安全加固，权限管理实现对文件控制，防止非法的</w:t>
      </w:r>
      <w:r>
        <w:rPr>
          <w:spacing w:val="-65"/>
        </w:rPr>
        <w:t> </w:t>
      </w:r>
      <w:r>
        <w:rPr>
          <w:spacing w:val="-65"/>
        </w:rPr>
      </w:r>
      <w:r>
        <w:rPr>
          <w:rFonts w:ascii="Times New Roman" w:hAnsi="Times New Roman" w:cs="Times New Roman" w:eastAsia="Times New Roman" w:hint="default"/>
          <w:spacing w:val="-2"/>
        </w:rPr>
        <w:t>USB</w:t>
      </w:r>
      <w:r>
        <w:rPr>
          <w:spacing w:val="-2"/>
        </w:rPr>
        <w:t>存储设备接入，并对所有正常授权</w:t>
      </w:r>
      <w:r>
        <w:rPr>
          <w:rFonts w:ascii="Times New Roman" w:hAnsi="Times New Roman" w:cs="Times New Roman" w:eastAsia="Times New Roman" w:hint="default"/>
          <w:spacing w:val="-2"/>
        </w:rPr>
        <w:t>USB</w:t>
      </w:r>
      <w:r>
        <w:rPr>
          <w:spacing w:val="-2"/>
        </w:rPr>
        <w:t>存储设备的文件操作进行监控及记录，极大的提升了自助设备设备保护数据、抵</w:t>
      </w:r>
      <w:r>
        <w:rPr>
          <w:spacing w:val="-45"/>
        </w:rPr>
        <w:t> </w:t>
      </w:r>
      <w:r>
        <w:rPr>
          <w:spacing w:val="-45"/>
        </w:rPr>
      </w:r>
      <w:r>
        <w:rPr/>
        <w:t>御病毒的安全性能，实现了对自助设备进行安全访问控制的目的。</w:t>
      </w:r>
    </w:p>
    <w:p>
      <w:pPr>
        <w:pStyle w:val="BodyText"/>
        <w:spacing w:line="300" w:lineRule="auto" w:before="24"/>
        <w:ind w:left="513" w:right="94"/>
        <w:jc w:val="left"/>
      </w:pPr>
      <w:r>
        <w:rPr>
          <w:rFonts w:ascii="Times New Roman" w:hAnsi="Times New Roman" w:cs="Times New Roman" w:eastAsia="Times New Roman" w:hint="default"/>
        </w:rPr>
        <w:t>3</w:t>
      </w:r>
      <w:r>
        <w:rPr/>
        <w:t>、品牌及市场优势 </w:t>
      </w:r>
      <w:r>
        <w:rPr>
          <w:spacing w:val="-2"/>
        </w:rPr>
        <w:t>公司作为国内主要的金融设备制造商，多年来一直保持着较好的成长性。随着行业市场空间的增长和国产化进程加快双</w:t>
      </w:r>
    </w:p>
    <w:p>
      <w:pPr>
        <w:pStyle w:val="BodyText"/>
        <w:spacing w:line="319" w:lineRule="auto" w:before="31"/>
        <w:ind w:right="189"/>
        <w:jc w:val="both"/>
      </w:pPr>
      <w:r>
        <w:rPr>
          <w:spacing w:val="-2"/>
        </w:rPr>
        <w:t>重驱动，公司凭借优质高速的生产能力、持续创新的自主研发能力、真诚实的业务作风和稳定细致的服务质量，赢得了越来</w:t>
      </w:r>
      <w:r>
        <w:rPr>
          <w:spacing w:val="-64"/>
        </w:rPr>
        <w:t> </w:t>
      </w:r>
      <w:r>
        <w:rPr>
          <w:spacing w:val="-64"/>
        </w:rPr>
      </w:r>
      <w:r>
        <w:rPr>
          <w:spacing w:val="-2"/>
        </w:rPr>
        <w:t>越多客户的信任与合作。截至目前，御银已经成为建行总行、工行总行、邮政总局、各省农信、地方商行等多家银行总行的</w:t>
      </w:r>
      <w:r>
        <w:rPr>
          <w:spacing w:val="-70"/>
        </w:rPr>
        <w:t> </w:t>
      </w:r>
      <w:r>
        <w:rPr>
          <w:spacing w:val="-70"/>
        </w:rPr>
      </w:r>
      <w:r>
        <w:rPr>
          <w:rFonts w:ascii="Times New Roman" w:hAnsi="Times New Roman" w:cs="Times New Roman" w:eastAsia="Times New Roman" w:hint="default"/>
        </w:rPr>
        <w:t>ATM</w:t>
      </w:r>
      <w:r>
        <w:rPr/>
        <w:t>入围采购商，各项业务以珠三角为核心，辐射全国。</w:t>
      </w:r>
    </w:p>
    <w:p>
      <w:pPr>
        <w:pStyle w:val="BodyText"/>
        <w:spacing w:line="300" w:lineRule="auto"/>
        <w:ind w:left="513" w:right="94"/>
        <w:jc w:val="left"/>
      </w:pPr>
      <w:r>
        <w:rPr>
          <w:rFonts w:ascii="Times New Roman" w:hAnsi="Times New Roman" w:cs="Times New Roman" w:eastAsia="Times New Roman" w:hint="default"/>
        </w:rPr>
        <w:t>4</w:t>
      </w:r>
      <w:r>
        <w:rPr/>
        <w:t>、服务系统的优势 </w:t>
      </w:r>
      <w:r>
        <w:rPr>
          <w:spacing w:val="-2"/>
        </w:rPr>
        <w:t>御银拥有国内首屈一指的服务体系，在全国范围内建立了数百个服务网点，拥有一支由大量资深的专业维护工程师组成</w:t>
      </w:r>
    </w:p>
    <w:p>
      <w:pPr>
        <w:pStyle w:val="BodyText"/>
        <w:spacing w:line="314" w:lineRule="auto" w:before="31"/>
        <w:ind w:right="188"/>
        <w:jc w:val="both"/>
      </w:pPr>
      <w:r>
        <w:rPr>
          <w:spacing w:val="-2"/>
        </w:rPr>
        <w:t>的维护队伍；覆盖全国范围、数量充足的备件储备；囊括强大信息量的智能管理云平台，通过“一站式”应用和“云”的理</w:t>
      </w:r>
      <w:r>
        <w:rPr>
          <w:spacing w:val="-63"/>
        </w:rPr>
        <w:t> </w:t>
      </w:r>
      <w:r>
        <w:rPr>
          <w:spacing w:val="-63"/>
        </w:rPr>
      </w:r>
      <w:r>
        <w:rPr/>
        <w:t>念，使得空间和时间不再受限，为银行提供</w:t>
      </w:r>
      <w:r>
        <w:rPr>
          <w:rFonts w:ascii="Times New Roman" w:hAnsi="Times New Roman" w:cs="Times New Roman" w:eastAsia="Times New Roman" w:hint="default"/>
        </w:rPr>
        <w:t>365</w:t>
      </w:r>
      <w:r>
        <w:rPr/>
        <w:t>天</w:t>
      </w:r>
      <w:r>
        <w:rPr>
          <w:rFonts w:ascii="Times New Roman" w:hAnsi="Times New Roman" w:cs="Times New Roman" w:eastAsia="Times New Roman" w:hint="default"/>
        </w:rPr>
        <w:t>7×24</w:t>
      </w:r>
      <w:r>
        <w:rPr/>
        <w:t>小时的专业服务，极大提高信息获取和反馈的速度，从而提高各方的 </w:t>
      </w:r>
      <w:r>
        <w:rPr>
          <w:spacing w:val="-2"/>
        </w:rPr>
        <w:t>工作效率，降低运营成本，提升各方的满意度；同时引入先进的物联网技术，将各类设备将互联网连接起来，实现“物”和</w:t>
      </w:r>
      <w:r>
        <w:rPr>
          <w:spacing w:val="-69"/>
        </w:rPr>
        <w:t> </w:t>
      </w:r>
      <w:r>
        <w:rPr>
          <w:spacing w:val="-69"/>
        </w:rPr>
      </w:r>
      <w:r>
        <w:rPr>
          <w:spacing w:val="-2"/>
        </w:rPr>
        <w:t>信息的有机结合，能够更准确、更全面的进行管理，避免了信息的断层。公司秉承“追求卓越，服务至上”的服务理念，坚</w:t>
      </w:r>
      <w:r>
        <w:rPr>
          <w:spacing w:val="-65"/>
        </w:rPr>
        <w:t> </w:t>
      </w:r>
      <w:r>
        <w:rPr>
          <w:spacing w:val="-65"/>
        </w:rPr>
      </w:r>
      <w:r>
        <w:rPr/>
        <w:t>持做到“三个不漏、三个保证、一个避免”，确保实现全面、可靠、周到、快捷的优质售后服务。</w:t>
      </w:r>
    </w:p>
    <w:p>
      <w:pPr>
        <w:spacing w:after="0" w:line="314" w:lineRule="auto"/>
        <w:jc w:val="both"/>
        <w:sectPr>
          <w:pgSz w:w="11910" w:h="16840"/>
          <w:pgMar w:header="786" w:footer="1021" w:top="1100" w:bottom="122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94"/>
        <w:jc w:val="left"/>
        <w:rPr>
          <w:b w:val="0"/>
          <w:bCs w:val="0"/>
        </w:rPr>
      </w:pPr>
      <w:bookmarkStart w:name="_TOC_250007" w:id="4"/>
      <w:r>
        <w:rPr/>
        <w:t>第四节</w:t>
      </w:r>
      <w:r>
        <w:rPr>
          <w:spacing w:val="-6"/>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4" w:firstLine="360"/>
        <w:jc w:val="left"/>
      </w:pPr>
      <w:r>
        <w:rPr>
          <w:rFonts w:ascii="Times New Roman" w:hAnsi="Times New Roman" w:cs="Times New Roman" w:eastAsia="Times New Roman" w:hint="default"/>
          <w:spacing w:val="-4"/>
        </w:rPr>
        <w:t>2015</w:t>
      </w:r>
      <w:r>
        <w:rPr>
          <w:spacing w:val="-4"/>
        </w:rPr>
        <w:t>年度，随着中国经济增长方式转变和经济结构调整，金融自助设备行业的发展面临着重要的机遇和挑战。报告期内，</w:t>
      </w:r>
      <w:r>
        <w:rPr/>
        <w:t> 御银始终秉承“诚实务实、专业专注、自主创新、稳健规范”的企业精神，始终牢牢锁定</w:t>
      </w:r>
      <w:r>
        <w:rPr>
          <w:rFonts w:ascii="Times New Roman" w:hAnsi="Times New Roman" w:cs="Times New Roman" w:eastAsia="Times New Roman" w:hint="default"/>
        </w:rPr>
        <w:t>ATM</w:t>
      </w:r>
      <w:r>
        <w:rPr/>
        <w:t>（取款机）与</w:t>
      </w:r>
      <w:r>
        <w:rPr>
          <w:rFonts w:ascii="Times New Roman" w:hAnsi="Times New Roman" w:cs="Times New Roman" w:eastAsia="Times New Roman" w:hint="default"/>
        </w:rPr>
        <w:t>CRS</w:t>
      </w:r>
      <w:r>
        <w:rPr/>
        <w:t>（存取款 </w:t>
      </w:r>
      <w:r>
        <w:rPr>
          <w:spacing w:val="-2"/>
        </w:rPr>
        <w:t>一体机）的金融高端制造业的经营理念，不断提升国产品牌自主创新能力。报告期内，公司实现营业总收入</w:t>
      </w:r>
      <w:r>
        <w:rPr>
          <w:rFonts w:ascii="Times New Roman" w:hAnsi="Times New Roman" w:cs="Times New Roman" w:eastAsia="Times New Roman" w:hint="default"/>
          <w:spacing w:val="-2"/>
        </w:rPr>
        <w:t>1,097,003,512.37</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元，比上年同期增长</w:t>
      </w:r>
      <w:r>
        <w:rPr>
          <w:rFonts w:ascii="Times New Roman" w:hAnsi="Times New Roman" w:cs="Times New Roman" w:eastAsia="Times New Roman" w:hint="default"/>
        </w:rPr>
        <w:t>12.89%</w:t>
      </w:r>
      <w:r>
        <w:rPr/>
        <w:t>；实现利润总额</w:t>
      </w:r>
      <w:r>
        <w:rPr>
          <w:rFonts w:ascii="Times New Roman" w:hAnsi="Times New Roman" w:cs="Times New Roman" w:eastAsia="Times New Roman" w:hint="default"/>
        </w:rPr>
        <w:t>71,367,604.55</w:t>
      </w:r>
      <w:r>
        <w:rPr/>
        <w:t>元，比上年同期减少</w:t>
      </w:r>
      <w:r>
        <w:rPr>
          <w:rFonts w:ascii="Times New Roman" w:hAnsi="Times New Roman" w:cs="Times New Roman" w:eastAsia="Times New Roman" w:hint="default"/>
        </w:rPr>
        <w:t>52.08%</w:t>
      </w:r>
      <w:r>
        <w:rPr/>
        <w:t>；归属上市公司股东的净利润为 </w:t>
      </w:r>
      <w:r>
        <w:rPr>
          <w:rFonts w:ascii="Times New Roman" w:hAnsi="Times New Roman" w:cs="Times New Roman" w:eastAsia="Times New Roman" w:hint="default"/>
        </w:rPr>
        <w:t>69,446,758.01</w:t>
      </w:r>
      <w:r>
        <w:rPr/>
        <w:t>元，比上年同期减少</w:t>
      </w:r>
      <w:r>
        <w:rPr>
          <w:rFonts w:ascii="Times New Roman" w:hAnsi="Times New Roman" w:cs="Times New Roman" w:eastAsia="Times New Roman" w:hint="default"/>
        </w:rPr>
        <w:t>47.39%</w:t>
      </w:r>
      <w:r>
        <w:rPr/>
        <w:t>。</w:t>
      </w:r>
    </w:p>
    <w:p>
      <w:pPr>
        <w:pStyle w:val="BodyText"/>
        <w:spacing w:line="319" w:lineRule="auto" w:before="13"/>
        <w:ind w:right="190" w:firstLine="360"/>
        <w:jc w:val="both"/>
      </w:pPr>
      <w:r>
        <w:rPr/>
        <w:t>在战略合作方面，公司管理层根据对金融自助设备市场现状及未来发展前景的判断，围绕公司发展战略，</w:t>
      </w:r>
      <w:r>
        <w:rPr>
          <w:spacing w:val="2"/>
        </w:rPr>
        <w:t> </w:t>
      </w:r>
      <w:r>
        <w:rPr/>
        <w:t>通过与佳都</w:t>
      </w:r>
      <w:r>
        <w:rPr/>
        <w:t> </w:t>
      </w:r>
      <w:r>
        <w:rPr>
          <w:spacing w:val="-2"/>
        </w:rPr>
        <w:t>新太科技股份有限公司、普华基础软件股份有限公司的战略性合作，不断融合技术和商业上的创新，提升国产化软硬件基础</w:t>
      </w:r>
      <w:r>
        <w:rPr>
          <w:spacing w:val="-63"/>
        </w:rPr>
        <w:t> </w:t>
      </w:r>
      <w:r>
        <w:rPr>
          <w:spacing w:val="-63"/>
        </w:rPr>
      </w:r>
      <w:r>
        <w:rPr/>
        <w:t>平台的解决能力，进而提供更快捷、更智慧、更专业的产品。</w:t>
      </w:r>
    </w:p>
    <w:p>
      <w:pPr>
        <w:pStyle w:val="BodyText"/>
        <w:spacing w:line="240" w:lineRule="auto" w:before="17"/>
        <w:ind w:left="513" w:right="94"/>
        <w:jc w:val="left"/>
      </w:pPr>
      <w:r>
        <w:rPr/>
        <w:t>在建立公司立体金融服务体系方面</w:t>
      </w:r>
      <w:r>
        <w:rPr>
          <w:spacing w:val="-82"/>
        </w:rPr>
        <w:t>，</w:t>
      </w:r>
      <w:r>
        <w:rPr/>
        <w:t>公司参股设立了佛山海晟金融租赁股份有限公司并积极参与竞买前海股权交易中心</w:t>
      </w:r>
    </w:p>
    <w:p>
      <w:pPr>
        <w:pStyle w:val="BodyText"/>
        <w:spacing w:line="316" w:lineRule="auto" w:before="76"/>
        <w:ind w:right="190"/>
        <w:jc w:val="both"/>
      </w:pPr>
      <w:r>
        <w:rPr>
          <w:spacing w:val="-2"/>
        </w:rPr>
        <w:t>（深圳）有限公司部分股权，促进了公司多层次资本市场的建立，推动各合作方与公司之间的资源共享、信息互通，多方业</w:t>
      </w:r>
      <w:r>
        <w:rPr>
          <w:spacing w:val="-67"/>
        </w:rPr>
        <w:t> </w:t>
      </w:r>
      <w:r>
        <w:rPr>
          <w:spacing w:val="-67"/>
        </w:rPr>
      </w:r>
      <w:r>
        <w:rPr>
          <w:spacing w:val="-2"/>
        </w:rPr>
        <w:t>务形成广泛的协同效应，有利于整合公司自身优势及资源，推动金融资本与实业资本融合发展，能够加强金融服务实体经济</w:t>
      </w:r>
      <w:r>
        <w:rPr>
          <w:spacing w:val="-63"/>
        </w:rPr>
        <w:t> </w:t>
      </w:r>
      <w:r>
        <w:rPr>
          <w:spacing w:val="-63"/>
        </w:rPr>
      </w:r>
      <w:r>
        <w:rPr/>
        <w:t>的能力，延伸市场的价值链，形成新的利润增长点，保证公司发展战略规划的实现。</w:t>
      </w:r>
    </w:p>
    <w:p>
      <w:pPr>
        <w:pStyle w:val="BodyText"/>
        <w:spacing w:line="312" w:lineRule="auto" w:before="19"/>
        <w:ind w:right="188" w:firstLine="360"/>
        <w:jc w:val="left"/>
      </w:pPr>
      <w:r>
        <w:rPr>
          <w:spacing w:val="-2"/>
        </w:rPr>
        <w:t>在研发方面，公司推出多款智能化设备，研发出新一代改良型高速大容量存款机，在整机性能、安全防范、便捷体验等</w:t>
      </w:r>
      <w:r>
        <w:rPr/>
        <w:t> </w:t>
      </w:r>
      <w:r>
        <w:rPr>
          <w:spacing w:val="-2"/>
        </w:rPr>
        <w:t>方面将得到进一步加强，满足客户日渐增长的大额存款需求，该设备已经在全国多个网点上线使用，并得到银行及客户一致</w:t>
      </w:r>
      <w:r>
        <w:rPr>
          <w:spacing w:val="-63"/>
        </w:rPr>
        <w:t> </w:t>
      </w:r>
      <w:r>
        <w:rPr>
          <w:spacing w:val="-63"/>
        </w:rPr>
      </w:r>
      <w:r>
        <w:rPr>
          <w:spacing w:val="-2"/>
        </w:rPr>
        <w:t>赞扬；同时研发出智能柜面终端，通过一体化设计，协助银行柜员更加便捷地处理柜台业务，提高柜员工作效率；推出智慧</w:t>
      </w:r>
      <w:r>
        <w:rPr>
          <w:spacing w:val="-67"/>
        </w:rPr>
        <w:t> </w:t>
      </w:r>
      <w:r>
        <w:rPr>
          <w:spacing w:val="-67"/>
        </w:rPr>
      </w:r>
      <w:r>
        <w:rPr/>
        <w:t>柜员机，结合“大堂经理</w:t>
      </w:r>
      <w:r>
        <w:rPr>
          <w:rFonts w:ascii="Times New Roman" w:hAnsi="Times New Roman" w:cs="Times New Roman" w:eastAsia="Times New Roman" w:hint="default"/>
        </w:rPr>
        <w:t>+</w:t>
      </w:r>
      <w:r>
        <w:rPr/>
        <w:t>”新型业务模式，提高业务处理效率、提高银行网点业务量；并且新推出了“</w:t>
      </w:r>
      <w:r>
        <w:rPr>
          <w:rFonts w:ascii="Times New Roman" w:hAnsi="Times New Roman" w:cs="Times New Roman" w:eastAsia="Times New Roman" w:hint="default"/>
        </w:rPr>
        <w:t>KT-RD1</w:t>
      </w:r>
      <w:r>
        <w:rPr/>
        <w:t>电动读卡</w:t>
      </w:r>
      <w:r>
        <w:rPr>
          <w:w w:val="99"/>
        </w:rPr>
        <w:t> </w:t>
      </w:r>
      <w:r>
        <w:rPr>
          <w:spacing w:val="-1"/>
        </w:rPr>
        <w:t>器”、“</w:t>
      </w:r>
      <w:r>
        <w:rPr>
          <w:rFonts w:ascii="Times New Roman" w:hAnsi="Times New Roman" w:cs="Times New Roman" w:eastAsia="Times New Roman" w:hint="default"/>
          <w:spacing w:val="-1"/>
        </w:rPr>
        <w:t>KTOCR</w:t>
      </w:r>
      <w:r>
        <w:rPr>
          <w:spacing w:val="-1"/>
        </w:rPr>
        <w:t>钞票序列号识别模块”、“智能</w:t>
      </w:r>
      <w:r>
        <w:rPr>
          <w:rFonts w:ascii="Times New Roman" w:hAnsi="Times New Roman" w:cs="Times New Roman" w:eastAsia="Times New Roman" w:hint="default"/>
          <w:spacing w:val="-1"/>
        </w:rPr>
        <w:t>USB-HUB</w:t>
      </w:r>
      <w:r>
        <w:rPr>
          <w:spacing w:val="-1"/>
        </w:rPr>
        <w:t>”、“自锁电动出钞门”、“透明电动出钞门”、“</w:t>
      </w:r>
      <w:r>
        <w:rPr>
          <w:rFonts w:ascii="Times New Roman" w:hAnsi="Times New Roman" w:cs="Times New Roman" w:eastAsia="Times New Roman" w:hint="default"/>
          <w:spacing w:val="-1"/>
        </w:rPr>
        <w:t>USB</w:t>
      </w:r>
      <w:r>
        <w:rPr>
          <w:spacing w:val="-1"/>
        </w:rPr>
        <w:t>国密键</w:t>
      </w:r>
      <w:r>
        <w:rPr>
          <w:spacing w:val="-70"/>
        </w:rPr>
        <w:t> </w:t>
      </w:r>
      <w:r>
        <w:rPr/>
        <w:t>盘”等产品，坚持以客户需求为导向，着力打造安全、便捷、智能的金融服务体系，满足客户各方面的产品需求。</w:t>
      </w:r>
    </w:p>
    <w:p>
      <w:pPr>
        <w:pStyle w:val="BodyText"/>
        <w:spacing w:line="316" w:lineRule="auto" w:before="23"/>
        <w:ind w:right="94" w:firstLine="360"/>
        <w:jc w:val="left"/>
      </w:pPr>
      <w:r>
        <w:rPr>
          <w:spacing w:val="-4"/>
        </w:rPr>
        <w:t>在技术创新方面，开发出了多项拥有自主知识产权的“单卡箱发卡机”、“非接单卡箱发卡机”、“高速凭条打印机”、</w:t>
      </w:r>
      <w:r>
        <w:rPr/>
        <w:t> </w:t>
      </w:r>
      <w:r>
        <w:rPr>
          <w:spacing w:val="-2"/>
        </w:rPr>
        <w:t>“机芯通信加密器”、“防暴电话收线器”、“双盖章打印机”等产品，并且在“自助退卡取回整体解决方案”上，解决用</w:t>
      </w:r>
      <w:r>
        <w:rPr>
          <w:spacing w:val="-68"/>
        </w:rPr>
        <w:t> </w:t>
      </w:r>
      <w:r>
        <w:rPr>
          <w:spacing w:val="-68"/>
        </w:rPr>
      </w:r>
      <w:r>
        <w:rPr>
          <w:spacing w:val="-2"/>
        </w:rPr>
        <w:t>户取吞卡困难的问题，并减少银行设备管理员对于吞卡的管理工作。形成了一批核心领域关键技术，提高了现有产品的智能</w:t>
      </w:r>
      <w:r>
        <w:rPr>
          <w:spacing w:val="-63"/>
        </w:rPr>
        <w:t> </w:t>
      </w:r>
      <w:r>
        <w:rPr>
          <w:spacing w:val="-63"/>
        </w:rPr>
      </w:r>
      <w:r>
        <w:rPr/>
        <w:t>化、国产化，对促进公司智慧银行的业务能力提供积极的支持。</w:t>
      </w:r>
    </w:p>
    <w:p>
      <w:pPr>
        <w:pStyle w:val="BodyText"/>
        <w:spacing w:line="309" w:lineRule="auto" w:before="19"/>
        <w:ind w:right="94" w:firstLine="360"/>
        <w:jc w:val="left"/>
      </w:pPr>
      <w:r>
        <w:rPr>
          <w:spacing w:val="-2"/>
        </w:rPr>
        <w:t>在金融信息安全方面，公司推出支持国密算法的“机芯通信加密器”，使得柜员机必须在取得银行后台的安全通讯授权</w:t>
      </w:r>
      <w:r>
        <w:rPr/>
        <w:t> </w:t>
      </w:r>
      <w:r>
        <w:rPr>
          <w:spacing w:val="-4"/>
        </w:rPr>
        <w:t>后，才能对外吐钞，同时升级了新一代卡信息立体主动防盗技术，能更好地防止银行卡信息的防盗，高效地保障了资金安全。</w:t>
      </w:r>
      <w:r>
        <w:rPr>
          <w:spacing w:val="-46"/>
        </w:rPr>
        <w:t> </w:t>
      </w:r>
      <w:r>
        <w:rPr>
          <w:spacing w:val="-46"/>
        </w:rPr>
      </w:r>
      <w:r>
        <w:rPr/>
        <w:t>并与行业领军企业展开深入合作，开发出一套基于</w:t>
      </w:r>
      <w:r>
        <w:rPr>
          <w:rFonts w:ascii="Times New Roman" w:hAnsi="Times New Roman" w:cs="Times New Roman" w:eastAsia="Times New Roman" w:hint="default"/>
        </w:rPr>
        <w:t>Linux</w:t>
      </w:r>
      <w:r>
        <w:rPr/>
        <w:t>国产操作系统的安全应用程序，并已经成功上线试用，该操作系统 </w:t>
      </w:r>
      <w:r>
        <w:rPr>
          <w:spacing w:val="-2"/>
        </w:rPr>
        <w:t>基于开源支持跨平台、支持多种应用场景和业务模式，具有兼容性强、稳定性高、开放性强、安全可靠、流程定制快速开发</w:t>
      </w:r>
      <w:r>
        <w:rPr>
          <w:spacing w:val="-68"/>
        </w:rPr>
        <w:t> </w:t>
      </w:r>
      <w:r>
        <w:rPr>
          <w:spacing w:val="-68"/>
        </w:rPr>
      </w:r>
      <w:r>
        <w:rPr>
          <w:spacing w:val="-2"/>
        </w:rPr>
        <w:t>等特点，能够满足银行连续</w:t>
      </w:r>
      <w:r>
        <w:rPr>
          <w:rFonts w:ascii="Times New Roman" w:hAnsi="Times New Roman" w:cs="Times New Roman" w:eastAsia="Times New Roman" w:hint="default"/>
          <w:spacing w:val="-2"/>
        </w:rPr>
        <w:t>7*24</w:t>
      </w:r>
      <w:r>
        <w:rPr>
          <w:spacing w:val="-2"/>
        </w:rPr>
        <w:t>小时全年运行的需求，系统更稳定、更顺畅、安全性更高，扫描回传资料速度更快，进而有</w:t>
      </w:r>
      <w:r>
        <w:rPr>
          <w:spacing w:val="-65"/>
        </w:rPr>
        <w:t> </w:t>
      </w:r>
      <w:r>
        <w:rPr>
          <w:spacing w:val="-65"/>
        </w:rPr>
      </w:r>
      <w:r>
        <w:rPr/>
        <w:t>效提高业务办理的效率，同时推出云</w:t>
      </w:r>
      <w:r>
        <w:rPr>
          <w:rFonts w:ascii="Times New Roman" w:hAnsi="Times New Roman" w:cs="Times New Roman" w:eastAsia="Times New Roman" w:hint="default"/>
        </w:rPr>
        <w:t>ATM</w:t>
      </w:r>
      <w:r>
        <w:rPr/>
        <w:t>整体解决方案，并与多个银行接触沟通细节方案，研究方案可行性，为未来银行 业务的卓越发展提供良好的基础。</w:t>
      </w:r>
    </w:p>
    <w:p>
      <w:pPr>
        <w:pStyle w:val="BodyText"/>
        <w:spacing w:line="319" w:lineRule="auto" w:before="24"/>
        <w:ind w:right="94" w:firstLine="360"/>
        <w:jc w:val="left"/>
      </w:pPr>
      <w:r>
        <w:rPr>
          <w:spacing w:val="-2"/>
        </w:rPr>
        <w:t>在生物识别技术方面，公司组建了一批拥有十余年行业研发人员、行业精英队伍的生物识别技术应用研究小组，通过与</w:t>
      </w:r>
      <w:r>
        <w:rPr/>
        <w:t> 国内外知名企业合作，共同研究生物识别技术在金融自助设备、金融安全系统的应用，成功研发出生物识别智能采集终端， 并成功推出带生物识别（虹膜、人脸、掌静脉、指静脉）技术的自动柜员机。</w:t>
      </w:r>
    </w:p>
    <w:p>
      <w:pPr>
        <w:pStyle w:val="BodyText"/>
        <w:spacing w:line="307" w:lineRule="auto" w:before="17"/>
        <w:ind w:right="191" w:firstLine="360"/>
        <w:jc w:val="both"/>
      </w:pPr>
      <w:r>
        <w:rPr>
          <w:spacing w:val="-2"/>
        </w:rPr>
        <w:t>在市场销售方面，公司强化全国范围内的营销服务体系建设，以行业方案牵引业务整体布局，使得公司销售、服务能力</w:t>
      </w:r>
      <w:r>
        <w:rPr/>
        <w:t> </w:t>
      </w:r>
      <w:r>
        <w:rPr>
          <w:spacing w:val="-2"/>
        </w:rPr>
        <w:t>得到了进一步提高。</w:t>
      </w:r>
      <w:r>
        <w:rPr>
          <w:rFonts w:ascii="Times New Roman" w:hAnsi="Times New Roman" w:cs="Times New Roman" w:eastAsia="Times New Roman" w:hint="default"/>
          <w:spacing w:val="-2"/>
        </w:rPr>
        <w:t>2014</w:t>
      </w:r>
      <w:r>
        <w:rPr>
          <w:spacing w:val="-2"/>
        </w:rPr>
        <w:t>年底，公司以第一名的优势入围建设银行的一体机（国产）采购项目，延续到报告期内，共收到该</w:t>
      </w:r>
      <w:r>
        <w:rPr>
          <w:spacing w:val="-65"/>
        </w:rPr>
        <w:t> </w:t>
      </w:r>
      <w:r>
        <w:rPr>
          <w:spacing w:val="-65"/>
        </w:rPr>
      </w:r>
      <w:r>
        <w:rPr>
          <w:spacing w:val="-1"/>
        </w:rPr>
        <w:t>框架合同下的采购订单总额约</w:t>
      </w:r>
      <w:r>
        <w:rPr>
          <w:rFonts w:ascii="Times New Roman" w:hAnsi="Times New Roman" w:cs="Times New Roman" w:eastAsia="Times New Roman" w:hint="default"/>
          <w:spacing w:val="-1"/>
        </w:rPr>
        <w:t>75,600</w:t>
      </w:r>
      <w:r>
        <w:rPr>
          <w:spacing w:val="-1"/>
        </w:rPr>
        <w:t>万元，该金额约占公司最近一个经审计的会计年度营业总收入的</w:t>
      </w:r>
      <w:r>
        <w:rPr>
          <w:rFonts w:ascii="Times New Roman" w:hAnsi="Times New Roman" w:cs="Times New Roman" w:eastAsia="Times New Roman" w:hint="default"/>
          <w:spacing w:val="-1"/>
        </w:rPr>
        <w:t>77.80%</w:t>
      </w:r>
      <w:r>
        <w:rPr>
          <w:spacing w:val="-1"/>
        </w:rPr>
        <w:t>，进一步巩固和</w:t>
      </w:r>
      <w:r>
        <w:rPr>
          <w:spacing w:val="-85"/>
        </w:rPr>
        <w:t> </w:t>
      </w:r>
      <w:r>
        <w:rPr>
          <w:spacing w:val="-85"/>
        </w:rPr>
      </w:r>
      <w:r>
        <w:rPr/>
        <w:t>提升了公司在其国产品牌供应商的地位，为公司的长期发展战略的实现奠定了坚实的基础。</w:t>
      </w:r>
    </w:p>
    <w:p>
      <w:pPr>
        <w:pStyle w:val="BodyText"/>
        <w:spacing w:line="300" w:lineRule="auto" w:before="26"/>
        <w:ind w:right="94" w:firstLine="360"/>
        <w:jc w:val="left"/>
      </w:pPr>
      <w:r>
        <w:rPr>
          <w:spacing w:val="-3"/>
        </w:rPr>
        <w:t>在客服服务方面，运用了业内首创利用大数据实现数据分析的智能服务和信息化管理平台</w:t>
      </w:r>
      <w:r>
        <w:rPr>
          <w:rFonts w:ascii="Times New Roman" w:hAnsi="Times New Roman" w:cs="Times New Roman" w:eastAsia="Times New Roman" w:hint="default"/>
          <w:spacing w:val="-3"/>
        </w:rPr>
        <w:t>——</w:t>
      </w:r>
      <w:r>
        <w:rPr>
          <w:spacing w:val="-3"/>
        </w:rPr>
        <w:t>“御银云管理平台”，搭</w:t>
      </w:r>
      <w:r>
        <w:rPr>
          <w:spacing w:val="-22"/>
        </w:rPr>
        <w:t> </w:t>
      </w:r>
      <w:r>
        <w:rPr>
          <w:spacing w:val="-2"/>
        </w:rPr>
        <w:t>载光纤网络实现电子派单、移动微培训、自助设备电子地图、主动地获取自助设备的运行信息等，实现全流程信息一体化管</w:t>
      </w:r>
    </w:p>
    <w:p>
      <w:pPr>
        <w:spacing w:after="0" w:line="300" w:lineRule="auto"/>
        <w:jc w:val="left"/>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309" w:lineRule="auto" w:before="44"/>
        <w:ind w:right="155"/>
        <w:jc w:val="both"/>
      </w:pPr>
      <w:r>
        <w:rPr>
          <w:spacing w:val="-2"/>
        </w:rPr>
        <w:t>理，推动整体服务品质的提升；且各区域在御银智能化服务体系下，规范运作科学管理，提高了主动服务效率，降低服务成</w:t>
      </w:r>
      <w:r>
        <w:rPr>
          <w:spacing w:val="-67"/>
        </w:rPr>
        <w:t> </w:t>
      </w:r>
      <w:r>
        <w:rPr>
          <w:spacing w:val="-67"/>
        </w:rPr>
      </w:r>
      <w:r>
        <w:rPr/>
        <w:t>本，广州总部在</w:t>
      </w:r>
      <w:r>
        <w:rPr>
          <w:rFonts w:ascii="Times New Roman" w:hAnsi="Times New Roman" w:cs="Times New Roman" w:eastAsia="Times New Roman" w:hint="default"/>
        </w:rPr>
        <w:t>2015</w:t>
      </w:r>
      <w:r>
        <w:rPr/>
        <w:t>年陆续收到客户主动发来的锦旗和书面表扬信达</w:t>
      </w:r>
      <w:r>
        <w:rPr>
          <w:rFonts w:ascii="Times New Roman" w:hAnsi="Times New Roman" w:cs="Times New Roman" w:eastAsia="Times New Roman" w:hint="default"/>
        </w:rPr>
        <w:t>251</w:t>
      </w:r>
      <w:r>
        <w:rPr/>
        <w:t>份，高度赞扬了各地客服人员的敬业精神，对御银 提供的优质高效的服务表示由衷的感谢。</w:t>
      </w:r>
    </w:p>
    <w:p>
      <w:pPr>
        <w:pStyle w:val="BodyText"/>
        <w:spacing w:line="316" w:lineRule="auto" w:before="24"/>
        <w:ind w:right="151" w:firstLine="360"/>
        <w:jc w:val="both"/>
      </w:pPr>
      <w:r>
        <w:rPr>
          <w:spacing w:val="-2"/>
        </w:rPr>
        <w:t>在完善激励机制方面，公司坚持“以人为本”的管理理念，继续加大各类人才的培养，调整和优化人才结构，前瞻性地</w:t>
      </w:r>
      <w:r>
        <w:rPr/>
        <w:t> </w:t>
      </w:r>
      <w:r>
        <w:rPr>
          <w:spacing w:val="-1"/>
        </w:rPr>
        <w:t>做好人力资源储备，构筑人力资本优势。本报告年度公司完成第一期员工持股计划，参与员工总人数</w:t>
      </w:r>
      <w:r>
        <w:rPr>
          <w:rFonts w:ascii="Times New Roman" w:hAnsi="Times New Roman" w:cs="Times New Roman" w:eastAsia="Times New Roman" w:hint="default"/>
          <w:spacing w:val="-1"/>
        </w:rPr>
        <w:t>62</w:t>
      </w:r>
      <w:r>
        <w:rPr>
          <w:spacing w:val="-1"/>
        </w:rPr>
        <w:t>人，购买均价</w:t>
      </w:r>
      <w:r>
        <w:rPr>
          <w:rFonts w:ascii="Times New Roman" w:hAnsi="Times New Roman" w:cs="Times New Roman" w:eastAsia="Times New Roman" w:hint="default"/>
          <w:spacing w:val="-1"/>
        </w:rPr>
        <w:t>8.63</w:t>
      </w:r>
      <w:r>
        <w:rPr>
          <w:spacing w:val="-1"/>
        </w:rPr>
        <w:t>元</w:t>
      </w:r>
    </w:p>
    <w:p>
      <w:pPr>
        <w:pStyle w:val="BodyText"/>
        <w:spacing w:line="307" w:lineRule="auto"/>
        <w:ind w:right="150"/>
        <w:jc w:val="both"/>
      </w:pPr>
      <w:r>
        <w:rPr>
          <w:rFonts w:ascii="Times New Roman" w:hAnsi="Times New Roman" w:cs="Times New Roman" w:eastAsia="Times New Roman" w:hint="default"/>
          <w:spacing w:val="-2"/>
        </w:rPr>
        <w:t>/</w:t>
      </w:r>
      <w:r>
        <w:rPr>
          <w:spacing w:val="-2"/>
        </w:rPr>
        <w:t>股，购买数量</w:t>
      </w:r>
      <w:r>
        <w:rPr>
          <w:rFonts w:ascii="Times New Roman" w:hAnsi="Times New Roman" w:cs="Times New Roman" w:eastAsia="Times New Roman" w:hint="default"/>
          <w:spacing w:val="-2"/>
        </w:rPr>
        <w:t>4,037,985</w:t>
      </w:r>
      <w:r>
        <w:rPr>
          <w:spacing w:val="-2"/>
        </w:rPr>
        <w:t>股，占公司总股本的比例为</w:t>
      </w:r>
      <w:r>
        <w:rPr>
          <w:rFonts w:ascii="Times New Roman" w:hAnsi="Times New Roman" w:cs="Times New Roman" w:eastAsia="Times New Roman" w:hint="default"/>
          <w:spacing w:val="-2"/>
        </w:rPr>
        <w:t>0.53%</w:t>
      </w:r>
      <w:r>
        <w:rPr>
          <w:spacing w:val="-2"/>
        </w:rPr>
        <w:t>。此后公司继续推行第二期员工持股计划，参与员工总人数不超过</w:t>
      </w:r>
      <w:r>
        <w:rPr>
          <w:spacing w:val="-31"/>
        </w:rPr>
        <w:t> </w:t>
      </w:r>
      <w:r>
        <w:rPr>
          <w:spacing w:val="-31"/>
        </w:rPr>
      </w:r>
      <w:r>
        <w:rPr>
          <w:rFonts w:ascii="Times New Roman" w:hAnsi="Times New Roman" w:cs="Times New Roman" w:eastAsia="Times New Roman" w:hint="default"/>
        </w:rPr>
        <w:t>48</w:t>
      </w:r>
      <w:r>
        <w:rPr/>
        <w:t>人，资金总额不超过</w:t>
      </w:r>
      <w:r>
        <w:rPr>
          <w:rFonts w:ascii="Times New Roman" w:hAnsi="Times New Roman" w:cs="Times New Roman" w:eastAsia="Times New Roman" w:hint="default"/>
        </w:rPr>
        <w:t>3,470</w:t>
      </w:r>
      <w:r>
        <w:rPr/>
        <w:t>万元。在连续两期的员工持股计划的激励下，公司各层级人员的积极性和主观创造性被极大调 </w:t>
      </w:r>
      <w:r>
        <w:rPr>
          <w:spacing w:val="-2"/>
        </w:rPr>
        <w:t>动，推动公司整体运营能力提升。公司将进一步丰富多样化的薪酬和激励体系，增强公司与管理层及核心骨干员工共同持续</w:t>
      </w:r>
      <w:r>
        <w:rPr>
          <w:spacing w:val="-63"/>
        </w:rPr>
        <w:t> </w:t>
      </w:r>
      <w:r>
        <w:rPr>
          <w:spacing w:val="-63"/>
        </w:rPr>
      </w:r>
      <w:r>
        <w:rPr/>
        <w:t>发展的理念。</w:t>
      </w:r>
    </w:p>
    <w:p>
      <w:pPr>
        <w:pStyle w:val="BodyText"/>
        <w:spacing w:line="300" w:lineRule="auto" w:before="26"/>
        <w:ind w:right="149" w:firstLine="360"/>
        <w:jc w:val="both"/>
      </w:pPr>
      <w:r>
        <w:rPr/>
        <w:t>在资质荣誉方面，公司及子公司取得了</w:t>
      </w:r>
      <w:r>
        <w:rPr>
          <w:rFonts w:ascii="Times New Roman" w:hAnsi="Times New Roman" w:cs="Times New Roman" w:eastAsia="Times New Roman" w:hint="default"/>
        </w:rPr>
        <w:t>5</w:t>
      </w:r>
      <w:r>
        <w:rPr/>
        <w:t>项外观设计专利、</w:t>
      </w:r>
      <w:r>
        <w:rPr>
          <w:rFonts w:ascii="Times New Roman" w:hAnsi="Times New Roman" w:cs="Times New Roman" w:eastAsia="Times New Roman" w:hint="default"/>
        </w:rPr>
        <w:t>39</w:t>
      </w:r>
      <w:r>
        <w:rPr/>
        <w:t>项实用新型专利、</w:t>
      </w:r>
      <w:r>
        <w:rPr>
          <w:rFonts w:ascii="Times New Roman" w:hAnsi="Times New Roman" w:cs="Times New Roman" w:eastAsia="Times New Roman" w:hint="default"/>
        </w:rPr>
        <w:t>10</w:t>
      </w:r>
      <w:r>
        <w:rPr/>
        <w:t>项软件产品登记证书、</w:t>
      </w:r>
      <w:r>
        <w:rPr>
          <w:rFonts w:ascii="Times New Roman" w:hAnsi="Times New Roman" w:cs="Times New Roman" w:eastAsia="Times New Roman" w:hint="default"/>
        </w:rPr>
        <w:t>13</w:t>
      </w:r>
      <w:r>
        <w:rPr/>
        <w:t>项计算机软 件著作权登记证书、</w:t>
      </w:r>
      <w:r>
        <w:rPr>
          <w:rFonts w:ascii="Times New Roman" w:hAnsi="Times New Roman" w:cs="Times New Roman" w:eastAsia="Times New Roman" w:hint="default"/>
        </w:rPr>
        <w:t>7</w:t>
      </w:r>
      <w:r>
        <w:rPr/>
        <w:t>项资格认证证书、</w:t>
      </w:r>
      <w:r>
        <w:rPr>
          <w:rFonts w:ascii="Times New Roman" w:hAnsi="Times New Roman" w:cs="Times New Roman" w:eastAsia="Times New Roman" w:hint="default"/>
        </w:rPr>
        <w:t>11</w:t>
      </w:r>
      <w:r>
        <w:rPr/>
        <w:t>项产品认证证书；公司已经连续八年获得“广东省诚信示范企业”，连续九年获 </w:t>
      </w:r>
      <w:r>
        <w:rPr>
          <w:spacing w:val="-2"/>
        </w:rPr>
        <w:t>得“广东省守合同重信用企业”。在</w:t>
      </w:r>
      <w:r>
        <w:rPr>
          <w:rFonts w:ascii="Times New Roman" w:hAnsi="Times New Roman" w:cs="Times New Roman" w:eastAsia="Times New Roman" w:hint="default"/>
          <w:spacing w:val="-2"/>
        </w:rPr>
        <w:t>2015</w:t>
      </w:r>
      <w:r>
        <w:rPr>
          <w:spacing w:val="-2"/>
        </w:rPr>
        <w:t>首届粤港澳总部经济高峰论坛中，凭借在金融自助设备行业内的创新成果荣获组委</w:t>
      </w:r>
      <w:r>
        <w:rPr>
          <w:spacing w:val="-61"/>
        </w:rPr>
        <w:t> </w:t>
      </w:r>
      <w:r>
        <w:rPr>
          <w:spacing w:val="-61"/>
        </w:rPr>
      </w:r>
      <w:r>
        <w:rPr/>
        <w:t>会颁发的“最具创新力总部企业”奖。</w:t>
      </w:r>
    </w:p>
    <w:p>
      <w:pPr>
        <w:pStyle w:val="BodyText"/>
        <w:spacing w:line="316" w:lineRule="auto" w:before="32"/>
        <w:ind w:right="150" w:firstLine="360"/>
        <w:jc w:val="both"/>
      </w:pPr>
      <w:r>
        <w:rPr>
          <w:spacing w:val="-2"/>
        </w:rPr>
        <w:t>随着公司上市以后，尤其是近两年公司战略发展规划日渐清晰并逐步得到落实，公司竞争优势、品牌影响力得到进一步</w:t>
      </w:r>
      <w:r>
        <w:rPr/>
        <w:t> </w:t>
      </w:r>
      <w:r>
        <w:rPr>
          <w:spacing w:val="-2"/>
        </w:rPr>
        <w:t>提升。在此基础上，董事会和经营管理团队将继续秉持敢为人先的创新精神和务实进取的开拓精神，推动公司整体业务规模</w:t>
      </w:r>
      <w:r>
        <w:rPr>
          <w:spacing w:val="-66"/>
        </w:rPr>
        <w:t> </w:t>
      </w:r>
      <w:r>
        <w:rPr>
          <w:spacing w:val="-66"/>
        </w:rPr>
      </w:r>
      <w:r>
        <w:rPr/>
        <w:t>和产业领域升级，努力成为推动行业发展的开拓者和领导者，为股东及利益相关者创造更大的价值。</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参见“管理层讨论与分析”中的“一、概述”相关内容。</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5"/>
        <w:gridCol w:w="1489"/>
        <w:gridCol w:w="1591"/>
        <w:gridCol w:w="1599"/>
        <w:gridCol w:w="1588"/>
        <w:gridCol w:w="1597"/>
      </w:tblGrid>
      <w:tr>
        <w:trPr>
          <w:trHeight w:val="206" w:hRule="exact"/>
        </w:trPr>
        <w:tc>
          <w:tcPr>
            <w:tcW w:w="170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705" w:type="dxa"/>
            <w:vMerge w:val="restart"/>
            <w:tcBorders>
              <w:top w:val="nil" w:sz="6" w:space="0" w:color="auto"/>
              <w:left w:val="single" w:sz="4" w:space="0" w:color="000000"/>
              <w:right w:val="single" w:sz="4" w:space="0" w:color="000000"/>
            </w:tcBorders>
            <w:shd w:val="clear" w:color="auto" w:fill="D2D2D2"/>
          </w:tcPr>
          <w:p>
            <w:pPr/>
          </w:p>
        </w:tc>
        <w:tc>
          <w:tcPr>
            <w:tcW w:w="3080"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705" w:type="dxa"/>
            <w:vMerge/>
            <w:tcBorders>
              <w:left w:val="single" w:sz="4" w:space="0" w:color="000000"/>
              <w:bottom w:val="nil" w:sz="6" w:space="0" w:color="auto"/>
              <w:right w:val="single" w:sz="4" w:space="0" w:color="000000"/>
            </w:tcBorders>
            <w:shd w:val="clear" w:color="auto" w:fill="D2D2D2"/>
          </w:tcPr>
          <w:p>
            <w:pPr/>
          </w:p>
        </w:tc>
        <w:tc>
          <w:tcPr>
            <w:tcW w:w="14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9"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8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1,097,003,512.37</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971,711,483.42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12.89%</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1,097,003,512.37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971,711,483.42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12.89%</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777,506,706.66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70.88%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596,630,347.35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61.40%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30.32%</w:t>
            </w:r>
          </w:p>
        </w:tc>
      </w:tr>
      <w:tr>
        <w:trPr>
          <w:trHeight w:val="40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115,693,499.56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132,466,288.90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-12.66%</w:t>
            </w:r>
          </w:p>
        </w:tc>
      </w:tr>
      <w:tr>
        <w:trPr>
          <w:trHeight w:val="401"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72,474,169.21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169,852,176.47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-57.33%</w:t>
            </w:r>
          </w:p>
        </w:tc>
      </w:tr>
      <w:tr>
        <w:trPr>
          <w:trHeight w:val="40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技术、金融服务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67,809,279.60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61,218,119.29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10.77%</w:t>
            </w:r>
          </w:p>
        </w:tc>
      </w:tr>
      <w:tr>
        <w:trPr>
          <w:trHeight w:val="401"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63,519,857.34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11,544,551.41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450.22%</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59,448,537.41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28,820,210.67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106.27%</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702"/>
        <w:gridCol w:w="1489"/>
        <w:gridCol w:w="1594"/>
        <w:gridCol w:w="1596"/>
        <w:gridCol w:w="1594"/>
        <w:gridCol w:w="1594"/>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广东（除广州）地区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181,115,492.40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237,258,909.40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-23.66%</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856,439,482.56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78.07%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705,632,363.35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72.61%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21.37%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419"/>
        <w:gridCol w:w="1274"/>
        <w:gridCol w:w="932"/>
        <w:gridCol w:w="1366"/>
        <w:gridCol w:w="1369"/>
        <w:gridCol w:w="1370"/>
      </w:tblGrid>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1,097,003,512.37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693,442,098.81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777,506,706.66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502,799,623.87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115,693,499.56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91,018,232.40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-11.56%</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融资租赁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72,474,169.21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39,673,858.51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11.81%</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技术、金融服务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67,809,279.60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27,291,148.69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-11.80%</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63,519,857.34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32,659,235.34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35.15%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59,448,537.41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39,783,661.94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-12.98%</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广东（除广州）地区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181,115,492.41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130,324,300.86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-12.96%</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856,439,482.56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523,334,136.01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-0.80%</w:t>
            </w:r>
          </w:p>
        </w:tc>
      </w:tr>
    </w:tbl>
    <w:p>
      <w:pPr>
        <w:pStyle w:val="BodyText"/>
        <w:spacing w:line="240" w:lineRule="auto" w:before="49"/>
        <w:ind w:right="15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33.05%</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35.58%</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33.89%</w:t>
            </w:r>
          </w:p>
        </w:tc>
      </w:tr>
    </w:tbl>
    <w:p>
      <w:pPr>
        <w:pStyle w:val="BodyText"/>
        <w:spacing w:line="240" w:lineRule="auto" w:before="49"/>
        <w:ind w:right="15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53"/>
        <w:jc w:val="left"/>
      </w:pPr>
      <w:r>
        <w:rPr/>
        <w:t>①报告期内公司销售量较去年同期增长</w:t>
      </w:r>
      <w:r>
        <w:rPr>
          <w:rFonts w:ascii="Times New Roman" w:hAnsi="Times New Roman" w:cs="Times New Roman" w:eastAsia="Times New Roman" w:hint="default"/>
        </w:rPr>
        <w:t>33.05%</w:t>
      </w:r>
      <w:r>
        <w:rPr/>
        <w:t>，主要原因是中国建设银行销售订单大幅增加所致；</w:t>
      </w:r>
    </w:p>
    <w:p>
      <w:pPr>
        <w:pStyle w:val="BodyText"/>
        <w:spacing w:line="240" w:lineRule="auto" w:before="63"/>
        <w:ind w:right="153"/>
        <w:jc w:val="left"/>
      </w:pPr>
      <w:r>
        <w:rPr/>
        <w:t>②报告期内公司生产量较去年同期增长</w:t>
      </w:r>
      <w:r>
        <w:rPr>
          <w:rFonts w:ascii="Times New Roman" w:hAnsi="Times New Roman" w:cs="Times New Roman" w:eastAsia="Times New Roman" w:hint="default"/>
        </w:rPr>
        <w:t>35.58%</w:t>
      </w:r>
      <w:r>
        <w:rPr/>
        <w:t>，主要原因是随着销售订单的增加，生产量相应增加所致；</w:t>
      </w:r>
    </w:p>
    <w:p>
      <w:pPr>
        <w:pStyle w:val="BodyText"/>
        <w:spacing w:line="240" w:lineRule="auto" w:before="63"/>
        <w:ind w:right="153"/>
        <w:jc w:val="left"/>
      </w:pPr>
      <w:r>
        <w:rPr/>
        <w:t>③报告期内公司库存量较去年同期增长</w:t>
      </w:r>
      <w:r>
        <w:rPr>
          <w:rFonts w:ascii="Times New Roman" w:hAnsi="Times New Roman" w:cs="Times New Roman" w:eastAsia="Times New Roman" w:hint="default"/>
        </w:rPr>
        <w:t>33.89%</w:t>
      </w:r>
      <w:r>
        <w:rPr/>
        <w:t>，主要原因是发出商品增加所致。</w:t>
      </w:r>
    </w:p>
    <w:p>
      <w:pPr>
        <w:spacing w:after="0" w:line="240" w:lineRule="auto"/>
        <w:jc w:val="left"/>
        <w:sectPr>
          <w:pgSz w:w="11910" w:h="16840"/>
          <w:pgMar w:header="786" w:footer="1021" w:top="1100" w:bottom="1220" w:left="980" w:right="980"/>
        </w:sectPr>
      </w:pPr>
    </w:p>
    <w:p>
      <w:pPr>
        <w:spacing w:line="240" w:lineRule="auto" w:before="9"/>
        <w:rPr>
          <w:rFonts w:ascii="宋体" w:hAnsi="宋体" w:cs="宋体" w:eastAsia="宋体" w:hint="default"/>
          <w:sz w:val="21"/>
          <w:szCs w:val="21"/>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4" w:firstLine="360"/>
        <w:jc w:val="left"/>
      </w:pPr>
      <w:r>
        <w:rPr/>
        <w:t>公司</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spacing w:val="-1"/>
        </w:rPr>
        <w:t>年底中标中国建设银行股份有限公司</w:t>
      </w:r>
      <w:r>
        <w:rPr>
          <w:spacing w:val="-48"/>
        </w:rPr>
        <w:t> </w:t>
      </w:r>
      <w:r>
        <w:rPr>
          <w:rFonts w:ascii="Times New Roman" w:hAnsi="Times New Roman" w:cs="Times New Roman" w:eastAsia="Times New Roman" w:hint="default"/>
          <w:spacing w:val="-1"/>
        </w:rPr>
        <w:t>2014-2015 </w:t>
      </w:r>
      <w:r>
        <w:rPr>
          <w:spacing w:val="-2"/>
        </w:rPr>
        <w:t>年度</w:t>
      </w:r>
      <w:r>
        <w:rPr>
          <w:spacing w:val="-48"/>
        </w:rPr>
        <w:t> </w:t>
      </w:r>
      <w:r>
        <w:rPr>
          <w:rFonts w:ascii="Times New Roman" w:hAnsi="Times New Roman" w:cs="Times New Roman" w:eastAsia="Times New Roman" w:hint="default"/>
          <w:spacing w:val="-8"/>
          <w:w w:val="99"/>
        </w:rPr>
        <w:t>ATM</w:t>
      </w:r>
      <w:r>
        <w:rPr>
          <w:rFonts w:ascii="Times New Roman" w:hAnsi="Times New Roman" w:cs="Times New Roman" w:eastAsia="Times New Roman" w:hint="default"/>
          <w:spacing w:val="-1"/>
          <w:w w:val="99"/>
        </w:rPr>
        <w:t> </w:t>
      </w:r>
      <w:r>
        <w:rPr>
          <w:spacing w:val="-6"/>
        </w:rPr>
        <w:t>采购项目中标公示（招标编号：</w:t>
      </w:r>
      <w:r>
        <w:rPr>
          <w:rFonts w:ascii="Times New Roman" w:hAnsi="Times New Roman" w:cs="Times New Roman" w:eastAsia="Times New Roman" w:hint="default"/>
          <w:spacing w:val="-6"/>
        </w:rPr>
        <w:t>0733-147912525101</w:t>
      </w:r>
      <w:r>
        <w:rPr>
          <w:spacing w:val="-6"/>
        </w:rPr>
        <w:t>）</w:t>
      </w:r>
      <w:r>
        <w:rPr/>
        <w:t> 及中国建设银行股份有限公司</w:t>
      </w:r>
      <w:r>
        <w:rPr>
          <w:spacing w:val="-48"/>
        </w:rPr>
        <w:t> </w:t>
      </w:r>
      <w:r>
        <w:rPr>
          <w:rFonts w:ascii="Times New Roman" w:hAnsi="Times New Roman" w:cs="Times New Roman" w:eastAsia="Times New Roman" w:hint="default"/>
        </w:rPr>
        <w:t>2014-2015</w:t>
      </w:r>
      <w:r>
        <w:rPr>
          <w:rFonts w:ascii="Times New Roman" w:hAnsi="Times New Roman" w:cs="Times New Roman" w:eastAsia="Times New Roman" w:hint="default"/>
          <w:spacing w:val="-2"/>
        </w:rPr>
        <w:t> </w:t>
      </w:r>
      <w:r>
        <w:rPr/>
        <w:t>年度一体机（国产）采购项目中标公示（招标编号：</w:t>
      </w:r>
      <w:r>
        <w:rPr>
          <w:rFonts w:ascii="Times New Roman" w:hAnsi="Times New Roman" w:cs="Times New Roman" w:eastAsia="Times New Roman" w:hint="default"/>
        </w:rPr>
        <w:t>0733-147912525201</w:t>
      </w:r>
      <w:r>
        <w:rPr/>
        <w:t>），详细</w:t>
      </w:r>
    </w:p>
    <w:p>
      <w:pPr>
        <w:pStyle w:val="BodyText"/>
        <w:spacing w:line="300" w:lineRule="auto" w:before="13"/>
        <w:ind w:right="210"/>
        <w:jc w:val="both"/>
      </w:pPr>
      <w:r>
        <w:rPr/>
        <w:t>情况请参见公司</w:t>
      </w:r>
      <w:r>
        <w:rPr>
          <w:spacing w:val="-1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日刊登在《中国证券报》、《上海证券报》、《证券时报》及巨潮资讯网的《关于中标的 提示性公告》（</w:t>
      </w:r>
      <w:r>
        <w:rPr>
          <w:rFonts w:ascii="Times New Roman" w:hAnsi="Times New Roman" w:cs="Times New Roman" w:eastAsia="Times New Roman" w:hint="default"/>
        </w:rPr>
        <w:t>2014-045</w:t>
      </w:r>
      <w:r>
        <w:rPr/>
        <w:t>），随后公司与建设银行签订《</w:t>
      </w:r>
      <w:r>
        <w:rPr>
          <w:rFonts w:ascii="Times New Roman" w:hAnsi="Times New Roman" w:cs="Times New Roman" w:eastAsia="Times New Roman" w:hint="default"/>
        </w:rPr>
        <w:t>ATM</w:t>
      </w:r>
      <w:r>
        <w:rPr>
          <w:rFonts w:ascii="Times New Roman" w:hAnsi="Times New Roman" w:cs="Times New Roman" w:eastAsia="Times New Roman" w:hint="default"/>
          <w:spacing w:val="-8"/>
        </w:rPr>
        <w:t> </w:t>
      </w:r>
      <w:r>
        <w:rPr/>
        <w:t>采购框架合同》《一体机采购框架合同》，并于报告期内陆 续收到该框架合同下的五批订单，订单总金额约</w:t>
      </w:r>
      <w:r>
        <w:rPr>
          <w:spacing w:val="-52"/>
        </w:rPr>
        <w:t> </w:t>
      </w:r>
      <w:r>
        <w:rPr>
          <w:rFonts w:ascii="Times New Roman" w:hAnsi="Times New Roman" w:cs="Times New Roman" w:eastAsia="Times New Roman" w:hint="default"/>
        </w:rPr>
        <w:t>75,600</w:t>
      </w:r>
      <w:r>
        <w:rPr>
          <w:rFonts w:ascii="Times New Roman" w:hAnsi="Times New Roman" w:cs="Times New Roman" w:eastAsia="Times New Roman" w:hint="default"/>
          <w:spacing w:val="-7"/>
        </w:rPr>
        <w:t> </w:t>
      </w:r>
      <w:r>
        <w:rPr/>
        <w:t>万元。截至报告期末，该合同累计实现销售收入</w:t>
      </w:r>
      <w:r>
        <w:rPr>
          <w:spacing w:val="-52"/>
        </w:rPr>
        <w:t> </w:t>
      </w:r>
      <w:r>
        <w:rPr>
          <w:rFonts w:ascii="Times New Roman" w:hAnsi="Times New Roman" w:cs="Times New Roman" w:eastAsia="Times New Roman" w:hint="default"/>
        </w:rPr>
        <w:t>44,491.63</w:t>
      </w:r>
      <w:r>
        <w:rPr>
          <w:rFonts w:ascii="Times New Roman" w:hAnsi="Times New Roman" w:cs="Times New Roman" w:eastAsia="Times New Roman" w:hint="default"/>
          <w:spacing w:val="-7"/>
        </w:rPr>
        <w:t> </w:t>
      </w:r>
      <w:r>
        <w:rPr>
          <w:spacing w:val="-4"/>
        </w:rPr>
        <w:t>万元，该</w:t>
      </w:r>
    </w:p>
    <w:p>
      <w:pPr>
        <w:pStyle w:val="BodyText"/>
        <w:spacing w:line="240" w:lineRule="auto" w:before="13"/>
        <w:ind w:right="0"/>
        <w:jc w:val="both"/>
      </w:pPr>
      <w:r>
        <w:rPr/>
        <w:t>合同项下产生应收账款累计</w:t>
      </w:r>
      <w:r>
        <w:rPr>
          <w:spacing w:val="-46"/>
        </w:rPr>
        <w:t> </w:t>
      </w:r>
      <w:r>
        <w:rPr>
          <w:rFonts w:ascii="Times New Roman" w:hAnsi="Times New Roman" w:cs="Times New Roman" w:eastAsia="Times New Roman" w:hint="default"/>
        </w:rPr>
        <w:t>52,055.21</w:t>
      </w:r>
      <w:r>
        <w:rPr>
          <w:rFonts w:ascii="Times New Roman" w:hAnsi="Times New Roman" w:cs="Times New Roman" w:eastAsia="Times New Roman" w:hint="default"/>
          <w:spacing w:val="1"/>
        </w:rPr>
        <w:t> </w:t>
      </w:r>
      <w:r>
        <w:rPr/>
        <w:t>万元，截至报告期末已经收到</w:t>
      </w:r>
      <w:r>
        <w:rPr>
          <w:spacing w:val="-47"/>
        </w:rPr>
        <w:t> </w:t>
      </w:r>
      <w:r>
        <w:rPr>
          <w:rFonts w:ascii="Times New Roman" w:hAnsi="Times New Roman" w:cs="Times New Roman" w:eastAsia="Times New Roman" w:hint="default"/>
        </w:rPr>
        <w:t>31,510.46 </w:t>
      </w:r>
      <w:r>
        <w:rPr/>
        <w:t>万元。</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4"/>
        <w:jc w:val="left"/>
      </w:pPr>
      <w:r>
        <w:rPr/>
        <w:t>行业和产品分类</w:t>
      </w:r>
    </w:p>
    <w:p>
      <w:pPr>
        <w:pStyle w:val="BodyText"/>
        <w:spacing w:line="240" w:lineRule="auto" w:before="115"/>
        <w:ind w:left="0" w:right="21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265"/>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6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693,442,098.81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581,090,436.34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19.33%</w:t>
            </w:r>
          </w:p>
        </w:tc>
      </w:tr>
    </w:tbl>
    <w:p>
      <w:pPr>
        <w:pStyle w:val="BodyText"/>
        <w:spacing w:line="240" w:lineRule="auto" w:before="49"/>
        <w:ind w:left="0" w:right="21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035"/>
        <w:gridCol w:w="1368"/>
        <w:gridCol w:w="1366"/>
        <w:gridCol w:w="1368"/>
        <w:gridCol w:w="1366"/>
        <w:gridCol w:w="1282"/>
      </w:tblGrid>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0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8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502,799,623.87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351,741,787.43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60.53%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42.95%</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91,018,232.40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88,892,677.44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39,673,858.51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113,042,328.76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-64.90%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技术、金融服务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27,291,148.69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17,419,185.62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56.67%</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32,659,235.34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9,994,457.09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226.77%</w:t>
            </w:r>
          </w:p>
        </w:tc>
      </w:tr>
    </w:tbl>
    <w:p>
      <w:pPr>
        <w:pStyle w:val="BodyText"/>
        <w:spacing w:line="240" w:lineRule="auto" w:before="49"/>
        <w:ind w:right="114"/>
        <w:jc w:val="left"/>
      </w:pPr>
      <w:r>
        <w:rPr/>
        <w:t>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49"/>
        <w:gridCol w:w="1380"/>
        <w:gridCol w:w="2026"/>
        <w:gridCol w:w="2055"/>
        <w:gridCol w:w="1272"/>
      </w:tblGrid>
      <w:tr>
        <w:trPr>
          <w:trHeight w:val="427" w:hRule="exact"/>
        </w:trPr>
        <w:tc>
          <w:tcPr>
            <w:tcW w:w="2749" w:type="dxa"/>
            <w:tcBorders>
              <w:top w:val="single" w:sz="4" w:space="0" w:color="000000"/>
              <w:left w:val="single" w:sz="4" w:space="0" w:color="000000"/>
              <w:bottom w:val="single" w:sz="8" w:space="0" w:color="000000"/>
              <w:right w:val="single" w:sz="8"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成本要素</w:t>
            </w:r>
          </w:p>
        </w:tc>
        <w:tc>
          <w:tcPr>
            <w:tcW w:w="1380" w:type="dxa"/>
            <w:tcBorders>
              <w:top w:val="single" w:sz="4"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c>
          <w:tcPr>
            <w:tcW w:w="2026" w:type="dxa"/>
            <w:tcBorders>
              <w:top w:val="single" w:sz="4"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055" w:type="dxa"/>
            <w:tcBorders>
              <w:top w:val="single" w:sz="4"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left="6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1272" w:type="dxa"/>
            <w:tcBorders>
              <w:top w:val="single" w:sz="4"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变动</w:t>
            </w:r>
          </w:p>
        </w:tc>
      </w:tr>
      <w:tr>
        <w:trPr>
          <w:trHeight w:val="422" w:hRule="exact"/>
        </w:trPr>
        <w:tc>
          <w:tcPr>
            <w:tcW w:w="274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93.86%</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93.06%</w:t>
            </w:r>
          </w:p>
        </w:tc>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90.81%</w:t>
            </w:r>
          </w:p>
        </w:tc>
        <w:tc>
          <w:tcPr>
            <w:tcW w:w="127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5"/>
              <w:ind w:right="-1"/>
              <w:jc w:val="right"/>
              <w:rPr>
                <w:rFonts w:ascii="Times New Roman" w:hAnsi="Times New Roman" w:cs="Times New Roman" w:eastAsia="Times New Roman" w:hint="default"/>
                <w:sz w:val="18"/>
                <w:szCs w:val="18"/>
              </w:rPr>
            </w:pPr>
            <w:r>
              <w:rPr>
                <w:rFonts w:ascii="Times New Roman"/>
                <w:sz w:val="18"/>
              </w:rPr>
              <w:t>0.80%</w:t>
            </w:r>
          </w:p>
        </w:tc>
      </w:tr>
      <w:tr>
        <w:trPr>
          <w:trHeight w:val="422" w:hRule="exact"/>
        </w:trPr>
        <w:tc>
          <w:tcPr>
            <w:tcW w:w="274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直接人工及制造费用</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6.14%</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6.94%</w:t>
            </w:r>
          </w:p>
        </w:tc>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9.19%</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-2.25%</w:t>
            </w:r>
          </w:p>
        </w:tc>
      </w:tr>
      <w:tr>
        <w:trPr>
          <w:trHeight w:val="422" w:hRule="exact"/>
        </w:trPr>
        <w:tc>
          <w:tcPr>
            <w:tcW w:w="274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100.00%</w:t>
            </w:r>
          </w:p>
        </w:tc>
        <w:tc>
          <w:tcPr>
            <w:tcW w:w="2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100.00%</w:t>
            </w:r>
          </w:p>
        </w:tc>
        <w:tc>
          <w:tcPr>
            <w:tcW w:w="1272"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021" w:top="1100" w:bottom="1220" w:left="980" w:right="920"/>
        </w:sectPr>
      </w:pPr>
    </w:p>
    <w:p>
      <w:pPr>
        <w:spacing w:line="240" w:lineRule="auto" w:before="9"/>
        <w:rPr>
          <w:rFonts w:ascii="宋体" w:hAnsi="宋体" w:cs="宋体" w:eastAsia="宋体" w:hint="default"/>
          <w:sz w:val="21"/>
          <w:szCs w:val="21"/>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675,281,244.38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61.56%</w:t>
            </w:r>
          </w:p>
        </w:tc>
      </w:tr>
    </w:tbl>
    <w:p>
      <w:pPr>
        <w:pStyle w:val="BodyText"/>
        <w:spacing w:line="240" w:lineRule="auto" w:before="49"/>
        <w:ind w:right="15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6"/>
        <w:gridCol w:w="3317"/>
        <w:gridCol w:w="2321"/>
        <w:gridCol w:w="3145"/>
      </w:tblGrid>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第一名客户</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512,763,812.69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46.74%</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第二名客户</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50,241,742.45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第三名客户</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40,631,238.79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第四名客户</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37,798,746.92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第五名客户</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33,845,703.53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675,281,244.38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61.56%</w:t>
            </w:r>
          </w:p>
        </w:tc>
      </w:tr>
    </w:tbl>
    <w:p>
      <w:pPr>
        <w:pStyle w:val="BodyText"/>
        <w:spacing w:line="240" w:lineRule="auto" w:before="49"/>
        <w:ind w:right="153"/>
        <w:jc w:val="left"/>
      </w:pPr>
      <w:r>
        <w:rPr/>
        <w:t>主要客户其他情况说明</w:t>
      </w:r>
    </w:p>
    <w:p>
      <w:pPr>
        <w:pStyle w:val="BodyText"/>
        <w:spacing w:line="338" w:lineRule="auto" w:before="117"/>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444,307,218.00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64.63%</w:t>
            </w:r>
          </w:p>
        </w:tc>
      </w:tr>
    </w:tbl>
    <w:p>
      <w:pPr>
        <w:pStyle w:val="BodyText"/>
        <w:spacing w:line="240" w:lineRule="auto" w:before="49"/>
        <w:ind w:right="15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第一名供应商</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331,353,500.50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48.20%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第二名供应商</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43,621,412.59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第三名供应商</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26,330,097.70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第四名供应商</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25,331,640.67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第五名供应商</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17,670,566.54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444,307,218.00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64.63%</w:t>
            </w:r>
          </w:p>
        </w:tc>
      </w:tr>
    </w:tbl>
    <w:p>
      <w:pPr>
        <w:pStyle w:val="BodyText"/>
        <w:spacing w:line="240" w:lineRule="auto" w:before="49"/>
        <w:ind w:right="153"/>
        <w:jc w:val="left"/>
      </w:pPr>
      <w:r>
        <w:rPr/>
        <w:t>主要供应商其他情况说明</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114,610,835.09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91,817,629.43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24.82%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198,565,084.04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171,877,610.96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17,006,848.24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1,437,529.83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1,083.06%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银行借款利息和汇兑损失增加</w:t>
            </w:r>
          </w:p>
        </w:tc>
      </w:tr>
    </w:tbl>
    <w:p>
      <w:pPr>
        <w:spacing w:after="0" w:line="240" w:lineRule="auto"/>
        <w:jc w:val="left"/>
        <w:rPr>
          <w:rFonts w:ascii="宋体" w:hAnsi="宋体" w:cs="宋体" w:eastAsia="宋体" w:hint="default"/>
          <w:sz w:val="18"/>
          <w:szCs w:val="18"/>
        </w:rPr>
        <w:sectPr>
          <w:pgSz w:w="11910" w:h="16840"/>
          <w:pgMar w:header="786" w:footer="1021" w:top="1100" w:bottom="1220" w:left="980" w:right="980"/>
        </w:sectPr>
      </w:pPr>
    </w:p>
    <w:p>
      <w:pPr>
        <w:spacing w:line="240" w:lineRule="auto" w:before="5"/>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1917"/>
        <w:gridCol w:w="1637"/>
        <w:gridCol w:w="1637"/>
        <w:gridCol w:w="1462"/>
        <w:gridCol w:w="2919"/>
      </w:tblGrid>
      <w:tr>
        <w:trPr>
          <w:trHeight w:val="403" w:hRule="exact"/>
        </w:trPr>
        <w:tc>
          <w:tcPr>
            <w:tcW w:w="1917"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9" w:right="0"/>
              <w:jc w:val="left"/>
              <w:rPr>
                <w:rFonts w:ascii="Times New Roman" w:hAnsi="Times New Roman" w:cs="Times New Roman" w:eastAsia="Times New Roman" w:hint="default"/>
                <w:sz w:val="18"/>
                <w:szCs w:val="18"/>
              </w:rPr>
            </w:pPr>
            <w:r>
              <w:rPr>
                <w:rFonts w:ascii="Times New Roman"/>
                <w:sz w:val="18"/>
              </w:rPr>
              <w:t>1,920,846.54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16,943,178.89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-88.66%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应纳税所得额减少</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14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公司高度重视技术研发，把研究开发作为一项长期性战略性工作持续加大投入，以市场需求为导向，积极落实政府供给</w:t>
      </w:r>
    </w:p>
    <w:p>
      <w:pPr>
        <w:pStyle w:val="BodyText"/>
        <w:spacing w:line="316" w:lineRule="auto" w:before="1"/>
        <w:ind w:right="149"/>
        <w:jc w:val="left"/>
      </w:pPr>
      <w:r>
        <w:rPr>
          <w:spacing w:val="-2"/>
        </w:rPr>
        <w:t>侧结构改革的指导意见，不断突破创新，开发新产品新工艺，使产品持续升级换代，铸造出以核心技术为导向的综合企业竞</w:t>
      </w:r>
      <w:r>
        <w:rPr>
          <w:spacing w:val="-64"/>
        </w:rPr>
        <w:t> </w:t>
      </w:r>
      <w:r>
        <w:rPr>
          <w:spacing w:val="-64"/>
        </w:rPr>
      </w:r>
      <w:r>
        <w:rPr/>
        <w:t>争力。</w:t>
      </w:r>
    </w:p>
    <w:p>
      <w:pPr>
        <w:pStyle w:val="BodyText"/>
        <w:spacing w:line="300" w:lineRule="auto" w:before="19"/>
        <w:ind w:right="156" w:firstLine="360"/>
        <w:jc w:val="both"/>
      </w:pPr>
      <w:r>
        <w:rPr/>
        <w:t>报告期内，公司及子公司取得了</w:t>
      </w:r>
      <w:r>
        <w:rPr>
          <w:rFonts w:ascii="Times New Roman" w:hAnsi="Times New Roman" w:cs="Times New Roman" w:eastAsia="Times New Roman" w:hint="default"/>
        </w:rPr>
        <w:t>5</w:t>
      </w:r>
      <w:r>
        <w:rPr/>
        <w:t>项外观设计专利、</w:t>
      </w:r>
      <w:r>
        <w:rPr>
          <w:rFonts w:ascii="Times New Roman" w:hAnsi="Times New Roman" w:cs="Times New Roman" w:eastAsia="Times New Roman" w:hint="default"/>
        </w:rPr>
        <w:t>39</w:t>
      </w:r>
      <w:r>
        <w:rPr/>
        <w:t>项实用新型专利、</w:t>
      </w:r>
      <w:r>
        <w:rPr>
          <w:rFonts w:ascii="Times New Roman" w:hAnsi="Times New Roman" w:cs="Times New Roman" w:eastAsia="Times New Roman" w:hint="default"/>
        </w:rPr>
        <w:t>10</w:t>
      </w:r>
      <w:r>
        <w:rPr/>
        <w:t>项软件产品登记证书、</w:t>
      </w:r>
      <w:r>
        <w:rPr>
          <w:rFonts w:ascii="Times New Roman" w:hAnsi="Times New Roman" w:cs="Times New Roman" w:eastAsia="Times New Roman" w:hint="default"/>
        </w:rPr>
        <w:t>13</w:t>
      </w:r>
      <w:r>
        <w:rPr/>
        <w:t>项计算机软件著作 权登记证书、</w:t>
      </w:r>
      <w:r>
        <w:rPr>
          <w:rFonts w:ascii="Times New Roman" w:hAnsi="Times New Roman" w:cs="Times New Roman" w:eastAsia="Times New Roman" w:hint="default"/>
        </w:rPr>
        <w:t>7</w:t>
      </w:r>
      <w:r>
        <w:rPr/>
        <w:t>项资格认证证书、</w:t>
      </w:r>
      <w:r>
        <w:rPr>
          <w:rFonts w:ascii="Times New Roman" w:hAnsi="Times New Roman" w:cs="Times New Roman" w:eastAsia="Times New Roman" w:hint="default"/>
        </w:rPr>
        <w:t>11</w:t>
      </w:r>
      <w:r>
        <w:rPr/>
        <w:t>项产品认证证书。在</w:t>
      </w:r>
      <w:r>
        <w:rPr>
          <w:rFonts w:ascii="Times New Roman" w:hAnsi="Times New Roman" w:cs="Times New Roman" w:eastAsia="Times New Roman" w:hint="default"/>
        </w:rPr>
        <w:t>2015</w:t>
      </w:r>
      <w:r>
        <w:rPr/>
        <w:t>首届粤港澳总部经济高峰论坛中，凭借在金融自助设备行业内 的创新成果荣获组委会颁发的“最具创新力总部企业”奖。</w:t>
      </w:r>
    </w:p>
    <w:p>
      <w:pPr>
        <w:pStyle w:val="BodyText"/>
        <w:spacing w:line="240" w:lineRule="auto" w:before="72"/>
        <w:ind w:right="153"/>
        <w:jc w:val="left"/>
      </w:pPr>
      <w:r>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45"/>
        <w:gridCol w:w="1927"/>
        <w:gridCol w:w="2393"/>
        <w:gridCol w:w="2393"/>
      </w:tblGrid>
      <w:tr>
        <w:trPr>
          <w:trHeight w:val="404" w:hRule="exact"/>
        </w:trPr>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w:t>
            </w:r>
          </w:p>
        </w:tc>
      </w:tr>
      <w:tr>
        <w:trPr>
          <w:trHeight w:val="403" w:hRule="exact"/>
        </w:trPr>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98,860,619.59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80,212,338.55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23.25%</w:t>
            </w:r>
          </w:p>
        </w:tc>
      </w:tr>
      <w:tr>
        <w:trPr>
          <w:trHeight w:val="403" w:hRule="exact"/>
        </w:trPr>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0.76%</w:t>
            </w:r>
          </w:p>
        </w:tc>
      </w:tr>
      <w:tr>
        <w:trPr>
          <w:trHeight w:val="401" w:hRule="exact"/>
        </w:trPr>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pPr>
      <w:r>
        <w:rPr/>
        <w:t>研发投入总额占营业收入的比重较上年发生显著变化的原因</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2"/>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53"/>
        <w:gridCol w:w="2119"/>
        <w:gridCol w:w="2393"/>
        <w:gridCol w:w="2393"/>
      </w:tblGrid>
      <w:tr>
        <w:trPr>
          <w:trHeight w:val="401"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1,439,434,808.40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1,044,761,706.93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37.78%</w:t>
            </w:r>
          </w:p>
        </w:tc>
      </w:tr>
      <w:tr>
        <w:trPr>
          <w:trHeight w:val="401"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1,138,998,198.92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868,334,592.87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31.17%</w:t>
            </w:r>
          </w:p>
        </w:tc>
      </w:tr>
      <w:tr>
        <w:trPr>
          <w:trHeight w:val="403"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300,436,609.48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176,427,114.06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70.29%</w:t>
            </w:r>
          </w:p>
        </w:tc>
      </w:tr>
      <w:tr>
        <w:trPr>
          <w:trHeight w:val="401"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2,238,672,409.51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667,689,893.44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235.29%</w:t>
            </w:r>
          </w:p>
        </w:tc>
      </w:tr>
      <w:tr>
        <w:trPr>
          <w:trHeight w:val="404"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2,546,649,677.43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694,509,429.33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266.68%</w:t>
            </w:r>
          </w:p>
        </w:tc>
      </w:tr>
      <w:tr>
        <w:trPr>
          <w:trHeight w:val="401"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-307,977,267.92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-26,819,535.89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-1,048.33%</w:t>
            </w:r>
          </w:p>
        </w:tc>
      </w:tr>
      <w:tr>
        <w:trPr>
          <w:trHeight w:val="403"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505,000,000.00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343,183,009.38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35,749,570.89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859.96%</w:t>
            </w:r>
          </w:p>
        </w:tc>
      </w:tr>
      <w:tr>
        <w:trPr>
          <w:trHeight w:val="403"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161,816,990.62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-35,749,570.89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552.64%</w:t>
            </w:r>
          </w:p>
        </w:tc>
      </w:tr>
      <w:tr>
        <w:trPr>
          <w:trHeight w:val="401"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154,276,332.18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113,858,007.28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35.50%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8"/>
        <w:rPr>
          <w:rFonts w:ascii="宋体" w:hAnsi="宋体" w:cs="宋体" w:eastAsia="宋体" w:hint="default"/>
          <w:sz w:val="22"/>
          <w:szCs w:val="22"/>
        </w:rPr>
      </w:pPr>
    </w:p>
    <w:p>
      <w:pPr>
        <w:pStyle w:val="BodyText"/>
        <w:spacing w:line="240" w:lineRule="auto" w:before="44"/>
        <w:ind w:right="153"/>
        <w:jc w:val="left"/>
      </w:pPr>
      <w:r>
        <w:rPr/>
        <w:t>相关数据同比发生重大变动的主要影响因素说明</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2199"/>
        <w:jc w:val="left"/>
      </w:pPr>
      <w:r>
        <w:rPr/>
        <w:t>（</w:t>
      </w:r>
      <w:r>
        <w:rPr>
          <w:rFonts w:ascii="Times New Roman" w:hAnsi="Times New Roman" w:cs="Times New Roman" w:eastAsia="Times New Roman" w:hint="default"/>
        </w:rPr>
        <w:t>1</w:t>
      </w:r>
      <w:r>
        <w:rPr/>
        <w:t>）经营活动现金流量 报告期内公司经营活动现金流入比去年同期增长</w:t>
      </w:r>
      <w:r>
        <w:rPr>
          <w:rFonts w:ascii="Times New Roman" w:hAnsi="Times New Roman" w:cs="Times New Roman" w:eastAsia="Times New Roman" w:hint="default"/>
        </w:rPr>
        <w:t>37.78%</w:t>
      </w:r>
      <w:r>
        <w:rPr/>
        <w:t>，主要原因是销售收款增加所致； 报告期内公司经营活动现金流出比去年同期增长</w:t>
      </w:r>
      <w:r>
        <w:rPr>
          <w:rFonts w:ascii="Times New Roman" w:hAnsi="Times New Roman" w:cs="Times New Roman" w:eastAsia="Times New Roman" w:hint="default"/>
        </w:rPr>
        <w:t>31.17%</w:t>
      </w:r>
      <w:r>
        <w:rPr/>
        <w:t>，主要原因是原材料采购付款增加所致； 经营活动公司产生的现金量净额比去年同期增长</w:t>
      </w:r>
      <w:r>
        <w:rPr>
          <w:rFonts w:ascii="Times New Roman" w:hAnsi="Times New Roman" w:cs="Times New Roman" w:eastAsia="Times New Roman" w:hint="default"/>
        </w:rPr>
        <w:t>70.29%</w:t>
      </w:r>
      <w:r>
        <w:rPr/>
        <w:t>，主要原因是销售收款增加所致。</w:t>
      </w:r>
    </w:p>
    <w:p>
      <w:pPr>
        <w:spacing w:line="240" w:lineRule="auto" w:before="11"/>
        <w:rPr>
          <w:rFonts w:ascii="宋体" w:hAnsi="宋体" w:cs="宋体" w:eastAsia="宋体" w:hint="default"/>
          <w:sz w:val="24"/>
          <w:szCs w:val="24"/>
        </w:rPr>
      </w:pPr>
    </w:p>
    <w:p>
      <w:pPr>
        <w:pStyle w:val="BodyText"/>
        <w:spacing w:line="300" w:lineRule="auto"/>
        <w:ind w:right="2649"/>
        <w:jc w:val="left"/>
      </w:pPr>
      <w:r>
        <w:rPr/>
        <w:t>（</w:t>
      </w:r>
      <w:r>
        <w:rPr>
          <w:rFonts w:ascii="Times New Roman" w:hAnsi="Times New Roman" w:cs="Times New Roman" w:eastAsia="Times New Roman" w:hint="default"/>
        </w:rPr>
        <w:t>2</w:t>
      </w:r>
      <w:r>
        <w:rPr/>
        <w:t>）投资活动现金流量 报告期内公司现金流入比去年同期增长</w:t>
      </w:r>
      <w:r>
        <w:rPr>
          <w:rFonts w:ascii="Times New Roman" w:hAnsi="Times New Roman" w:cs="Times New Roman" w:eastAsia="Times New Roman" w:hint="default"/>
        </w:rPr>
        <w:t>235.29%</w:t>
      </w:r>
      <w:r>
        <w:rPr/>
        <w:t>，主要原因是出售理财产品收款增加所致；</w:t>
      </w:r>
    </w:p>
    <w:p>
      <w:pPr>
        <w:pStyle w:val="BodyText"/>
        <w:spacing w:line="307" w:lineRule="auto" w:before="13"/>
        <w:ind w:right="153"/>
        <w:jc w:val="left"/>
      </w:pPr>
      <w:r>
        <w:rPr>
          <w:spacing w:val="-1"/>
        </w:rPr>
        <w:t>报告期内公司现金流出比去年同期增长</w:t>
      </w:r>
      <w:r>
        <w:rPr>
          <w:rFonts w:ascii="Times New Roman" w:hAnsi="Times New Roman" w:cs="Times New Roman" w:eastAsia="Times New Roman" w:hint="default"/>
          <w:spacing w:val="-1"/>
        </w:rPr>
        <w:t>266.68%</w:t>
      </w:r>
      <w:r>
        <w:rPr>
          <w:spacing w:val="-1"/>
        </w:rPr>
        <w:t>，主要原因是增加购买理财产品以及认购前海股权交易中心（深圳）有限公</w:t>
      </w:r>
      <w:r>
        <w:rPr>
          <w:spacing w:val="-43"/>
        </w:rPr>
        <w:t> </w:t>
      </w:r>
      <w:r>
        <w:rPr>
          <w:spacing w:val="-43"/>
        </w:rPr>
      </w:r>
      <w:r>
        <w:rPr/>
        <w:t>司增资款所致； 报告期内公司投资活动产生现金流量净额比去年同期减少</w:t>
      </w:r>
      <w:r>
        <w:rPr>
          <w:rFonts w:ascii="Times New Roman" w:hAnsi="Times New Roman" w:cs="Times New Roman" w:eastAsia="Times New Roman" w:hint="default"/>
        </w:rPr>
        <w:t>1048.33%</w:t>
      </w:r>
      <w:r>
        <w:rPr/>
        <w:t>，主要原因是增加购买理财产品以及认购前海股权交易 中心（深圳）有限公司增资款所致；</w:t>
      </w:r>
    </w:p>
    <w:p>
      <w:pPr>
        <w:spacing w:line="240" w:lineRule="auto" w:before="12"/>
        <w:rPr>
          <w:rFonts w:ascii="宋体" w:hAnsi="宋体" w:cs="宋体" w:eastAsia="宋体" w:hint="default"/>
          <w:sz w:val="25"/>
          <w:szCs w:val="25"/>
        </w:rPr>
      </w:pPr>
    </w:p>
    <w:p>
      <w:pPr>
        <w:pStyle w:val="BodyText"/>
        <w:spacing w:line="300" w:lineRule="auto"/>
        <w:ind w:right="1389"/>
        <w:jc w:val="left"/>
      </w:pPr>
      <w:r>
        <w:rPr/>
        <w:t>（</w:t>
      </w:r>
      <w:r>
        <w:rPr>
          <w:rFonts w:ascii="Times New Roman" w:hAnsi="Times New Roman" w:cs="Times New Roman" w:eastAsia="Times New Roman" w:hint="default"/>
        </w:rPr>
        <w:t>3</w:t>
      </w:r>
      <w:r>
        <w:rPr/>
        <w:t>）筹资活动现金流量 报告期内公司筹资活动现金流入比去年同期增加</w:t>
      </w:r>
      <w:r>
        <w:rPr>
          <w:rFonts w:ascii="Times New Roman" w:hAnsi="Times New Roman" w:cs="Times New Roman" w:eastAsia="Times New Roman" w:hint="default"/>
        </w:rPr>
        <w:t>50,500</w:t>
      </w:r>
      <w:r>
        <w:rPr/>
        <w:t>万元，主要原因是公司获得银行借款所致； 报告期内公司筹资活动现金流出比去年同期增长</w:t>
      </w:r>
      <w:r>
        <w:rPr>
          <w:rFonts w:ascii="Times New Roman" w:hAnsi="Times New Roman" w:cs="Times New Roman" w:eastAsia="Times New Roman" w:hint="default"/>
        </w:rPr>
        <w:t>859.96%,</w:t>
      </w:r>
      <w:r>
        <w:rPr/>
        <w:t>主要原因是公司归还银行借款所致； 报告期内公司筹资活动产生的现金流量净额比去年同期增长</w:t>
      </w:r>
      <w:r>
        <w:rPr>
          <w:rFonts w:ascii="Times New Roman" w:hAnsi="Times New Roman" w:cs="Times New Roman" w:eastAsia="Times New Roman" w:hint="default"/>
        </w:rPr>
        <w:t>552.64%</w:t>
      </w:r>
      <w:r>
        <w:rPr/>
        <w:t>，主要原因是公司获得银行借款所致；</w:t>
      </w:r>
    </w:p>
    <w:p>
      <w:pPr>
        <w:pStyle w:val="BodyText"/>
        <w:spacing w:line="240" w:lineRule="auto" w:before="53"/>
        <w:ind w:right="153"/>
        <w:jc w:val="left"/>
      </w:pPr>
      <w:r>
        <w:rPr/>
        <w:t>报告期内公司经营活动产生的现金净流量与本年度净利润存在重大差异的原因说明</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3"/>
        <w:gridCol w:w="1286"/>
        <w:gridCol w:w="1561"/>
        <w:gridCol w:w="3819"/>
        <w:gridCol w:w="1639"/>
      </w:tblGrid>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-1,309,128.55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可供出售金融资产现金股利、购买理财产品</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1,739,515.57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坏账准备、存货跌价准备、无形资产减值准备</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24,711,039.33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34.63%</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政府补助、增值税退税</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12,967,457.86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18.17%</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非流动资产处置、废旧材料报废</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50"/>
        <w:gridCol w:w="1281"/>
        <w:gridCol w:w="806"/>
        <w:gridCol w:w="1306"/>
        <w:gridCol w:w="1066"/>
        <w:gridCol w:w="1351"/>
        <w:gridCol w:w="2199"/>
      </w:tblGrid>
      <w:tr>
        <w:trPr>
          <w:trHeight w:val="385" w:hRule="exact"/>
        </w:trPr>
        <w:tc>
          <w:tcPr>
            <w:tcW w:w="15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3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3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550" w:type="dxa"/>
            <w:vMerge w:val="restart"/>
            <w:tcBorders>
              <w:top w:val="nil" w:sz="6" w:space="0" w:color="auto"/>
              <w:left w:val="single" w:sz="4" w:space="0" w:color="000000"/>
              <w:right w:val="single" w:sz="4" w:space="0" w:color="000000"/>
            </w:tcBorders>
            <w:shd w:val="clear" w:color="auto" w:fill="D2D2D2"/>
          </w:tcPr>
          <w:p>
            <w:pPr/>
          </w:p>
        </w:tc>
        <w:tc>
          <w:tcPr>
            <w:tcW w:w="1281" w:type="dxa"/>
            <w:tcBorders>
              <w:top w:val="single" w:sz="4" w:space="0" w:color="000000"/>
              <w:left w:val="single" w:sz="4" w:space="0" w:color="000000"/>
              <w:bottom w:val="nil" w:sz="6" w:space="0" w:color="auto"/>
              <w:right w:val="single" w:sz="4" w:space="0" w:color="000000"/>
            </w:tcBorders>
            <w:shd w:val="clear" w:color="auto" w:fill="D2D2D2"/>
          </w:tcPr>
          <w:p>
            <w:pPr/>
          </w:p>
        </w:tc>
        <w:tc>
          <w:tcPr>
            <w:tcW w:w="80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218" w:right="36"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437" w:right="77"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1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1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5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550" w:type="dxa"/>
            <w:vMerge/>
            <w:tcBorders>
              <w:left w:val="single" w:sz="4" w:space="0" w:color="000000"/>
              <w:bottom w:val="nil" w:sz="6" w:space="0" w:color="auto"/>
              <w:right w:val="single" w:sz="4" w:space="0" w:color="000000"/>
            </w:tcBorders>
            <w:shd w:val="clear" w:color="auto" w:fill="D2D2D2"/>
          </w:tcPr>
          <w:p>
            <w:pPr/>
          </w:p>
        </w:tc>
        <w:tc>
          <w:tcPr>
            <w:tcW w:w="12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06" w:type="dxa"/>
            <w:vMerge/>
            <w:tcBorders>
              <w:left w:val="single" w:sz="4" w:space="0" w:color="000000"/>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tcBorders>
              <w:left w:val="single" w:sz="4" w:space="0" w:color="000000"/>
              <w:right w:val="single" w:sz="4" w:space="0" w:color="000000"/>
            </w:tcBorders>
            <w:shd w:val="clear" w:color="auto" w:fill="D2D2D2"/>
          </w:tcPr>
          <w:p>
            <w:pPr/>
          </w:p>
        </w:tc>
        <w:tc>
          <w:tcPr>
            <w:tcW w:w="1351" w:type="dxa"/>
            <w:vMerge/>
            <w:tcBorders>
              <w:left w:val="single" w:sz="4" w:space="0" w:color="000000"/>
              <w:bottom w:val="nil" w:sz="6" w:space="0" w:color="auto"/>
              <w:right w:val="single" w:sz="4" w:space="0" w:color="000000"/>
            </w:tcBorders>
            <w:shd w:val="clear" w:color="auto" w:fill="D2D2D2"/>
          </w:tcPr>
          <w:p>
            <w:pPr/>
          </w:p>
        </w:tc>
        <w:tc>
          <w:tcPr>
            <w:tcW w:w="219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50" w:type="dxa"/>
            <w:vMerge w:val="restart"/>
            <w:tcBorders>
              <w:top w:val="nil" w:sz="6" w:space="0" w:color="auto"/>
              <w:left w:val="single" w:sz="4" w:space="0" w:color="000000"/>
              <w:right w:val="single" w:sz="4" w:space="0" w:color="000000"/>
            </w:tcBorders>
            <w:shd w:val="clear" w:color="auto" w:fill="D2D2D2"/>
          </w:tcPr>
          <w:p>
            <w:pPr/>
          </w:p>
        </w:tc>
        <w:tc>
          <w:tcPr>
            <w:tcW w:w="1281" w:type="dxa"/>
            <w:vMerge/>
            <w:tcBorders>
              <w:left w:val="single" w:sz="4" w:space="0" w:color="000000"/>
              <w:bottom w:val="nil" w:sz="6" w:space="0" w:color="auto"/>
              <w:right w:val="single" w:sz="4" w:space="0" w:color="000000"/>
            </w:tcBorders>
            <w:shd w:val="clear" w:color="auto" w:fill="D2D2D2"/>
          </w:tcPr>
          <w:p>
            <w:pPr/>
          </w:p>
        </w:tc>
        <w:tc>
          <w:tcPr>
            <w:tcW w:w="806" w:type="dxa"/>
            <w:vMerge/>
            <w:tcBorders>
              <w:left w:val="single" w:sz="4" w:space="0" w:color="000000"/>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351" w:type="dxa"/>
            <w:vMerge w:val="restart"/>
            <w:tcBorders>
              <w:top w:val="nil" w:sz="6" w:space="0" w:color="auto"/>
              <w:left w:val="single" w:sz="4" w:space="0" w:color="000000"/>
              <w:right w:val="single" w:sz="4" w:space="0" w:color="000000"/>
            </w:tcBorders>
            <w:shd w:val="clear" w:color="auto" w:fill="D2D2D2"/>
          </w:tcPr>
          <w:p>
            <w:pPr/>
          </w:p>
        </w:tc>
        <w:tc>
          <w:tcPr>
            <w:tcW w:w="219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50" w:type="dxa"/>
            <w:vMerge/>
            <w:tcBorders>
              <w:left w:val="single" w:sz="4" w:space="0" w:color="000000"/>
              <w:bottom w:val="single" w:sz="4" w:space="0" w:color="000000"/>
              <w:right w:val="single" w:sz="4" w:space="0" w:color="000000"/>
            </w:tcBorders>
            <w:shd w:val="clear" w:color="auto" w:fill="D2D2D2"/>
          </w:tcPr>
          <w:p>
            <w:pPr/>
          </w:p>
        </w:tc>
        <w:tc>
          <w:tcPr>
            <w:tcW w:w="12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06" w:type="dxa"/>
            <w:vMerge/>
            <w:tcBorders>
              <w:left w:val="single" w:sz="4" w:space="0" w:color="000000"/>
              <w:bottom w:val="single" w:sz="4" w:space="0" w:color="000000"/>
              <w:right w:val="single" w:sz="4" w:space="0" w:color="000000"/>
            </w:tcBorders>
            <w:shd w:val="clear" w:color="auto" w:fill="D2D2D2"/>
          </w:tcPr>
          <w:p>
            <w:pPr/>
          </w:p>
        </w:tc>
        <w:tc>
          <w:tcPr>
            <w:tcW w:w="13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351" w:type="dxa"/>
            <w:vMerge/>
            <w:tcBorders>
              <w:left w:val="single" w:sz="4" w:space="0" w:color="000000"/>
              <w:bottom w:val="single" w:sz="4" w:space="0" w:color="000000"/>
              <w:right w:val="single" w:sz="4" w:space="0" w:color="000000"/>
            </w:tcBorders>
            <w:shd w:val="clear" w:color="auto" w:fill="D2D2D2"/>
          </w:tcPr>
          <w:p>
            <w:pPr/>
          </w:p>
        </w:tc>
        <w:tc>
          <w:tcPr>
            <w:tcW w:w="219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453,366,245.26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19.60%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290,223,319.40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15.66%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应收账款收款增加</w:t>
            </w:r>
          </w:p>
        </w:tc>
      </w:tr>
      <w:tr>
        <w:trPr>
          <w:trHeight w:val="403"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326,989,267.75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14.14%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320,701,697.63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17.31%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收回应收销售款</w:t>
            </w:r>
          </w:p>
        </w:tc>
      </w:tr>
    </w:tbl>
    <w:p>
      <w:pPr>
        <w:spacing w:after="0" w:line="240" w:lineRule="auto"/>
        <w:jc w:val="left"/>
        <w:rPr>
          <w:rFonts w:ascii="宋体" w:hAnsi="宋体" w:cs="宋体" w:eastAsia="宋体" w:hint="default"/>
          <w:sz w:val="18"/>
          <w:szCs w:val="18"/>
        </w:rPr>
        <w:sectPr>
          <w:pgSz w:w="11910" w:h="16840"/>
          <w:pgMar w:header="786" w:footer="1021" w:top="1100" w:bottom="1220" w:left="980" w:right="98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559"/>
        <w:gridCol w:w="1282"/>
        <w:gridCol w:w="806"/>
        <w:gridCol w:w="1306"/>
        <w:gridCol w:w="1066"/>
        <w:gridCol w:w="1351"/>
        <w:gridCol w:w="2199"/>
      </w:tblGrid>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370,948,259.22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272,079,634.21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发出商品增加</w:t>
            </w:r>
          </w:p>
        </w:tc>
      </w:tr>
      <w:tr>
        <w:trPr>
          <w:trHeight w:val="404"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4,664,579.13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0.20%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0.20%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柜员机技术出租厂房</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315,652,071.28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13.65%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335,039,953.14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18.08%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253,197,537.69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210,040,029.10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御银科技园区项目投资增 加</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短期流动资金贷款</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118,523,069.28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17,837,604.21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御银科技园区项目借款</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11,896,491.26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10,756,532.78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0.58%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21,865,410.31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16,544,909.77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应收往来款增加</w:t>
            </w:r>
          </w:p>
        </w:tc>
      </w:tr>
      <w:tr>
        <w:trPr>
          <w:trHeight w:val="716"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一年内到期的非流 动资产</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96,534,006.72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65,155,184.11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83"/>
              <w:jc w:val="left"/>
              <w:rPr>
                <w:rFonts w:ascii="宋体" w:hAnsi="宋体" w:cs="宋体" w:eastAsia="宋体" w:hint="default"/>
                <w:sz w:val="18"/>
                <w:szCs w:val="18"/>
              </w:rPr>
            </w:pPr>
            <w:r>
              <w:rPr>
                <w:rFonts w:ascii="宋体" w:hAnsi="宋体" w:cs="宋体" w:eastAsia="宋体" w:hint="default"/>
                <w:sz w:val="18"/>
                <w:szCs w:val="18"/>
              </w:rPr>
              <w:t>一年内到期长期应收款增 加</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19,639,790.62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2,607,681.29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预缴所得税</w:t>
            </w: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222,791,000.00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33,851,000.00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认购前海股权交易中心增 资款</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249,999.93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1,411,478.48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办公室装修费摊销</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120,773,616.47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205,482,775.34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收回融资租赁</w:t>
            </w: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67,436,029.93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72,673,598.45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无形资产摊销和计提减值 准备</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14,138,820.96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0.61%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5,309,140.68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预付工程款增加</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9,024,397.05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6,858,832.03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应付工资和劳务费增加</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74,648,636.87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45,837,610.21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应交增值税增加</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银行承兑汇票增加</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273,735,209.15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11.84%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109,370,949.21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5.90%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5.94%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原材料采购增加</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5,462,609.95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6,578,438.99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客户结算确认收入</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13,373,407.05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10,690,351.19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0.58%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应付往来款增加</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56,824,800.00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39,676,419.00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增加计提维护费</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723,362.17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融资租赁业务变动</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31,204.70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-16,242.10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外币财务报表折算</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021" w:top="1100" w:bottom="1220" w:left="980" w:right="980"/>
        </w:sectPr>
      </w:pPr>
    </w:p>
    <w:p>
      <w:pPr>
        <w:spacing w:line="240" w:lineRule="auto" w:before="6"/>
        <w:rPr>
          <w:rFonts w:ascii="宋体" w:hAnsi="宋体" w:cs="宋体" w:eastAsia="宋体" w:hint="default"/>
          <w:sz w:val="20"/>
          <w:szCs w:val="20"/>
        </w:rPr>
      </w:pPr>
    </w:p>
    <w:p>
      <w:pPr>
        <w:pStyle w:val="Heading2"/>
        <w:spacing w:line="240" w:lineRule="auto" w:before="26"/>
        <w:ind w:left="672"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672"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6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66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338,074,473.72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145,961,673.28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131.62%</w:t>
            </w:r>
          </w:p>
        </w:tc>
      </w:tr>
    </w:tbl>
    <w:p>
      <w:pPr>
        <w:spacing w:line="240" w:lineRule="auto" w:before="3"/>
        <w:rPr>
          <w:rFonts w:ascii="宋体" w:hAnsi="宋体" w:cs="宋体" w:eastAsia="宋体" w:hint="default"/>
          <w:sz w:val="19"/>
          <w:szCs w:val="19"/>
        </w:rPr>
      </w:pPr>
    </w:p>
    <w:p>
      <w:pPr>
        <w:pStyle w:val="Heading3"/>
        <w:spacing w:line="240" w:lineRule="auto" w:before="36"/>
        <w:ind w:left="672"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6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691"/>
        <w:jc w:val="right"/>
      </w:pPr>
      <w:r>
        <w:rPr/>
        <w:t>单位：元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08"/>
        <w:gridCol w:w="425"/>
        <w:gridCol w:w="427"/>
        <w:gridCol w:w="708"/>
        <w:gridCol w:w="566"/>
        <w:gridCol w:w="428"/>
        <w:gridCol w:w="1841"/>
        <w:gridCol w:w="427"/>
        <w:gridCol w:w="425"/>
        <w:gridCol w:w="991"/>
        <w:gridCol w:w="425"/>
        <w:gridCol w:w="427"/>
        <w:gridCol w:w="425"/>
        <w:gridCol w:w="708"/>
        <w:gridCol w:w="1844"/>
      </w:tblGrid>
      <w:tr>
        <w:trPr>
          <w:trHeight w:val="1025"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304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广州御 银信息 科技有 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软件 和信 息技 术服 务业</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4" w:lineRule="auto"/>
              <w:ind w:left="28" w:right="2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8" w:right="24"/>
              <w:jc w:val="both"/>
              <w:rPr>
                <w:rFonts w:ascii="宋体" w:hAnsi="宋体" w:cs="宋体" w:eastAsia="宋体" w:hint="default"/>
                <w:sz w:val="18"/>
                <w:szCs w:val="18"/>
              </w:rPr>
            </w:pPr>
            <w:r>
              <w:rPr>
                <w:rFonts w:ascii="宋体" w:hAnsi="宋体" w:cs="宋体" w:eastAsia="宋体" w:hint="default"/>
                <w:sz w:val="18"/>
                <w:szCs w:val="18"/>
              </w:rPr>
              <w:t>互联 网金 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40" w:right="38"/>
              <w:jc w:val="center"/>
              <w:rPr>
                <w:rFonts w:ascii="宋体" w:hAnsi="宋体" w:cs="宋体" w:eastAsia="宋体" w:hint="default"/>
                <w:sz w:val="18"/>
                <w:szCs w:val="18"/>
              </w:rPr>
            </w:pPr>
            <w:r>
              <w:rPr>
                <w:rFonts w:ascii="宋体" w:hAnsi="宋体" w:cs="宋体" w:eastAsia="宋体" w:hint="default"/>
                <w:sz w:val="18"/>
                <w:szCs w:val="18"/>
              </w:rPr>
              <w:t>截至资产负 债表日完成 出资</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338" w:lineRule="auto"/>
              <w:ind w:left="28" w:right="34" w:firstLine="4"/>
              <w:jc w:val="center"/>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具体内容详见巨潮资 讯网 </w:t>
            </w:r>
            <w:hyperlink r:id="rId12">
              <w:r>
                <w:rPr>
                  <w:rFonts w:ascii="Times New Roman" w:hAnsi="Times New Roman" w:cs="Times New Roman" w:eastAsia="Times New Roman" w:hint="default"/>
                  <w:spacing w:val="-1"/>
                  <w:sz w:val="18"/>
                  <w:szCs w:val="18"/>
                </w:rPr>
                <w:t>(htt</w:t>
              </w:r>
            </w:hyperlink>
            <w:r>
              <w:rPr>
                <w:rFonts w:ascii="Times New Roman" w:hAnsi="Times New Roman" w:cs="Times New Roman" w:eastAsia="Times New Roman" w:hint="default"/>
                <w:spacing w:val="-1"/>
                <w:sz w:val="18"/>
                <w:szCs w:val="18"/>
              </w:rPr>
              <w:t>p</w:t>
            </w:r>
            <w:hyperlink r:id="rId12">
              <w:r>
                <w:rPr>
                  <w:rFonts w:ascii="Times New Roman" w:hAnsi="Times New Roman" w:cs="Times New Roman" w:eastAsia="Times New Roman" w:hint="default"/>
                  <w:spacing w:val="-1"/>
                  <w:sz w:val="18"/>
                  <w:szCs w:val="18"/>
                </w:rPr>
                <w:t>://www.cninfo.com.</w:t>
              </w:r>
            </w:hyperlink>
          </w:p>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的《关于对全资子</w:t>
            </w:r>
          </w:p>
          <w:p>
            <w:pPr>
              <w:pStyle w:val="TableParagraph"/>
              <w:spacing w:line="316" w:lineRule="auto" w:before="63"/>
              <w:ind w:left="105" w:right="106"/>
              <w:jc w:val="center"/>
              <w:rPr>
                <w:rFonts w:ascii="宋体" w:hAnsi="宋体" w:cs="宋体" w:eastAsia="宋体" w:hint="default"/>
                <w:sz w:val="18"/>
                <w:szCs w:val="18"/>
              </w:rPr>
            </w:pPr>
            <w:r>
              <w:rPr>
                <w:rFonts w:ascii="宋体" w:hAnsi="宋体" w:cs="宋体" w:eastAsia="宋体" w:hint="default"/>
                <w:sz w:val="18"/>
                <w:szCs w:val="18"/>
              </w:rPr>
              <w:t>公司广州御银信息科 技有限公司增资的公 告》（公告编号 </w:t>
            </w:r>
            <w:r>
              <w:rPr>
                <w:rFonts w:ascii="Times New Roman" w:hAnsi="Times New Roman" w:cs="Times New Roman" w:eastAsia="Times New Roman" w:hint="default"/>
                <w:sz w:val="18"/>
                <w:szCs w:val="18"/>
              </w:rPr>
              <w:t>2015-014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53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24" w:right="20" w:hanging="3"/>
              <w:jc w:val="center"/>
              <w:rPr>
                <w:rFonts w:ascii="宋体" w:hAnsi="宋体" w:cs="宋体" w:eastAsia="宋体" w:hint="default"/>
                <w:sz w:val="18"/>
                <w:szCs w:val="18"/>
              </w:rPr>
            </w:pPr>
            <w:r>
              <w:rPr>
                <w:rFonts w:ascii="宋体" w:hAnsi="宋体" w:cs="宋体" w:eastAsia="宋体" w:hint="default"/>
                <w:sz w:val="18"/>
                <w:szCs w:val="18"/>
              </w:rPr>
              <w:t>前海股 权交易 </w:t>
            </w:r>
            <w:r>
              <w:rPr>
                <w:rFonts w:ascii="宋体" w:hAnsi="宋体" w:cs="宋体" w:eastAsia="宋体" w:hint="default"/>
                <w:spacing w:val="-17"/>
                <w:sz w:val="18"/>
                <w:szCs w:val="18"/>
              </w:rPr>
              <w:t>中心（深</w:t>
            </w:r>
            <w:r>
              <w:rPr>
                <w:rFonts w:ascii="宋体" w:hAnsi="宋体" w:cs="宋体" w:eastAsia="宋体" w:hint="default"/>
                <w:sz w:val="18"/>
                <w:szCs w:val="18"/>
              </w:rPr>
              <w:t> </w:t>
            </w:r>
            <w:r>
              <w:rPr>
                <w:rFonts w:ascii="宋体" w:hAnsi="宋体" w:cs="宋体" w:eastAsia="宋体" w:hint="default"/>
                <w:spacing w:val="-17"/>
                <w:sz w:val="18"/>
                <w:szCs w:val="18"/>
              </w:rPr>
              <w:t>圳）有限</w:t>
            </w:r>
            <w:r>
              <w:rPr>
                <w:rFonts w:ascii="宋体" w:hAnsi="宋体" w:cs="宋体" w:eastAsia="宋体" w:hint="default"/>
                <w:sz w:val="18"/>
                <w:szCs w:val="18"/>
              </w:rPr>
              <w:t> 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证券 类产 品交 易服 务及 其他 金融 服务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3" w:right="0"/>
              <w:jc w:val="left"/>
              <w:rPr>
                <w:rFonts w:ascii="Times New Roman" w:hAnsi="Times New Roman" w:cs="Times New Roman" w:eastAsia="Times New Roman" w:hint="default"/>
                <w:sz w:val="18"/>
                <w:szCs w:val="18"/>
              </w:rPr>
            </w:pPr>
            <w:r>
              <w:rPr>
                <w:rFonts w:ascii="Times New Roman"/>
                <w:sz w:val="18"/>
              </w:rPr>
              <w:t>189,000,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7.64%</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自有</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3" w:right="19" w:hanging="3"/>
              <w:jc w:val="center"/>
              <w:rPr>
                <w:rFonts w:ascii="宋体" w:hAnsi="宋体" w:cs="宋体" w:eastAsia="宋体" w:hint="default"/>
                <w:sz w:val="18"/>
                <w:szCs w:val="18"/>
              </w:rPr>
            </w:pPr>
            <w:r>
              <w:rPr>
                <w:rFonts w:ascii="宋体" w:hAnsi="宋体" w:cs="宋体" w:eastAsia="宋体" w:hint="default"/>
                <w:sz w:val="18"/>
                <w:szCs w:val="18"/>
              </w:rPr>
              <w:t>深圳市腾邦国际商业 </w:t>
            </w:r>
            <w:r>
              <w:rPr>
                <w:rFonts w:ascii="宋体" w:hAnsi="宋体" w:cs="宋体" w:eastAsia="宋体" w:hint="default"/>
                <w:spacing w:val="-2"/>
                <w:sz w:val="18"/>
                <w:szCs w:val="18"/>
              </w:rPr>
              <w:t>服务股份有限公司、广</w:t>
            </w:r>
            <w:r>
              <w:rPr>
                <w:rFonts w:ascii="宋体" w:hAnsi="宋体" w:cs="宋体" w:eastAsia="宋体" w:hint="default"/>
                <w:sz w:val="18"/>
                <w:szCs w:val="18"/>
              </w:rPr>
              <w:t> 东佳隆食品股份有限 </w:t>
            </w:r>
            <w:r>
              <w:rPr>
                <w:rFonts w:ascii="宋体" w:hAnsi="宋体" w:cs="宋体" w:eastAsia="宋体" w:hint="default"/>
                <w:spacing w:val="-2"/>
                <w:sz w:val="18"/>
                <w:szCs w:val="18"/>
              </w:rPr>
              <w:t>公司、深圳市新浩投资</w:t>
            </w:r>
            <w:r>
              <w:rPr>
                <w:rFonts w:ascii="宋体" w:hAnsi="宋体" w:cs="宋体" w:eastAsia="宋体" w:hint="default"/>
                <w:sz w:val="18"/>
                <w:szCs w:val="18"/>
              </w:rPr>
              <w:t> </w:t>
            </w:r>
            <w:r>
              <w:rPr>
                <w:rFonts w:ascii="宋体" w:hAnsi="宋体" w:cs="宋体" w:eastAsia="宋体" w:hint="default"/>
                <w:spacing w:val="-2"/>
                <w:sz w:val="18"/>
                <w:szCs w:val="18"/>
              </w:rPr>
              <w:t>发展有限公司、深圳市</w:t>
            </w:r>
            <w:r>
              <w:rPr>
                <w:rFonts w:ascii="宋体" w:hAnsi="宋体" w:cs="宋体" w:eastAsia="宋体" w:hint="default"/>
                <w:sz w:val="18"/>
                <w:szCs w:val="18"/>
              </w:rPr>
              <w:t> 创时股权投资合伙企 </w:t>
            </w:r>
            <w:r>
              <w:rPr>
                <w:rFonts w:ascii="宋体" w:hAnsi="宋体" w:cs="宋体" w:eastAsia="宋体" w:hint="default"/>
                <w:spacing w:val="-2"/>
                <w:sz w:val="18"/>
                <w:szCs w:val="18"/>
              </w:rPr>
              <w:t>业（有限合伙）、深圳</w:t>
            </w:r>
            <w:r>
              <w:rPr>
                <w:rFonts w:ascii="宋体" w:hAnsi="宋体" w:cs="宋体" w:eastAsia="宋体" w:hint="default"/>
                <w:sz w:val="18"/>
                <w:szCs w:val="18"/>
              </w:rPr>
              <w:t> </w:t>
            </w:r>
            <w:r>
              <w:rPr>
                <w:rFonts w:ascii="宋体" w:hAnsi="宋体" w:cs="宋体" w:eastAsia="宋体" w:hint="default"/>
                <w:spacing w:val="-2"/>
                <w:sz w:val="18"/>
                <w:szCs w:val="18"/>
              </w:rPr>
              <w:t>尚国金汇投资企业（有</w:t>
            </w:r>
            <w:r>
              <w:rPr>
                <w:rFonts w:ascii="宋体" w:hAnsi="宋体" w:cs="宋体" w:eastAsia="宋体" w:hint="default"/>
                <w:sz w:val="18"/>
                <w:szCs w:val="18"/>
              </w:rPr>
              <w:t> </w:t>
            </w:r>
            <w:r>
              <w:rPr>
                <w:rFonts w:ascii="宋体" w:hAnsi="宋体" w:cs="宋体" w:eastAsia="宋体" w:hint="default"/>
                <w:spacing w:val="-2"/>
                <w:sz w:val="18"/>
                <w:szCs w:val="18"/>
              </w:rPr>
              <w:t>限合伙）、深圳前海华</w:t>
            </w:r>
            <w:r>
              <w:rPr>
                <w:rFonts w:ascii="宋体" w:hAnsi="宋体" w:cs="宋体" w:eastAsia="宋体" w:hint="default"/>
                <w:sz w:val="18"/>
                <w:szCs w:val="18"/>
              </w:rPr>
              <w:t> 邦盛道投资合伙企业</w:t>
            </w:r>
          </w:p>
          <w:p>
            <w:pPr>
              <w:pStyle w:val="TableParagraph"/>
              <w:spacing w:line="316" w:lineRule="auto" w:before="19"/>
              <w:ind w:left="23" w:right="19"/>
              <w:jc w:val="center"/>
              <w:rPr>
                <w:rFonts w:ascii="宋体" w:hAnsi="宋体" w:cs="宋体" w:eastAsia="宋体" w:hint="default"/>
                <w:sz w:val="18"/>
                <w:szCs w:val="18"/>
              </w:rPr>
            </w:pPr>
            <w:r>
              <w:rPr>
                <w:rFonts w:ascii="宋体" w:hAnsi="宋体" w:cs="宋体" w:eastAsia="宋体" w:hint="default"/>
                <w:spacing w:val="-2"/>
                <w:sz w:val="18"/>
                <w:szCs w:val="18"/>
              </w:rPr>
              <w:t>（有限合伙）和云南惠</w:t>
            </w:r>
            <w:r>
              <w:rPr>
                <w:rFonts w:ascii="宋体" w:hAnsi="宋体" w:cs="宋体" w:eastAsia="宋体" w:hint="default"/>
                <w:sz w:val="18"/>
                <w:szCs w:val="18"/>
              </w:rPr>
              <w:t> 众东陆投资合伙企业</w:t>
            </w:r>
          </w:p>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（有限合伙）</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股权 交易</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40" w:right="38"/>
              <w:jc w:val="center"/>
              <w:rPr>
                <w:rFonts w:ascii="宋体" w:hAnsi="宋体" w:cs="宋体" w:eastAsia="宋体" w:hint="default"/>
                <w:sz w:val="18"/>
                <w:szCs w:val="18"/>
              </w:rPr>
            </w:pPr>
            <w:r>
              <w:rPr>
                <w:rFonts w:ascii="宋体" w:hAnsi="宋体" w:cs="宋体" w:eastAsia="宋体" w:hint="default"/>
                <w:sz w:val="18"/>
                <w:szCs w:val="18"/>
              </w:rPr>
              <w:t>截至资产负 债表日完成 出资</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2" w:lineRule="exact"/>
              <w:ind w:left="24" w:right="22" w:hanging="3"/>
              <w:jc w:val="center"/>
              <w:rPr>
                <w:rFonts w:ascii="宋体" w:hAnsi="宋体" w:cs="宋体" w:eastAsia="宋体" w:hint="default"/>
                <w:sz w:val="18"/>
                <w:szCs w:val="18"/>
              </w:rPr>
            </w:pPr>
            <w:r>
              <w:rPr>
                <w:rFonts w:ascii="宋体" w:hAnsi="宋体" w:cs="宋体" w:eastAsia="宋体" w:hint="default"/>
                <w:sz w:val="18"/>
                <w:szCs w:val="18"/>
              </w:rPr>
              <w:t>具体内容详见巨潮资 讯网 </w:t>
            </w:r>
            <w:hyperlink r:id="rId12">
              <w:r>
                <w:rPr>
                  <w:rFonts w:ascii="Times New Roman" w:hAnsi="Times New Roman" w:cs="Times New Roman" w:eastAsia="Times New Roman" w:hint="default"/>
                  <w:spacing w:val="-1"/>
                  <w:sz w:val="18"/>
                  <w:szCs w:val="18"/>
                </w:rPr>
                <w:t>(htt</w:t>
              </w:r>
            </w:hyperlink>
            <w:r>
              <w:rPr>
                <w:rFonts w:ascii="Times New Roman" w:hAnsi="Times New Roman" w:cs="Times New Roman" w:eastAsia="Times New Roman" w:hint="default"/>
                <w:spacing w:val="-1"/>
                <w:sz w:val="18"/>
                <w:szCs w:val="18"/>
              </w:rPr>
              <w:t>p</w:t>
            </w:r>
            <w:hyperlink r:id="rId12">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的《关于参与竞买 </w:t>
            </w:r>
            <w:r>
              <w:rPr>
                <w:rFonts w:ascii="宋体" w:hAnsi="宋体" w:cs="宋体" w:eastAsia="宋体" w:hint="default"/>
                <w:spacing w:val="-2"/>
                <w:sz w:val="18"/>
                <w:szCs w:val="18"/>
              </w:rPr>
              <w:t>前海股权交易中心（深</w:t>
            </w:r>
            <w:r>
              <w:rPr>
                <w:rFonts w:ascii="宋体" w:hAnsi="宋体" w:cs="宋体" w:eastAsia="宋体" w:hint="default"/>
                <w:sz w:val="18"/>
                <w:szCs w:val="18"/>
              </w:rPr>
              <w:t> </w:t>
            </w:r>
            <w:r>
              <w:rPr>
                <w:rFonts w:ascii="宋体" w:hAnsi="宋体" w:cs="宋体" w:eastAsia="宋体" w:hint="default"/>
                <w:spacing w:val="-2"/>
                <w:sz w:val="18"/>
                <w:szCs w:val="18"/>
              </w:rPr>
              <w:t>圳）有限公司部分股权</w:t>
            </w:r>
            <w:r>
              <w:rPr>
                <w:rFonts w:ascii="宋体" w:hAnsi="宋体" w:cs="宋体" w:eastAsia="宋体" w:hint="default"/>
                <w:sz w:val="18"/>
                <w:szCs w:val="18"/>
              </w:rPr>
              <w:t> 的公告</w:t>
            </w:r>
            <w:r>
              <w:rPr>
                <w:rFonts w:ascii="宋体" w:hAnsi="宋体" w:cs="宋体" w:eastAsia="宋体" w:hint="default"/>
                <w:spacing w:val="-45"/>
                <w:sz w:val="18"/>
                <w:szCs w:val="18"/>
              </w:rPr>
              <w:t> </w:t>
            </w:r>
            <w:r>
              <w:rPr>
                <w:rFonts w:ascii="宋体" w:hAnsi="宋体" w:cs="宋体" w:eastAsia="宋体" w:hint="default"/>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2015-065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259,000,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6" w:footer="1021" w:top="1100" w:bottom="1220" w:left="460" w:right="440"/>
        </w:sectPr>
      </w:pPr>
    </w:p>
    <w:p>
      <w:pPr>
        <w:spacing w:line="240" w:lineRule="auto" w:before="9"/>
        <w:rPr>
          <w:rFonts w:ascii="宋体" w:hAnsi="宋体" w:cs="宋体" w:eastAsia="宋体" w:hint="default"/>
          <w:sz w:val="21"/>
          <w:szCs w:val="21"/>
        </w:rPr>
      </w:pPr>
    </w:p>
    <w:p>
      <w:pPr>
        <w:pStyle w:val="Heading3"/>
        <w:spacing w:line="240" w:lineRule="auto" w:before="36"/>
        <w:ind w:left="672"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6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691"/>
        <w:jc w:val="right"/>
      </w:pPr>
      <w:r>
        <w:rPr/>
        <w:t>单位：元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850"/>
        <w:gridCol w:w="569"/>
        <w:gridCol w:w="708"/>
        <w:gridCol w:w="708"/>
        <w:gridCol w:w="1136"/>
        <w:gridCol w:w="1274"/>
        <w:gridCol w:w="425"/>
        <w:gridCol w:w="569"/>
        <w:gridCol w:w="566"/>
        <w:gridCol w:w="850"/>
        <w:gridCol w:w="853"/>
        <w:gridCol w:w="708"/>
        <w:gridCol w:w="1560"/>
      </w:tblGrid>
      <w:tr>
        <w:trPr>
          <w:trHeight w:val="1337"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9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92" w:right="111"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2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98"/>
              <w:jc w:val="left"/>
              <w:rPr>
                <w:rFonts w:ascii="宋体" w:hAnsi="宋体" w:cs="宋体" w:eastAsia="宋体" w:hint="default"/>
                <w:sz w:val="18"/>
                <w:szCs w:val="18"/>
              </w:rPr>
            </w:pPr>
            <w:r>
              <w:rPr>
                <w:rFonts w:ascii="宋体" w:hAnsi="宋体" w:cs="宋体" w:eastAsia="宋体" w:hint="default"/>
                <w:sz w:val="18"/>
                <w:szCs w:val="18"/>
              </w:rPr>
              <w:t>项目 进度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center"/>
              <w:rPr>
                <w:rFonts w:ascii="宋体" w:hAnsi="宋体" w:cs="宋体" w:eastAsia="宋体" w:hint="default"/>
                <w:sz w:val="18"/>
                <w:szCs w:val="18"/>
              </w:rPr>
            </w:pPr>
            <w:r>
              <w:rPr>
                <w:rFonts w:ascii="宋体" w:hAnsi="宋体" w:cs="宋体" w:eastAsia="宋体" w:hint="default"/>
                <w:sz w:val="18"/>
                <w:szCs w:val="18"/>
              </w:rPr>
              <w:t>截止报告 期末累计 实现的收 益</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2"/>
              <w:jc w:val="both"/>
              <w:rPr>
                <w:rFonts w:ascii="宋体" w:hAnsi="宋体" w:cs="宋体" w:eastAsia="宋体" w:hint="default"/>
                <w:sz w:val="18"/>
                <w:szCs w:val="18"/>
              </w:rPr>
            </w:pPr>
            <w:r>
              <w:rPr>
                <w:rFonts w:ascii="宋体" w:hAnsi="宋体" w:cs="宋体" w:eastAsia="宋体" w:hint="default"/>
                <w:sz w:val="18"/>
                <w:szCs w:val="18"/>
              </w:rPr>
              <w:t>未达到计 划进度和 预计收益 的原因</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258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94"/>
              <w:jc w:val="both"/>
              <w:rPr>
                <w:rFonts w:ascii="宋体" w:hAnsi="宋体" w:cs="宋体" w:eastAsia="宋体" w:hint="default"/>
                <w:sz w:val="18"/>
                <w:szCs w:val="18"/>
              </w:rPr>
            </w:pPr>
            <w:r>
              <w:rPr>
                <w:rFonts w:ascii="宋体" w:hAnsi="宋体" w:cs="宋体" w:eastAsia="宋体" w:hint="default"/>
                <w:sz w:val="18"/>
                <w:szCs w:val="18"/>
              </w:rPr>
              <w:t>御银科技 园区投资 项目</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32"/>
              <w:jc w:val="both"/>
              <w:rPr>
                <w:rFonts w:ascii="宋体" w:hAnsi="宋体" w:cs="宋体" w:eastAsia="宋体" w:hint="default"/>
                <w:sz w:val="18"/>
                <w:szCs w:val="18"/>
              </w:rPr>
            </w:pPr>
            <w:r>
              <w:rPr>
                <w:rFonts w:ascii="宋体" w:hAnsi="宋体" w:cs="宋体" w:eastAsia="宋体" w:hint="default"/>
                <w:sz w:val="18"/>
                <w:szCs w:val="18"/>
              </w:rPr>
              <w:t>专用设 备制造 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79,074,473.72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240,370,644.68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自有</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未达到可 使用状态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具体内容详见巨潮 资讯网</w:t>
            </w:r>
          </w:p>
          <w:p>
            <w:pPr>
              <w:pStyle w:val="TableParagraph"/>
              <w:spacing w:line="240" w:lineRule="auto" w:before="2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4"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,.com.cn</w:t>
            </w:r>
            <w:r>
              <w:rPr>
                <w:rFonts w:ascii="宋体" w:hAnsi="宋体" w:cs="宋体" w:eastAsia="宋体" w:hint="default"/>
                <w:spacing w:val="-1"/>
                <w:sz w:val="18"/>
                <w:szCs w:val="18"/>
              </w:rPr>
              <w:t>）的《关于</w:t>
            </w:r>
            <w:r>
              <w:rPr>
                <w:rFonts w:ascii="宋体" w:hAnsi="宋体" w:cs="宋体" w:eastAsia="宋体" w:hint="default"/>
                <w:sz w:val="18"/>
                <w:szCs w:val="18"/>
              </w:rPr>
              <w:t> 建设御银科技园区 投资项目的公告》</w:t>
            </w:r>
          </w:p>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79,074,473.72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240,370,644.68</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0.00</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672"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6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3"/>
        <w:spacing w:line="240" w:lineRule="auto"/>
        <w:ind w:left="672"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672"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8"/>
        <w:rPr>
          <w:rFonts w:ascii="宋体" w:hAnsi="宋体" w:cs="宋体" w:eastAsia="宋体" w:hint="default"/>
          <w:sz w:val="19"/>
          <w:szCs w:val="19"/>
        </w:rPr>
      </w:pPr>
    </w:p>
    <w:p>
      <w:pPr>
        <w:pStyle w:val="Heading2"/>
        <w:spacing w:line="240" w:lineRule="auto"/>
        <w:ind w:left="672"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672"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672" w:right="7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left="672"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6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672"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6" w:footer="1021" w:top="1100" w:bottom="1220" w:left="460" w:right="440"/>
        </w:sectPr>
      </w:pPr>
    </w:p>
    <w:p>
      <w:pPr>
        <w:pStyle w:val="BodyText"/>
        <w:spacing w:line="240" w:lineRule="auto" w:before="44"/>
        <w:ind w:left="672"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672"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672" w:right="0"/>
        <w:jc w:val="left"/>
      </w:pPr>
      <w:r>
        <w:rPr/>
        <w:t>单位：元</w:t>
      </w:r>
    </w:p>
    <w:p>
      <w:pPr>
        <w:spacing w:after="0" w:line="240" w:lineRule="auto"/>
        <w:jc w:val="left"/>
        <w:sectPr>
          <w:type w:val="continuous"/>
          <w:pgSz w:w="11910" w:h="16840"/>
          <w:pgMar w:top="1100" w:bottom="1220" w:left="460" w:right="440"/>
          <w:cols w:num="2" w:equalWidth="0">
            <w:col w:w="5371" w:space="3549"/>
            <w:col w:w="2090"/>
          </w:cols>
        </w:sectPr>
      </w:pPr>
    </w:p>
    <w:p>
      <w:pPr>
        <w:spacing w:line="240" w:lineRule="auto" w:before="10"/>
        <w:rPr>
          <w:rFonts w:ascii="Times New Roman" w:hAnsi="Times New Roman" w:cs="Times New Roman" w:eastAsia="Times New Roman"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855"/>
        <w:gridCol w:w="708"/>
        <w:gridCol w:w="1841"/>
        <w:gridCol w:w="994"/>
        <w:gridCol w:w="1299"/>
        <w:gridCol w:w="1394"/>
        <w:gridCol w:w="1157"/>
        <w:gridCol w:w="1111"/>
        <w:gridCol w:w="1193"/>
      </w:tblGrid>
      <w:tr>
        <w:trPr>
          <w:trHeight w:val="713"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24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7"/>
              <w:ind w:left="26" w:right="96"/>
              <w:jc w:val="both"/>
              <w:rPr>
                <w:rFonts w:ascii="宋体" w:hAnsi="宋体" w:cs="宋体" w:eastAsia="宋体" w:hint="default"/>
                <w:sz w:val="18"/>
                <w:szCs w:val="18"/>
              </w:rPr>
            </w:pPr>
            <w:r>
              <w:rPr>
                <w:rFonts w:ascii="宋体" w:hAnsi="宋体" w:cs="宋体" w:eastAsia="宋体" w:hint="default"/>
                <w:sz w:val="18"/>
                <w:szCs w:val="18"/>
              </w:rPr>
              <w:t>广州御新 软件有限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85"/>
              <w:jc w:val="left"/>
              <w:rPr>
                <w:rFonts w:ascii="宋体" w:hAnsi="宋体" w:cs="宋体" w:eastAsia="宋体" w:hint="default"/>
                <w:sz w:val="18"/>
                <w:szCs w:val="18"/>
              </w:rPr>
            </w:pPr>
            <w:r>
              <w:rPr>
                <w:rFonts w:ascii="宋体" w:hAnsi="宋体" w:cs="宋体" w:eastAsia="宋体" w:hint="default"/>
                <w:sz w:val="18"/>
                <w:szCs w:val="18"/>
              </w:rPr>
              <w:t>自动柜员机及点钞机 设备的研发、销售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355,913,584.77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317,629,651.59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27,692,307.56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97,333,851.60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93,896,310.10</w:t>
            </w:r>
          </w:p>
        </w:tc>
      </w:tr>
      <w:tr>
        <w:trPr>
          <w:trHeight w:val="1649"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96"/>
              <w:jc w:val="both"/>
              <w:rPr>
                <w:rFonts w:ascii="宋体" w:hAnsi="宋体" w:cs="宋体" w:eastAsia="宋体" w:hint="default"/>
                <w:sz w:val="18"/>
                <w:szCs w:val="18"/>
              </w:rPr>
            </w:pPr>
            <w:r>
              <w:rPr>
                <w:rFonts w:ascii="宋体" w:hAnsi="宋体" w:cs="宋体" w:eastAsia="宋体" w:hint="default"/>
                <w:sz w:val="18"/>
                <w:szCs w:val="18"/>
              </w:rPr>
              <w:t>广州御银 自动柜员 机技术有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2"/>
                <w:sz w:val="18"/>
                <w:szCs w:val="18"/>
              </w:rPr>
              <w:t>电子产品、金融机具设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备、自动柜员机的研 </w:t>
            </w:r>
            <w:r>
              <w:rPr>
                <w:rFonts w:ascii="宋体" w:hAnsi="宋体" w:cs="宋体" w:eastAsia="宋体" w:hint="default"/>
                <w:spacing w:val="-2"/>
                <w:sz w:val="18"/>
                <w:szCs w:val="18"/>
              </w:rPr>
              <w:t>究、开发、销售、自由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房地产经营、电子元器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件批发、房屋租赁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194,528,859.04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181,510,239.16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63,119,448.65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53,228,847.56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48,567,163.00</w:t>
            </w:r>
          </w:p>
        </w:tc>
      </w:tr>
      <w:tr>
        <w:trPr>
          <w:trHeight w:val="1028"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96"/>
              <w:jc w:val="both"/>
              <w:rPr>
                <w:rFonts w:ascii="宋体" w:hAnsi="宋体" w:cs="宋体" w:eastAsia="宋体" w:hint="default"/>
                <w:sz w:val="18"/>
                <w:szCs w:val="18"/>
              </w:rPr>
            </w:pPr>
            <w:r>
              <w:rPr>
                <w:rFonts w:ascii="宋体" w:hAnsi="宋体" w:cs="宋体" w:eastAsia="宋体" w:hint="default"/>
                <w:sz w:val="18"/>
                <w:szCs w:val="18"/>
              </w:rPr>
              <w:t>安徽御银 电子科技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85"/>
              <w:jc w:val="left"/>
              <w:rPr>
                <w:rFonts w:ascii="宋体" w:hAnsi="宋体" w:cs="宋体" w:eastAsia="宋体" w:hint="default"/>
                <w:sz w:val="18"/>
                <w:szCs w:val="18"/>
              </w:rPr>
            </w:pPr>
            <w:r>
              <w:rPr>
                <w:rFonts w:ascii="宋体" w:hAnsi="宋体" w:cs="宋体" w:eastAsia="宋体" w:hint="default"/>
                <w:sz w:val="18"/>
                <w:szCs w:val="18"/>
              </w:rPr>
              <w:t>自动柜员机及点钞机 设备的研发、销售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772,121.26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482,828.61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-724,179.77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-551,130.82</w:t>
            </w:r>
          </w:p>
        </w:tc>
      </w:tr>
      <w:tr>
        <w:trPr>
          <w:trHeight w:val="1025"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6"/>
              <w:jc w:val="both"/>
              <w:rPr>
                <w:rFonts w:ascii="宋体" w:hAnsi="宋体" w:cs="宋体" w:eastAsia="宋体" w:hint="default"/>
                <w:sz w:val="18"/>
                <w:szCs w:val="18"/>
              </w:rPr>
            </w:pPr>
            <w:r>
              <w:rPr>
                <w:rFonts w:ascii="宋体" w:hAnsi="宋体" w:cs="宋体" w:eastAsia="宋体" w:hint="default"/>
                <w:sz w:val="18"/>
                <w:szCs w:val="18"/>
              </w:rPr>
              <w:t>广州御银 金融服务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对柜员机进行维护及 </w:t>
            </w:r>
            <w:r>
              <w:rPr>
                <w:rFonts w:ascii="宋体" w:hAnsi="宋体" w:cs="宋体" w:eastAsia="宋体" w:hint="default"/>
                <w:spacing w:val="-2"/>
                <w:sz w:val="18"/>
                <w:szCs w:val="18"/>
              </w:rPr>
              <w:t>管理，对现金及有价证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券清分处理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23,365,415.66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22,847,624.10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1,653,062.15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17,530,489.69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13,069,793.09</w:t>
            </w:r>
          </w:p>
        </w:tc>
      </w:tr>
      <w:tr>
        <w:trPr>
          <w:trHeight w:val="1339"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6"/>
              <w:jc w:val="both"/>
              <w:rPr>
                <w:rFonts w:ascii="宋体" w:hAnsi="宋体" w:cs="宋体" w:eastAsia="宋体" w:hint="default"/>
                <w:sz w:val="18"/>
                <w:szCs w:val="18"/>
              </w:rPr>
            </w:pPr>
            <w:r>
              <w:rPr>
                <w:rFonts w:ascii="宋体" w:hAnsi="宋体" w:cs="宋体" w:eastAsia="宋体" w:hint="default"/>
                <w:sz w:val="18"/>
                <w:szCs w:val="18"/>
              </w:rPr>
              <w:t>御银（中 国）科技 国际有限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美</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102,581.33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69,172.37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-199,477.39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-199,477.39</w:t>
            </w:r>
          </w:p>
        </w:tc>
      </w:tr>
      <w:tr>
        <w:trPr>
          <w:trHeight w:val="1025"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御银科技</w:t>
            </w:r>
          </w:p>
          <w:p>
            <w:pPr>
              <w:pStyle w:val="TableParagraph"/>
              <w:spacing w:line="319" w:lineRule="auto" w:before="74"/>
              <w:ind w:left="26" w:right="96"/>
              <w:jc w:val="left"/>
              <w:rPr>
                <w:rFonts w:ascii="宋体" w:hAnsi="宋体" w:cs="宋体" w:eastAsia="宋体" w:hint="default"/>
                <w:sz w:val="18"/>
                <w:szCs w:val="18"/>
              </w:rPr>
            </w:pPr>
            <w:r>
              <w:rPr>
                <w:rFonts w:ascii="宋体" w:hAnsi="宋体" w:cs="宋体" w:eastAsia="宋体" w:hint="default"/>
                <w:sz w:val="18"/>
                <w:szCs w:val="18"/>
              </w:rPr>
              <w:t>（香港）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港元</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5,993,257.14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898,091.05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799,451.63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267,957.63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249,049.80</w:t>
            </w:r>
          </w:p>
        </w:tc>
      </w:tr>
      <w:tr>
        <w:trPr>
          <w:trHeight w:val="3610"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26" w:right="96"/>
              <w:jc w:val="both"/>
              <w:rPr>
                <w:rFonts w:ascii="宋体" w:hAnsi="宋体" w:cs="宋体" w:eastAsia="宋体" w:hint="default"/>
                <w:sz w:val="18"/>
                <w:szCs w:val="18"/>
              </w:rPr>
            </w:pPr>
            <w:r>
              <w:rPr>
                <w:rFonts w:ascii="宋体" w:hAnsi="宋体" w:cs="宋体" w:eastAsia="宋体" w:hint="default"/>
                <w:sz w:val="18"/>
                <w:szCs w:val="18"/>
              </w:rPr>
              <w:t>上海博科 咨询股份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4" w:lineRule="auto"/>
              <w:ind w:left="23" w:right="132"/>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8"/>
              <w:ind w:left="23" w:right="5"/>
              <w:jc w:val="left"/>
              <w:rPr>
                <w:rFonts w:ascii="宋体" w:hAnsi="宋体" w:cs="宋体" w:eastAsia="宋体" w:hint="default"/>
                <w:sz w:val="18"/>
                <w:szCs w:val="18"/>
              </w:rPr>
            </w:pPr>
            <w:r>
              <w:rPr>
                <w:rFonts w:ascii="宋体" w:hAnsi="宋体" w:cs="宋体" w:eastAsia="宋体" w:hint="default"/>
                <w:sz w:val="18"/>
                <w:szCs w:val="18"/>
              </w:rPr>
              <w:t>计算机软、硬件的技术 开发、技术服务、技术 咨询、销售自产产品， 计算机网络结构的设 计、综合布线、维护， 计算机设备的安装、调 试、维护，物流设备的 批发。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6"/>
              <w:jc w:val="both"/>
              <w:rPr>
                <w:rFonts w:ascii="宋体" w:hAnsi="宋体" w:cs="宋体" w:eastAsia="宋体" w:hint="default"/>
                <w:sz w:val="18"/>
                <w:szCs w:val="18"/>
              </w:rPr>
            </w:pPr>
            <w:r>
              <w:rPr>
                <w:rFonts w:ascii="宋体" w:hAnsi="宋体" w:cs="宋体" w:eastAsia="宋体" w:hint="default"/>
                <w:sz w:val="18"/>
                <w:szCs w:val="18"/>
              </w:rPr>
              <w:t>北京青年 御银科技 有限责任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5"/>
              <w:jc w:val="left"/>
              <w:rPr>
                <w:rFonts w:ascii="宋体" w:hAnsi="宋体" w:cs="宋体" w:eastAsia="宋体" w:hint="default"/>
                <w:sz w:val="18"/>
                <w:szCs w:val="18"/>
              </w:rPr>
            </w:pPr>
            <w:r>
              <w:rPr>
                <w:rFonts w:ascii="宋体" w:hAnsi="宋体" w:cs="宋体" w:eastAsia="宋体" w:hint="default"/>
                <w:sz w:val="18"/>
                <w:szCs w:val="18"/>
              </w:rPr>
              <w:t>技术开发、技术转让、 技术咨询、技术服务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2,000,000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1,049,596.11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1,049,596.11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-583,689.85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-440,407.85</w:t>
            </w:r>
          </w:p>
        </w:tc>
      </w:tr>
      <w:tr>
        <w:trPr>
          <w:trHeight w:val="71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6" w:right="96"/>
              <w:jc w:val="left"/>
              <w:rPr>
                <w:rFonts w:ascii="宋体" w:hAnsi="宋体" w:cs="宋体" w:eastAsia="宋体" w:hint="default"/>
                <w:sz w:val="18"/>
                <w:szCs w:val="18"/>
              </w:rPr>
            </w:pPr>
            <w:r>
              <w:rPr>
                <w:rFonts w:ascii="宋体" w:hAnsi="宋体" w:cs="宋体" w:eastAsia="宋体" w:hint="default"/>
                <w:sz w:val="18"/>
                <w:szCs w:val="18"/>
              </w:rPr>
              <w:t>广州御银 自动柜员</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5"/>
              <w:jc w:val="left"/>
              <w:rPr>
                <w:rFonts w:ascii="宋体" w:hAnsi="宋体" w:cs="宋体" w:eastAsia="宋体" w:hint="default"/>
                <w:sz w:val="18"/>
                <w:szCs w:val="18"/>
              </w:rPr>
            </w:pPr>
            <w:r>
              <w:rPr>
                <w:rFonts w:ascii="宋体" w:hAnsi="宋体" w:cs="宋体" w:eastAsia="宋体" w:hint="default"/>
                <w:sz w:val="18"/>
                <w:szCs w:val="18"/>
              </w:rPr>
              <w:t>电子产品、通信产品、 电脑软件、机电设备的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121,708,510.57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111,240,037.44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111,075,470.6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92,388,392.91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102,786,057.45</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600" w:right="520"/>
        </w:sectPr>
      </w:pPr>
    </w:p>
    <w:p>
      <w:pPr>
        <w:spacing w:line="240" w:lineRule="auto" w:before="10"/>
        <w:rPr>
          <w:rFonts w:ascii="Times New Roman" w:hAnsi="Times New Roman" w:cs="Times New Roman" w:eastAsia="Times New Roman"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855"/>
        <w:gridCol w:w="708"/>
        <w:gridCol w:w="1841"/>
        <w:gridCol w:w="994"/>
        <w:gridCol w:w="1299"/>
        <w:gridCol w:w="1394"/>
        <w:gridCol w:w="1157"/>
        <w:gridCol w:w="1111"/>
        <w:gridCol w:w="1193"/>
      </w:tblGrid>
      <w:tr>
        <w:trPr>
          <w:trHeight w:val="675"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96"/>
              <w:jc w:val="left"/>
              <w:rPr>
                <w:rFonts w:ascii="宋体" w:hAnsi="宋体" w:cs="宋体" w:eastAsia="宋体" w:hint="default"/>
                <w:sz w:val="18"/>
                <w:szCs w:val="18"/>
              </w:rPr>
            </w:pPr>
            <w:r>
              <w:rPr>
                <w:rFonts w:ascii="宋体" w:hAnsi="宋体" w:cs="宋体" w:eastAsia="宋体" w:hint="default"/>
                <w:sz w:val="18"/>
                <w:szCs w:val="18"/>
              </w:rPr>
              <w:t>机科技有 限公司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left"/>
              <w:rPr>
                <w:rFonts w:ascii="宋体" w:hAnsi="宋体" w:cs="宋体" w:eastAsia="宋体" w:hint="default"/>
                <w:sz w:val="18"/>
                <w:szCs w:val="18"/>
              </w:rPr>
            </w:pPr>
            <w:r>
              <w:rPr>
                <w:rFonts w:ascii="宋体" w:hAnsi="宋体" w:cs="宋体" w:eastAsia="宋体" w:hint="default"/>
                <w:spacing w:val="-2"/>
                <w:sz w:val="18"/>
                <w:szCs w:val="18"/>
              </w:rPr>
              <w:t>研究、开发；信息系统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集成服务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96"/>
              <w:jc w:val="both"/>
              <w:rPr>
                <w:rFonts w:ascii="宋体" w:hAnsi="宋体" w:cs="宋体" w:eastAsia="宋体" w:hint="default"/>
                <w:sz w:val="18"/>
                <w:szCs w:val="18"/>
              </w:rPr>
            </w:pPr>
            <w:r>
              <w:rPr>
                <w:rFonts w:ascii="宋体" w:hAnsi="宋体" w:cs="宋体" w:eastAsia="宋体" w:hint="default"/>
                <w:sz w:val="18"/>
                <w:szCs w:val="18"/>
              </w:rPr>
              <w:t>广州花都 稠州村镇 银行股份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2"/>
                <w:sz w:val="18"/>
                <w:szCs w:val="18"/>
              </w:rPr>
              <w:t>吸收人民币存款；发放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人民币短期、中期和长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期贷款；办理国内结 </w:t>
            </w:r>
            <w:r>
              <w:rPr>
                <w:rFonts w:ascii="宋体" w:hAnsi="宋体" w:cs="宋体" w:eastAsia="宋体" w:hint="default"/>
                <w:spacing w:val="-2"/>
                <w:sz w:val="18"/>
                <w:szCs w:val="18"/>
              </w:rPr>
              <w:t>算；办理票据承兑与贴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现；从事同业拆借；从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事银行卡（借记卡）业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务；代理发行、代理兑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付、承销政府债券；代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理收付款项及代理保 险业务。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250,000,000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2,438,055,936.5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330,504,501.56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103,324,970.1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24,097,281.03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28,271,495.90</w:t>
            </w:r>
          </w:p>
        </w:tc>
      </w:tr>
      <w:tr>
        <w:trPr>
          <w:trHeight w:val="3039"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6" w:lineRule="auto"/>
              <w:ind w:left="26" w:right="96"/>
              <w:jc w:val="both"/>
              <w:rPr>
                <w:rFonts w:ascii="宋体" w:hAnsi="宋体" w:cs="宋体" w:eastAsia="宋体" w:hint="default"/>
                <w:sz w:val="18"/>
                <w:szCs w:val="18"/>
              </w:rPr>
            </w:pPr>
            <w:r>
              <w:rPr>
                <w:rFonts w:ascii="宋体" w:hAnsi="宋体" w:cs="宋体" w:eastAsia="宋体" w:hint="default"/>
                <w:sz w:val="18"/>
                <w:szCs w:val="18"/>
              </w:rPr>
              <w:t>广州御银 信息科技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3" w:right="17"/>
              <w:jc w:val="both"/>
              <w:rPr>
                <w:rFonts w:ascii="宋体" w:hAnsi="宋体" w:cs="宋体" w:eastAsia="宋体" w:hint="default"/>
                <w:sz w:val="18"/>
                <w:szCs w:val="18"/>
              </w:rPr>
            </w:pPr>
            <w:r>
              <w:rPr>
                <w:rFonts w:ascii="宋体" w:hAnsi="宋体" w:cs="宋体" w:eastAsia="宋体" w:hint="default"/>
                <w:spacing w:val="-2"/>
                <w:sz w:val="18"/>
                <w:szCs w:val="18"/>
              </w:rPr>
              <w:t>地理信息加工处理；软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件开发；信息系统集成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服务；信息技术咨询服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务；数据处理和储存服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务；集成电路设计；数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字动漫制作；游戏软件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设计制作；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100,000,000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94,952,827.18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94,962,546.60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-5,622,774.23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-4,460,665.57</w:t>
            </w:r>
          </w:p>
        </w:tc>
      </w:tr>
      <w:tr>
        <w:trPr>
          <w:trHeight w:val="2276"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96"/>
              <w:jc w:val="both"/>
              <w:rPr>
                <w:rFonts w:ascii="宋体" w:hAnsi="宋体" w:cs="宋体" w:eastAsia="宋体" w:hint="default"/>
                <w:sz w:val="18"/>
                <w:szCs w:val="18"/>
              </w:rPr>
            </w:pPr>
            <w:r>
              <w:rPr>
                <w:rFonts w:ascii="宋体" w:hAnsi="宋体" w:cs="宋体" w:eastAsia="宋体" w:hint="default"/>
                <w:sz w:val="18"/>
                <w:szCs w:val="18"/>
              </w:rPr>
              <w:t>前海股权 交易中心</w:t>
            </w:r>
          </w:p>
          <w:p>
            <w:pPr>
              <w:pStyle w:val="TableParagraph"/>
              <w:spacing w:line="316" w:lineRule="auto" w:before="19"/>
              <w:ind w:left="26" w:right="96"/>
              <w:jc w:val="both"/>
              <w:rPr>
                <w:rFonts w:ascii="宋体" w:hAnsi="宋体" w:cs="宋体" w:eastAsia="宋体" w:hint="default"/>
                <w:sz w:val="18"/>
                <w:szCs w:val="18"/>
              </w:rPr>
            </w:pPr>
            <w:r>
              <w:rPr>
                <w:rFonts w:ascii="宋体" w:hAnsi="宋体" w:cs="宋体" w:eastAsia="宋体" w:hint="default"/>
                <w:sz w:val="18"/>
                <w:szCs w:val="18"/>
              </w:rPr>
              <w:t>（深圳） 股权交易 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为金融产品、金融工具 的登记、托管、挂牌、 鉴（见）证、转让、过 户、结算等提供场所、 设施和服务；提供融 资、并购、资本运作等 服务等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1,177,400,0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1,970,342,629.6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1,845,202,884.80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201,154,291.3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6,352,661.93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3,380,123.77</w:t>
            </w:r>
          </w:p>
        </w:tc>
      </w:tr>
    </w:tbl>
    <w:p>
      <w:pPr>
        <w:pStyle w:val="BodyText"/>
        <w:spacing w:line="240" w:lineRule="auto" w:before="49"/>
        <w:ind w:left="532" w:right="0"/>
        <w:jc w:val="left"/>
      </w:pPr>
      <w:r>
        <w:rPr/>
        <w:t>报告期内取得和处置子公司的情况</w:t>
      </w:r>
    </w:p>
    <w:p>
      <w:pPr>
        <w:pStyle w:val="BodyText"/>
        <w:spacing w:line="340" w:lineRule="auto" w:before="115"/>
        <w:ind w:left="532" w:right="8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pStyle w:val="BodyText"/>
        <w:spacing w:line="300" w:lineRule="auto" w:before="39"/>
        <w:ind w:left="532" w:right="612" w:firstLine="360"/>
        <w:jc w:val="both"/>
      </w:pPr>
      <w:r>
        <w:rPr/>
        <w:t>（</w:t>
      </w:r>
      <w:r>
        <w:rPr>
          <w:rFonts w:ascii="Times New Roman" w:hAnsi="Times New Roman" w:cs="Times New Roman" w:eastAsia="Times New Roman" w:hint="default"/>
        </w:rPr>
        <w:t>1</w:t>
      </w:r>
      <w:r>
        <w:rPr/>
        <w:t>）广州御新软件有限公司</w:t>
      </w:r>
      <w:r>
        <w:rPr>
          <w:rFonts w:ascii="Times New Roman" w:hAnsi="Times New Roman" w:cs="Times New Roman" w:eastAsia="Times New Roman" w:hint="default"/>
        </w:rPr>
        <w:t>2015</w:t>
      </w:r>
      <w:r>
        <w:rPr/>
        <w:t>年列报收入</w:t>
      </w:r>
      <w:r>
        <w:rPr>
          <w:rFonts w:ascii="Times New Roman" w:hAnsi="Times New Roman" w:cs="Times New Roman" w:eastAsia="Times New Roman" w:hint="default"/>
        </w:rPr>
        <w:t>27,692,307.56</w:t>
      </w:r>
      <w:r>
        <w:rPr/>
        <w:t>元，较去年同期减少</w:t>
      </w:r>
      <w:r>
        <w:rPr>
          <w:rFonts w:ascii="Times New Roman" w:hAnsi="Times New Roman" w:cs="Times New Roman" w:eastAsia="Times New Roman" w:hint="default"/>
        </w:rPr>
        <w:t>67.43%</w:t>
      </w:r>
      <w:r>
        <w:rPr/>
        <w:t>，主要原因是软件销售业务减少 </w:t>
      </w:r>
      <w:r>
        <w:rPr>
          <w:spacing w:val="-1"/>
        </w:rPr>
        <w:t>所致，列报净利润</w:t>
      </w:r>
      <w:r>
        <w:rPr>
          <w:rFonts w:ascii="Times New Roman" w:hAnsi="Times New Roman" w:cs="Times New Roman" w:eastAsia="Times New Roman" w:hint="default"/>
          <w:spacing w:val="-1"/>
        </w:rPr>
        <w:t>93,896,310.10</w:t>
      </w:r>
      <w:r>
        <w:rPr>
          <w:spacing w:val="-1"/>
        </w:rPr>
        <w:t>元，较去年同期增长</w:t>
      </w:r>
      <w:r>
        <w:rPr>
          <w:rFonts w:ascii="Times New Roman" w:hAnsi="Times New Roman" w:cs="Times New Roman" w:eastAsia="Times New Roman" w:hint="default"/>
          <w:spacing w:val="-1"/>
        </w:rPr>
        <w:t>28.06%</w:t>
      </w:r>
      <w:r>
        <w:rPr>
          <w:spacing w:val="-1"/>
        </w:rPr>
        <w:t>，主要原因是收回集团内部应收债权并按照会计政策规定减少坏</w:t>
      </w:r>
      <w:r>
        <w:rPr>
          <w:spacing w:val="-85"/>
        </w:rPr>
        <w:t> </w:t>
      </w:r>
      <w:r>
        <w:rPr>
          <w:spacing w:val="-85"/>
        </w:rPr>
      </w:r>
      <w:r>
        <w:rPr/>
        <w:t>账准备计提所致，内部应收债权及相关坏账准备已在合并时抵消，未对合并经营业绩造成重大影响；</w:t>
      </w:r>
    </w:p>
    <w:p>
      <w:pPr>
        <w:pStyle w:val="BodyText"/>
        <w:spacing w:line="309" w:lineRule="auto" w:before="31"/>
        <w:ind w:left="532" w:right="611" w:firstLine="360"/>
        <w:jc w:val="both"/>
      </w:pPr>
      <w:r>
        <w:rPr>
          <w:spacing w:val="-1"/>
        </w:rPr>
        <w:t>（</w:t>
      </w:r>
      <w:r>
        <w:rPr>
          <w:rFonts w:ascii="Times New Roman" w:hAnsi="Times New Roman" w:cs="Times New Roman" w:eastAsia="Times New Roman" w:hint="default"/>
          <w:spacing w:val="-1"/>
        </w:rPr>
        <w:t>2</w:t>
      </w:r>
      <w:r>
        <w:rPr>
          <w:spacing w:val="-1"/>
        </w:rPr>
        <w:t>）广州御银自动柜员机技术有限公司</w:t>
      </w:r>
      <w:r>
        <w:rPr>
          <w:rFonts w:ascii="Times New Roman" w:hAnsi="Times New Roman" w:cs="Times New Roman" w:eastAsia="Times New Roman" w:hint="default"/>
          <w:spacing w:val="-1"/>
        </w:rPr>
        <w:t>2015</w:t>
      </w:r>
      <w:r>
        <w:rPr>
          <w:spacing w:val="-1"/>
        </w:rPr>
        <w:t>年列报净利润</w:t>
      </w:r>
      <w:r>
        <w:rPr>
          <w:rFonts w:ascii="Times New Roman" w:hAnsi="Times New Roman" w:cs="Times New Roman" w:eastAsia="Times New Roman" w:hint="default"/>
          <w:spacing w:val="-1"/>
        </w:rPr>
        <w:t>48,567,163.00</w:t>
      </w:r>
      <w:r>
        <w:rPr>
          <w:spacing w:val="-1"/>
        </w:rPr>
        <w:t>元，较去年同期增长</w:t>
      </w:r>
      <w:r>
        <w:rPr>
          <w:rFonts w:ascii="Times New Roman" w:hAnsi="Times New Roman" w:cs="Times New Roman" w:eastAsia="Times New Roman" w:hint="default"/>
          <w:spacing w:val="-1"/>
        </w:rPr>
        <w:t>294.77%</w:t>
      </w:r>
      <w:r>
        <w:rPr>
          <w:spacing w:val="-1"/>
        </w:rPr>
        <w:t>，主要原因是收回</w:t>
      </w:r>
      <w:r>
        <w:rPr/>
        <w:t> </w:t>
      </w:r>
      <w:r>
        <w:rPr>
          <w:spacing w:val="-2"/>
        </w:rPr>
        <w:t>集团内部应收债权并按照会计政策规定减少坏账准备计提所致，内部应收债权及相关坏账准备已在合并时抵消，未对合并经</w:t>
      </w:r>
      <w:r>
        <w:rPr>
          <w:spacing w:val="-64"/>
        </w:rPr>
        <w:t> </w:t>
      </w:r>
      <w:r>
        <w:rPr>
          <w:spacing w:val="-64"/>
        </w:rPr>
      </w:r>
      <w:r>
        <w:rPr/>
        <w:t>营业绩造成重大影响；</w:t>
      </w:r>
    </w:p>
    <w:p>
      <w:pPr>
        <w:pStyle w:val="BodyText"/>
        <w:spacing w:line="309" w:lineRule="auto" w:before="24"/>
        <w:ind w:left="532" w:right="611" w:firstLine="360"/>
        <w:jc w:val="both"/>
      </w:pPr>
      <w:r>
        <w:rPr>
          <w:spacing w:val="-1"/>
        </w:rPr>
        <w:t>（</w:t>
      </w:r>
      <w:r>
        <w:rPr>
          <w:rFonts w:ascii="Times New Roman" w:hAnsi="Times New Roman" w:cs="Times New Roman" w:eastAsia="Times New Roman" w:hint="default"/>
          <w:spacing w:val="-1"/>
        </w:rPr>
        <w:t>3</w:t>
      </w:r>
      <w:r>
        <w:rPr>
          <w:spacing w:val="-1"/>
        </w:rPr>
        <w:t>）广州御银金融服务有限公司</w:t>
      </w:r>
      <w:r>
        <w:rPr>
          <w:rFonts w:ascii="Times New Roman" w:hAnsi="Times New Roman" w:cs="Times New Roman" w:eastAsia="Times New Roman" w:hint="default"/>
          <w:spacing w:val="-1"/>
        </w:rPr>
        <w:t>2015</w:t>
      </w:r>
      <w:r>
        <w:rPr>
          <w:spacing w:val="-1"/>
        </w:rPr>
        <w:t>年列报净利润</w:t>
      </w:r>
      <w:r>
        <w:rPr>
          <w:rFonts w:ascii="Times New Roman" w:hAnsi="Times New Roman" w:cs="Times New Roman" w:eastAsia="Times New Roman" w:hint="default"/>
          <w:spacing w:val="-1"/>
        </w:rPr>
        <w:t>13,069,793.09</w:t>
      </w:r>
      <w:r>
        <w:rPr>
          <w:spacing w:val="-1"/>
        </w:rPr>
        <w:t>元，较去年同期增长</w:t>
      </w:r>
      <w:r>
        <w:rPr>
          <w:rFonts w:ascii="Times New Roman" w:hAnsi="Times New Roman" w:cs="Times New Roman" w:eastAsia="Times New Roman" w:hint="default"/>
          <w:spacing w:val="-1"/>
        </w:rPr>
        <w:t>192.47%</w:t>
      </w:r>
      <w:r>
        <w:rPr>
          <w:spacing w:val="-1"/>
        </w:rPr>
        <w:t>，主要原因是收回集团内</w:t>
      </w:r>
      <w:r>
        <w:rPr/>
        <w:t> </w:t>
      </w:r>
      <w:r>
        <w:rPr>
          <w:spacing w:val="-2"/>
        </w:rPr>
        <w:t>部应收债权并按照会计政策规定减少坏账准备计提所致，内部应收债权及相关坏账准备已在合并时抵消，未对合并经营业绩</w:t>
      </w:r>
      <w:r>
        <w:rPr>
          <w:spacing w:val="-64"/>
        </w:rPr>
        <w:t> </w:t>
      </w:r>
      <w:r>
        <w:rPr>
          <w:spacing w:val="-64"/>
        </w:rPr>
      </w:r>
      <w:r>
        <w:rPr/>
        <w:t>造成重大影响；</w:t>
      </w:r>
    </w:p>
    <w:p>
      <w:pPr>
        <w:pStyle w:val="BodyText"/>
        <w:spacing w:line="300" w:lineRule="auto" w:before="24"/>
        <w:ind w:left="532" w:right="608" w:firstLine="360"/>
        <w:jc w:val="both"/>
      </w:pPr>
      <w:r>
        <w:rPr>
          <w:spacing w:val="-1"/>
        </w:rPr>
        <w:t>（</w:t>
      </w:r>
      <w:r>
        <w:rPr>
          <w:rFonts w:ascii="Times New Roman" w:hAnsi="Times New Roman" w:cs="Times New Roman" w:eastAsia="Times New Roman" w:hint="default"/>
          <w:spacing w:val="-1"/>
        </w:rPr>
        <w:t>4</w:t>
      </w:r>
      <w:r>
        <w:rPr>
          <w:spacing w:val="-1"/>
        </w:rPr>
        <w:t>）御银科技（香港）有限公司</w:t>
      </w:r>
      <w:r>
        <w:rPr>
          <w:rFonts w:ascii="Times New Roman" w:hAnsi="Times New Roman" w:cs="Times New Roman" w:eastAsia="Times New Roman" w:hint="default"/>
          <w:spacing w:val="-1"/>
        </w:rPr>
        <w:t>2015</w:t>
      </w:r>
      <w:r>
        <w:rPr>
          <w:spacing w:val="-1"/>
        </w:rPr>
        <w:t>年列报净利润</w:t>
      </w:r>
      <w:r>
        <w:rPr>
          <w:rFonts w:ascii="Times New Roman" w:hAnsi="Times New Roman" w:cs="Times New Roman" w:eastAsia="Times New Roman" w:hint="default"/>
          <w:spacing w:val="-1"/>
        </w:rPr>
        <w:t>249,049.80</w:t>
      </w:r>
      <w:r>
        <w:rPr>
          <w:spacing w:val="-1"/>
        </w:rPr>
        <w:t>元，较去年同期增长</w:t>
      </w:r>
      <w:r>
        <w:rPr>
          <w:rFonts w:ascii="Times New Roman" w:hAnsi="Times New Roman" w:cs="Times New Roman" w:eastAsia="Times New Roman" w:hint="default"/>
          <w:spacing w:val="-1"/>
        </w:rPr>
        <w:t>233.54%</w:t>
      </w:r>
      <w:r>
        <w:rPr>
          <w:spacing w:val="-1"/>
        </w:rPr>
        <w:t>，主要原因是外币汇率变动</w:t>
      </w:r>
      <w:r>
        <w:rPr/>
        <w:t> 而增加汇兑收益所致，内部应收债权债务及相关坏账准备已在合并时抵消，未对合并经营业绩造成重大影响；</w:t>
      </w:r>
    </w:p>
    <w:p>
      <w:pPr>
        <w:spacing w:after="0" w:line="300" w:lineRule="auto"/>
        <w:jc w:val="both"/>
        <w:sectPr>
          <w:pgSz w:w="11910" w:h="16840"/>
          <w:pgMar w:header="786" w:footer="1021" w:top="1100" w:bottom="1220" w:left="600" w:right="520"/>
        </w:sectPr>
      </w:pPr>
    </w:p>
    <w:p>
      <w:pPr>
        <w:spacing w:line="240" w:lineRule="auto" w:before="8"/>
        <w:rPr>
          <w:rFonts w:ascii="宋体" w:hAnsi="宋体" w:cs="宋体" w:eastAsia="宋体" w:hint="default"/>
          <w:sz w:val="22"/>
          <w:szCs w:val="22"/>
        </w:rPr>
      </w:pPr>
    </w:p>
    <w:p>
      <w:pPr>
        <w:pStyle w:val="BodyText"/>
        <w:spacing w:line="300" w:lineRule="auto" w:before="44"/>
        <w:ind w:right="114" w:firstLine="360"/>
        <w:jc w:val="left"/>
      </w:pPr>
      <w:r>
        <w:rPr>
          <w:spacing w:val="-1"/>
        </w:rPr>
        <w:t>（</w:t>
      </w:r>
      <w:r>
        <w:rPr>
          <w:rFonts w:ascii="Times New Roman" w:hAnsi="Times New Roman" w:cs="Times New Roman" w:eastAsia="Times New Roman" w:hint="default"/>
          <w:spacing w:val="-1"/>
        </w:rPr>
        <w:t>5</w:t>
      </w:r>
      <w:r>
        <w:rPr>
          <w:spacing w:val="-1"/>
        </w:rPr>
        <w:t>）广州御银自动柜员机科技有限公司</w:t>
      </w:r>
      <w:r>
        <w:rPr>
          <w:rFonts w:ascii="Times New Roman" w:hAnsi="Times New Roman" w:cs="Times New Roman" w:eastAsia="Times New Roman" w:hint="default"/>
          <w:spacing w:val="-1"/>
        </w:rPr>
        <w:t>2015</w:t>
      </w:r>
      <w:r>
        <w:rPr>
          <w:spacing w:val="-1"/>
        </w:rPr>
        <w:t>年列报净利润</w:t>
      </w:r>
      <w:r>
        <w:rPr>
          <w:rFonts w:ascii="Times New Roman" w:hAnsi="Times New Roman" w:cs="Times New Roman" w:eastAsia="Times New Roman" w:hint="default"/>
          <w:spacing w:val="-1"/>
        </w:rPr>
        <w:t>102,786,057.45</w:t>
      </w:r>
      <w:r>
        <w:rPr>
          <w:spacing w:val="-1"/>
        </w:rPr>
        <w:t>元，较去年同期增长</w:t>
      </w:r>
      <w:r>
        <w:rPr>
          <w:rFonts w:ascii="Times New Roman" w:hAnsi="Times New Roman" w:cs="Times New Roman" w:eastAsia="Times New Roman" w:hint="default"/>
          <w:spacing w:val="-1"/>
        </w:rPr>
        <w:t>4631.05%</w:t>
      </w:r>
      <w:r>
        <w:rPr>
          <w:spacing w:val="-1"/>
        </w:rPr>
        <w:t>，主要原因是软</w:t>
      </w:r>
      <w:r>
        <w:rPr/>
        <w:t> 件销售业务增长所致；</w:t>
      </w:r>
    </w:p>
    <w:p>
      <w:pPr>
        <w:pStyle w:val="BodyText"/>
        <w:spacing w:line="309" w:lineRule="auto" w:before="31"/>
        <w:ind w:right="208" w:firstLine="360"/>
        <w:jc w:val="both"/>
      </w:pPr>
      <w:r>
        <w:rPr>
          <w:spacing w:val="-1"/>
        </w:rPr>
        <w:t>（</w:t>
      </w:r>
      <w:r>
        <w:rPr>
          <w:rFonts w:ascii="Times New Roman" w:hAnsi="Times New Roman" w:cs="Times New Roman" w:eastAsia="Times New Roman" w:hint="default"/>
          <w:spacing w:val="-1"/>
        </w:rPr>
        <w:t>6</w:t>
      </w:r>
      <w:r>
        <w:rPr>
          <w:spacing w:val="-1"/>
        </w:rPr>
        <w:t>）广州御银信息科技有限公司</w:t>
      </w:r>
      <w:r>
        <w:rPr>
          <w:rFonts w:ascii="Times New Roman" w:hAnsi="Times New Roman" w:cs="Times New Roman" w:eastAsia="Times New Roman" w:hint="default"/>
          <w:spacing w:val="-1"/>
        </w:rPr>
        <w:t>2015</w:t>
      </w:r>
      <w:r>
        <w:rPr>
          <w:spacing w:val="-1"/>
        </w:rPr>
        <w:t>年列报净利润</w:t>
      </w:r>
      <w:r>
        <w:rPr>
          <w:rFonts w:ascii="Times New Roman" w:hAnsi="Times New Roman" w:cs="Times New Roman" w:eastAsia="Times New Roman" w:hint="default"/>
          <w:spacing w:val="-1"/>
        </w:rPr>
        <w:t>-4,460,665.57</w:t>
      </w:r>
      <w:r>
        <w:rPr>
          <w:spacing w:val="-1"/>
        </w:rPr>
        <w:t>元，较去年同期减少</w:t>
      </w:r>
      <w:r>
        <w:rPr>
          <w:rFonts w:ascii="Times New Roman" w:hAnsi="Times New Roman" w:cs="Times New Roman" w:eastAsia="Times New Roman" w:hint="default"/>
          <w:spacing w:val="-1"/>
        </w:rPr>
        <w:t>673.36%</w:t>
      </w:r>
      <w:r>
        <w:rPr>
          <w:spacing w:val="-1"/>
        </w:rPr>
        <w:t>，主要原因是该子公司按</w:t>
      </w:r>
      <w:r>
        <w:rPr/>
        <w:t> </w:t>
      </w:r>
      <w:r>
        <w:rPr>
          <w:spacing w:val="-2"/>
        </w:rPr>
        <w:t>照会计政策规定对集团内部应收债权项目计提坏账准备所致，内部应收债权及相关坏账准备已在合并时抵消，未对合并经营</w:t>
      </w:r>
      <w:r>
        <w:rPr>
          <w:spacing w:val="-64"/>
        </w:rPr>
        <w:t> </w:t>
      </w:r>
      <w:r>
        <w:rPr>
          <w:spacing w:val="-64"/>
        </w:rPr>
      </w:r>
      <w:r>
        <w:rPr/>
        <w:t>业绩造成重大影响；</w:t>
      </w:r>
    </w:p>
    <w:p>
      <w:pPr>
        <w:pStyle w:val="BodyText"/>
        <w:spacing w:line="240" w:lineRule="auto" w:before="24"/>
        <w:ind w:left="513" w:right="114"/>
        <w:jc w:val="left"/>
      </w:pPr>
      <w:r>
        <w:rPr/>
        <w:t>（</w:t>
      </w:r>
      <w:r>
        <w:rPr>
          <w:rFonts w:ascii="Times New Roman" w:hAnsi="Times New Roman" w:cs="Times New Roman" w:eastAsia="Times New Roman" w:hint="default"/>
        </w:rPr>
        <w:t>7</w:t>
      </w:r>
      <w:r>
        <w:rPr/>
        <w:t>）上海博科咨询股份有限公司正在申请创业板上市，报表暂时不能提供。</w:t>
      </w:r>
    </w:p>
    <w:p>
      <w:pPr>
        <w:spacing w:line="240" w:lineRule="auto" w:before="3"/>
        <w:rPr>
          <w:rFonts w:ascii="宋体" w:hAnsi="宋体" w:cs="宋体" w:eastAsia="宋体" w:hint="default"/>
          <w:sz w:val="24"/>
          <w:szCs w:val="24"/>
        </w:rPr>
      </w:pPr>
    </w:p>
    <w:p>
      <w:pPr>
        <w:pStyle w:val="Heading2"/>
        <w:spacing w:line="240" w:lineRule="auto"/>
        <w:ind w:right="114"/>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4"/>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253"/>
        <w:jc w:val="left"/>
      </w:pPr>
      <w:r>
        <w:rPr>
          <w:rFonts w:ascii="Times New Roman" w:hAnsi="Times New Roman" w:cs="Times New Roman" w:eastAsia="Times New Roman" w:hint="default"/>
        </w:rPr>
        <w:t>1</w:t>
      </w:r>
      <w:r>
        <w:rPr/>
        <w:t>、行业的发展趋势 随着国内经济的发展以及银行业的不断壮大，我国已成为全球</w:t>
      </w:r>
      <w:r>
        <w:rPr>
          <w:rFonts w:ascii="Times New Roman" w:hAnsi="Times New Roman" w:cs="Times New Roman" w:eastAsia="Times New Roman" w:hint="default"/>
        </w:rPr>
        <w:t>ATM</w:t>
      </w:r>
      <w:r>
        <w:rPr/>
        <w:t>最大的市场。随着全球经济的融合，新一轮全球经</w:t>
      </w:r>
    </w:p>
    <w:p>
      <w:pPr>
        <w:pStyle w:val="BodyText"/>
        <w:spacing w:line="316" w:lineRule="auto" w:before="13"/>
        <w:ind w:right="210"/>
        <w:jc w:val="both"/>
      </w:pPr>
      <w:r>
        <w:rPr>
          <w:spacing w:val="-2"/>
        </w:rPr>
        <w:t>济一体化的发展，企业不仅要面临国内的竞争，还要应付其他国家随经济一体化席卷而来的竞争。面对如此激烈的角逐和快</w:t>
      </w:r>
      <w:r>
        <w:rPr>
          <w:spacing w:val="-63"/>
        </w:rPr>
        <w:t> </w:t>
      </w:r>
      <w:r>
        <w:rPr>
          <w:spacing w:val="-63"/>
        </w:rPr>
      </w:r>
      <w:r>
        <w:rPr>
          <w:spacing w:val="-2"/>
        </w:rPr>
        <w:t>速的技术变革，闭门造车与简单引进都不能搭建企业的核心竞争力。由此，打造民族品牌、建立民族团队、自主民族技术和</w:t>
      </w:r>
      <w:r>
        <w:rPr>
          <w:spacing w:val="-67"/>
        </w:rPr>
        <w:t> </w:t>
      </w:r>
      <w:r>
        <w:rPr>
          <w:spacing w:val="-67"/>
        </w:rPr>
      </w:r>
      <w:r>
        <w:rPr/>
        <w:t>产品、完善服务成为本土企业突破国内竞争格局的必要条件。</w:t>
      </w:r>
      <w:r>
        <w:rPr>
          <w:rFonts w:ascii="Times New Roman" w:hAnsi="Times New Roman" w:cs="Times New Roman" w:eastAsia="Times New Roman" w:hint="default"/>
        </w:rPr>
        <w:t>2015</w:t>
      </w:r>
      <w:r>
        <w:rPr/>
        <w:t>年行业的发展动态如下：</w:t>
      </w:r>
    </w:p>
    <w:p>
      <w:pPr>
        <w:pStyle w:val="BodyText"/>
        <w:spacing w:line="300" w:lineRule="auto"/>
        <w:ind w:left="513" w:right="114"/>
        <w:jc w:val="left"/>
      </w:pPr>
      <w:r>
        <w:rPr/>
        <w:t>（</w:t>
      </w:r>
      <w:r>
        <w:rPr>
          <w:rFonts w:ascii="Times New Roman" w:hAnsi="Times New Roman" w:cs="Times New Roman" w:eastAsia="Times New Roman" w:hint="default"/>
        </w:rPr>
        <w:t>1</w:t>
      </w:r>
      <w:r>
        <w:rPr/>
        <w:t>）存取款一体机</w:t>
      </w:r>
      <w:r>
        <w:rPr>
          <w:rFonts w:ascii="Times New Roman" w:hAnsi="Times New Roman" w:cs="Times New Roman" w:eastAsia="Times New Roman" w:hint="default"/>
        </w:rPr>
        <w:t>CRS</w:t>
      </w:r>
      <w:r>
        <w:rPr/>
        <w:t>破局，</w:t>
      </w:r>
      <w:r>
        <w:rPr>
          <w:rFonts w:ascii="Times New Roman" w:hAnsi="Times New Roman" w:cs="Times New Roman" w:eastAsia="Times New Roman" w:hint="default"/>
        </w:rPr>
        <w:t>ATM</w:t>
      </w:r>
      <w:r>
        <w:rPr/>
        <w:t>存取款一体机成主流 </w:t>
      </w:r>
      <w:r>
        <w:rPr>
          <w:spacing w:val="-2"/>
        </w:rPr>
        <w:t>近年来，我国现金类金融自助设备市场伴随金融行业的创新、升级而繁荣发展，行业整体经营态势稳健，市场竞争日趋</w:t>
      </w:r>
    </w:p>
    <w:p>
      <w:pPr>
        <w:pStyle w:val="BodyText"/>
        <w:spacing w:line="300" w:lineRule="auto" w:before="31"/>
        <w:ind w:right="114"/>
        <w:jc w:val="left"/>
      </w:pPr>
      <w:r>
        <w:rPr>
          <w:spacing w:val="-2"/>
        </w:rPr>
        <w:t>激烈，行业主流产品的结构性需求也在逐步变化。根据中国人民银行发布的《</w:t>
      </w:r>
      <w:r>
        <w:rPr>
          <w:rFonts w:ascii="Times New Roman" w:hAnsi="Times New Roman" w:cs="Times New Roman" w:eastAsia="Times New Roman" w:hint="default"/>
          <w:spacing w:val="-2"/>
        </w:rPr>
        <w:t>2015</w:t>
      </w:r>
      <w:r>
        <w:rPr>
          <w:spacing w:val="-2"/>
        </w:rPr>
        <w:t>年全第三季度支付体系运行总体情况》报</w:t>
      </w:r>
      <w:r>
        <w:rPr>
          <w:spacing w:val="-60"/>
        </w:rPr>
        <w:t> </w:t>
      </w:r>
      <w:r>
        <w:rPr>
          <w:spacing w:val="-60"/>
        </w:rPr>
      </w:r>
      <w:r>
        <w:rPr>
          <w:spacing w:val="-2"/>
        </w:rPr>
        <w:t>告，截至</w:t>
      </w:r>
      <w:r>
        <w:rPr>
          <w:rFonts w:ascii="Times New Roman" w:hAnsi="Times New Roman" w:cs="Times New Roman" w:eastAsia="Times New Roman" w:hint="default"/>
          <w:spacing w:val="-2"/>
        </w:rPr>
        <w:t>2015</w:t>
      </w:r>
      <w:r>
        <w:rPr>
          <w:spacing w:val="-2"/>
        </w:rPr>
        <w:t>年第三季度末，全国银行卡在用发卡数量</w:t>
      </w:r>
      <w:r>
        <w:rPr>
          <w:rFonts w:ascii="Times New Roman" w:hAnsi="Times New Roman" w:cs="Times New Roman" w:eastAsia="Times New Roman" w:hint="default"/>
          <w:spacing w:val="-2"/>
        </w:rPr>
        <w:t>52.52</w:t>
      </w:r>
      <w:r>
        <w:rPr>
          <w:spacing w:val="-2"/>
        </w:rPr>
        <w:t>亿张，同比增长</w:t>
      </w:r>
      <w:r>
        <w:rPr>
          <w:rFonts w:ascii="Times New Roman" w:hAnsi="Times New Roman" w:cs="Times New Roman" w:eastAsia="Times New Roman" w:hint="default"/>
          <w:spacing w:val="-2"/>
        </w:rPr>
        <w:t>10.66%</w:t>
      </w:r>
      <w:r>
        <w:rPr>
          <w:spacing w:val="-2"/>
        </w:rPr>
        <w:t>，其中，借记卡在用发卡数量</w:t>
      </w:r>
      <w:r>
        <w:rPr>
          <w:rFonts w:ascii="Times New Roman" w:hAnsi="Times New Roman" w:cs="Times New Roman" w:eastAsia="Times New Roman" w:hint="default"/>
          <w:spacing w:val="-2"/>
        </w:rPr>
        <w:t>48.03</w:t>
      </w:r>
      <w:r>
        <w:rPr>
          <w:spacing w:val="-2"/>
        </w:rPr>
        <w:t>亿张，</w:t>
      </w:r>
      <w:r>
        <w:rPr>
          <w:spacing w:val="-64"/>
        </w:rPr>
        <w:t> </w:t>
      </w:r>
      <w:r>
        <w:rPr>
          <w:spacing w:val="-64"/>
        </w:rPr>
      </w:r>
      <w:r>
        <w:rPr/>
        <w:t>同比增长</w:t>
      </w:r>
      <w:r>
        <w:rPr>
          <w:rFonts w:ascii="Times New Roman" w:hAnsi="Times New Roman" w:cs="Times New Roman" w:eastAsia="Times New Roman" w:hint="default"/>
        </w:rPr>
        <w:t>11.42%</w:t>
      </w:r>
      <w:r>
        <w:rPr/>
        <w:t>，占银行卡发卡量的</w:t>
      </w:r>
      <w:r>
        <w:rPr>
          <w:rFonts w:ascii="Times New Roman" w:hAnsi="Times New Roman" w:cs="Times New Roman" w:eastAsia="Times New Roman" w:hint="default"/>
        </w:rPr>
        <w:t>91.45%</w:t>
      </w:r>
      <w:r>
        <w:rPr/>
        <w:t>。另据有关统计显示，我国每百万人口的</w:t>
      </w:r>
      <w:r>
        <w:rPr>
          <w:rFonts w:ascii="Times New Roman" w:hAnsi="Times New Roman" w:cs="Times New Roman" w:eastAsia="Times New Roman" w:hint="default"/>
        </w:rPr>
        <w:t>ATM</w:t>
      </w:r>
      <w:r>
        <w:rPr/>
        <w:t>拥有量到目前为止和发展国家相 差甚远，发达国家每百万人口的</w:t>
      </w:r>
      <w:r>
        <w:rPr>
          <w:rFonts w:ascii="Times New Roman" w:hAnsi="Times New Roman" w:cs="Times New Roman" w:eastAsia="Times New Roman" w:hint="default"/>
        </w:rPr>
        <w:t>ATM</w:t>
      </w:r>
      <w:r>
        <w:rPr/>
        <w:t>拥有量为</w:t>
      </w:r>
      <w:r>
        <w:rPr>
          <w:rFonts w:ascii="Times New Roman" w:hAnsi="Times New Roman" w:cs="Times New Roman" w:eastAsia="Times New Roman" w:hint="default"/>
        </w:rPr>
        <w:t>1450</w:t>
      </w:r>
      <w:r>
        <w:rPr/>
        <w:t>台，以</w:t>
      </w:r>
      <w:r>
        <w:rPr>
          <w:rFonts w:ascii="Times New Roman" w:hAnsi="Times New Roman" w:cs="Times New Roman" w:eastAsia="Times New Roman" w:hint="default"/>
        </w:rPr>
        <w:t>2015</w:t>
      </w:r>
      <w:r>
        <w:rPr/>
        <w:t>年末我国官方发布的全国总人口数</w:t>
      </w:r>
      <w:r>
        <w:rPr>
          <w:rFonts w:ascii="Times New Roman" w:hAnsi="Times New Roman" w:cs="Times New Roman" w:eastAsia="Times New Roman" w:hint="default"/>
        </w:rPr>
        <w:t>13.74</w:t>
      </w:r>
      <w:r>
        <w:rPr/>
        <w:t>亿计算，</w:t>
      </w:r>
      <w:r>
        <w:rPr>
          <w:rFonts w:ascii="Times New Roman" w:hAnsi="Times New Roman" w:cs="Times New Roman" w:eastAsia="Times New Roman" w:hint="default"/>
        </w:rPr>
        <w:t>2015</w:t>
      </w:r>
      <w:r>
        <w:rPr/>
        <w:t>年我国 </w:t>
      </w:r>
      <w:r>
        <w:rPr>
          <w:spacing w:val="-3"/>
        </w:rPr>
        <w:t>每百万人均</w:t>
      </w:r>
      <w:r>
        <w:rPr>
          <w:rFonts w:ascii="Times New Roman" w:hAnsi="Times New Roman" w:cs="Times New Roman" w:eastAsia="Times New Roman" w:hint="default"/>
          <w:spacing w:val="-3"/>
        </w:rPr>
        <w:t>ATM</w:t>
      </w:r>
      <w:r>
        <w:rPr>
          <w:spacing w:val="-3"/>
        </w:rPr>
        <w:t>保有量约为</w:t>
      </w:r>
      <w:r>
        <w:rPr>
          <w:rFonts w:ascii="Times New Roman" w:hAnsi="Times New Roman" w:cs="Times New Roman" w:eastAsia="Times New Roman" w:hint="default"/>
          <w:spacing w:val="-3"/>
        </w:rPr>
        <w:t>612</w:t>
      </w:r>
      <w:r>
        <w:rPr>
          <w:spacing w:val="-3"/>
        </w:rPr>
        <w:t>台，较</w:t>
      </w:r>
      <w:r>
        <w:rPr>
          <w:rFonts w:ascii="Times New Roman" w:hAnsi="Times New Roman" w:cs="Times New Roman" w:eastAsia="Times New Roman" w:hint="default"/>
          <w:spacing w:val="-3"/>
        </w:rPr>
        <w:t>2014</w:t>
      </w:r>
      <w:r>
        <w:rPr>
          <w:spacing w:val="-3"/>
        </w:rPr>
        <w:t>年的约</w:t>
      </w:r>
      <w:r>
        <w:rPr>
          <w:rFonts w:ascii="Times New Roman" w:hAnsi="Times New Roman" w:cs="Times New Roman" w:eastAsia="Times New Roman" w:hint="default"/>
          <w:spacing w:val="-3"/>
        </w:rPr>
        <w:t>452</w:t>
      </w:r>
      <w:r>
        <w:rPr>
          <w:spacing w:val="-3"/>
        </w:rPr>
        <w:t>台递增显著。英国零售银行研究和咨询公司</w:t>
      </w:r>
      <w:r>
        <w:rPr>
          <w:rFonts w:ascii="Times New Roman" w:hAnsi="Times New Roman" w:cs="Times New Roman" w:eastAsia="Times New Roman" w:hint="default"/>
          <w:spacing w:val="-3"/>
        </w:rPr>
        <w:t>RBR</w:t>
      </w:r>
      <w:r>
        <w:rPr>
          <w:spacing w:val="-3"/>
        </w:rPr>
        <w:t>发布的《</w:t>
      </w:r>
      <w:r>
        <w:rPr>
          <w:rFonts w:ascii="Times New Roman" w:hAnsi="Times New Roman" w:cs="Times New Roman" w:eastAsia="Times New Roman" w:hint="default"/>
          <w:spacing w:val="-3"/>
        </w:rPr>
        <w:t>2020</w:t>
      </w:r>
      <w:r>
        <w:rPr>
          <w:spacing w:val="-3"/>
        </w:rPr>
        <w:t>全球</w:t>
      </w:r>
      <w:r>
        <w:rPr>
          <w:rFonts w:ascii="Times New Roman" w:hAnsi="Times New Roman" w:cs="Times New Roman" w:eastAsia="Times New Roman" w:hint="default"/>
          <w:spacing w:val="-3"/>
        </w:rPr>
        <w:t>ATM</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市场及预测报告》研究显示，中国、印度等新兴市场中，银行正试图增加金融服务的包容性，</w:t>
      </w:r>
      <w:r>
        <w:rPr>
          <w:rFonts w:ascii="Times New Roman" w:hAnsi="Times New Roman" w:cs="Times New Roman" w:eastAsia="Times New Roman" w:hint="default"/>
        </w:rPr>
        <w:t>ATM</w:t>
      </w:r>
      <w:r>
        <w:rPr/>
        <w:t>被视为一个利用有效成 </w:t>
      </w:r>
      <w:r>
        <w:rPr>
          <w:spacing w:val="-3"/>
        </w:rPr>
        <w:t>本去拓宽金融机构地理范围很好的方式。预计</w:t>
      </w:r>
      <w:r>
        <w:rPr>
          <w:rFonts w:ascii="Times New Roman" w:hAnsi="Times New Roman" w:cs="Times New Roman" w:eastAsia="Times New Roman" w:hint="default"/>
          <w:spacing w:val="-3"/>
        </w:rPr>
        <w:t>2020</w:t>
      </w:r>
      <w:r>
        <w:rPr>
          <w:spacing w:val="-3"/>
        </w:rPr>
        <w:t>年全球</w:t>
      </w:r>
      <w:r>
        <w:rPr>
          <w:rFonts w:ascii="Times New Roman" w:hAnsi="Times New Roman" w:cs="Times New Roman" w:eastAsia="Times New Roman" w:hint="default"/>
          <w:spacing w:val="-3"/>
        </w:rPr>
        <w:t>ATM</w:t>
      </w:r>
      <w:r>
        <w:rPr>
          <w:spacing w:val="-3"/>
        </w:rPr>
        <w:t>保有量将超过</w:t>
      </w:r>
      <w:r>
        <w:rPr>
          <w:rFonts w:ascii="Times New Roman" w:hAnsi="Times New Roman" w:cs="Times New Roman" w:eastAsia="Times New Roman" w:hint="default"/>
          <w:spacing w:val="-3"/>
        </w:rPr>
        <w:t>400</w:t>
      </w:r>
      <w:r>
        <w:rPr>
          <w:spacing w:val="-3"/>
        </w:rPr>
        <w:t>万台，而亚太地区将继续成为主要增长区域，</w:t>
      </w:r>
      <w:r>
        <w:rPr>
          <w:spacing w:val="-38"/>
        </w:rPr>
        <w:t> </w:t>
      </w:r>
      <w:r>
        <w:rPr>
          <w:spacing w:val="-38"/>
        </w:rPr>
      </w:r>
      <w:r>
        <w:rPr/>
        <w:t>中国作为全球新安装量最大的国家，预计在接下来的几年仍将主导全球</w:t>
      </w:r>
      <w:r>
        <w:rPr>
          <w:rFonts w:ascii="Times New Roman" w:hAnsi="Times New Roman" w:cs="Times New Roman" w:eastAsia="Times New Roman" w:hint="default"/>
        </w:rPr>
        <w:t>ATM</w:t>
      </w:r>
      <w:r>
        <w:rPr/>
        <w:t>市场的持续扩张。</w:t>
      </w:r>
    </w:p>
    <w:p>
      <w:pPr>
        <w:pStyle w:val="BodyText"/>
        <w:spacing w:line="304" w:lineRule="auto" w:before="13"/>
        <w:ind w:right="114" w:firstLine="360"/>
        <w:jc w:val="left"/>
      </w:pPr>
      <w:r>
        <w:rPr>
          <w:spacing w:val="-2"/>
        </w:rPr>
        <w:t>伴随着银行业务量快速加大和人工成本不断增加，使用先进的自助设备代替重复的、低附加值的人工劳动，成为银行的</w:t>
      </w:r>
      <w:r>
        <w:rPr/>
        <w:t> 必然趋势。银行自助服务系统是金融业发展的新兴模式，为客户提供了一种完全自助、</w:t>
      </w:r>
      <w:r>
        <w:rPr>
          <w:rFonts w:ascii="Times New Roman" w:hAnsi="Times New Roman" w:cs="Times New Roman" w:eastAsia="Times New Roman" w:hint="default"/>
        </w:rPr>
        <w:t>24</w:t>
      </w:r>
      <w:r>
        <w:rPr/>
        <w:t>小时享受银行高效率服务的渠道。 根据央行发布的《</w:t>
      </w:r>
      <w:r>
        <w:rPr>
          <w:rFonts w:ascii="Times New Roman" w:hAnsi="Times New Roman" w:cs="Times New Roman" w:eastAsia="Times New Roman" w:hint="default"/>
        </w:rPr>
        <w:t>2015</w:t>
      </w:r>
      <w:r>
        <w:rPr/>
        <w:t>年第三季度支付体系运行总体情况》显示，我国银行卡受理环境不断完善。截至第三季度末，</w:t>
      </w:r>
      <w:r>
        <w:rPr>
          <w:rFonts w:ascii="Times New Roman" w:hAnsi="Times New Roman" w:cs="Times New Roman" w:eastAsia="Times New Roman" w:hint="default"/>
        </w:rPr>
        <w:t>ATM</w:t>
      </w:r>
      <w:r>
        <w:rPr>
          <w:rFonts w:ascii="Times New Roman" w:hAnsi="Times New Roman" w:cs="Times New Roman" w:eastAsia="Times New Roman" w:hint="default"/>
          <w:w w:val="99"/>
        </w:rPr>
        <w:t> </w:t>
      </w:r>
      <w:r>
        <w:rPr/>
        <w:t>数量达到</w:t>
      </w:r>
      <w:r>
        <w:rPr>
          <w:rFonts w:ascii="Times New Roman" w:hAnsi="Times New Roman" w:cs="Times New Roman" w:eastAsia="Times New Roman" w:hint="default"/>
        </w:rPr>
        <w:t>84.08</w:t>
      </w:r>
      <w:r>
        <w:rPr/>
        <w:t>万台，较</w:t>
      </w:r>
      <w:r>
        <w:rPr>
          <w:rFonts w:ascii="Times New Roman" w:hAnsi="Times New Roman" w:cs="Times New Roman" w:eastAsia="Times New Roman" w:hint="default"/>
        </w:rPr>
        <w:t>2014</w:t>
      </w:r>
      <w:r>
        <w:rPr/>
        <w:t>年底增加了</w:t>
      </w:r>
      <w:r>
        <w:rPr>
          <w:rFonts w:ascii="Times New Roman" w:hAnsi="Times New Roman" w:cs="Times New Roman" w:eastAsia="Times New Roman" w:hint="default"/>
        </w:rPr>
        <w:t>22.59</w:t>
      </w:r>
      <w:r>
        <w:rPr/>
        <w:t>万台，增长率达到了</w:t>
      </w:r>
      <w:r>
        <w:rPr>
          <w:rFonts w:ascii="Times New Roman" w:hAnsi="Times New Roman" w:cs="Times New Roman" w:eastAsia="Times New Roman" w:hint="default"/>
        </w:rPr>
        <w:t>36.74%</w:t>
      </w:r>
      <w:r>
        <w:rPr/>
        <w:t>。通过这样的模式，银行可为客户提供更方便快捷 的服务体验。这其中存取款一体机</w:t>
      </w:r>
      <w:r>
        <w:rPr>
          <w:rFonts w:ascii="Times New Roman" w:hAnsi="Times New Roman" w:cs="Times New Roman" w:eastAsia="Times New Roman" w:hint="default"/>
        </w:rPr>
        <w:t>(CRS)</w:t>
      </w:r>
      <w:r>
        <w:rPr/>
        <w:t>发挥着极其重要的作用，</w:t>
      </w:r>
      <w:r>
        <w:rPr>
          <w:rFonts w:ascii="Times New Roman" w:hAnsi="Times New Roman" w:cs="Times New Roman" w:eastAsia="Times New Roman" w:hint="default"/>
        </w:rPr>
        <w:t>CRS</w:t>
      </w:r>
      <w:r>
        <w:rPr/>
        <w:t>行业的发展壮大是民族自主品牌不懈奋斗的结果，也 </w:t>
      </w:r>
      <w:r>
        <w:rPr>
          <w:spacing w:val="-2"/>
        </w:rPr>
        <w:t>是基于我国经济腾飞而引发的庞大市场需求。随着鼓励自主创新、推进金融安全建设等政策因素发挥作用，</w:t>
      </w:r>
      <w:r>
        <w:rPr>
          <w:rFonts w:ascii="Times New Roman" w:hAnsi="Times New Roman" w:cs="Times New Roman" w:eastAsia="Times New Roman" w:hint="default"/>
          <w:spacing w:val="-2"/>
        </w:rPr>
        <w:t>CRS</w:t>
      </w:r>
      <w:r>
        <w:rPr>
          <w:spacing w:val="-2"/>
        </w:rPr>
        <w:t>行业将迎来</w:t>
      </w:r>
      <w:r>
        <w:rPr>
          <w:spacing w:val="-46"/>
        </w:rPr>
        <w:t> </w:t>
      </w:r>
      <w:r>
        <w:rPr>
          <w:spacing w:val="-2"/>
        </w:rPr>
        <w:t>一个巨大的发展契机。技术自主创新，服务主动深入，已经具备国际竞争水平的金融服务民族品牌，将引领我国金融行业的</w:t>
      </w:r>
      <w:r>
        <w:rPr>
          <w:spacing w:val="-64"/>
        </w:rPr>
        <w:t> </w:t>
      </w:r>
      <w:r>
        <w:rPr>
          <w:spacing w:val="-64"/>
        </w:rPr>
      </w:r>
      <w:r>
        <w:rPr/>
        <w:t>未来。</w:t>
      </w:r>
    </w:p>
    <w:p>
      <w:pPr>
        <w:pStyle w:val="BodyText"/>
        <w:spacing w:line="300" w:lineRule="auto" w:before="28"/>
        <w:ind w:left="513" w:right="203"/>
        <w:jc w:val="left"/>
      </w:pPr>
      <w:r>
        <w:rPr/>
        <w:t>（</w:t>
      </w:r>
      <w:r>
        <w:rPr>
          <w:rFonts w:ascii="Times New Roman" w:hAnsi="Times New Roman" w:cs="Times New Roman" w:eastAsia="Times New Roman" w:hint="default"/>
        </w:rPr>
        <w:t>2</w:t>
      </w:r>
      <w:r>
        <w:rPr/>
        <w:t>）全球现金用量有增无减，未来支付呈多元格局 根据</w:t>
      </w:r>
      <w:r>
        <w:rPr>
          <w:rFonts w:ascii="Times New Roman" w:hAnsi="Times New Roman" w:cs="Times New Roman" w:eastAsia="Times New Roman" w:hint="default"/>
        </w:rPr>
        <w:t>ATMIA</w:t>
      </w:r>
      <w:r>
        <w:rPr/>
        <w:t>（全球</w:t>
      </w:r>
      <w:r>
        <w:rPr>
          <w:rFonts w:ascii="Times New Roman" w:hAnsi="Times New Roman" w:cs="Times New Roman" w:eastAsia="Times New Roman" w:hint="default"/>
        </w:rPr>
        <w:t>ATM</w:t>
      </w:r>
      <w:r>
        <w:rPr/>
        <w:t>行业协会）发布的一份全球主要国家货币流通量逐年增长率统计分析报告，对</w:t>
      </w:r>
      <w:r>
        <w:rPr>
          <w:rFonts w:ascii="Times New Roman" w:hAnsi="Times New Roman" w:cs="Times New Roman" w:eastAsia="Times New Roman" w:hint="default"/>
        </w:rPr>
        <w:t>30</w:t>
      </w:r>
      <w:r>
        <w:rPr/>
        <w:t>个发达国家和</w:t>
      </w:r>
    </w:p>
    <w:p>
      <w:pPr>
        <w:pStyle w:val="BodyText"/>
        <w:spacing w:line="300" w:lineRule="auto" w:before="13"/>
        <w:ind w:right="204"/>
        <w:jc w:val="left"/>
      </w:pPr>
      <w:r>
        <w:rPr/>
        <w:t>发展中国家在</w:t>
      </w:r>
      <w:r>
        <w:rPr>
          <w:rFonts w:ascii="Times New Roman" w:hAnsi="Times New Roman" w:cs="Times New Roman" w:eastAsia="Times New Roman" w:hint="default"/>
        </w:rPr>
        <w:t>5</w:t>
      </w:r>
      <w:r>
        <w:rPr/>
        <w:t>年内货币流通量逐年增长情况进行了数据调查与统计分析。报告显示，现金的流通量不减反增，欧元自</w:t>
      </w:r>
      <w:r>
        <w:rPr>
          <w:rFonts w:ascii="Times New Roman" w:hAnsi="Times New Roman" w:cs="Times New Roman" w:eastAsia="Times New Roman" w:hint="default"/>
        </w:rPr>
        <w:t>2002 </w:t>
      </w:r>
      <w:r>
        <w:rPr/>
        <w:t>年发行至今，现金流通量已翻一番。在</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rFonts w:ascii="Times New Roman" w:hAnsi="Times New Roman" w:cs="Times New Roman" w:eastAsia="Times New Roman" w:hint="default"/>
        </w:rPr>
        <w:t>MarketPlace</w:t>
      </w:r>
      <w:r>
        <w:rPr/>
        <w:t>发布的《未来美国及印度</w:t>
      </w:r>
      <w:r>
        <w:rPr>
          <w:rFonts w:ascii="Times New Roman" w:hAnsi="Times New Roman" w:cs="Times New Roman" w:eastAsia="Times New Roman" w:hint="default"/>
        </w:rPr>
        <w:t>ATM</w:t>
      </w:r>
      <w:r>
        <w:rPr/>
        <w:t>发展趋势报告》中，指出</w:t>
      </w:r>
      <w:r>
        <w:rPr>
          <w:rFonts w:ascii="Times New Roman" w:hAnsi="Times New Roman" w:cs="Times New Roman" w:eastAsia="Times New Roman" w:hint="default"/>
        </w:rPr>
        <w:t>80%</w:t>
      </w:r>
      <w:r>
        <w:rPr/>
        <w:t>以上的 低价值交易需要通过现金实现，大部分消费者情愿选择持有部分现金作为不时之需。</w:t>
      </w:r>
    </w:p>
    <w:p>
      <w:pPr>
        <w:pStyle w:val="BodyText"/>
        <w:spacing w:line="300" w:lineRule="auto" w:before="31"/>
        <w:ind w:right="114" w:firstLine="360"/>
        <w:jc w:val="left"/>
      </w:pPr>
      <w:r>
        <w:rPr>
          <w:spacing w:val="-2"/>
        </w:rPr>
        <w:t>在中国，现金流通量同样呈现稳步增长态势。对中国人民银行公布的</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2014</w:t>
      </w:r>
      <w:r>
        <w:rPr>
          <w:spacing w:val="-2"/>
        </w:rPr>
        <w:t>年流通中现金（</w:t>
      </w:r>
      <w:r>
        <w:rPr>
          <w:rFonts w:ascii="Times New Roman" w:hAnsi="Times New Roman" w:cs="Times New Roman" w:eastAsia="Times New Roman" w:hint="default"/>
          <w:spacing w:val="-2"/>
        </w:rPr>
        <w:t>M0</w:t>
      </w:r>
      <w:r>
        <w:rPr>
          <w:spacing w:val="-2"/>
        </w:rPr>
        <w:t>）数据进行分析，</w:t>
      </w:r>
      <w:r>
        <w:rPr/>
        <w:t> 国内的流通中现金量以平均每年约</w:t>
      </w:r>
      <w:r>
        <w:rPr>
          <w:rFonts w:ascii="Times New Roman" w:hAnsi="Times New Roman" w:cs="Times New Roman" w:eastAsia="Times New Roman" w:hint="default"/>
        </w:rPr>
        <w:t>11%</w:t>
      </w:r>
      <w:r>
        <w:rPr/>
        <w:t>速度增长，</w:t>
      </w:r>
      <w:r>
        <w:rPr>
          <w:rFonts w:ascii="Times New Roman" w:hAnsi="Times New Roman" w:cs="Times New Roman" w:eastAsia="Times New Roman" w:hint="default"/>
        </w:rPr>
        <w:t>5</w:t>
      </w:r>
      <w:r>
        <w:rPr/>
        <w:t>年时间流通中现金量合共增长约</w:t>
      </w:r>
      <w:r>
        <w:rPr>
          <w:rFonts w:ascii="Times New Roman" w:hAnsi="Times New Roman" w:cs="Times New Roman" w:eastAsia="Times New Roman" w:hint="default"/>
        </w:rPr>
        <w:t>69%</w:t>
      </w:r>
      <w:r>
        <w:rPr/>
        <w:t>。</w:t>
      </w:r>
    </w:p>
    <w:p>
      <w:pPr>
        <w:pStyle w:val="BodyText"/>
        <w:spacing w:line="300" w:lineRule="auto" w:before="13"/>
        <w:ind w:left="513" w:right="114"/>
        <w:jc w:val="left"/>
      </w:pPr>
      <w:r>
        <w:rPr/>
        <w:t>（</w:t>
      </w:r>
      <w:r>
        <w:rPr>
          <w:rFonts w:ascii="Times New Roman" w:hAnsi="Times New Roman" w:cs="Times New Roman" w:eastAsia="Times New Roman" w:hint="default"/>
        </w:rPr>
        <w:t>3</w:t>
      </w:r>
      <w:r>
        <w:rPr/>
        <w:t>）随着三农政策和普惠金融的发展，自助设备的投入和占比仍在农村市场将进一步加大 </w:t>
      </w:r>
      <w:r>
        <w:rPr>
          <w:spacing w:val="-2"/>
        </w:rPr>
        <w:t>近年来随着国家队“三农”支持力度逐渐加强，并依托银行卡进行资金发放，银行卡在农村得到了快速的发展，中国银</w:t>
      </w:r>
    </w:p>
    <w:p>
      <w:pPr>
        <w:spacing w:after="0" w:line="300" w:lineRule="auto"/>
        <w:jc w:val="left"/>
        <w:sectPr>
          <w:pgSz w:w="11910" w:h="16840"/>
          <w:pgMar w:header="786" w:footer="1021" w:top="1100" w:bottom="1220" w:left="980" w:right="920"/>
        </w:sectPr>
      </w:pPr>
    </w:p>
    <w:p>
      <w:pPr>
        <w:spacing w:line="240" w:lineRule="auto" w:before="8"/>
        <w:rPr>
          <w:rFonts w:ascii="宋体" w:hAnsi="宋体" w:cs="宋体" w:eastAsia="宋体" w:hint="default"/>
          <w:sz w:val="22"/>
          <w:szCs w:val="22"/>
        </w:rPr>
      </w:pPr>
    </w:p>
    <w:p>
      <w:pPr>
        <w:pStyle w:val="BodyText"/>
        <w:spacing w:line="307" w:lineRule="auto" w:before="44"/>
        <w:ind w:right="189"/>
        <w:jc w:val="both"/>
      </w:pPr>
      <w:r>
        <w:rPr>
          <w:spacing w:val="-2"/>
        </w:rPr>
        <w:t>监会办公厅发布的《关于做好</w:t>
      </w:r>
      <w:r>
        <w:rPr>
          <w:rFonts w:ascii="Times New Roman" w:hAnsi="Times New Roman" w:cs="Times New Roman" w:eastAsia="Times New Roman" w:hint="default"/>
          <w:spacing w:val="-2"/>
        </w:rPr>
        <w:t>2015</w:t>
      </w:r>
      <w:r>
        <w:rPr>
          <w:spacing w:val="-2"/>
        </w:rPr>
        <w:t>年农村金融服务工作的通知》中提出：要继续推动农村基础金融服务全覆盖工作，将符合</w:t>
      </w:r>
      <w:r>
        <w:rPr>
          <w:spacing w:val="-61"/>
        </w:rPr>
        <w:t> </w:t>
      </w:r>
      <w:r>
        <w:rPr>
          <w:spacing w:val="-61"/>
        </w:rPr>
      </w:r>
      <w:r>
        <w:rPr/>
        <w:t>条件的简易网点改造为标准化网点，逐步实现乡镇金融机构全覆盖，采取定时定点服务，广泛布设</w:t>
      </w:r>
      <w:r>
        <w:rPr>
          <w:rFonts w:ascii="Times New Roman" w:hAnsi="Times New Roman" w:cs="Times New Roman" w:eastAsia="Times New Roman" w:hint="default"/>
        </w:rPr>
        <w:t>ATM</w:t>
      </w:r>
      <w:r>
        <w:rPr/>
        <w:t>、自助服务终端等 </w:t>
      </w:r>
      <w:r>
        <w:rPr>
          <w:spacing w:val="-2"/>
        </w:rPr>
        <w:t>金融电子机具，并鼓励按照规模化组建、集约化管理和专业化服务的原则集中连片发起设立村镇银行，推进基础金融服务向</w:t>
      </w:r>
      <w:r>
        <w:rPr>
          <w:spacing w:val="-62"/>
        </w:rPr>
        <w:t> </w:t>
      </w:r>
      <w:r>
        <w:rPr>
          <w:spacing w:val="-62"/>
        </w:rPr>
      </w:r>
      <w:r>
        <w:rPr/>
        <w:t>村一级加快延伸。</w:t>
      </w:r>
    </w:p>
    <w:p>
      <w:pPr>
        <w:pStyle w:val="BodyText"/>
        <w:spacing w:line="300" w:lineRule="auto" w:before="26"/>
        <w:ind w:right="138" w:firstLine="360"/>
        <w:jc w:val="both"/>
      </w:pPr>
      <w:r>
        <w:rPr>
          <w:spacing w:val="-4"/>
        </w:rPr>
        <w:t>根据中国人民银行发布《</w:t>
      </w:r>
      <w:r>
        <w:rPr>
          <w:rFonts w:ascii="Times New Roman" w:hAnsi="Times New Roman" w:cs="Times New Roman" w:eastAsia="Times New Roman" w:hint="default"/>
          <w:spacing w:val="-4"/>
        </w:rPr>
        <w:t>2015</w:t>
      </w:r>
      <w:r>
        <w:rPr>
          <w:spacing w:val="-4"/>
        </w:rPr>
        <w:t>年农村地区支付业务发展总体情况》显示，截至</w:t>
      </w:r>
      <w:r>
        <w:rPr>
          <w:rFonts w:ascii="Times New Roman" w:hAnsi="Times New Roman" w:cs="Times New Roman" w:eastAsia="Times New Roman" w:hint="default"/>
          <w:spacing w:val="-4"/>
        </w:rPr>
        <w:t>2015</w:t>
      </w:r>
      <w:r>
        <w:rPr>
          <w:spacing w:val="-4"/>
        </w:rPr>
        <w:t>年末，农村地区</w:t>
      </w:r>
      <w:r>
        <w:rPr>
          <w:rFonts w:ascii="Times New Roman" w:hAnsi="Times New Roman" w:cs="Times New Roman" w:eastAsia="Times New Roman" w:hint="default"/>
          <w:spacing w:val="-4"/>
        </w:rPr>
        <w:t>ATM</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4"/>
        </w:rPr>
        <w:t>30.92</w:t>
      </w:r>
      <w:r>
        <w:rPr>
          <w:spacing w:val="-4"/>
        </w:rPr>
        <w:t>万台，</w:t>
      </w:r>
      <w:r>
        <w:rPr>
          <w:rFonts w:ascii="Times New Roman" w:hAnsi="Times New Roman" w:cs="Times New Roman" w:eastAsia="Times New Roman" w:hint="default"/>
          <w:spacing w:val="-4"/>
        </w:rPr>
        <w:t>2015</w:t>
      </w:r>
      <w:r>
        <w:rPr>
          <w:rFonts w:ascii="Times New Roman" w:hAnsi="Times New Roman" w:cs="Times New Roman" w:eastAsia="Times New Roman" w:hint="default"/>
        </w:rPr>
        <w:t> </w:t>
      </w:r>
      <w:r>
        <w:rPr/>
        <w:t>年净增</w:t>
      </w:r>
      <w:r>
        <w:rPr>
          <w:rFonts w:ascii="Times New Roman" w:hAnsi="Times New Roman" w:cs="Times New Roman" w:eastAsia="Times New Roman" w:hint="default"/>
        </w:rPr>
        <w:t>5.99</w:t>
      </w:r>
      <w:r>
        <w:rPr/>
        <w:t>万台，增长</w:t>
      </w:r>
      <w:r>
        <w:rPr>
          <w:rFonts w:ascii="Times New Roman" w:hAnsi="Times New Roman" w:cs="Times New Roman" w:eastAsia="Times New Roman" w:hint="default"/>
        </w:rPr>
        <w:t>24.02%</w:t>
      </w:r>
      <w:r>
        <w:rPr/>
        <w:t>，万人拥有数量</w:t>
      </w:r>
      <w:r>
        <w:rPr>
          <w:rFonts w:ascii="Times New Roman" w:hAnsi="Times New Roman" w:cs="Times New Roman" w:eastAsia="Times New Roman" w:hint="default"/>
        </w:rPr>
        <w:t>3.32</w:t>
      </w:r>
      <w:r>
        <w:rPr/>
        <w:t>台。</w:t>
      </w:r>
      <w:r>
        <w:rPr>
          <w:rFonts w:ascii="Times New Roman" w:hAnsi="Times New Roman" w:cs="Times New Roman" w:eastAsia="Times New Roman" w:hint="default"/>
        </w:rPr>
        <w:t>2015</w:t>
      </w:r>
      <w:r>
        <w:rPr/>
        <w:t>年发生交易</w:t>
      </w:r>
      <w:r>
        <w:rPr>
          <w:rFonts w:ascii="Times New Roman" w:hAnsi="Times New Roman" w:cs="Times New Roman" w:eastAsia="Times New Roman" w:hint="default"/>
        </w:rPr>
        <w:t>165.35</w:t>
      </w:r>
      <w:r>
        <w:rPr/>
        <w:t>亿笔，金额</w:t>
      </w:r>
      <w:r>
        <w:rPr>
          <w:rFonts w:ascii="Times New Roman" w:hAnsi="Times New Roman" w:cs="Times New Roman" w:eastAsia="Times New Roman" w:hint="default"/>
        </w:rPr>
        <w:t>21.21</w:t>
      </w:r>
      <w:r>
        <w:rPr/>
        <w:t>万亿元，单笔金额</w:t>
      </w:r>
      <w:r>
        <w:rPr>
          <w:rFonts w:ascii="Times New Roman" w:hAnsi="Times New Roman" w:cs="Times New Roman" w:eastAsia="Times New Roman" w:hint="default"/>
        </w:rPr>
        <w:t>1282.90</w:t>
      </w:r>
      <w:r>
        <w:rPr/>
        <w:t>元， 人均办理</w:t>
      </w:r>
      <w:r>
        <w:rPr>
          <w:rFonts w:ascii="Times New Roman" w:hAnsi="Times New Roman" w:cs="Times New Roman" w:eastAsia="Times New Roman" w:hint="default"/>
        </w:rPr>
        <w:t>17.78</w:t>
      </w:r>
      <w:r>
        <w:rPr/>
        <w:t>笔</w:t>
      </w:r>
      <w:r>
        <w:rPr>
          <w:rFonts w:ascii="Times New Roman" w:hAnsi="Times New Roman" w:cs="Times New Roman" w:eastAsia="Times New Roman" w:hint="default"/>
        </w:rPr>
        <w:t>/</w:t>
      </w:r>
      <w:r>
        <w:rPr/>
        <w:t>年，在各类终端机具中人均使用频率最高。随着国家政策的推动和普惠金融的发展，未来几年农村市场在 自助设备的投入将会不断加大，设备占比同时也会不断增大。</w:t>
      </w:r>
    </w:p>
    <w:p>
      <w:pPr>
        <w:pStyle w:val="BodyText"/>
        <w:spacing w:line="300" w:lineRule="auto" w:before="31"/>
        <w:ind w:left="513" w:right="94"/>
        <w:jc w:val="left"/>
      </w:pPr>
      <w:r>
        <w:rPr/>
        <w:t>（</w:t>
      </w:r>
      <w:r>
        <w:rPr>
          <w:rFonts w:ascii="Times New Roman" w:hAnsi="Times New Roman" w:cs="Times New Roman" w:eastAsia="Times New Roman" w:hint="default"/>
        </w:rPr>
        <w:t>4</w:t>
      </w:r>
      <w:r>
        <w:rPr/>
        <w:t>）传统银行迎来转型，</w:t>
      </w:r>
      <w:r>
        <w:rPr>
          <w:rFonts w:ascii="Times New Roman" w:hAnsi="Times New Roman" w:cs="Times New Roman" w:eastAsia="Times New Roman" w:hint="default"/>
        </w:rPr>
        <w:t>VTM</w:t>
      </w:r>
      <w:r>
        <w:rPr/>
        <w:t>有望成为重要创新模式 </w:t>
      </w:r>
      <w:r>
        <w:rPr>
          <w:spacing w:val="-2"/>
        </w:rPr>
        <w:t>随着我国经济增速逐步放缓，利率市场化逐步推行，息差为主要利润来源的银行受到较大的影响；而我国对于银行收费</w:t>
      </w:r>
    </w:p>
    <w:p>
      <w:pPr>
        <w:pStyle w:val="BodyText"/>
        <w:spacing w:line="312" w:lineRule="auto" w:before="31"/>
        <w:ind w:right="190"/>
        <w:jc w:val="both"/>
      </w:pPr>
      <w:r>
        <w:rPr>
          <w:spacing w:val="-2"/>
        </w:rPr>
        <w:t>项目进一步缩减，银行传统的利润模式受到较大的挑战。国家针对银行等行业一系列的改革措施出台，利率市场化是银行业</w:t>
      </w:r>
      <w:r>
        <w:rPr>
          <w:spacing w:val="-63"/>
        </w:rPr>
        <w:t> </w:t>
      </w:r>
      <w:r>
        <w:rPr>
          <w:spacing w:val="-63"/>
        </w:rPr>
      </w:r>
      <w:r>
        <w:rPr>
          <w:spacing w:val="-2"/>
        </w:rPr>
        <w:t>改革的核心主题之一。利率市场化的影响是全面而深远的，将促使银行经营逐步从信贷资产为主，逐步过渡到信贷与非信贷</w:t>
      </w:r>
      <w:r>
        <w:rPr>
          <w:spacing w:val="-63"/>
        </w:rPr>
        <w:t> </w:t>
      </w:r>
      <w:r>
        <w:rPr>
          <w:spacing w:val="-63"/>
        </w:rPr>
      </w:r>
      <w:r>
        <w:rPr>
          <w:spacing w:val="-2"/>
        </w:rPr>
        <w:t>业务并重，同时更多的研发更多的金融工具，提升中间业务收入，实现收益来源的多元化，而未来对于经营效率与风险控制</w:t>
      </w:r>
      <w:r>
        <w:rPr>
          <w:spacing w:val="-65"/>
        </w:rPr>
        <w:t> </w:t>
      </w:r>
      <w:r>
        <w:rPr>
          <w:spacing w:val="-65"/>
        </w:rPr>
      </w:r>
      <w:r>
        <w:rPr/>
        <w:t>的水平提出了较高的要求。在此背景下银行加快金融工具创新增加收入规模，加快金融技术创新，推动</w:t>
      </w:r>
      <w:r>
        <w:rPr>
          <w:rFonts w:ascii="Times New Roman" w:hAnsi="Times New Roman" w:cs="Times New Roman" w:eastAsia="Times New Roman" w:hint="default"/>
        </w:rPr>
        <w:t>VTM</w:t>
      </w:r>
      <w:r>
        <w:rPr/>
        <w:t>业务发展，降 低成本、提升效率、增强业务覆盖范围成为必然趋势。</w:t>
      </w:r>
      <w:r>
        <w:rPr>
          <w:rFonts w:ascii="Times New Roman" w:hAnsi="Times New Roman" w:cs="Times New Roman" w:eastAsia="Times New Roman" w:hint="default"/>
        </w:rPr>
        <w:t>VTM</w:t>
      </w:r>
      <w:r>
        <w:rPr>
          <w:rFonts w:ascii="Times New Roman" w:hAnsi="Times New Roman" w:cs="Times New Roman" w:eastAsia="Times New Roman" w:hint="default"/>
          <w:spacing w:val="13"/>
        </w:rPr>
        <w:t> </w:t>
      </w:r>
      <w:r>
        <w:rPr/>
        <w:t>的出现将显著降低人力等运营成本，实现网点的下沉以及客户 </w:t>
      </w:r>
      <w:r>
        <w:rPr>
          <w:spacing w:val="-2"/>
        </w:rPr>
        <w:t>人员的集中，有助于提升效率，同时解决互联网所无法解决的信任问题，提升安全性，并将有望成为新业务拓展重要承载渠</w:t>
      </w:r>
      <w:r>
        <w:rPr>
          <w:spacing w:val="-64"/>
        </w:rPr>
        <w:t> </w:t>
      </w:r>
      <w:r>
        <w:rPr>
          <w:spacing w:val="-64"/>
        </w:rPr>
      </w:r>
      <w:r>
        <w:rPr/>
        <w:t>道。</w:t>
      </w:r>
    </w:p>
    <w:p>
      <w:pPr>
        <w:pStyle w:val="BodyText"/>
        <w:spacing w:line="300" w:lineRule="auto" w:before="22"/>
        <w:ind w:left="513" w:right="94"/>
        <w:jc w:val="left"/>
      </w:pPr>
      <w:r>
        <w:rPr/>
        <w:t>（</w:t>
      </w:r>
      <w:r>
        <w:rPr>
          <w:rFonts w:ascii="Times New Roman" w:hAnsi="Times New Roman" w:cs="Times New Roman" w:eastAsia="Times New Roman" w:hint="default"/>
        </w:rPr>
        <w:t>5</w:t>
      </w:r>
      <w:r>
        <w:rPr/>
        <w:t>）金融安全的发展，使得</w:t>
      </w:r>
      <w:r>
        <w:rPr>
          <w:rFonts w:ascii="Times New Roman" w:hAnsi="Times New Roman" w:cs="Times New Roman" w:eastAsia="Times New Roman" w:hint="default"/>
        </w:rPr>
        <w:t>ATM</w:t>
      </w:r>
      <w:r>
        <w:rPr/>
        <w:t>国产化趋势进一步凸显 </w:t>
      </w:r>
      <w:r>
        <w:rPr>
          <w:spacing w:val="-2"/>
        </w:rPr>
        <w:t>随着国家鼓励自主创新、推进金融信息安全建设等政策因素发挥作用，提倡自主创新、树立民族品牌是近年来国内金融</w:t>
      </w:r>
    </w:p>
    <w:p>
      <w:pPr>
        <w:pStyle w:val="BodyText"/>
        <w:spacing w:line="316" w:lineRule="auto" w:before="31"/>
        <w:ind w:right="94"/>
        <w:jc w:val="left"/>
      </w:pPr>
      <w:r>
        <w:rPr/>
        <w:t>自助设备企业发展的主要趋势。全球经济一体化使得金融一体化趋势愈发明显，国与国（地区）之间的金融活动相互渗透、 </w:t>
      </w:r>
      <w:r>
        <w:rPr>
          <w:spacing w:val="-2"/>
        </w:rPr>
        <w:t>相互影响形成一个联动的发展态势，也为金融信息安全带来了挑战。特别是自“棱镜门”事件曝光以来，提升信息系统的国</w:t>
      </w:r>
      <w:r>
        <w:rPr>
          <w:spacing w:val="-64"/>
        </w:rPr>
        <w:t> </w:t>
      </w:r>
      <w:r>
        <w:rPr>
          <w:spacing w:val="-64"/>
        </w:rPr>
      </w:r>
      <w:r>
        <w:rPr>
          <w:spacing w:val="-2"/>
        </w:rPr>
        <w:t>产化率，已经成为影响国家金融体系稳定的重要因素之一。信息安全话题持续受到政府部门和资本市场的高度关注，信息安</w:t>
      </w:r>
      <w:r>
        <w:rPr>
          <w:spacing w:val="-63"/>
        </w:rPr>
        <w:t> </w:t>
      </w:r>
      <w:r>
        <w:rPr>
          <w:spacing w:val="-63"/>
        </w:rPr>
      </w:r>
      <w:r>
        <w:rPr>
          <w:spacing w:val="-4"/>
        </w:rPr>
        <w:t>全已经上升至国家战略。在政策的有力引导下，国内金融机构纷纷加大了对国产品牌金融自助设备的使用力度。在市场需求、</w:t>
      </w:r>
      <w:r>
        <w:rPr>
          <w:spacing w:val="-44"/>
        </w:rPr>
        <w:t> </w:t>
      </w:r>
      <w:r>
        <w:rPr>
          <w:spacing w:val="-44"/>
        </w:rPr>
      </w:r>
      <w:r>
        <w:rPr>
          <w:spacing w:val="-2"/>
        </w:rPr>
        <w:t>国家政策支持引导、金融机构大力促进、生产厂商积极研发和推广的形势下，自主、安全、可控的国产存取款一体机有望继</w:t>
      </w:r>
      <w:r>
        <w:rPr>
          <w:spacing w:val="-67"/>
        </w:rPr>
        <w:t> </w:t>
      </w:r>
      <w:r>
        <w:rPr>
          <w:spacing w:val="-67"/>
        </w:rPr>
      </w:r>
      <w:r>
        <w:rPr/>
        <w:t>续扩大市场销量，成为行业主流应用产品。</w:t>
      </w:r>
    </w:p>
    <w:p>
      <w:pPr>
        <w:pStyle w:val="BodyText"/>
        <w:spacing w:line="300" w:lineRule="auto" w:before="19"/>
        <w:ind w:left="513" w:right="94"/>
        <w:jc w:val="left"/>
      </w:pPr>
      <w:r>
        <w:rPr/>
        <w:t>（</w:t>
      </w:r>
      <w:r>
        <w:rPr>
          <w:rFonts w:ascii="Times New Roman" w:hAnsi="Times New Roman" w:cs="Times New Roman" w:eastAsia="Times New Roman" w:hint="default"/>
        </w:rPr>
        <w:t>6</w:t>
      </w:r>
      <w:r>
        <w:rPr/>
        <w:t>）生物识别技术成趋势，开启金融智能服务新时代 </w:t>
      </w:r>
      <w:r>
        <w:rPr>
          <w:spacing w:val="-4"/>
        </w:rPr>
        <w:t>伴随着开放的网络环境及各种金融犯罪现象的与日俱增，加强金融安全，防范金融犯罪已经成为了业内的共识。银行卡、</w:t>
      </w:r>
    </w:p>
    <w:p>
      <w:pPr>
        <w:pStyle w:val="BodyText"/>
        <w:spacing w:line="316" w:lineRule="auto" w:before="31"/>
        <w:ind w:right="94"/>
        <w:jc w:val="left"/>
      </w:pPr>
      <w:r>
        <w:rPr>
          <w:spacing w:val="-2"/>
        </w:rPr>
        <w:t>身份证和密码等传统的身份认证方式存在一定的安全隐患，比如银行卡被窃取、遗失、复制、伪造，密码被猜测、偷窥、欺</w:t>
      </w:r>
      <w:r>
        <w:rPr>
          <w:spacing w:val="-73"/>
        </w:rPr>
        <w:t> </w:t>
      </w:r>
      <w:r>
        <w:rPr>
          <w:spacing w:val="-73"/>
        </w:rPr>
      </w:r>
      <w:r>
        <w:rPr>
          <w:spacing w:val="-2"/>
        </w:rPr>
        <w:t>骗、套取甚至暴力胁迫等手段非法获取。为寻求更好的渠道便捷人类金融生活和保障客户财产安全，生物识别技术已经发展</w:t>
      </w:r>
      <w:r>
        <w:rPr>
          <w:spacing w:val="-63"/>
        </w:rPr>
        <w:t> </w:t>
      </w:r>
      <w:r>
        <w:rPr>
          <w:spacing w:val="-63"/>
        </w:rPr>
      </w:r>
      <w:r>
        <w:rPr>
          <w:spacing w:val="-4"/>
        </w:rPr>
        <w:t>得越来越成熟，应用也越来越广，这种通过静脉、掌静脉、人脸、虹膜多种生物特征认证服务，更加有效地解决仿制、冒用、</w:t>
      </w:r>
      <w:r>
        <w:rPr>
          <w:spacing w:val="-41"/>
        </w:rPr>
        <w:t> </w:t>
      </w:r>
      <w:r>
        <w:rPr>
          <w:spacing w:val="-41"/>
        </w:rPr>
      </w:r>
      <w:r>
        <w:rPr>
          <w:spacing w:val="-4"/>
        </w:rPr>
        <w:t>遗失等在安全验证和身份识别等系类安全方面的问题，方便用户使用的同时，也极大地方便了银行客户的管理，提供了更多、</w:t>
      </w:r>
      <w:r>
        <w:rPr>
          <w:spacing w:val="-43"/>
        </w:rPr>
        <w:t> </w:t>
      </w:r>
      <w:r>
        <w:rPr>
          <w:spacing w:val="-43"/>
        </w:rPr>
      </w:r>
      <w:r>
        <w:rPr/>
        <w:t>更好、更安全保密、更快捷的金融服务，将是未来银行金融技术发展的必然趋势。</w:t>
      </w:r>
    </w:p>
    <w:p>
      <w:pPr>
        <w:pStyle w:val="BodyText"/>
        <w:spacing w:line="300" w:lineRule="auto" w:before="19"/>
        <w:ind w:left="513" w:right="9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ATM</w:t>
      </w:r>
      <w:r>
        <w:rPr/>
        <w:t>行业竞争格局 </w:t>
      </w:r>
      <w:r>
        <w:rPr>
          <w:spacing w:val="-4"/>
        </w:rPr>
        <w:t>近年来，国家对自主创新及产业化扶持力度加强，以及国产品牌的本土化优势，使得国产化品牌的市场份额在不断提升，</w:t>
      </w:r>
    </w:p>
    <w:p>
      <w:pPr>
        <w:pStyle w:val="BodyText"/>
        <w:spacing w:line="300" w:lineRule="auto" w:before="31"/>
        <w:ind w:right="234"/>
        <w:jc w:val="left"/>
      </w:pPr>
      <w:r>
        <w:rPr/>
        <w:t>中国作为全球第一大</w:t>
      </w:r>
      <w:r>
        <w:rPr>
          <w:rFonts w:ascii="Times New Roman" w:hAnsi="Times New Roman" w:cs="Times New Roman" w:eastAsia="Times New Roman" w:hint="default"/>
        </w:rPr>
        <w:t>ATM</w:t>
      </w:r>
      <w:r>
        <w:rPr/>
        <w:t>市场，仍然由进口品牌与国产品牌所分据，设备供应商主要有：本公司、广电运通、深圳怡化、 东方通信、恒银科技、美国</w:t>
      </w:r>
      <w:r>
        <w:rPr>
          <w:rFonts w:ascii="Times New Roman" w:hAnsi="Times New Roman" w:cs="Times New Roman" w:eastAsia="Times New Roman" w:hint="default"/>
        </w:rPr>
        <w:t>NCR</w:t>
      </w:r>
      <w:r>
        <w:rPr/>
        <w:t>、</w:t>
      </w:r>
      <w:r>
        <w:rPr>
          <w:rFonts w:ascii="Times New Roman" w:hAnsi="Times New Roman" w:cs="Times New Roman" w:eastAsia="Times New Roman" w:hint="default"/>
        </w:rPr>
        <w:t>Diebold</w:t>
      </w:r>
      <w:r>
        <w:rPr/>
        <w:t>、日本</w:t>
      </w:r>
      <w:r>
        <w:rPr>
          <w:rFonts w:ascii="Times New Roman" w:hAnsi="Times New Roman" w:cs="Times New Roman" w:eastAsia="Times New Roman" w:hint="default"/>
        </w:rPr>
        <w:t>Hitachi</w:t>
      </w:r>
      <w:r>
        <w:rPr/>
        <w:t>、</w:t>
      </w:r>
      <w:r>
        <w:rPr>
          <w:rFonts w:ascii="Times New Roman" w:hAnsi="Times New Roman" w:cs="Times New Roman" w:eastAsia="Times New Roman" w:hint="default"/>
        </w:rPr>
        <w:t>OKI</w:t>
      </w:r>
      <w:r>
        <w:rPr/>
        <w:t>等。</w:t>
      </w:r>
    </w:p>
    <w:p>
      <w:pPr>
        <w:pStyle w:val="BodyText"/>
        <w:spacing w:line="240" w:lineRule="auto" w:before="13"/>
        <w:ind w:left="513" w:right="94"/>
        <w:jc w:val="left"/>
      </w:pPr>
      <w:r>
        <w:rPr>
          <w:rFonts w:ascii="Times New Roman" w:hAnsi="Times New Roman" w:cs="Times New Roman" w:eastAsia="Times New Roman" w:hint="default"/>
        </w:rPr>
        <w:t>3</w:t>
      </w:r>
      <w:r>
        <w:rPr/>
        <w:t>、公司发展战略及年度经营计划</w:t>
      </w:r>
    </w:p>
    <w:p>
      <w:pPr>
        <w:pStyle w:val="BodyText"/>
        <w:spacing w:line="300" w:lineRule="auto" w:before="63"/>
        <w:ind w:left="513" w:right="94"/>
        <w:jc w:val="left"/>
      </w:pPr>
      <w:r>
        <w:rPr/>
        <w:t>（</w:t>
      </w:r>
      <w:r>
        <w:rPr>
          <w:rFonts w:ascii="Times New Roman" w:hAnsi="Times New Roman" w:cs="Times New Roman" w:eastAsia="Times New Roman" w:hint="default"/>
        </w:rPr>
        <w:t>1</w:t>
      </w:r>
      <w:r>
        <w:rPr/>
        <w:t>）公司发展战略 </w:t>
      </w:r>
      <w:r>
        <w:rPr>
          <w:spacing w:val="-2"/>
        </w:rPr>
        <w:t>公司将继续按照国家产业政策为导向，抓住我国国民经济快速发展的有利时机，秉承“以专注的精神，持续的投入，精</w:t>
      </w:r>
    </w:p>
    <w:p>
      <w:pPr>
        <w:pStyle w:val="BodyText"/>
        <w:spacing w:line="316" w:lineRule="auto" w:before="31"/>
        <w:ind w:right="191"/>
        <w:jc w:val="both"/>
      </w:pPr>
      <w:r>
        <w:rPr>
          <w:spacing w:val="-2"/>
        </w:rPr>
        <w:t>益求精的态度”的理念，充分利用登陆资本市场的优势，深入挖掘银行业务需求，通过自主发展和资本并购手段并举，逐步</w:t>
      </w:r>
      <w:r>
        <w:rPr>
          <w:spacing w:val="-67"/>
        </w:rPr>
        <w:t> </w:t>
      </w:r>
      <w:r>
        <w:rPr>
          <w:spacing w:val="-67"/>
        </w:rPr>
      </w:r>
      <w:r>
        <w:rPr>
          <w:spacing w:val="-2"/>
        </w:rPr>
        <w:t>打造公司成为提供银行自助产品世界级研发生产基地；公司坚持技术领先战略、质量保障战略、市场扩张战略、市场扩张战</w:t>
      </w:r>
      <w:r>
        <w:rPr>
          <w:spacing w:val="-64"/>
        </w:rPr>
        <w:t> </w:t>
      </w:r>
      <w:r>
        <w:rPr>
          <w:spacing w:val="-64"/>
        </w:rPr>
      </w:r>
      <w:r>
        <w:rPr/>
        <w:t>略的战略指导思想，从而实现“国内一流企业、国际知名品牌”长期战略目标，树立全球性的强势品牌。</w:t>
      </w:r>
    </w:p>
    <w:p>
      <w:pPr>
        <w:pStyle w:val="BodyText"/>
        <w:spacing w:line="240" w:lineRule="auto" w:before="19"/>
        <w:ind w:left="513" w:right="9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年度经营计划</w:t>
      </w:r>
    </w:p>
    <w:p>
      <w:pPr>
        <w:pStyle w:val="BodyText"/>
        <w:spacing w:line="240" w:lineRule="auto" w:before="62"/>
        <w:ind w:left="513" w:right="0"/>
        <w:jc w:val="left"/>
      </w:pPr>
      <w:r>
        <w:rPr>
          <w:rFonts w:ascii="Times New Roman" w:hAnsi="Times New Roman" w:cs="Times New Roman" w:eastAsia="Times New Roman" w:hint="default"/>
        </w:rPr>
        <w:t>2016</w:t>
      </w:r>
      <w:r>
        <w:rPr/>
        <w:t>年，公司将紧紧围绕发展目标及中长期战略发展规划，顺应时代潮流、把握发展机遇、以新思维拥抱新时代，以技</w:t>
      </w:r>
    </w:p>
    <w:p>
      <w:pPr>
        <w:spacing w:after="0" w:line="240" w:lineRule="auto"/>
        <w:jc w:val="left"/>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309" w:lineRule="auto" w:before="44"/>
        <w:ind w:right="189"/>
        <w:jc w:val="both"/>
      </w:pPr>
      <w:r>
        <w:rPr>
          <w:spacing w:val="-2"/>
        </w:rPr>
        <w:t>术创新为驱动，深入调整业务结构及市场结构，立足于公司目前已有的业务布局基础，着力推动已投资项目的落地，同时发</w:t>
      </w:r>
      <w:r>
        <w:rPr>
          <w:spacing w:val="-65"/>
        </w:rPr>
        <w:t> </w:t>
      </w:r>
      <w:r>
        <w:rPr>
          <w:spacing w:val="-65"/>
        </w:rPr>
      </w:r>
      <w:r>
        <w:rPr>
          <w:spacing w:val="-2"/>
        </w:rPr>
        <w:t>挥在各投资领域的整合优势，推动公司整体业绩提升，为股东创造更大的价值。为实现</w:t>
      </w:r>
      <w:r>
        <w:rPr>
          <w:rFonts w:ascii="Times New Roman" w:hAnsi="Times New Roman" w:cs="Times New Roman" w:eastAsia="Times New Roman" w:hint="default"/>
          <w:spacing w:val="-2"/>
        </w:rPr>
        <w:t>2016</w:t>
      </w:r>
      <w:r>
        <w:rPr>
          <w:spacing w:val="-2"/>
        </w:rPr>
        <w:t>年的经营目标，公司将围绕以下</w:t>
      </w:r>
      <w:r>
        <w:rPr>
          <w:spacing w:val="-60"/>
        </w:rPr>
        <w:t> </w:t>
      </w:r>
      <w:r>
        <w:rPr>
          <w:spacing w:val="-60"/>
        </w:rPr>
      </w:r>
      <w:r>
        <w:rPr/>
        <w:t>重点，抓好各项经营管理工作：</w:t>
      </w:r>
    </w:p>
    <w:p>
      <w:pPr>
        <w:pStyle w:val="BodyText"/>
        <w:spacing w:line="316" w:lineRule="auto" w:before="24"/>
        <w:ind w:left="513" w:right="94"/>
        <w:jc w:val="left"/>
      </w:pPr>
      <w:r>
        <w:rPr/>
        <w:t>①积极探索公司在行业内纵深与横向的布局，推进外延发展战略 </w:t>
      </w:r>
      <w:r>
        <w:rPr>
          <w:spacing w:val="-2"/>
        </w:rPr>
        <w:t>在一波又一波的各行各业改革浪潮中及用户不断追求超凡服务体验的市场驱动下，将顺应经济发展新常态，积极寻求新</w:t>
      </w:r>
    </w:p>
    <w:p>
      <w:pPr>
        <w:pStyle w:val="BodyText"/>
        <w:spacing w:line="316" w:lineRule="auto" w:before="19"/>
        <w:ind w:right="94"/>
        <w:jc w:val="left"/>
      </w:pPr>
      <w:r>
        <w:rPr>
          <w:spacing w:val="-2"/>
        </w:rPr>
        <w:t>项目机会和发展机遇，积极推进公司在金融领域的延伸发展，建立公司立体金融服务生态体系，有针对性的提供多种渠道的</w:t>
      </w:r>
      <w:r>
        <w:rPr>
          <w:spacing w:val="-62"/>
        </w:rPr>
        <w:t> </w:t>
      </w:r>
      <w:r>
        <w:rPr>
          <w:spacing w:val="-62"/>
        </w:rPr>
      </w:r>
      <w:r>
        <w:rPr/>
        <w:t>金融配套服务，通过整合公司自身优势及资源，推动金融资本与实业资本融合发展，保证公司发展战略规划的实现。</w:t>
      </w:r>
    </w:p>
    <w:p>
      <w:pPr>
        <w:pStyle w:val="BodyText"/>
        <w:spacing w:line="316" w:lineRule="auto" w:before="19"/>
        <w:ind w:left="513" w:right="93"/>
        <w:jc w:val="left"/>
      </w:pPr>
      <w:r>
        <w:rPr/>
        <w:t>②全力推进未来智慧银行解决方案 随着云计算、大数据、移动互联等新兴技术在应用领域的普及，未来智慧银行将通过高科技，弥补传统的“守株待兔”</w:t>
      </w:r>
    </w:p>
    <w:p>
      <w:pPr>
        <w:pStyle w:val="BodyText"/>
        <w:spacing w:line="316" w:lineRule="auto" w:before="19"/>
        <w:ind w:right="94"/>
        <w:jc w:val="left"/>
      </w:pPr>
      <w:r>
        <w:rPr>
          <w:spacing w:val="-2"/>
        </w:rPr>
        <w:t>业务模式。公司将紧紧围绕着智慧银行、普惠金融、互联网金融发展焦点，为银行提供金融自助设备、泛金融设备与金融外</w:t>
      </w:r>
      <w:r>
        <w:rPr>
          <w:spacing w:val="-67"/>
        </w:rPr>
        <w:t> </w:t>
      </w:r>
      <w:r>
        <w:rPr>
          <w:spacing w:val="-67"/>
        </w:rPr>
      </w:r>
      <w:r>
        <w:rPr/>
        <w:t>包服务，以完善的金融外包服务和整体解决方案帮助客户提高资金利用率，降低运营成本、延长服务时间、提高工作效率、</w:t>
      </w:r>
      <w:r>
        <w:rPr/>
        <w:t> 实现精细化管理，建立智慧银行品牌</w:t>
      </w:r>
    </w:p>
    <w:p>
      <w:pPr>
        <w:pStyle w:val="BodyText"/>
        <w:spacing w:line="319" w:lineRule="auto" w:before="19"/>
        <w:ind w:left="513" w:right="94"/>
        <w:jc w:val="left"/>
      </w:pPr>
      <w:r>
        <w:rPr/>
        <w:t>③不断开发新产品、开拓新领域，主营业务稳中求升 </w:t>
      </w:r>
      <w:r>
        <w:rPr>
          <w:spacing w:val="-2"/>
        </w:rPr>
        <w:t>公司继续大力提升设备功能品质，集中资源向细分市场展开业务，以金融设备为中心不断开拓，同时将响应国家“金融</w:t>
      </w:r>
    </w:p>
    <w:p>
      <w:pPr>
        <w:pStyle w:val="BodyText"/>
        <w:spacing w:line="307" w:lineRule="auto" w:before="17"/>
        <w:ind w:right="186"/>
        <w:jc w:val="both"/>
      </w:pPr>
      <w:r>
        <w:rPr>
          <w:spacing w:val="-2"/>
        </w:rPr>
        <w:t>下乡”政策，针对助农设备及柜员机自动化、渠道运营、移动应用等领域进行深入研究，坚持客户需求为导向，着力打造安</w:t>
      </w:r>
      <w:r>
        <w:rPr>
          <w:spacing w:val="-67"/>
        </w:rPr>
        <w:t> </w:t>
      </w:r>
      <w:r>
        <w:rPr>
          <w:spacing w:val="-67"/>
        </w:rPr>
      </w:r>
      <w:r>
        <w:rPr>
          <w:spacing w:val="-2"/>
        </w:rPr>
        <w:t>全、便捷、智能的金融服务体系，满足客户各方面的产品需求。并计划在原有基础上，改良工艺，加大传统自动柜员机、卡</w:t>
      </w:r>
      <w:r>
        <w:rPr>
          <w:spacing w:val="-73"/>
        </w:rPr>
        <w:t> </w:t>
      </w:r>
      <w:r>
        <w:rPr>
          <w:spacing w:val="-73"/>
        </w:rPr>
      </w:r>
      <w:r>
        <w:rPr/>
        <w:t>折一体自动柜员机生产能力，推广助农设备、云</w:t>
      </w:r>
      <w:r>
        <w:rPr>
          <w:rFonts w:ascii="Times New Roman" w:hAnsi="Times New Roman" w:cs="Times New Roman" w:eastAsia="Times New Roman" w:hint="default"/>
        </w:rPr>
        <w:t>ATM</w:t>
      </w:r>
      <w:r>
        <w:rPr/>
        <w:t>以及扩大智能化自助设备产品线，满足银行客户的多元化需求，加大 </w:t>
      </w:r>
      <w:r>
        <w:rPr>
          <w:spacing w:val="-2"/>
        </w:rPr>
        <w:t>产能以满足银行客户供货需求；大力推广柜员自动化设备，提高业务办理效率；加强生物识别技术项目资源投入，将在</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1"/>
        </w:rPr>
        <w:t> </w:t>
      </w:r>
      <w:r>
        <w:rPr/>
        <w:t>年推出统一生物识别跨平台系统；开发基于</w:t>
      </w:r>
      <w:r>
        <w:rPr>
          <w:rFonts w:ascii="Times New Roman" w:hAnsi="Times New Roman" w:cs="Times New Roman" w:eastAsia="Times New Roman" w:hint="default"/>
        </w:rPr>
        <w:t>Linux</w:t>
      </w:r>
      <w:r>
        <w:rPr/>
        <w:t>国产操作系统的跨平台应用系统，实现跨设备统一应用系统；另外将投入 更大的资源在现金管理、网点建设等方面，推出现金管理整体解决方案以及网点建设整体解决方案。</w:t>
      </w:r>
    </w:p>
    <w:p>
      <w:pPr>
        <w:pStyle w:val="BodyText"/>
        <w:spacing w:line="316" w:lineRule="auto" w:before="26"/>
        <w:ind w:left="513" w:right="94"/>
        <w:jc w:val="left"/>
      </w:pPr>
      <w:r>
        <w:rPr/>
        <w:t>④营销与市场拓展计划 </w:t>
      </w:r>
      <w:r>
        <w:rPr>
          <w:spacing w:val="-2"/>
        </w:rPr>
        <w:t>公司坚持以客户中心、以市场为导向的经营理念，将市场开拓作为第一要务，及时调整销售策略，继续积极拓宽销售渠</w:t>
      </w:r>
    </w:p>
    <w:p>
      <w:pPr>
        <w:pStyle w:val="BodyText"/>
        <w:spacing w:line="316" w:lineRule="auto" w:before="19"/>
        <w:ind w:right="94"/>
        <w:jc w:val="left"/>
      </w:pPr>
      <w:r>
        <w:rPr/>
        <w:t>道，优化现有营销方式，以市场需求为牵引拉动新技术应用、新产品销售，引领销售增长。同时定期对销售团队进行培训， </w:t>
      </w:r>
      <w:r>
        <w:rPr>
          <w:spacing w:val="-2"/>
        </w:rPr>
        <w:t>提高销售技能，并利用良好的激励制度充分激发营销团队的工作热情，提升整体的营销水平，从而打造一支学习型、战斗型</w:t>
      </w:r>
      <w:r>
        <w:rPr>
          <w:spacing w:val="-64"/>
        </w:rPr>
        <w:t> </w:t>
      </w:r>
      <w:r>
        <w:rPr>
          <w:spacing w:val="-64"/>
        </w:rPr>
      </w:r>
      <w:r>
        <w:rPr/>
        <w:t>的营销团队，为市场拓展工作的稳步持续发展奠定人才基础。</w:t>
      </w:r>
    </w:p>
    <w:p>
      <w:pPr>
        <w:pStyle w:val="BodyText"/>
        <w:spacing w:line="316" w:lineRule="auto" w:before="19"/>
        <w:ind w:left="513" w:right="181"/>
        <w:jc w:val="left"/>
      </w:pPr>
      <w:r>
        <w:rPr/>
        <w:t>⑤加强后台服务系统建设，提升维护服务管理 推动客户服务云平台业务应用全面覆盖移动终端设备，全面提高服务质量，</w:t>
      </w:r>
      <w:r>
        <w:rPr>
          <w:spacing w:val="2"/>
        </w:rPr>
        <w:t> </w:t>
      </w:r>
      <w:r>
        <w:rPr/>
        <w:t>加强服务创新、技术创新，实现服务零缺</w:t>
      </w:r>
    </w:p>
    <w:p>
      <w:pPr>
        <w:pStyle w:val="BodyText"/>
        <w:spacing w:line="309" w:lineRule="auto" w:before="19"/>
        <w:ind w:right="194"/>
        <w:jc w:val="both"/>
      </w:pPr>
      <w:r>
        <w:rPr/>
        <w:t>陷，客户满意度</w:t>
      </w:r>
      <w:r>
        <w:rPr>
          <w:rFonts w:ascii="Times New Roman" w:hAnsi="Times New Roman" w:cs="Times New Roman" w:eastAsia="Times New Roman" w:hint="default"/>
        </w:rPr>
        <w:t>100%</w:t>
      </w:r>
      <w:r>
        <w:rPr/>
        <w:t>；提升内部管理水平，建立健全与御银核心价值观和理念相适应的制度、机制、流程；完善、强化和 </w:t>
      </w:r>
      <w:r>
        <w:rPr>
          <w:spacing w:val="-2"/>
        </w:rPr>
        <w:t>延伸服务功能，加快多品牌维护业务发展；加强企业文化建设，加强员工队伍建设，提高整体战斗力，力争实现行业评价在</w:t>
      </w:r>
      <w:r>
        <w:rPr>
          <w:spacing w:val="-67"/>
        </w:rPr>
        <w:t> </w:t>
      </w:r>
      <w:r>
        <w:rPr>
          <w:spacing w:val="-67"/>
        </w:rPr>
      </w:r>
      <w:r>
        <w:rPr/>
        <w:t>当地同业稳步上升，并处于领先水平。</w:t>
      </w:r>
    </w:p>
    <w:p>
      <w:pPr>
        <w:pStyle w:val="BodyText"/>
        <w:spacing w:line="316" w:lineRule="auto" w:before="24"/>
        <w:ind w:left="513" w:right="94"/>
        <w:jc w:val="left"/>
      </w:pPr>
      <w:r>
        <w:rPr/>
        <w:t>⑥加强财务管理、完善企业治理结构 </w:t>
      </w:r>
      <w:r>
        <w:rPr>
          <w:spacing w:val="-2"/>
        </w:rPr>
        <w:t>以“企业价值最大化”作为财务管理目标，探索公司资产保值增值的有效方法，实现公司资源的合理配置，推进财务管</w:t>
      </w:r>
    </w:p>
    <w:p>
      <w:pPr>
        <w:pStyle w:val="BodyText"/>
        <w:spacing w:line="316" w:lineRule="auto" w:before="19"/>
        <w:ind w:left="513" w:right="94" w:hanging="361"/>
        <w:jc w:val="left"/>
      </w:pPr>
      <w:r>
        <w:rPr/>
        <w:t>理创新，加强公司内部财务风险控制，从而促进公司持续、稳定、快速、健康的发展。 </w:t>
      </w:r>
      <w:r>
        <w:rPr>
          <w:spacing w:val="-2"/>
        </w:rPr>
        <w:t>进一步提高和优化管理水平和经营体制，持续完善治理结构与内部控制体系，监督内控制度执行情况，使其符合公司实</w:t>
      </w:r>
    </w:p>
    <w:p>
      <w:pPr>
        <w:pStyle w:val="BodyText"/>
        <w:spacing w:line="316" w:lineRule="auto" w:before="19"/>
        <w:ind w:right="94"/>
        <w:jc w:val="left"/>
      </w:pPr>
      <w:r>
        <w:rPr>
          <w:spacing w:val="-4"/>
        </w:rPr>
        <w:t>际经营情况；健全和完善公司管理框架，确保经营管理的高效运行；努力打造一支专业知识过硬、业务能力精良的员工队伍；</w:t>
      </w:r>
      <w:r>
        <w:rPr>
          <w:spacing w:val="-44"/>
        </w:rPr>
        <w:t> </w:t>
      </w:r>
      <w:r>
        <w:rPr>
          <w:spacing w:val="-44"/>
        </w:rPr>
      </w:r>
      <w:r>
        <w:rPr/>
        <w:t>认真做好投资者关系管理工作，加强与投资者的沟通和交流，树立良好的社会公众形象。</w:t>
      </w:r>
    </w:p>
    <w:p>
      <w:pPr>
        <w:pStyle w:val="BodyText"/>
        <w:spacing w:line="319" w:lineRule="auto" w:before="19"/>
        <w:ind w:left="513" w:right="94"/>
        <w:jc w:val="left"/>
      </w:pPr>
      <w:r>
        <w:rPr/>
        <w:t>⑦加强绩效管理，完善激励机制，引进高素质科技人才 </w:t>
      </w:r>
      <w:r>
        <w:rPr>
          <w:spacing w:val="-2"/>
        </w:rPr>
        <w:t>公司将继续加强人力资源管理，引进高素质科技人才，建设以研究前沿技术和开发高附加值产品的技术中心构建产学研</w:t>
      </w:r>
    </w:p>
    <w:p>
      <w:pPr>
        <w:pStyle w:val="BodyText"/>
        <w:spacing w:line="316" w:lineRule="auto" w:before="17"/>
        <w:ind w:right="94"/>
        <w:jc w:val="left"/>
      </w:pPr>
      <w:r>
        <w:rPr/>
        <w:t>一体化的科技创新和成果转化平台，提高企业技术核心竞争力。同时优化公司机构设置和人员配置，完善职责和权限划分， </w:t>
      </w:r>
      <w:r>
        <w:rPr>
          <w:spacing w:val="-2"/>
        </w:rPr>
        <w:t>通过关键岗位人才引进和合理的人员流动，优化人才结构；同时加强团队建设以及业务、管理等方面培训，提高员工岗位胜</w:t>
      </w:r>
      <w:r>
        <w:rPr>
          <w:spacing w:val="-64"/>
        </w:rPr>
        <w:t> </w:t>
      </w:r>
      <w:r>
        <w:rPr>
          <w:spacing w:val="-64"/>
        </w:rPr>
      </w:r>
      <w:r>
        <w:rPr>
          <w:spacing w:val="-2"/>
        </w:rPr>
        <w:t>任力和创新能力；完善股权激励机制，强化绩效考核和以绩取酬，建立健全符合公司特点的人力资源管理体系，积极提炼企</w:t>
      </w:r>
      <w:r>
        <w:rPr>
          <w:spacing w:val="-64"/>
        </w:rPr>
        <w:t> </w:t>
      </w:r>
      <w:r>
        <w:rPr>
          <w:spacing w:val="-64"/>
        </w:rPr>
      </w:r>
      <w:r>
        <w:rPr/>
        <w:t>业文化，进一步增强员工向心力和凝聚力。</w:t>
      </w:r>
    </w:p>
    <w:p>
      <w:pPr>
        <w:pStyle w:val="BodyText"/>
        <w:spacing w:line="316" w:lineRule="auto" w:before="19"/>
        <w:ind w:right="94" w:firstLine="360"/>
        <w:jc w:val="left"/>
      </w:pPr>
      <w:r>
        <w:rPr>
          <w:spacing w:val="-2"/>
        </w:rPr>
        <w:t>特别提示：公司的未来发展计划，不代表公司盈利预测，也不构成公司对投资者的实质承诺。能否实现取决于宏观经济</w:t>
      </w:r>
      <w:r>
        <w:rPr/>
        <w:t> </w:t>
      </w:r>
      <w:r>
        <w:rPr>
          <w:spacing w:val="-2"/>
        </w:rPr>
        <w:t>环境、行业发展状况、市场竞争加剧，核心人才流失等多种因素（详见本节第五点对公司未来发展战略和经营目标的实现产</w:t>
      </w:r>
    </w:p>
    <w:p>
      <w:pPr>
        <w:spacing w:after="0" w:line="316" w:lineRule="auto"/>
        <w:jc w:val="left"/>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309" w:lineRule="auto" w:before="44"/>
        <w:ind w:left="513" w:right="94" w:hanging="361"/>
        <w:jc w:val="left"/>
      </w:pPr>
      <w:r>
        <w:rPr/>
        <w:t>生不利影响的风险因素），存在很大的不确定性，请投资者特别注意。 </w:t>
      </w:r>
      <w:r>
        <w:rPr>
          <w:rFonts w:ascii="Times New Roman" w:hAnsi="Times New Roman" w:cs="Times New Roman" w:eastAsia="Times New Roman" w:hint="default"/>
        </w:rPr>
        <w:t>4</w:t>
      </w:r>
      <w:r>
        <w:rPr/>
        <w:t>、为实现未来发展战略所需求的资金、使用计划及资金来源情况 </w:t>
      </w:r>
      <w:r>
        <w:rPr>
          <w:spacing w:val="-2"/>
        </w:rPr>
        <w:t>公司经营活动现金流入稳健增长，可以满足为实现未来发展战略所需的大部分资金。与此同时，公司实施稳健的财务政</w:t>
      </w:r>
    </w:p>
    <w:p>
      <w:pPr>
        <w:pStyle w:val="BodyText"/>
        <w:spacing w:line="316" w:lineRule="auto" w:before="24"/>
        <w:ind w:right="195"/>
        <w:jc w:val="both"/>
      </w:pPr>
      <w:r>
        <w:rPr>
          <w:spacing w:val="-2"/>
        </w:rPr>
        <w:t>策，公司主要客户均为国内外知名企业，信誉良好，公司财务管理制度健全，资金回笼较好，日常生产经营所需的流动资金</w:t>
      </w:r>
      <w:r>
        <w:rPr>
          <w:spacing w:val="-67"/>
        </w:rPr>
        <w:t> </w:t>
      </w:r>
      <w:r>
        <w:rPr>
          <w:spacing w:val="-67"/>
        </w:rPr>
      </w:r>
      <w:r>
        <w:rPr>
          <w:spacing w:val="-2"/>
        </w:rPr>
        <w:t>有保障。公司资产结构稳健、偿债能力较强、银行信贷信誉良好、融资渠道畅通，公司及各子公司发展的资金来源有充足的</w:t>
      </w:r>
      <w:r>
        <w:rPr>
          <w:spacing w:val="-67"/>
        </w:rPr>
        <w:t> </w:t>
      </w:r>
      <w:r>
        <w:rPr>
          <w:spacing w:val="-67"/>
        </w:rPr>
      </w:r>
      <w:r>
        <w:rPr/>
        <w:t>保障。</w:t>
      </w:r>
    </w:p>
    <w:p>
      <w:pPr>
        <w:pStyle w:val="BodyText"/>
        <w:spacing w:line="240" w:lineRule="auto" w:before="19"/>
        <w:ind w:left="513" w:right="94"/>
        <w:jc w:val="left"/>
      </w:pPr>
      <w:r>
        <w:rPr>
          <w:rFonts w:ascii="Times New Roman" w:hAnsi="Times New Roman" w:cs="Times New Roman" w:eastAsia="Times New Roman" w:hint="default"/>
        </w:rPr>
        <w:t>5</w:t>
      </w:r>
      <w:r>
        <w:rPr/>
        <w:t>、对公司未来发展战略和经营目标的实现产生不利影响的风险因素</w:t>
      </w:r>
    </w:p>
    <w:p>
      <w:pPr>
        <w:pStyle w:val="BodyText"/>
        <w:spacing w:line="300" w:lineRule="auto" w:before="63"/>
        <w:ind w:left="513" w:right="94"/>
        <w:jc w:val="left"/>
      </w:pPr>
      <w:r>
        <w:rPr/>
        <w:t>（</w:t>
      </w:r>
      <w:r>
        <w:rPr>
          <w:rFonts w:ascii="Times New Roman" w:hAnsi="Times New Roman" w:cs="Times New Roman" w:eastAsia="Times New Roman" w:hint="default"/>
        </w:rPr>
        <w:t>1</w:t>
      </w:r>
      <w:r>
        <w:rPr/>
        <w:t>）竞争加剧带来的毛利率降低风险 </w:t>
      </w:r>
      <w:r>
        <w:rPr>
          <w:spacing w:val="-4"/>
        </w:rPr>
        <w:t>随着市场化程度的进一步提高，行业市场竞争也日趋激烈，同时员工薪酬的不断提高，人工成本越来越高，物价的上涨，</w:t>
      </w:r>
    </w:p>
    <w:p>
      <w:pPr>
        <w:pStyle w:val="BodyText"/>
        <w:spacing w:line="316" w:lineRule="auto" w:before="31"/>
        <w:ind w:right="189"/>
        <w:jc w:val="both"/>
      </w:pPr>
      <w:r>
        <w:rPr>
          <w:spacing w:val="-2"/>
        </w:rPr>
        <w:t>造成各项费用的增加，以上原因可能会造成公司毛利率逐步下降的风险。面对毛利率的降低，公司一方面将继续强化技术研</w:t>
      </w:r>
      <w:r>
        <w:rPr>
          <w:spacing w:val="-62"/>
        </w:rPr>
        <w:t> </w:t>
      </w:r>
      <w:r>
        <w:rPr>
          <w:spacing w:val="-62"/>
        </w:rPr>
      </w:r>
      <w:r>
        <w:rPr>
          <w:spacing w:val="-2"/>
        </w:rPr>
        <w:t>发，不断加大对研发的投入，推出一些高端的产品和更能满足市场需求的新业务，提高新产品的销售比例，保持整体单价稳</w:t>
      </w:r>
      <w:r>
        <w:rPr>
          <w:spacing w:val="-64"/>
        </w:rPr>
        <w:t> </w:t>
      </w:r>
      <w:r>
        <w:rPr>
          <w:spacing w:val="-64"/>
        </w:rPr>
      </w:r>
      <w:r>
        <w:rPr>
          <w:spacing w:val="-2"/>
        </w:rPr>
        <w:t>定；另一方面，做好公司预算分析，强化预算管控，控制费用支出，努力降低各项采购成本和生产成本，提升公司整体毛利</w:t>
      </w:r>
      <w:r>
        <w:rPr>
          <w:spacing w:val="-68"/>
        </w:rPr>
        <w:t> </w:t>
      </w:r>
      <w:r>
        <w:rPr>
          <w:spacing w:val="-68"/>
        </w:rPr>
      </w:r>
      <w:r>
        <w:rPr/>
        <w:t>水平。</w:t>
      </w:r>
    </w:p>
    <w:p>
      <w:pPr>
        <w:pStyle w:val="BodyText"/>
        <w:spacing w:line="300" w:lineRule="auto" w:before="19"/>
        <w:ind w:left="513" w:right="94"/>
        <w:jc w:val="left"/>
      </w:pPr>
      <w:r>
        <w:rPr/>
        <w:t>（</w:t>
      </w:r>
      <w:r>
        <w:rPr>
          <w:rFonts w:ascii="Times New Roman" w:hAnsi="Times New Roman" w:cs="Times New Roman" w:eastAsia="Times New Roman" w:hint="default"/>
        </w:rPr>
        <w:t>2</w:t>
      </w:r>
      <w:r>
        <w:rPr/>
        <w:t>）核心技术人员及核心技术流失的风险 </w:t>
      </w:r>
      <w:r>
        <w:rPr>
          <w:spacing w:val="-2"/>
        </w:rPr>
        <w:t>公司所属的行业是技术密集型行业。因此，人才是公司发展至关重要的组成部分，稳定的研发团队是公司保持核心竞争</w:t>
      </w:r>
    </w:p>
    <w:p>
      <w:pPr>
        <w:pStyle w:val="BodyText"/>
        <w:spacing w:line="316" w:lineRule="auto" w:before="31"/>
        <w:ind w:right="94"/>
        <w:jc w:val="left"/>
      </w:pPr>
      <w:r>
        <w:rPr>
          <w:spacing w:val="-4"/>
        </w:rPr>
        <w:t>力的基础。核心技术人员的离职将造成研发进度的拖延、用人成本增大，甚至商业机密的泄露，从而对公司的经营造成影响。</w:t>
      </w:r>
      <w:r>
        <w:rPr>
          <w:spacing w:val="-44"/>
        </w:rPr>
        <w:t> </w:t>
      </w:r>
      <w:r>
        <w:rPr>
          <w:spacing w:val="-44"/>
        </w:rPr>
      </w:r>
      <w:r>
        <w:rPr>
          <w:spacing w:val="-2"/>
        </w:rPr>
        <w:t>公司将针对核心技术人员建立完善考核激励机制，建立健全了内部保密制度，防止核心技术外泄，并通过融洽的文化来给研</w:t>
      </w:r>
      <w:r>
        <w:rPr>
          <w:spacing w:val="-63"/>
        </w:rPr>
        <w:t> </w:t>
      </w:r>
      <w:r>
        <w:rPr>
          <w:spacing w:val="-63"/>
        </w:rPr>
      </w:r>
      <w:r>
        <w:rPr/>
        <w:t>发人员提供一个宽松和谐的工作环境，以吸引人才、留住人才。</w:t>
      </w:r>
    </w:p>
    <w:p>
      <w:pPr>
        <w:pStyle w:val="BodyText"/>
        <w:spacing w:line="300" w:lineRule="auto" w:before="19"/>
        <w:ind w:left="513" w:right="94"/>
        <w:jc w:val="left"/>
      </w:pPr>
      <w:r>
        <w:rPr/>
        <w:t>（</w:t>
      </w:r>
      <w:r>
        <w:rPr>
          <w:rFonts w:ascii="Times New Roman" w:hAnsi="Times New Roman" w:cs="Times New Roman" w:eastAsia="Times New Roman" w:hint="default"/>
        </w:rPr>
        <w:t>3</w:t>
      </w:r>
      <w:r>
        <w:rPr/>
        <w:t>）投资收益不达预期的风险 </w:t>
      </w:r>
      <w:r>
        <w:rPr>
          <w:spacing w:val="-2"/>
        </w:rPr>
        <w:t>随着公司产业链延伸与业务规模的扩张，在实施投资战略的过程中，随着众多投资标的的进入，公司的经营规模及业务</w:t>
      </w:r>
    </w:p>
    <w:p>
      <w:pPr>
        <w:pStyle w:val="BodyText"/>
        <w:spacing w:line="316" w:lineRule="auto" w:before="31"/>
        <w:ind w:right="191"/>
        <w:jc w:val="both"/>
      </w:pPr>
      <w:r>
        <w:rPr>
          <w:spacing w:val="-2"/>
        </w:rPr>
        <w:t>范围也不断扩大，吸收合并后人员构成和管理体系更加复杂，同时团队的稳定性、新业务领域的开拓、市场政策变化及法律</w:t>
      </w:r>
      <w:r>
        <w:rPr>
          <w:spacing w:val="-64"/>
        </w:rPr>
        <w:t> </w:t>
      </w:r>
      <w:r>
        <w:rPr>
          <w:spacing w:val="-64"/>
        </w:rPr>
      </w:r>
      <w:r>
        <w:rPr>
          <w:spacing w:val="-2"/>
        </w:rPr>
        <w:t>等方面的风险都将给公司管理带来新的挑战，投资项目短期内产生效益存在一定的不确定性风险。公司将在对外投资前对投</w:t>
      </w:r>
      <w:r>
        <w:rPr>
          <w:spacing w:val="-62"/>
        </w:rPr>
        <w:t> </w:t>
      </w:r>
      <w:r>
        <w:rPr>
          <w:spacing w:val="-62"/>
        </w:rPr>
      </w:r>
      <w:r>
        <w:rPr/>
        <w:t>资项目进行慎重论证，严格尽调，选取真正有价值、能与公司产生协同效应的企业，稳健投入。</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bl>
    <w:p>
      <w:pPr>
        <w:spacing w:after="0" w:line="240" w:lineRule="auto"/>
        <w:jc w:val="center"/>
        <w:rPr>
          <w:rFonts w:ascii="宋体" w:hAnsi="宋体" w:cs="宋体" w:eastAsia="宋体" w:hint="default"/>
          <w:sz w:val="18"/>
          <w:szCs w:val="18"/>
        </w:rPr>
        <w:sectPr>
          <w:pgSz w:w="11910" w:h="16840"/>
          <w:pgMar w:header="786" w:footer="1021" w:top="1100" w:bottom="122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right="3465"/>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4"/>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报告期内普通股利润分配政策，特别是现金分红政策的制定、执行或调整情况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513" w:right="94"/>
        <w:jc w:val="left"/>
      </w:pPr>
      <w:r>
        <w:rPr/>
        <w:t>公司近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年（包括本报告期）的普通股股利分配方案（预案）、资本公积金转增股本方案（预案）情况</w:t>
      </w:r>
    </w:p>
    <w:p>
      <w:pPr>
        <w:pStyle w:val="BodyText"/>
        <w:spacing w:line="240" w:lineRule="auto" w:before="63"/>
        <w:ind w:left="513" w:right="9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年度利润分配及资本公积金转增股本预案</w:t>
      </w:r>
    </w:p>
    <w:p>
      <w:pPr>
        <w:pStyle w:val="BodyText"/>
        <w:spacing w:line="300" w:lineRule="auto" w:before="63"/>
        <w:ind w:right="94" w:firstLine="360"/>
        <w:jc w:val="left"/>
      </w:pPr>
      <w:r>
        <w:rPr>
          <w:rFonts w:ascii="Times New Roman" w:hAnsi="Times New Roman" w:cs="Times New Roman" w:eastAsia="Times New Roman" w:hint="default"/>
        </w:rPr>
        <w:t>2015</w:t>
      </w:r>
      <w:r>
        <w:rPr/>
        <w:t>年度经营情况经立信会计师事务所（特殊普通合伙）有限公司审计，母公司</w:t>
      </w:r>
      <w:r>
        <w:rPr>
          <w:rFonts w:ascii="Times New Roman" w:hAnsi="Times New Roman" w:cs="Times New Roman" w:eastAsia="Times New Roman" w:hint="default"/>
        </w:rPr>
        <w:t>2015</w:t>
      </w:r>
      <w:r>
        <w:rPr/>
        <w:t>年度实现净利润</w:t>
      </w:r>
      <w:r>
        <w:rPr>
          <w:rFonts w:ascii="Times New Roman" w:hAnsi="Times New Roman" w:cs="Times New Roman" w:eastAsia="Times New Roman" w:hint="default"/>
        </w:rPr>
        <w:t>6,274.20</w:t>
      </w:r>
      <w:r>
        <w:rPr/>
        <w:t>万元，按 </w:t>
      </w:r>
      <w:r>
        <w:rPr>
          <w:spacing w:val="-1"/>
        </w:rPr>
        <w:t>母公司净利润的</w:t>
      </w:r>
      <w:r>
        <w:rPr>
          <w:rFonts w:ascii="Times New Roman" w:hAnsi="Times New Roman" w:cs="Times New Roman" w:eastAsia="Times New Roman" w:hint="default"/>
          <w:spacing w:val="-1"/>
        </w:rPr>
        <w:t>10%</w:t>
      </w:r>
      <w:r>
        <w:rPr>
          <w:spacing w:val="-1"/>
        </w:rPr>
        <w:t>提取法定盈余公积</w:t>
      </w:r>
      <w:r>
        <w:rPr>
          <w:rFonts w:ascii="Times New Roman" w:hAnsi="Times New Roman" w:cs="Times New Roman" w:eastAsia="Times New Roman" w:hint="default"/>
          <w:spacing w:val="-1"/>
        </w:rPr>
        <w:t>627.42</w:t>
      </w:r>
      <w:r>
        <w:rPr>
          <w:spacing w:val="-1"/>
        </w:rPr>
        <w:t>万元，加年初未分配利润</w:t>
      </w:r>
      <w:r>
        <w:rPr>
          <w:rFonts w:ascii="Times New Roman" w:hAnsi="Times New Roman" w:cs="Times New Roman" w:eastAsia="Times New Roman" w:hint="default"/>
          <w:spacing w:val="-1"/>
        </w:rPr>
        <w:t>25,744.05</w:t>
      </w:r>
      <w:r>
        <w:rPr>
          <w:spacing w:val="-1"/>
        </w:rPr>
        <w:t>万元，减除</w:t>
      </w:r>
      <w:r>
        <w:rPr>
          <w:rFonts w:ascii="Times New Roman" w:hAnsi="Times New Roman" w:cs="Times New Roman" w:eastAsia="Times New Roman" w:hint="default"/>
          <w:spacing w:val="-1"/>
        </w:rPr>
        <w:t>2014</w:t>
      </w:r>
      <w:r>
        <w:rPr>
          <w:spacing w:val="-1"/>
        </w:rPr>
        <w:t>年度现金分红</w:t>
      </w:r>
      <w:r>
        <w:rPr>
          <w:rFonts w:ascii="Times New Roman" w:hAnsi="Times New Roman" w:cs="Times New Roman" w:eastAsia="Times New Roman" w:hint="default"/>
          <w:spacing w:val="-1"/>
        </w:rPr>
        <w:t>2,511.93</w:t>
      </w:r>
      <w:r>
        <w:rPr>
          <w:spacing w:val="-1"/>
        </w:rPr>
        <w:t>万元，</w:t>
      </w:r>
      <w:r>
        <w:rPr>
          <w:spacing w:val="-44"/>
        </w:rPr>
        <w:t> </w:t>
      </w:r>
      <w:r>
        <w:rPr/>
        <w:t>可供股东分配的利润为</w:t>
      </w:r>
      <w:r>
        <w:rPr>
          <w:rFonts w:ascii="Times New Roman" w:hAnsi="Times New Roman" w:cs="Times New Roman" w:eastAsia="Times New Roman" w:hint="default"/>
        </w:rPr>
        <w:t>28,878.90</w:t>
      </w:r>
      <w:r>
        <w:rPr/>
        <w:t>万元。</w:t>
      </w:r>
    </w:p>
    <w:p>
      <w:pPr>
        <w:pStyle w:val="BodyText"/>
        <w:spacing w:line="300" w:lineRule="auto" w:before="13"/>
        <w:ind w:right="94" w:firstLine="360"/>
        <w:jc w:val="left"/>
      </w:pPr>
      <w:r>
        <w:rPr>
          <w:spacing w:val="-2"/>
        </w:rPr>
        <w:t>结合公司</w:t>
      </w:r>
      <w:r>
        <w:rPr>
          <w:rFonts w:ascii="Times New Roman" w:hAnsi="Times New Roman" w:cs="Times New Roman" w:eastAsia="Times New Roman" w:hint="default"/>
          <w:spacing w:val="-2"/>
        </w:rPr>
        <w:t>2016</w:t>
      </w:r>
      <w:r>
        <w:rPr>
          <w:spacing w:val="-2"/>
        </w:rPr>
        <w:t>年度发展规划及资金使用安排，公司</w:t>
      </w:r>
      <w:r>
        <w:rPr>
          <w:rFonts w:ascii="Times New Roman" w:hAnsi="Times New Roman" w:cs="Times New Roman" w:eastAsia="Times New Roman" w:hint="default"/>
          <w:spacing w:val="-2"/>
        </w:rPr>
        <w:t>2015</w:t>
      </w:r>
      <w:r>
        <w:rPr>
          <w:spacing w:val="-2"/>
        </w:rPr>
        <w:t>年度利润分配预案为：</w:t>
      </w:r>
      <w:r>
        <w:rPr>
          <w:rFonts w:ascii="Times New Roman" w:hAnsi="Times New Roman" w:cs="Times New Roman" w:eastAsia="Times New Roman" w:hint="default"/>
          <w:spacing w:val="-2"/>
        </w:rPr>
        <w:t>2015</w:t>
      </w:r>
      <w:r>
        <w:rPr>
          <w:spacing w:val="-2"/>
        </w:rPr>
        <w:t>年度不进行利润分配，也不进行资本</w:t>
      </w:r>
      <w:r>
        <w:rPr/>
        <w:t> 公积金转增股本，公司未分配利润结转下一年度。</w:t>
      </w:r>
    </w:p>
    <w:p>
      <w:pPr>
        <w:pStyle w:val="BodyText"/>
        <w:spacing w:line="240" w:lineRule="auto" w:before="31"/>
        <w:ind w:left="513" w:right="9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年度利润分配及资本公积金转增股本预案</w:t>
      </w:r>
    </w:p>
    <w:p>
      <w:pPr>
        <w:pStyle w:val="BodyText"/>
        <w:spacing w:line="300" w:lineRule="auto" w:before="63"/>
        <w:ind w:right="196" w:firstLine="360"/>
        <w:jc w:val="both"/>
      </w:pPr>
      <w:r>
        <w:rPr>
          <w:rFonts w:ascii="Times New Roman" w:hAnsi="Times New Roman" w:cs="Times New Roman" w:eastAsia="Times New Roman" w:hint="default"/>
        </w:rPr>
        <w:t>2014</w:t>
      </w:r>
      <w:r>
        <w:rPr/>
        <w:t>年度经营情况经立信会计师事务所（特殊普通合伙）有限公司审计，母公司</w:t>
      </w:r>
      <w:r>
        <w:rPr>
          <w:rFonts w:ascii="Times New Roman" w:hAnsi="Times New Roman" w:cs="Times New Roman" w:eastAsia="Times New Roman" w:hint="default"/>
        </w:rPr>
        <w:t>2014</w:t>
      </w:r>
      <w:r>
        <w:rPr/>
        <w:t>年度实现净利润</w:t>
      </w:r>
      <w:r>
        <w:rPr>
          <w:rFonts w:ascii="Times New Roman" w:hAnsi="Times New Roman" w:cs="Times New Roman" w:eastAsia="Times New Roman" w:hint="default"/>
        </w:rPr>
        <w:t>3,628.24</w:t>
      </w:r>
      <w:r>
        <w:rPr/>
        <w:t>万元，按 母公司净利润的</w:t>
      </w:r>
      <w:r>
        <w:rPr>
          <w:rFonts w:ascii="Times New Roman" w:hAnsi="Times New Roman" w:cs="Times New Roman" w:eastAsia="Times New Roman" w:hint="default"/>
        </w:rPr>
        <w:t>10%</w:t>
      </w:r>
      <w:r>
        <w:rPr/>
        <w:t>提取法定盈余公积</w:t>
      </w:r>
      <w:r>
        <w:rPr>
          <w:rFonts w:ascii="Times New Roman" w:hAnsi="Times New Roman" w:cs="Times New Roman" w:eastAsia="Times New Roman" w:hint="default"/>
        </w:rPr>
        <w:t>362.82</w:t>
      </w:r>
      <w:r>
        <w:rPr/>
        <w:t>万元，加年初未分配利润</w:t>
      </w:r>
      <w:r>
        <w:rPr>
          <w:rFonts w:ascii="Times New Roman" w:hAnsi="Times New Roman" w:cs="Times New Roman" w:eastAsia="Times New Roman" w:hint="default"/>
        </w:rPr>
        <w:t>23,239.82</w:t>
      </w:r>
      <w:r>
        <w:rPr/>
        <w:t>万元，减去</w:t>
      </w:r>
      <w:r>
        <w:rPr>
          <w:rFonts w:ascii="Times New Roman" w:hAnsi="Times New Roman" w:cs="Times New Roman" w:eastAsia="Times New Roman" w:hint="default"/>
        </w:rPr>
        <w:t>2013</w:t>
      </w:r>
      <w:r>
        <w:rPr/>
        <w:t>年度现金分红</w:t>
      </w:r>
      <w:r>
        <w:rPr>
          <w:rFonts w:ascii="Times New Roman" w:hAnsi="Times New Roman" w:cs="Times New Roman" w:eastAsia="Times New Roman" w:hint="default"/>
        </w:rPr>
        <w:t>761.19</w:t>
      </w:r>
      <w:r>
        <w:rPr/>
        <w:t>万元， 可供股东分配的利润为</w:t>
      </w:r>
      <w:r>
        <w:rPr>
          <w:rFonts w:ascii="Times New Roman" w:hAnsi="Times New Roman" w:cs="Times New Roman" w:eastAsia="Times New Roman" w:hint="default"/>
        </w:rPr>
        <w:t>25,744.05</w:t>
      </w:r>
      <w:r>
        <w:rPr/>
        <w:t>万元。</w:t>
      </w:r>
      <w:r>
        <w:rPr>
          <w:rFonts w:ascii="Times New Roman" w:hAnsi="Times New Roman" w:cs="Times New Roman" w:eastAsia="Times New Roman" w:hint="default"/>
        </w:rPr>
        <w:t>2014</w:t>
      </w:r>
      <w:r>
        <w:rPr/>
        <w:t>年度利润分配及资本公积金转增预案如下：</w:t>
      </w:r>
    </w:p>
    <w:p>
      <w:pPr>
        <w:pStyle w:val="BodyText"/>
        <w:spacing w:line="300" w:lineRule="auto" w:before="13"/>
        <w:ind w:right="190" w:firstLine="360"/>
        <w:jc w:val="left"/>
      </w:pPr>
      <w:r>
        <w:rPr/>
        <w:t>（</w:t>
      </w:r>
      <w:r>
        <w:rPr>
          <w:rFonts w:ascii="Times New Roman" w:hAnsi="Times New Roman" w:cs="Times New Roman" w:eastAsia="Times New Roman" w:hint="default"/>
        </w:rPr>
        <w:t>1</w:t>
      </w:r>
      <w:r>
        <w:rPr/>
        <w:t>）利润分配预案：以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761,</w:t>
      </w:r>
      <w:r>
        <w:rPr>
          <w:rFonts w:ascii="Times New Roman" w:hAnsi="Times New Roman" w:cs="Times New Roman" w:eastAsia="Times New Roman" w:hint="default"/>
          <w:spacing w:val="-6"/>
        </w:rPr>
        <w:t> </w:t>
      </w:r>
      <w:r>
        <w:rPr>
          <w:rFonts w:ascii="Times New Roman" w:hAnsi="Times New Roman" w:cs="Times New Roman" w:eastAsia="Times New Roman" w:hint="default"/>
        </w:rPr>
        <w:t>191,294</w:t>
      </w:r>
      <w:r>
        <w:rPr/>
        <w:t>股为基数，拟按每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0.33</w:t>
      </w:r>
      <w:r>
        <w:rPr/>
        <w:t>元（含税），共 计</w:t>
      </w:r>
      <w:r>
        <w:rPr>
          <w:rFonts w:ascii="Times New Roman" w:hAnsi="Times New Roman" w:cs="Times New Roman" w:eastAsia="Times New Roman" w:hint="default"/>
        </w:rPr>
        <w:t>25,119,312.70</w:t>
      </w:r>
      <w:r>
        <w:rPr/>
        <w:t>元；</w:t>
      </w:r>
    </w:p>
    <w:p>
      <w:pPr>
        <w:pStyle w:val="BodyText"/>
        <w:spacing w:line="240" w:lineRule="auto" w:before="13"/>
        <w:ind w:left="513" w:right="94"/>
        <w:jc w:val="left"/>
      </w:pPr>
      <w:r>
        <w:rPr/>
        <w:t>（</w:t>
      </w:r>
      <w:r>
        <w:rPr>
          <w:rFonts w:ascii="Times New Roman" w:hAnsi="Times New Roman" w:cs="Times New Roman" w:eastAsia="Times New Roman" w:hint="default"/>
        </w:rPr>
        <w:t>2</w:t>
      </w:r>
      <w:r>
        <w:rPr/>
        <w:t>）资本公积金转增股本预案：不送股，不进行资本公积转增股本。</w:t>
      </w:r>
    </w:p>
    <w:p>
      <w:pPr>
        <w:pStyle w:val="BodyText"/>
        <w:spacing w:line="240" w:lineRule="auto" w:before="63"/>
        <w:ind w:left="513" w:right="9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年度利润分配及资本公积金转增股本预案</w:t>
      </w:r>
    </w:p>
    <w:p>
      <w:pPr>
        <w:pStyle w:val="BodyText"/>
        <w:spacing w:line="300" w:lineRule="auto" w:before="63"/>
        <w:ind w:right="196" w:firstLine="360"/>
        <w:jc w:val="both"/>
      </w:pPr>
      <w:r>
        <w:rPr>
          <w:rFonts w:ascii="Times New Roman" w:hAnsi="Times New Roman" w:cs="Times New Roman" w:eastAsia="Times New Roman" w:hint="default"/>
        </w:rPr>
        <w:t>2013</w:t>
      </w:r>
      <w:r>
        <w:rPr/>
        <w:t>年度经营情况经立信会计师事务所（特殊普通合伙）有限公司审计，母公司</w:t>
      </w:r>
      <w:r>
        <w:rPr>
          <w:rFonts w:ascii="Times New Roman" w:hAnsi="Times New Roman" w:cs="Times New Roman" w:eastAsia="Times New Roman" w:hint="default"/>
        </w:rPr>
        <w:t>2013</w:t>
      </w:r>
      <w:r>
        <w:rPr/>
        <w:t>年度实现净利润</w:t>
      </w:r>
      <w:r>
        <w:rPr>
          <w:rFonts w:ascii="Times New Roman" w:hAnsi="Times New Roman" w:cs="Times New Roman" w:eastAsia="Times New Roman" w:hint="default"/>
        </w:rPr>
        <w:t>2,585.77</w:t>
      </w:r>
      <w:r>
        <w:rPr/>
        <w:t>万元，按 母公司净利润的</w:t>
      </w:r>
      <w:r>
        <w:rPr>
          <w:rFonts w:ascii="Times New Roman" w:hAnsi="Times New Roman" w:cs="Times New Roman" w:eastAsia="Times New Roman" w:hint="default"/>
        </w:rPr>
        <w:t>10%</w:t>
      </w:r>
      <w:r>
        <w:rPr/>
        <w:t>提取法定盈余公积</w:t>
      </w:r>
      <w:r>
        <w:rPr>
          <w:rFonts w:ascii="Times New Roman" w:hAnsi="Times New Roman" w:cs="Times New Roman" w:eastAsia="Times New Roman" w:hint="default"/>
        </w:rPr>
        <w:t>258.58</w:t>
      </w:r>
      <w:r>
        <w:rPr/>
        <w:t>万元，加年初未分配利润</w:t>
      </w:r>
      <w:r>
        <w:rPr>
          <w:rFonts w:ascii="Times New Roman" w:hAnsi="Times New Roman" w:cs="Times New Roman" w:eastAsia="Times New Roman" w:hint="default"/>
        </w:rPr>
        <w:t>21,498.16</w:t>
      </w:r>
      <w:r>
        <w:rPr/>
        <w:t>万元，减去</w:t>
      </w:r>
      <w:r>
        <w:rPr>
          <w:rFonts w:ascii="Times New Roman" w:hAnsi="Times New Roman" w:cs="Times New Roman" w:eastAsia="Times New Roman" w:hint="default"/>
        </w:rPr>
        <w:t>2012</w:t>
      </w:r>
      <w:r>
        <w:rPr/>
        <w:t>年度现金分红</w:t>
      </w:r>
      <w:r>
        <w:rPr>
          <w:rFonts w:ascii="Times New Roman" w:hAnsi="Times New Roman" w:cs="Times New Roman" w:eastAsia="Times New Roman" w:hint="default"/>
        </w:rPr>
        <w:t>585.53</w:t>
      </w:r>
      <w:r>
        <w:rPr/>
        <w:t>万元， 可供股东分配的利润为</w:t>
      </w:r>
      <w:r>
        <w:rPr>
          <w:rFonts w:ascii="Times New Roman" w:hAnsi="Times New Roman" w:cs="Times New Roman" w:eastAsia="Times New Roman" w:hint="default"/>
        </w:rPr>
        <w:t>23,239.82</w:t>
      </w:r>
      <w:r>
        <w:rPr/>
        <w:t>万元。</w:t>
      </w:r>
      <w:r>
        <w:rPr>
          <w:rFonts w:ascii="Times New Roman" w:hAnsi="Times New Roman" w:cs="Times New Roman" w:eastAsia="Times New Roman" w:hint="default"/>
        </w:rPr>
        <w:t>2013</w:t>
      </w:r>
      <w:r>
        <w:rPr/>
        <w:t>年度利润分配及资本公积金转增预案如下：</w:t>
      </w:r>
    </w:p>
    <w:p>
      <w:pPr>
        <w:pStyle w:val="BodyText"/>
        <w:spacing w:line="300" w:lineRule="auto" w:before="13"/>
        <w:ind w:right="190" w:firstLine="360"/>
        <w:jc w:val="left"/>
      </w:pPr>
      <w:r>
        <w:rPr/>
        <w:t>（</w:t>
      </w:r>
      <w:r>
        <w:rPr>
          <w:rFonts w:ascii="Times New Roman" w:hAnsi="Times New Roman" w:cs="Times New Roman" w:eastAsia="Times New Roman" w:hint="default"/>
        </w:rPr>
        <w:t>1</w:t>
      </w:r>
      <w:r>
        <w:rPr/>
        <w:t>）利润分配预案：以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761,</w:t>
      </w:r>
      <w:r>
        <w:rPr>
          <w:rFonts w:ascii="Times New Roman" w:hAnsi="Times New Roman" w:cs="Times New Roman" w:eastAsia="Times New Roman" w:hint="default"/>
          <w:spacing w:val="-6"/>
        </w:rPr>
        <w:t> </w:t>
      </w:r>
      <w:r>
        <w:rPr>
          <w:rFonts w:ascii="Times New Roman" w:hAnsi="Times New Roman" w:cs="Times New Roman" w:eastAsia="Times New Roman" w:hint="default"/>
        </w:rPr>
        <w:t>191,294</w:t>
      </w:r>
      <w:r>
        <w:rPr/>
        <w:t>股为基数，拟按每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0.10</w:t>
      </w:r>
      <w:r>
        <w:rPr/>
        <w:t>元（含税），共 计</w:t>
      </w:r>
      <w:r>
        <w:rPr>
          <w:rFonts w:ascii="Times New Roman" w:hAnsi="Times New Roman" w:cs="Times New Roman" w:eastAsia="Times New Roman" w:hint="default"/>
        </w:rPr>
        <w:t>7,611,912.94</w:t>
      </w:r>
      <w:r>
        <w:rPr/>
        <w:t>元；</w:t>
      </w:r>
    </w:p>
    <w:p>
      <w:pPr>
        <w:pStyle w:val="BodyText"/>
        <w:spacing w:line="300" w:lineRule="auto" w:before="13"/>
        <w:ind w:left="513" w:right="3963"/>
        <w:jc w:val="left"/>
      </w:pPr>
      <w:r>
        <w:rPr/>
        <w:t>（</w:t>
      </w:r>
      <w:r>
        <w:rPr>
          <w:rFonts w:ascii="Times New Roman" w:hAnsi="Times New Roman" w:cs="Times New Roman" w:eastAsia="Times New Roman" w:hint="default"/>
        </w:rPr>
        <w:t>2</w:t>
      </w:r>
      <w:r>
        <w:rPr/>
        <w:t>）资本公积金转增股本预案：不送股，不进行资本公积转增股本。 公司近三年（包括本报告期）普通股现金分红情况表</w:t>
      </w:r>
    </w:p>
    <w:p>
      <w:pPr>
        <w:pStyle w:val="BodyText"/>
        <w:spacing w:line="240" w:lineRule="auto" w:before="72"/>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12"/>
        <w:gridCol w:w="1145"/>
        <w:gridCol w:w="2410"/>
        <w:gridCol w:w="2410"/>
        <w:gridCol w:w="1277"/>
        <w:gridCol w:w="1202"/>
      </w:tblGrid>
      <w:tr>
        <w:trPr>
          <w:trHeight w:val="161" w:hRule="exact"/>
        </w:trPr>
        <w:tc>
          <w:tcPr>
            <w:tcW w:w="1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4" w:right="108"/>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0" w:right="27" w:hanging="89"/>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市公司普通股股东的净利润</w:t>
            </w: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9" w:right="27" w:hanging="89"/>
              <w:jc w:val="left"/>
              <w:rPr>
                <w:rFonts w:ascii="宋体" w:hAnsi="宋体" w:cs="宋体" w:eastAsia="宋体" w:hint="default"/>
                <w:sz w:val="18"/>
                <w:szCs w:val="18"/>
              </w:rPr>
            </w:pPr>
            <w:r>
              <w:rPr>
                <w:rFonts w:ascii="宋体" w:hAnsi="宋体" w:cs="宋体" w:eastAsia="宋体" w:hint="default"/>
                <w:sz w:val="18"/>
                <w:szCs w:val="18"/>
              </w:rPr>
              <w:t>占合并报表中归属于上市公司 普通股股东的净利润的比率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3" w:right="92"/>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 w:right="53"/>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391" w:hRule="exact"/>
        </w:trPr>
        <w:tc>
          <w:tcPr>
            <w:tcW w:w="1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145"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r>
      <w:tr>
        <w:trPr>
          <w:trHeight w:val="161" w:hRule="exact"/>
        </w:trPr>
        <w:tc>
          <w:tcPr>
            <w:tcW w:w="1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69,446,758.01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25,119,312.70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132,007,798.40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124,382,450.37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4"/>
        <w:jc w:val="left"/>
      </w:pPr>
      <w:r>
        <w:rPr/>
        <w:t>公司报告期内盈利且母公司可供普通股股东分配利润为正但未提出普通股现金红利分配预案</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813"/>
        <w:gridCol w:w="3757"/>
      </w:tblGrid>
      <w:tr>
        <w:trPr>
          <w:trHeight w:val="713"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00" w:right="111" w:hanging="1892"/>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报告期内盈利且母公司可供普通股股东分配利润为正但未提出普通股现 金红利分配预案的原因</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62" w:hRule="exact"/>
        </w:trPr>
        <w:tc>
          <w:tcPr>
            <w:tcW w:w="5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为提升公司经营业绩，公司将继续推进内生发展与外延延伸相结合的产业</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公司滚存未分配利润将主要用于补充经营所需</w:t>
            </w:r>
          </w:p>
        </w:tc>
      </w:tr>
    </w:tbl>
    <w:p>
      <w:pPr>
        <w:spacing w:after="0" w:line="240" w:lineRule="auto"/>
        <w:jc w:val="center"/>
        <w:rPr>
          <w:rFonts w:ascii="宋体" w:hAnsi="宋体" w:cs="宋体" w:eastAsia="宋体" w:hint="default"/>
          <w:sz w:val="18"/>
          <w:szCs w:val="18"/>
        </w:rPr>
        <w:sectPr>
          <w:pgSz w:w="11910" w:h="16840"/>
          <w:pgMar w:header="786" w:footer="1021" w:top="1100" w:bottom="122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0" w:right="219"/>
        <w:jc w:val="right"/>
      </w:pPr>
      <w:r>
        <w:rPr/>
        <w:pict>
          <v:shape style="position:absolute;margin-left:56.400002pt;margin-top:-32.108292pt;width:479.3pt;height:65.4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14"/>
                    <w:gridCol w:w="3757"/>
                  </w:tblGrid>
                  <w:tr>
                    <w:trPr>
                      <w:trHeight w:val="1299"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1"/>
                          <w:jc w:val="both"/>
                          <w:rPr>
                            <w:rFonts w:ascii="宋体" w:hAnsi="宋体" w:cs="宋体" w:eastAsia="宋体" w:hint="default"/>
                            <w:sz w:val="18"/>
                            <w:szCs w:val="18"/>
                          </w:rPr>
                        </w:pPr>
                        <w:r>
                          <w:rPr>
                            <w:rFonts w:ascii="宋体" w:hAnsi="宋体" w:cs="宋体" w:eastAsia="宋体" w:hint="default"/>
                            <w:sz w:val="18"/>
                            <w:szCs w:val="18"/>
                          </w:rPr>
                          <w:t>扩张策略，完善产业链布局。因此，在综合考虑了公司目前所处的行业特 点、经营模式、投资情况及资金需求等因素，董事会认为，着眼于长远和 可持续发展，为应对市场竞争，公司需保持必要的资金储备，以满足公司 平稳运营及业务拓展的资金需求，创造更大的利润以回报股东。</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both"/>
                          <w:rPr>
                            <w:rFonts w:ascii="宋体" w:hAnsi="宋体" w:cs="宋体" w:eastAsia="宋体" w:hint="default"/>
                            <w:sz w:val="18"/>
                            <w:szCs w:val="18"/>
                          </w:rPr>
                        </w:pPr>
                        <w:r>
                          <w:rPr>
                            <w:rFonts w:ascii="宋体" w:hAnsi="宋体" w:cs="宋体" w:eastAsia="宋体" w:hint="default"/>
                            <w:sz w:val="18"/>
                            <w:szCs w:val="18"/>
                          </w:rPr>
                          <w:t>的流动资金及公司投资项目所需的资金</w:t>
                        </w:r>
                        <w:r>
                          <w:rPr>
                            <w:rFonts w:ascii="宋体" w:hAnsi="宋体" w:cs="宋体" w:eastAsia="宋体" w:hint="default"/>
                            <w:spacing w:val="-80"/>
                            <w:sz w:val="18"/>
                            <w:szCs w:val="18"/>
                          </w:rPr>
                          <w:t>，</w:t>
                        </w:r>
                        <w:r>
                          <w:rPr>
                            <w:rFonts w:ascii="宋体" w:hAnsi="宋体" w:cs="宋体" w:eastAsia="宋体" w:hint="default"/>
                            <w:sz w:val="18"/>
                            <w:szCs w:val="18"/>
                          </w:rPr>
                          <w:t>以支持</w:t>
                        </w:r>
                        <w:r>
                          <w:rPr>
                            <w:rFonts w:ascii="宋体" w:hAnsi="宋体" w:cs="宋体" w:eastAsia="宋体" w:hint="default"/>
                            <w:sz w:val="18"/>
                            <w:szCs w:val="18"/>
                          </w:rPr>
                          <w:t> 公司长期可持续发展</w:t>
                        </w:r>
                        <w:r>
                          <w:rPr>
                            <w:rFonts w:ascii="宋体" w:hAnsi="宋体" w:cs="宋体" w:eastAsia="宋体" w:hint="default"/>
                            <w:spacing w:val="-80"/>
                            <w:sz w:val="18"/>
                            <w:szCs w:val="18"/>
                          </w:rPr>
                          <w:t>。</w:t>
                        </w:r>
                        <w:r>
                          <w:rPr>
                            <w:rFonts w:ascii="宋体" w:hAnsi="宋体" w:cs="宋体" w:eastAsia="宋体" w:hint="default"/>
                            <w:sz w:val="18"/>
                            <w:szCs w:val="18"/>
                          </w:rPr>
                          <w:t>本次利润分配预案符合相</w:t>
                        </w:r>
                        <w:r>
                          <w:rPr>
                            <w:rFonts w:ascii="宋体" w:hAnsi="宋体" w:cs="宋体" w:eastAsia="宋体" w:hint="default"/>
                            <w:sz w:val="18"/>
                            <w:szCs w:val="18"/>
                          </w:rPr>
                          <w:t> 关法律</w:t>
                        </w:r>
                        <w:r>
                          <w:rPr>
                            <w:rFonts w:ascii="宋体" w:hAnsi="宋体" w:cs="宋体" w:eastAsia="宋体" w:hint="default"/>
                            <w:spacing w:val="-85"/>
                            <w:sz w:val="18"/>
                            <w:szCs w:val="18"/>
                          </w:rPr>
                          <w:t>、</w:t>
                        </w:r>
                        <w:r>
                          <w:rPr>
                            <w:rFonts w:ascii="宋体" w:hAnsi="宋体" w:cs="宋体" w:eastAsia="宋体" w:hint="default"/>
                            <w:sz w:val="18"/>
                            <w:szCs w:val="18"/>
                          </w:rPr>
                          <w:t>法规的要求</w:t>
                        </w:r>
                        <w:r>
                          <w:rPr>
                            <w:rFonts w:ascii="宋体" w:hAnsi="宋体" w:cs="宋体" w:eastAsia="宋体" w:hint="default"/>
                            <w:spacing w:val="-85"/>
                            <w:sz w:val="18"/>
                            <w:szCs w:val="18"/>
                          </w:rPr>
                          <w:t>，</w:t>
                        </w:r>
                        <w:r>
                          <w:rPr>
                            <w:rFonts w:ascii="宋体" w:hAnsi="宋体" w:cs="宋体" w:eastAsia="宋体" w:hint="default"/>
                            <w:sz w:val="18"/>
                            <w:szCs w:val="18"/>
                          </w:rPr>
                          <w:t>符合公</w:t>
                        </w:r>
                        <w:r>
                          <w:rPr>
                            <w:rFonts w:ascii="宋体" w:hAnsi="宋体" w:cs="宋体" w:eastAsia="宋体" w:hint="default"/>
                            <w:spacing w:val="-3"/>
                            <w:sz w:val="18"/>
                            <w:szCs w:val="18"/>
                          </w:rPr>
                          <w:t>司</w:t>
                        </w:r>
                        <w:r>
                          <w:rPr>
                            <w:rFonts w:ascii="宋体" w:hAnsi="宋体" w:cs="宋体" w:eastAsia="宋体" w:hint="default"/>
                            <w:sz w:val="18"/>
                            <w:szCs w:val="18"/>
                          </w:rPr>
                          <w:t>的利润分配政策</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9"/>
        <w:ind w:right="114"/>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公司计划年度不派发现金红利，不送红股，不以公积金转增股本。</w:t>
      </w:r>
    </w:p>
    <w:p>
      <w:pPr>
        <w:spacing w:line="240" w:lineRule="auto" w:before="8"/>
        <w:rPr>
          <w:rFonts w:ascii="宋体" w:hAnsi="宋体" w:cs="宋体" w:eastAsia="宋体" w:hint="default"/>
          <w:sz w:val="19"/>
          <w:szCs w:val="19"/>
        </w:rPr>
      </w:pPr>
    </w:p>
    <w:p>
      <w:pPr>
        <w:pStyle w:val="Heading2"/>
        <w:spacing w:line="240" w:lineRule="auto"/>
        <w:ind w:right="114"/>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114"/>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22"/>
        <w:gridCol w:w="804"/>
        <w:gridCol w:w="831"/>
        <w:gridCol w:w="3411"/>
        <w:gridCol w:w="1553"/>
        <w:gridCol w:w="941"/>
        <w:gridCol w:w="970"/>
      </w:tblGrid>
      <w:tr>
        <w:trPr>
          <w:trHeight w:val="402"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04" w:type="dxa"/>
            <w:tcBorders>
              <w:top w:val="single" w:sz="4" w:space="0" w:color="000000"/>
              <w:left w:val="single" w:sz="12" w:space="0" w:color="D2D2D2"/>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18"/>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804" w:type="dxa"/>
            <w:tcBorders>
              <w:top w:val="single" w:sz="4" w:space="0" w:color="000000"/>
              <w:left w:val="single" w:sz="12" w:space="0" w:color="D2D2D2"/>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8"/>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804" w:type="dxa"/>
            <w:tcBorders>
              <w:top w:val="single" w:sz="4" w:space="0" w:color="000000"/>
              <w:left w:val="single" w:sz="12" w:space="0" w:color="D2D2D2"/>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2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831"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4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避免同业竞争</w:t>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至从发行 人离职后 三年期间</w:t>
            </w:r>
          </w:p>
        </w:tc>
        <w:tc>
          <w:tcPr>
            <w:tcW w:w="9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1015" w:hRule="exact"/>
        </w:trPr>
        <w:tc>
          <w:tcPr>
            <w:tcW w:w="12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8"/>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804" w:type="dxa"/>
            <w:vMerge/>
            <w:tcBorders>
              <w:left w:val="single" w:sz="9" w:space="0" w:color="D2D2D2"/>
              <w:right w:val="single" w:sz="4" w:space="0" w:color="000000"/>
            </w:tcBorders>
          </w:tcPr>
          <w:p>
            <w:pPr/>
          </w:p>
        </w:tc>
        <w:tc>
          <w:tcPr>
            <w:tcW w:w="831" w:type="dxa"/>
            <w:vMerge/>
            <w:tcBorders>
              <w:left w:val="single" w:sz="4" w:space="0" w:color="000000"/>
              <w:right w:val="single" w:sz="4" w:space="0" w:color="000000"/>
            </w:tcBorders>
          </w:tcPr>
          <w:p>
            <w:pPr/>
          </w:p>
        </w:tc>
        <w:tc>
          <w:tcPr>
            <w:tcW w:w="3411"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473" w:hRule="exact"/>
        </w:trPr>
        <w:tc>
          <w:tcPr>
            <w:tcW w:w="12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4" w:type="dxa"/>
            <w:vMerge/>
            <w:tcBorders>
              <w:left w:val="single" w:sz="9" w:space="0" w:color="D2D2D2"/>
              <w:bottom w:val="single" w:sz="4" w:space="0" w:color="000000"/>
              <w:right w:val="single" w:sz="4" w:space="0" w:color="000000"/>
            </w:tcBorders>
          </w:tcPr>
          <w:p>
            <w:pPr/>
          </w:p>
        </w:tc>
        <w:tc>
          <w:tcPr>
            <w:tcW w:w="831" w:type="dxa"/>
            <w:vMerge/>
            <w:tcBorders>
              <w:left w:val="single" w:sz="4" w:space="0" w:color="000000"/>
              <w:bottom w:val="single" w:sz="4" w:space="0" w:color="000000"/>
              <w:right w:val="single" w:sz="4" w:space="0" w:color="000000"/>
            </w:tcBorders>
          </w:tcPr>
          <w:p>
            <w:pPr/>
          </w:p>
        </w:tc>
        <w:tc>
          <w:tcPr>
            <w:tcW w:w="3411" w:type="dxa"/>
            <w:vMerge/>
            <w:tcBorders>
              <w:left w:val="single" w:sz="4" w:space="0" w:color="000000"/>
              <w:bottom w:val="single" w:sz="4" w:space="0" w:color="000000"/>
              <w:right w:val="single" w:sz="4" w:space="0" w:color="000000"/>
            </w:tcBorders>
          </w:tcPr>
          <w:p>
            <w:pPr/>
          </w:p>
        </w:tc>
        <w:tc>
          <w:tcPr>
            <w:tcW w:w="1553"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r>
      <w:tr>
        <w:trPr>
          <w:trHeight w:val="401"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04" w:type="dxa"/>
            <w:tcBorders>
              <w:top w:val="single" w:sz="4" w:space="0" w:color="000000"/>
              <w:left w:val="single" w:sz="12" w:space="0" w:color="D2D2D2"/>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404" w:hRule="exact"/>
        </w:trPr>
        <w:tc>
          <w:tcPr>
            <w:tcW w:w="12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319" w:lineRule="auto"/>
              <w:ind w:left="18" w:right="48"/>
              <w:jc w:val="both"/>
              <w:rPr>
                <w:rFonts w:ascii="宋体" w:hAnsi="宋体" w:cs="宋体" w:eastAsia="宋体" w:hint="default"/>
                <w:sz w:val="18"/>
                <w:szCs w:val="18"/>
              </w:rPr>
            </w:pPr>
            <w:r>
              <w:rPr>
                <w:rFonts w:ascii="宋体" w:hAnsi="宋体" w:cs="宋体" w:eastAsia="宋体" w:hint="default"/>
                <w:sz w:val="18"/>
                <w:szCs w:val="18"/>
              </w:rPr>
              <w:t>广州御银 科技股份 有限公司</w:t>
            </w:r>
          </w:p>
        </w:tc>
        <w:tc>
          <w:tcPr>
            <w:tcW w:w="8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3411" w:type="dxa"/>
            <w:vMerge w:val="restart"/>
            <w:tcBorders>
              <w:top w:val="single" w:sz="4" w:space="0" w:color="000000"/>
              <w:left w:val="single" w:sz="4" w:space="0" w:color="000000"/>
              <w:right w:val="single" w:sz="4" w:space="0" w:color="000000"/>
            </w:tcBorders>
          </w:tcPr>
          <w:p>
            <w:pPr>
              <w:pStyle w:val="TableParagraph"/>
              <w:spacing w:line="319" w:lineRule="auto" w:before="109"/>
              <w:ind w:left="26" w:right="19"/>
              <w:jc w:val="left"/>
              <w:rPr>
                <w:rFonts w:ascii="宋体" w:hAnsi="宋体" w:cs="宋体" w:eastAsia="宋体" w:hint="default"/>
                <w:sz w:val="18"/>
                <w:szCs w:val="18"/>
              </w:rPr>
            </w:pPr>
            <w:r>
              <w:rPr>
                <w:rFonts w:ascii="宋体" w:hAnsi="宋体" w:cs="宋体" w:eastAsia="宋体" w:hint="default"/>
                <w:sz w:val="18"/>
                <w:szCs w:val="18"/>
              </w:rPr>
              <w:t>在公司盈利状态良好且现金流能够满足公 </w:t>
            </w:r>
            <w:r>
              <w:rPr>
                <w:rFonts w:ascii="宋体" w:hAnsi="宋体" w:cs="宋体" w:eastAsia="宋体" w:hint="default"/>
                <w:spacing w:val="-4"/>
                <w:sz w:val="18"/>
                <w:szCs w:val="18"/>
              </w:rPr>
              <w:t>司正常经营和可持续发展的前提下，如无重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大投资计划或重大现金支出等事项发生，公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司原则上应当采取现金方式分配股利，公司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最近三年以现金方式累计分配的利润不少 于最近三年实现的年均可分配利润的百分 之三十。</w:t>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经营期间</w:t>
            </w:r>
          </w:p>
        </w:tc>
        <w:tc>
          <w:tcPr>
            <w:tcW w:w="9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992" w:hRule="exact"/>
        </w:trPr>
        <w:tc>
          <w:tcPr>
            <w:tcW w:w="12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8"/>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804" w:type="dxa"/>
            <w:vMerge/>
            <w:tcBorders>
              <w:left w:val="single" w:sz="9" w:space="0" w:color="D2D2D2"/>
              <w:bottom w:val="single" w:sz="4" w:space="0" w:color="000000"/>
              <w:right w:val="single" w:sz="4" w:space="0" w:color="000000"/>
            </w:tcBorders>
          </w:tcPr>
          <w:p>
            <w:pPr/>
          </w:p>
        </w:tc>
        <w:tc>
          <w:tcPr>
            <w:tcW w:w="831" w:type="dxa"/>
            <w:vMerge/>
            <w:tcBorders>
              <w:left w:val="single" w:sz="4" w:space="0" w:color="000000"/>
              <w:bottom w:val="single" w:sz="4" w:space="0" w:color="000000"/>
              <w:right w:val="single" w:sz="4" w:space="0" w:color="000000"/>
            </w:tcBorders>
          </w:tcPr>
          <w:p>
            <w:pPr/>
          </w:p>
        </w:tc>
        <w:tc>
          <w:tcPr>
            <w:tcW w:w="3411" w:type="dxa"/>
            <w:vMerge/>
            <w:tcBorders>
              <w:left w:val="single" w:sz="4" w:space="0" w:color="000000"/>
              <w:bottom w:val="single" w:sz="4" w:space="0" w:color="000000"/>
              <w:right w:val="single" w:sz="4" w:space="0" w:color="000000"/>
            </w:tcBorders>
          </w:tcPr>
          <w:p>
            <w:pPr/>
          </w:p>
        </w:tc>
        <w:tc>
          <w:tcPr>
            <w:tcW w:w="1553"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r>
      <w:tr>
        <w:trPr>
          <w:trHeight w:val="1025" w:hRule="exact"/>
        </w:trPr>
        <w:tc>
          <w:tcPr>
            <w:tcW w:w="1222" w:type="dxa"/>
            <w:vMerge w:val="restart"/>
            <w:tcBorders>
              <w:top w:val="nil" w:sz="6" w:space="0" w:color="auto"/>
              <w:left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广州御银 科技股份 有限公司</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6" w:right="131"/>
              <w:jc w:val="left"/>
              <w:rPr>
                <w:rFonts w:ascii="宋体" w:hAnsi="宋体" w:cs="宋体" w:eastAsia="宋体" w:hint="default"/>
                <w:sz w:val="18"/>
                <w:szCs w:val="18"/>
              </w:rPr>
            </w:pPr>
            <w:r>
              <w:rPr>
                <w:rFonts w:ascii="宋体" w:hAnsi="宋体" w:cs="宋体" w:eastAsia="宋体" w:hint="default"/>
                <w:sz w:val="18"/>
                <w:szCs w:val="18"/>
              </w:rPr>
              <w:t>公司董事会承诺自本决议公告之日起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月内，不再审议和披露股权激励计划。</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403" w:hRule="exact"/>
        </w:trPr>
        <w:tc>
          <w:tcPr>
            <w:tcW w:w="1222" w:type="dxa"/>
            <w:vMerge/>
            <w:tcBorders>
              <w:left w:val="single" w:sz="4" w:space="0" w:color="000000"/>
              <w:bottom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股份减持</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6"/>
              <w:jc w:val="center"/>
              <w:rPr>
                <w:rFonts w:ascii="宋体" w:hAnsi="宋体" w:cs="宋体" w:eastAsia="宋体" w:hint="default"/>
                <w:sz w:val="18"/>
                <w:szCs w:val="18"/>
              </w:rPr>
            </w:pPr>
            <w:r>
              <w:rPr>
                <w:rFonts w:ascii="宋体" w:hAnsi="宋体" w:cs="宋体" w:eastAsia="宋体" w:hint="default"/>
                <w:sz w:val="18"/>
                <w:szCs w:val="18"/>
              </w:rPr>
              <w:t>连续六个月内出售的股份将低于公司股份</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center"/>
        <w:rPr>
          <w:rFonts w:ascii="宋体" w:hAnsi="宋体" w:cs="宋体" w:eastAsia="宋体" w:hint="default"/>
          <w:sz w:val="18"/>
          <w:szCs w:val="18"/>
        </w:rPr>
        <w:sectPr>
          <w:pgSz w:w="11910" w:h="16840"/>
          <w:pgMar w:header="786" w:footer="1021" w:top="1100" w:bottom="1220" w:left="980" w:right="92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233"/>
        <w:gridCol w:w="804"/>
        <w:gridCol w:w="831"/>
        <w:gridCol w:w="3411"/>
        <w:gridCol w:w="515"/>
        <w:gridCol w:w="1039"/>
        <w:gridCol w:w="941"/>
        <w:gridCol w:w="970"/>
      </w:tblGrid>
      <w:tr>
        <w:trPr>
          <w:trHeight w:val="362" w:hRule="exact"/>
        </w:trPr>
        <w:tc>
          <w:tcPr>
            <w:tcW w:w="1233" w:type="dxa"/>
            <w:vMerge w:val="restart"/>
            <w:tcBorders>
              <w:top w:val="single" w:sz="4" w:space="0" w:color="000000"/>
              <w:left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53" w:type="dxa"/>
            <w:gridSpan w:val="2"/>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233" w:type="dxa"/>
            <w:vMerge/>
            <w:tcBorders>
              <w:left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日起至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p>
            <w:pPr>
              <w:pStyle w:val="TableParagraph"/>
              <w:spacing w:line="314" w:lineRule="auto" w:before="63"/>
              <w:ind w:left="26" w:right="-46"/>
              <w:jc w:val="left"/>
              <w:rPr>
                <w:rFonts w:ascii="宋体" w:hAnsi="宋体" w:cs="宋体" w:eastAsia="宋体" w:hint="default"/>
                <w:sz w:val="18"/>
                <w:szCs w:val="18"/>
              </w:rPr>
            </w:pPr>
            <w:r>
              <w:rPr>
                <w:rFonts w:ascii="宋体" w:hAnsi="宋体" w:cs="宋体" w:eastAsia="宋体" w:hint="default"/>
                <w:sz w:val="18"/>
                <w:szCs w:val="18"/>
              </w:rPr>
              <w:t>止的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个月期间内不再减持本人所持有的 </w:t>
            </w:r>
            <w:r>
              <w:rPr>
                <w:rFonts w:ascii="宋体" w:hAnsi="宋体" w:cs="宋体" w:eastAsia="宋体" w:hint="default"/>
                <w:spacing w:val="-4"/>
                <w:sz w:val="18"/>
                <w:szCs w:val="18"/>
              </w:rPr>
              <w:t>公司股份，包括承诺期间因送股、公积金转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增股本等权益分派产生的股票（如有）。本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人将严格遵守承诺，若违反承诺减持股份， 本人将遵照有关规定承担责任。</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212" w:hRule="exact"/>
        </w:trPr>
        <w:tc>
          <w:tcPr>
            <w:tcW w:w="1233" w:type="dxa"/>
            <w:vMerge/>
            <w:tcBorders>
              <w:left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3" w:right="48"/>
              <w:jc w:val="both"/>
              <w:rPr>
                <w:rFonts w:ascii="宋体" w:hAnsi="宋体" w:cs="宋体" w:eastAsia="宋体" w:hint="default"/>
                <w:sz w:val="18"/>
                <w:szCs w:val="18"/>
              </w:rPr>
            </w:pPr>
            <w:r>
              <w:rPr>
                <w:rFonts w:ascii="宋体" w:hAnsi="宋体" w:cs="宋体" w:eastAsia="宋体" w:hint="default"/>
                <w:sz w:val="18"/>
                <w:szCs w:val="18"/>
              </w:rPr>
              <w:t>广州御银 科技股份 有限公司</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6"/>
              <w:jc w:val="left"/>
              <w:rPr>
                <w:rFonts w:ascii="宋体" w:hAnsi="宋体" w:cs="宋体" w:eastAsia="宋体" w:hint="default"/>
                <w:sz w:val="18"/>
                <w:szCs w:val="18"/>
              </w:rPr>
            </w:pPr>
            <w:r>
              <w:rPr>
                <w:rFonts w:ascii="宋体" w:hAnsi="宋体" w:cs="宋体" w:eastAsia="宋体" w:hint="default"/>
                <w:sz w:val="18"/>
                <w:szCs w:val="18"/>
              </w:rPr>
              <w:t>公司保证严格遵守国家法律法规相关规定， </w:t>
            </w:r>
            <w:r>
              <w:rPr>
                <w:rFonts w:ascii="宋体" w:hAnsi="宋体" w:cs="宋体" w:eastAsia="宋体" w:hint="default"/>
                <w:spacing w:val="-4"/>
                <w:sz w:val="18"/>
                <w:szCs w:val="18"/>
              </w:rPr>
              <w:t>严格遵守公司章程，认真履行股东义务，自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觉接受遵守法律、行政法规、国家统一的会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计制度和有关的银行业监督管理规定，接受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社会监督，遵循诚实信用及公允原则，遵循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商业原则，以不优于对非关联方同类交易的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条件进行交易，不发生违规关联交易，不做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任何损害花城银行股份有限公司利益的事 </w:t>
            </w:r>
            <w:r>
              <w:rPr>
                <w:rFonts w:ascii="宋体" w:hAnsi="宋体" w:cs="宋体" w:eastAsia="宋体" w:hint="default"/>
                <w:spacing w:val="-9"/>
                <w:sz w:val="18"/>
                <w:szCs w:val="18"/>
              </w:rPr>
              <w:t>情。公司保证认真遵守以上声明，若有虚假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愿承担相关法律责任和经济责任。</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897" w:hRule="exact"/>
        </w:trPr>
        <w:tc>
          <w:tcPr>
            <w:tcW w:w="1233" w:type="dxa"/>
            <w:vMerge/>
            <w:tcBorders>
              <w:left w:val="single" w:sz="4" w:space="0" w:color="000000"/>
              <w:bottom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股份增持 承诺</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4"/>
                <w:sz w:val="18"/>
                <w:szCs w:val="18"/>
              </w:rPr>
              <w:t>公司控股股东杨文江先生承诺在法律、法规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允许的范围内，根据中国证监会和深圳证券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交易所的有关规定，将于公司复牌后十二个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月内根据自身资金状况通过证券公司、基金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管理公司定向资产管理等方式购买不超过 </w:t>
            </w:r>
            <w:r>
              <w:rPr>
                <w:rFonts w:ascii="Times New Roman" w:hAnsi="Times New Roman" w:cs="Times New Roman" w:eastAsia="Times New Roman" w:hint="default"/>
                <w:sz w:val="18"/>
                <w:szCs w:val="18"/>
              </w:rPr>
              <w:t>4,500 </w:t>
            </w:r>
            <w:r>
              <w:rPr>
                <w:rFonts w:ascii="宋体" w:hAnsi="宋体" w:cs="宋体" w:eastAsia="宋体" w:hint="default"/>
                <w:sz w:val="18"/>
                <w:szCs w:val="18"/>
              </w:rPr>
              <w:t>万元人民币的公司股票。增持所需资 </w:t>
            </w:r>
            <w:r>
              <w:rPr>
                <w:rFonts w:ascii="宋体" w:hAnsi="宋体" w:cs="宋体" w:eastAsia="宋体" w:hint="default"/>
                <w:spacing w:val="-4"/>
                <w:sz w:val="18"/>
                <w:szCs w:val="18"/>
              </w:rPr>
              <w:t>金由其自筹取得，本次增持系公司控股股东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的个人行为。通过上述方式购买的公司股票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个月内不得减持。</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6"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403" w:hRule="exact"/>
        </w:trPr>
        <w:tc>
          <w:tcPr>
            <w:tcW w:w="67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294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7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如承诺超期未履行完毕的，应当详细说明未完成履行的具体原因及下一步的工作计划</w:t>
            </w:r>
          </w:p>
        </w:tc>
        <w:tc>
          <w:tcPr>
            <w:tcW w:w="294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59" w:lineRule="auto" w:before="36"/>
        <w:ind w:right="114"/>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4"/>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196"/>
        <w:jc w:val="left"/>
        <w:rPr>
          <w:b w:val="0"/>
          <w:bCs w:val="0"/>
        </w:rPr>
      </w:pPr>
      <w:r>
        <w:rPr/>
        <w:t>五、董事会、监事会、独立董事（如有）对会计师事务所本报告期“非标准审计报告”的说</w:t>
      </w:r>
      <w:r>
        <w:rPr>
          <w:w w:val="99"/>
        </w:rPr>
        <w:t> </w:t>
      </w:r>
      <w:r>
        <w:rPr/>
        <w:t>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021" w:top="1100" w:bottom="1220" w:left="980" w:right="920"/>
        </w:sectPr>
      </w:pPr>
    </w:p>
    <w:p>
      <w:pPr>
        <w:spacing w:line="240" w:lineRule="auto" w:before="6"/>
        <w:rPr>
          <w:rFonts w:ascii="宋体" w:hAnsi="宋体" w:cs="宋体" w:eastAsia="宋体" w:hint="default"/>
          <w:sz w:val="20"/>
          <w:szCs w:val="20"/>
        </w:rPr>
      </w:pPr>
    </w:p>
    <w:p>
      <w:pPr>
        <w:pStyle w:val="Heading2"/>
        <w:spacing w:line="240" w:lineRule="auto" w:before="26"/>
        <w:ind w:right="153"/>
        <w:jc w:val="left"/>
        <w:rPr>
          <w:b w:val="0"/>
          <w:bCs w:val="0"/>
        </w:rPr>
      </w:pP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4254"/>
        <w:gridCol w:w="992"/>
        <w:gridCol w:w="1277"/>
        <w:gridCol w:w="2427"/>
      </w:tblGrid>
      <w:tr>
        <w:trPr>
          <w:trHeight w:val="348" w:hRule="exact"/>
        </w:trPr>
        <w:tc>
          <w:tcPr>
            <w:tcW w:w="4254"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20"/>
              <w:ind w:left="1039"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9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27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开始适用时点</w:t>
            </w:r>
          </w:p>
        </w:tc>
        <w:tc>
          <w:tcPr>
            <w:tcW w:w="2427"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20"/>
              <w:ind w:left="38"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1596" w:hRule="exact"/>
        </w:trPr>
        <w:tc>
          <w:tcPr>
            <w:tcW w:w="4254" w:type="dxa"/>
            <w:tcBorders>
              <w:top w:val="single" w:sz="4" w:space="0" w:color="000000"/>
              <w:left w:val="single" w:sz="8" w:space="0" w:color="000000"/>
              <w:bottom w:val="single" w:sz="8" w:space="0" w:color="000000"/>
              <w:right w:val="single" w:sz="4" w:space="0" w:color="000000"/>
            </w:tcBorders>
          </w:tcPr>
          <w:p>
            <w:pPr>
              <w:pStyle w:val="TableParagraph"/>
              <w:spacing w:line="314" w:lineRule="auto" w:before="17"/>
              <w:ind w:left="2" w:right="0"/>
              <w:jc w:val="both"/>
              <w:rPr>
                <w:rFonts w:ascii="宋体" w:hAnsi="宋体" w:cs="宋体" w:eastAsia="宋体" w:hint="default"/>
                <w:sz w:val="18"/>
                <w:szCs w:val="18"/>
              </w:rPr>
            </w:pPr>
            <w:r>
              <w:rPr>
                <w:rFonts w:ascii="宋体" w:hAnsi="宋体" w:cs="宋体" w:eastAsia="宋体" w:hint="default"/>
                <w:spacing w:val="-4"/>
                <w:sz w:val="18"/>
                <w:szCs w:val="18"/>
              </w:rPr>
              <w:t>为了反映公司固定资产的实际运营状况，使财务报表更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加公允地反映公司的财务状况和经营成果，进一步提高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会计信息的质量和可比性，为经营决策提供更加准确的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会计信息，公司拟从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日起，对公司房屋建 筑物的固定资产折旧年限从</w:t>
            </w:r>
            <w:r>
              <w:rPr>
                <w:rFonts w:ascii="Times New Roman" w:hAnsi="Times New Roman" w:cs="Times New Roman" w:eastAsia="Times New Roman" w:hint="default"/>
                <w:sz w:val="18"/>
                <w:szCs w:val="18"/>
              </w:rPr>
              <w:t>20</w:t>
            </w:r>
            <w:r>
              <w:rPr>
                <w:rFonts w:ascii="宋体" w:hAnsi="宋体" w:cs="宋体" w:eastAsia="宋体" w:hint="default"/>
                <w:sz w:val="18"/>
                <w:szCs w:val="18"/>
              </w:rPr>
              <w:t>年变更为</w:t>
            </w:r>
            <w:r>
              <w:rPr>
                <w:rFonts w:ascii="Times New Roman" w:hAnsi="Times New Roman" w:cs="Times New Roman" w:eastAsia="Times New Roman" w:hint="default"/>
                <w:sz w:val="18"/>
                <w:szCs w:val="18"/>
              </w:rPr>
              <w:t>40</w:t>
            </w:r>
            <w:r>
              <w:rPr>
                <w:rFonts w:ascii="宋体" w:hAnsi="宋体" w:cs="宋体" w:eastAsia="宋体" w:hint="default"/>
                <w:sz w:val="18"/>
                <w:szCs w:val="18"/>
              </w:rPr>
              <w:t>年</w:t>
            </w:r>
          </w:p>
        </w:tc>
        <w:tc>
          <w:tcPr>
            <w:tcW w:w="992" w:type="dxa"/>
            <w:tcBorders>
              <w:top w:val="single" w:sz="4" w:space="0" w:color="000000"/>
              <w:left w:val="single" w:sz="4" w:space="0" w:color="000000"/>
              <w:bottom w:val="single" w:sz="8" w:space="0" w:color="000000"/>
              <w:right w:val="single" w:sz="4" w:space="0" w:color="000000"/>
            </w:tcBorders>
          </w:tcPr>
          <w:p>
            <w:pPr>
              <w:pStyle w:val="TableParagraph"/>
              <w:spacing w:line="316" w:lineRule="auto" w:before="17"/>
              <w:ind w:left="7" w:right="72"/>
              <w:jc w:val="both"/>
              <w:rPr>
                <w:rFonts w:ascii="宋体" w:hAnsi="宋体" w:cs="宋体" w:eastAsia="宋体" w:hint="default"/>
                <w:sz w:val="18"/>
                <w:szCs w:val="18"/>
              </w:rPr>
            </w:pPr>
            <w:r>
              <w:rPr>
                <w:rFonts w:ascii="宋体" w:hAnsi="宋体" w:cs="宋体" w:eastAsia="宋体" w:hint="default"/>
                <w:sz w:val="18"/>
                <w:szCs w:val="18"/>
              </w:rPr>
              <w:t>公司第四届 董事会第二 十一次会议 审议通过该 项议案</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427" w:type="dxa"/>
            <w:tcBorders>
              <w:top w:val="single" w:sz="4" w:space="0" w:color="000000"/>
              <w:left w:val="single" w:sz="4" w:space="0" w:color="000000"/>
              <w:bottom w:val="single" w:sz="8" w:space="0" w:color="000000"/>
              <w:right w:val="single" w:sz="8" w:space="0" w:color="000000"/>
            </w:tcBorders>
          </w:tcPr>
          <w:p>
            <w:pPr>
              <w:pStyle w:val="TableParagraph"/>
              <w:spacing w:line="309" w:lineRule="auto" w:before="17"/>
              <w:ind w:left="7" w:right="61"/>
              <w:jc w:val="both"/>
              <w:rPr>
                <w:rFonts w:ascii="宋体" w:hAnsi="宋体" w:cs="宋体" w:eastAsia="宋体" w:hint="default"/>
                <w:sz w:val="18"/>
                <w:szCs w:val="18"/>
              </w:rPr>
            </w:pPr>
            <w:r>
              <w:rPr>
                <w:rFonts w:ascii="宋体" w:hAnsi="宋体" w:cs="宋体" w:eastAsia="宋体" w:hint="default"/>
                <w:sz w:val="18"/>
                <w:szCs w:val="18"/>
              </w:rPr>
              <w:t>本次会计估计变更对公司</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年度归属于上市公司股东的净 利润增加</w:t>
            </w:r>
            <w:r>
              <w:rPr>
                <w:rFonts w:ascii="Times New Roman" w:hAnsi="Times New Roman" w:cs="Times New Roman" w:eastAsia="Times New Roman" w:hint="default"/>
                <w:sz w:val="18"/>
                <w:szCs w:val="18"/>
              </w:rPr>
              <w:t>1,858,662.09</w:t>
            </w:r>
            <w:r>
              <w:rPr>
                <w:rFonts w:ascii="宋体" w:hAnsi="宋体" w:cs="宋体" w:eastAsia="宋体" w:hint="default"/>
                <w:sz w:val="18"/>
                <w:szCs w:val="18"/>
              </w:rPr>
              <w:t>元</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153"/>
        <w:jc w:val="left"/>
        <w:rPr>
          <w:b w:val="0"/>
          <w:bCs w:val="0"/>
        </w:rPr>
      </w:pPr>
      <w:r>
        <w:rPr/>
        <w:t>八、与上年度财务报告相比，合并报表范围发生变化的情况说明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line="240" w:lineRule="auto" w:before="6"/>
        <w:rPr>
          <w:rFonts w:ascii="宋体" w:hAnsi="宋体" w:cs="宋体" w:eastAsia="宋体" w:hint="default"/>
          <w:sz w:val="19"/>
          <w:szCs w:val="19"/>
        </w:rPr>
      </w:pPr>
    </w:p>
    <w:p>
      <w:pPr>
        <w:pStyle w:val="Heading2"/>
        <w:spacing w:line="240" w:lineRule="auto"/>
        <w:ind w:right="15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张锦坤、关敏洁</w:t>
            </w:r>
          </w:p>
        </w:tc>
      </w:tr>
    </w:tbl>
    <w:p>
      <w:pPr>
        <w:pStyle w:val="BodyText"/>
        <w:spacing w:line="240" w:lineRule="auto" w:before="49"/>
        <w:ind w:right="153"/>
        <w:jc w:val="left"/>
      </w:pPr>
      <w:r>
        <w:rPr/>
        <w:t>当期是否改聘会计师事务所</w:t>
      </w:r>
    </w:p>
    <w:p>
      <w:pPr>
        <w:pStyle w:val="BodyText"/>
        <w:spacing w:line="338" w:lineRule="auto" w:before="117"/>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3"/>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53"/>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after="0" w:line="340" w:lineRule="auto"/>
        <w:jc w:val="left"/>
        <w:sectPr>
          <w:pgSz w:w="11910" w:h="16840"/>
          <w:pgMar w:header="786" w:footer="1021" w:top="1100" w:bottom="1220" w:left="980" w:right="980"/>
        </w:sectPr>
      </w:pPr>
    </w:p>
    <w:p>
      <w:pPr>
        <w:spacing w:line="240" w:lineRule="auto" w:before="6"/>
        <w:rPr>
          <w:rFonts w:ascii="宋体" w:hAnsi="宋体" w:cs="宋体" w:eastAsia="宋体" w:hint="default"/>
          <w:sz w:val="20"/>
          <w:szCs w:val="20"/>
        </w:rPr>
      </w:pPr>
    </w:p>
    <w:p>
      <w:pPr>
        <w:pStyle w:val="Heading2"/>
        <w:spacing w:line="240" w:lineRule="auto" w:before="26"/>
        <w:ind w:left="532" w:right="0"/>
        <w:jc w:val="both"/>
        <w:rPr>
          <w:b w:val="0"/>
          <w:bCs w:val="0"/>
        </w:rPr>
      </w:pP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32"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left="532" w:right="0"/>
        <w:jc w:val="both"/>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32"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left="532" w:right="0"/>
        <w:jc w:val="both"/>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532" w:right="0"/>
        <w:jc w:val="both"/>
        <w:rPr>
          <w:b w:val="0"/>
          <w:bCs w:val="0"/>
        </w:rPr>
      </w:pPr>
      <w:r>
        <w:rPr/>
        <w:t>十五、公司股权激励计划、员工持股计划或其他员工激励措施的实施情况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89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日，第四届董事会第十八次会议决议审议通过了《关于</w:t>
      </w:r>
      <w:r>
        <w:rPr>
          <w:rFonts w:ascii="Times New Roman" w:hAnsi="Times New Roman" w:cs="Times New Roman" w:eastAsia="Times New Roman" w:hint="default"/>
        </w:rPr>
        <w:t>&lt;</w:t>
      </w:r>
      <w:r>
        <w:rPr/>
        <w:t>广州御银科技股份有限公司第一期员工持股计划</w:t>
      </w:r>
    </w:p>
    <w:p>
      <w:pPr>
        <w:pStyle w:val="BodyText"/>
        <w:spacing w:line="240" w:lineRule="auto" w:before="63"/>
        <w:ind w:left="532" w:right="0"/>
        <w:jc w:val="both"/>
      </w:pPr>
      <w:r>
        <w:rPr/>
        <w:t>（草案）</w:t>
      </w:r>
      <w:r>
        <w:rPr>
          <w:rFonts w:ascii="Times New Roman" w:hAnsi="Times New Roman" w:cs="Times New Roman" w:eastAsia="Times New Roman" w:hint="default"/>
        </w:rPr>
        <w:t>&gt;</w:t>
      </w:r>
      <w:r>
        <w:rPr/>
        <w:t>及其摘要的议案》，并提请股东大会审议。</w:t>
      </w:r>
    </w:p>
    <w:p>
      <w:pPr>
        <w:pStyle w:val="BodyText"/>
        <w:spacing w:line="307" w:lineRule="auto" w:before="63"/>
        <w:ind w:left="532" w:right="41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日，第四届监事会第十二次会议决议，审议通过了《关于</w:t>
      </w:r>
      <w:r>
        <w:rPr>
          <w:rFonts w:ascii="Times New Roman" w:hAnsi="Times New Roman" w:cs="Times New Roman" w:eastAsia="Times New Roman" w:hint="default"/>
        </w:rPr>
        <w:t>&lt;</w:t>
      </w:r>
      <w:r>
        <w:rPr/>
        <w:t>广州御银科技股份有限公司第一期员工持股计 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)&gt;</w:t>
      </w:r>
      <w:r>
        <w:rPr/>
        <w:t>及其摘要的议案》及《关于核查公司第一期员工持股计划持有人名单及其份额分配的议案》，认为本次审议员工 </w:t>
      </w:r>
      <w:r>
        <w:rPr>
          <w:spacing w:val="-2"/>
        </w:rPr>
        <w:t>持股计划相关议案的程序和决策合法、有效，不存在损害公司及全体股东利益的情形，亦不存在摊派、强行分配等方式强制</w:t>
      </w:r>
      <w:r>
        <w:rPr>
          <w:spacing w:val="-64"/>
        </w:rPr>
        <w:t> </w:t>
      </w:r>
      <w:r>
        <w:rPr>
          <w:spacing w:val="-64"/>
        </w:rPr>
      </w:r>
      <w:r>
        <w:rPr/>
        <w:t>员工参与本员工持股计划的情形，有利于公司的持续发展，并核实了公司第一期员工持股计划持有人名单及其份额分配。</w:t>
      </w:r>
    </w:p>
    <w:p>
      <w:pPr>
        <w:pStyle w:val="BodyText"/>
        <w:spacing w:line="240" w:lineRule="auto" w:before="26"/>
        <w:ind w:left="89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号，公司于</w:t>
      </w:r>
      <w:r>
        <w:rPr>
          <w:rFonts w:ascii="Times New Roman" w:hAnsi="Times New Roman" w:cs="Times New Roman" w:eastAsia="Times New Roman" w:hint="default"/>
        </w:rPr>
        <w:t>2015</w:t>
      </w:r>
      <w:r>
        <w:rPr/>
        <w:t>年第一次临时股东大会审议通过了《关于</w:t>
      </w:r>
      <w:r>
        <w:rPr>
          <w:rFonts w:ascii="Times New Roman" w:hAnsi="Times New Roman" w:cs="Times New Roman" w:eastAsia="Times New Roman" w:hint="default"/>
        </w:rPr>
        <w:t>&lt;</w:t>
      </w:r>
      <w:r>
        <w:rPr/>
        <w:t>广州御银科技股份有限公司第一期员工持股计划</w:t>
      </w:r>
    </w:p>
    <w:p>
      <w:pPr>
        <w:pStyle w:val="BodyText"/>
        <w:spacing w:line="300" w:lineRule="auto" w:before="63"/>
        <w:ind w:left="532" w:right="408"/>
        <w:jc w:val="both"/>
      </w:pPr>
      <w:r>
        <w:rPr/>
        <w:t>（草案）</w:t>
      </w:r>
      <w:r>
        <w:rPr>
          <w:rFonts w:ascii="Times New Roman" w:hAnsi="Times New Roman" w:cs="Times New Roman" w:eastAsia="Times New Roman" w:hint="default"/>
        </w:rPr>
        <w:t>&gt;</w:t>
      </w:r>
      <w:r>
        <w:rPr/>
        <w:t>及其摘要的议案》、《关于提请股东大会授权董事会办理公司第一期员工持股计划相关事宜的议案》。主要内容 </w:t>
      </w:r>
      <w:r>
        <w:rPr>
          <w:spacing w:val="-2"/>
        </w:rPr>
        <w:t>为：公司通过二级市场购买等法律法规许可的方式取得并持有御银股份股票，实施公司总员工人数不超过</w:t>
      </w:r>
      <w:r>
        <w:rPr>
          <w:rFonts w:ascii="Times New Roman" w:hAnsi="Times New Roman" w:cs="Times New Roman" w:eastAsia="Times New Roman" w:hint="default"/>
          <w:spacing w:val="-2"/>
        </w:rPr>
        <w:t>62</w:t>
      </w:r>
      <w:r>
        <w:rPr>
          <w:spacing w:val="-2"/>
        </w:rPr>
        <w:t>人的员工持股计</w:t>
      </w:r>
      <w:r>
        <w:rPr>
          <w:spacing w:val="-61"/>
        </w:rPr>
        <w:t> </w:t>
      </w:r>
      <w:r>
        <w:rPr>
          <w:spacing w:val="-61"/>
        </w:rPr>
      </w:r>
      <w:r>
        <w:rPr/>
        <w:t>划，资金总额不超过</w:t>
      </w:r>
      <w:r>
        <w:rPr>
          <w:rFonts w:ascii="Times New Roman" w:hAnsi="Times New Roman" w:cs="Times New Roman" w:eastAsia="Times New Roman" w:hint="default"/>
        </w:rPr>
        <w:t>3,525</w:t>
      </w:r>
      <w:r>
        <w:rPr/>
        <w:t>万元。</w:t>
      </w:r>
    </w:p>
    <w:p>
      <w:pPr>
        <w:pStyle w:val="BodyText"/>
        <w:spacing w:line="300" w:lineRule="auto" w:before="13"/>
        <w:ind w:left="532" w:right="413" w:firstLine="360"/>
        <w:jc w:val="both"/>
      </w:pPr>
      <w:r>
        <w:rPr>
          <w:spacing w:val="-2"/>
        </w:rPr>
        <w:t>内容详见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spacing w:val="-2"/>
        </w:rPr>
        <w:t>日在《证券时报》、《中国证券报》、《上海证券报》及巨潮资讯网</w:t>
      </w:r>
      <w:hyperlink r:id="rId13">
        <w:r>
          <w:rPr>
            <w:rFonts w:ascii="Times New Roman" w:hAnsi="Times New Roman" w:cs="Times New Roman" w:eastAsia="Times New Roman" w:hint="default"/>
            <w:spacing w:val="-2"/>
          </w:rPr>
          <w:t>http://www.cninfo.com.cn</w:t>
        </w:r>
        <w:r>
          <w:rPr>
            <w:spacing w:val="-2"/>
          </w:rPr>
          <w:t>刊登</w:t>
        </w:r>
      </w:hyperlink>
      <w:r>
        <w:rPr/>
        <w:t> 的《第一期员工持股计划（草案）》</w:t>
      </w:r>
    </w:p>
    <w:p>
      <w:pPr>
        <w:pStyle w:val="BodyText"/>
        <w:spacing w:line="300" w:lineRule="auto" w:before="31"/>
        <w:ind w:left="532" w:right="411" w:firstLine="360"/>
        <w:jc w:val="both"/>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日，广发资管通过二级市场买入的方式完成了公司第一期员工持股计划股票的购买，购买均价</w:t>
      </w:r>
      <w:r>
        <w:rPr>
          <w:rFonts w:ascii="Times New Roman" w:hAnsi="Times New Roman" w:cs="Times New Roman" w:eastAsia="Times New Roman" w:hint="default"/>
        </w:rPr>
        <w:t>8.63</w:t>
      </w:r>
      <w:r>
        <w:rPr/>
        <w:t>元</w:t>
      </w:r>
      <w:r>
        <w:rPr>
          <w:rFonts w:ascii="Times New Roman" w:hAnsi="Times New Roman" w:cs="Times New Roman" w:eastAsia="Times New Roman" w:hint="default"/>
        </w:rPr>
        <w:t>/ </w:t>
      </w:r>
      <w:r>
        <w:rPr>
          <w:spacing w:val="-2"/>
        </w:rPr>
        <w:t>股，购买数量</w:t>
      </w:r>
      <w:r>
        <w:rPr>
          <w:rFonts w:ascii="Times New Roman" w:hAnsi="Times New Roman" w:cs="Times New Roman" w:eastAsia="Times New Roman" w:hint="default"/>
          <w:spacing w:val="-2"/>
        </w:rPr>
        <w:t>4,037,985</w:t>
      </w:r>
      <w:r>
        <w:rPr>
          <w:spacing w:val="-2"/>
        </w:rPr>
        <w:t>股，占公司总股本的比例为</w:t>
      </w:r>
      <w:r>
        <w:rPr>
          <w:spacing w:val="43"/>
        </w:rPr>
        <w:t> </w:t>
      </w:r>
      <w:r>
        <w:rPr>
          <w:rFonts w:ascii="Times New Roman" w:hAnsi="Times New Roman" w:cs="Times New Roman" w:eastAsia="Times New Roman" w:hint="default"/>
          <w:spacing w:val="-2"/>
        </w:rPr>
        <w:t>0.53%</w:t>
      </w:r>
      <w:r>
        <w:rPr>
          <w:spacing w:val="-2"/>
        </w:rPr>
        <w:t>，累计不超过公司股本总额的</w:t>
      </w:r>
      <w:r>
        <w:rPr>
          <w:rFonts w:ascii="Times New Roman" w:hAnsi="Times New Roman" w:cs="Times New Roman" w:eastAsia="Times New Roman" w:hint="default"/>
          <w:spacing w:val="-2"/>
        </w:rPr>
        <w:t>10%</w:t>
      </w:r>
      <w:r>
        <w:rPr>
          <w:spacing w:val="-2"/>
        </w:rPr>
        <w:t>，任意持有人持有的员工持股计</w:t>
      </w:r>
      <w:r>
        <w:rPr>
          <w:spacing w:val="-83"/>
        </w:rPr>
        <w:t> </w:t>
      </w:r>
      <w:r>
        <w:rPr>
          <w:spacing w:val="-83"/>
        </w:rPr>
      </w:r>
      <w:r>
        <w:rPr/>
        <w:t>划份额所对应的标的股票数量不超过公司股本总额的</w:t>
      </w:r>
      <w:r>
        <w:rPr>
          <w:rFonts w:ascii="Times New Roman" w:hAnsi="Times New Roman" w:cs="Times New Roman" w:eastAsia="Times New Roman" w:hint="default"/>
        </w:rPr>
        <w:t>1%</w:t>
      </w:r>
      <w:r>
        <w:rPr/>
        <w:t>。该计划所购买的股票锁定期至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w:t>
      </w:r>
    </w:p>
    <w:p>
      <w:pPr>
        <w:pStyle w:val="BodyText"/>
        <w:spacing w:line="300" w:lineRule="auto" w:before="13"/>
        <w:ind w:left="532" w:right="413" w:firstLine="360"/>
        <w:jc w:val="both"/>
      </w:pPr>
      <w:r>
        <w:rPr>
          <w:spacing w:val="-2"/>
        </w:rPr>
        <w:t>内容详见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spacing w:val="-2"/>
        </w:rPr>
        <w:t>日在《证券时报》、《中国证券报》、《上海证券报》及巨潮资讯网</w:t>
      </w:r>
      <w:hyperlink r:id="rId13">
        <w:r>
          <w:rPr>
            <w:rFonts w:ascii="Times New Roman" w:hAnsi="Times New Roman" w:cs="Times New Roman" w:eastAsia="Times New Roman" w:hint="default"/>
            <w:spacing w:val="-2"/>
          </w:rPr>
          <w:t>http://www.cninfo.com.cn</w:t>
        </w:r>
        <w:r>
          <w:rPr>
            <w:spacing w:val="-2"/>
          </w:rPr>
          <w:t>刊登</w:t>
        </w:r>
      </w:hyperlink>
      <w:r>
        <w:rPr/>
        <w:t> 的《关于第一期员工持股计划完成股票购买的公告》（</w:t>
      </w:r>
      <w:r>
        <w:rPr>
          <w:rFonts w:ascii="Times New Roman" w:hAnsi="Times New Roman" w:cs="Times New Roman" w:eastAsia="Times New Roman" w:hint="default"/>
        </w:rPr>
        <w:t>2015-010</w:t>
      </w:r>
      <w:r>
        <w:rPr/>
        <w:t>）</w:t>
      </w:r>
    </w:p>
    <w:p>
      <w:pPr>
        <w:spacing w:line="240" w:lineRule="auto" w:before="5"/>
        <w:rPr>
          <w:rFonts w:ascii="宋体" w:hAnsi="宋体" w:cs="宋体" w:eastAsia="宋体" w:hint="default"/>
          <w:sz w:val="20"/>
          <w:szCs w:val="20"/>
        </w:rPr>
      </w:pPr>
    </w:p>
    <w:p>
      <w:pPr>
        <w:pStyle w:val="Heading2"/>
        <w:spacing w:line="240" w:lineRule="auto"/>
        <w:ind w:left="532" w:right="0"/>
        <w:jc w:val="both"/>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32"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3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710"/>
        <w:gridCol w:w="710"/>
        <w:gridCol w:w="708"/>
        <w:gridCol w:w="708"/>
        <w:gridCol w:w="711"/>
        <w:gridCol w:w="425"/>
        <w:gridCol w:w="708"/>
        <w:gridCol w:w="850"/>
        <w:gridCol w:w="852"/>
        <w:gridCol w:w="708"/>
        <w:gridCol w:w="708"/>
        <w:gridCol w:w="711"/>
        <w:gridCol w:w="557"/>
        <w:gridCol w:w="1286"/>
      </w:tblGrid>
      <w:tr>
        <w:trPr>
          <w:trHeight w:val="1338"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71" w:right="77" w:hanging="92"/>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9"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7"/>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80"/>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8"/>
              <w:ind w:left="23" w:right="-46"/>
              <w:jc w:val="left"/>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58"/>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1" w:right="60" w:hanging="92"/>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18"/>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8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86" w:footer="1021" w:top="1100" w:bottom="1220" w:left="600" w:right="720"/>
        </w:sectPr>
      </w:pPr>
    </w:p>
    <w:p>
      <w:pPr>
        <w:spacing w:line="240" w:lineRule="auto" w:before="5"/>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711"/>
        <w:gridCol w:w="710"/>
        <w:gridCol w:w="708"/>
        <w:gridCol w:w="708"/>
        <w:gridCol w:w="711"/>
        <w:gridCol w:w="425"/>
        <w:gridCol w:w="708"/>
        <w:gridCol w:w="850"/>
        <w:gridCol w:w="852"/>
        <w:gridCol w:w="708"/>
        <w:gridCol w:w="708"/>
        <w:gridCol w:w="711"/>
        <w:gridCol w:w="557"/>
        <w:gridCol w:w="1286"/>
      </w:tblGrid>
      <w:tr>
        <w:trPr>
          <w:trHeight w:val="258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81" w:right="77"/>
              <w:jc w:val="both"/>
              <w:rPr>
                <w:rFonts w:ascii="宋体" w:hAnsi="宋体" w:cs="宋体" w:eastAsia="宋体" w:hint="default"/>
                <w:sz w:val="18"/>
                <w:szCs w:val="18"/>
              </w:rPr>
            </w:pPr>
            <w:r>
              <w:rPr>
                <w:rFonts w:ascii="宋体" w:hAnsi="宋体" w:cs="宋体" w:eastAsia="宋体" w:hint="default"/>
                <w:sz w:val="18"/>
                <w:szCs w:val="18"/>
              </w:rPr>
              <w:t>广州基 准机械 电子科 技有限 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9" w:right="79"/>
              <w:jc w:val="both"/>
              <w:rPr>
                <w:rFonts w:ascii="宋体" w:hAnsi="宋体" w:cs="宋体" w:eastAsia="宋体" w:hint="default"/>
                <w:sz w:val="18"/>
                <w:szCs w:val="18"/>
              </w:rPr>
            </w:pPr>
            <w:r>
              <w:rPr>
                <w:rFonts w:ascii="宋体" w:hAnsi="宋体" w:cs="宋体" w:eastAsia="宋体" w:hint="default"/>
                <w:sz w:val="18"/>
                <w:szCs w:val="18"/>
              </w:rPr>
              <w:t>本公司 控股股 东亲属 控制的 企业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32"/>
              <w:jc w:val="both"/>
              <w:rPr>
                <w:rFonts w:ascii="宋体" w:hAnsi="宋体" w:cs="宋体" w:eastAsia="宋体" w:hint="default"/>
                <w:sz w:val="18"/>
                <w:szCs w:val="18"/>
              </w:rPr>
            </w:pPr>
            <w:r>
              <w:rPr>
                <w:rFonts w:ascii="宋体" w:hAnsi="宋体" w:cs="宋体" w:eastAsia="宋体" w:hint="default"/>
                <w:spacing w:val="36"/>
                <w:sz w:val="18"/>
                <w:szCs w:val="18"/>
              </w:rPr>
              <w:t>采购及</w:t>
            </w:r>
            <w:r>
              <w:rPr>
                <w:rFonts w:ascii="宋体" w:hAnsi="宋体" w:cs="宋体" w:eastAsia="宋体" w:hint="default"/>
                <w:spacing w:val="-88"/>
                <w:sz w:val="18"/>
                <w:szCs w:val="18"/>
              </w:rPr>
              <w:t> </w:t>
            </w:r>
            <w:r>
              <w:rPr>
                <w:rFonts w:ascii="宋体" w:hAnsi="宋体" w:cs="宋体" w:eastAsia="宋体" w:hint="default"/>
                <w:spacing w:val="36"/>
                <w:sz w:val="18"/>
                <w:szCs w:val="18"/>
              </w:rPr>
              <w:t>委托加</w:t>
            </w:r>
            <w:r>
              <w:rPr>
                <w:rFonts w:ascii="宋体" w:hAnsi="宋体" w:cs="宋体" w:eastAsia="宋体" w:hint="default"/>
                <w:spacing w:val="-88"/>
                <w:sz w:val="18"/>
                <w:szCs w:val="18"/>
              </w:rPr>
              <w:t> </w:t>
            </w:r>
            <w:r>
              <w:rPr>
                <w:rFonts w:ascii="宋体" w:hAnsi="宋体" w:cs="宋体" w:eastAsia="宋体" w:hint="default"/>
                <w:sz w:val="18"/>
                <w:szCs w:val="18"/>
              </w:rPr>
              <w:t>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22" w:firstLine="52"/>
              <w:jc w:val="both"/>
              <w:rPr>
                <w:rFonts w:ascii="Times New Roman" w:hAnsi="Times New Roman" w:cs="Times New Roman" w:eastAsia="Times New Roman" w:hint="default"/>
                <w:sz w:val="18"/>
                <w:szCs w:val="18"/>
              </w:rPr>
            </w:pPr>
            <w:r>
              <w:rPr>
                <w:rFonts w:ascii="宋体" w:hAnsi="宋体" w:cs="宋体" w:eastAsia="宋体" w:hint="default"/>
                <w:sz w:val="18"/>
                <w:szCs w:val="18"/>
              </w:rPr>
              <w:t>采购及 委托加 工 </w:t>
            </w:r>
            <w:r>
              <w:rPr>
                <w:rFonts w:ascii="Times New Roman" w:hAnsi="Times New Roman" w:cs="Times New Roman" w:eastAsia="Times New Roman" w:hint="default"/>
                <w:spacing w:val="-8"/>
                <w:sz w:val="18"/>
                <w:szCs w:val="18"/>
              </w:rPr>
              <w:t>ATM</w:t>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sz w:val="18"/>
                <w:szCs w:val="18"/>
              </w:rPr>
              <w:t>机柜</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9" w:right="80"/>
              <w:jc w:val="both"/>
              <w:rPr>
                <w:rFonts w:ascii="宋体" w:hAnsi="宋体" w:cs="宋体" w:eastAsia="宋体" w:hint="default"/>
                <w:sz w:val="18"/>
                <w:szCs w:val="18"/>
              </w:rPr>
            </w:pPr>
            <w:r>
              <w:rPr>
                <w:rFonts w:ascii="宋体" w:hAnsi="宋体" w:cs="宋体" w:eastAsia="宋体" w:hint="default"/>
                <w:sz w:val="18"/>
                <w:szCs w:val="18"/>
              </w:rPr>
              <w:t>依市场 公允价 格定价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2,533.16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转账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具体内容详见 巨潮资讯网</w:t>
            </w:r>
          </w:p>
          <w:p>
            <w:pPr>
              <w:pStyle w:val="TableParagraph"/>
              <w:spacing w:line="312" w:lineRule="auto" w:before="59"/>
              <w:ind w:left="23" w:right="2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(http://www.cnin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的</w:t>
            </w:r>
          </w:p>
          <w:p>
            <w:pPr>
              <w:pStyle w:val="TableParagraph"/>
              <w:spacing w:line="312" w:lineRule="auto" w:before="3"/>
              <w:ind w:left="23" w:right="-2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 常关联交易预 </w:t>
            </w:r>
            <w:r>
              <w:rPr>
                <w:rFonts w:ascii="宋体" w:hAnsi="宋体" w:cs="宋体" w:eastAsia="宋体" w:hint="default"/>
                <w:spacing w:val="-5"/>
                <w:sz w:val="18"/>
                <w:szCs w:val="18"/>
              </w:rPr>
              <w:t>计公告》（公告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2015-030</w:t>
            </w:r>
            <w:r>
              <w:rPr>
                <w:rFonts w:ascii="宋体" w:hAnsi="宋体" w:cs="宋体" w:eastAsia="宋体" w:hint="default"/>
                <w:sz w:val="18"/>
                <w:szCs w:val="18"/>
              </w:rPr>
              <w:t>）</w:t>
            </w:r>
          </w:p>
        </w:tc>
      </w:tr>
      <w:tr>
        <w:trPr>
          <w:trHeight w:val="290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81" w:right="77"/>
              <w:jc w:val="both"/>
              <w:rPr>
                <w:rFonts w:ascii="宋体" w:hAnsi="宋体" w:cs="宋体" w:eastAsia="宋体" w:hint="default"/>
                <w:sz w:val="18"/>
                <w:szCs w:val="18"/>
              </w:rPr>
            </w:pPr>
            <w:r>
              <w:rPr>
                <w:rFonts w:ascii="宋体" w:hAnsi="宋体" w:cs="宋体" w:eastAsia="宋体" w:hint="default"/>
                <w:sz w:val="18"/>
                <w:szCs w:val="18"/>
              </w:rPr>
              <w:t>广州智 萃电子 科技有 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9" w:right="79"/>
              <w:jc w:val="both"/>
              <w:rPr>
                <w:rFonts w:ascii="宋体" w:hAnsi="宋体" w:cs="宋体" w:eastAsia="宋体" w:hint="default"/>
                <w:sz w:val="18"/>
                <w:szCs w:val="18"/>
              </w:rPr>
            </w:pPr>
            <w:r>
              <w:rPr>
                <w:rFonts w:ascii="宋体" w:hAnsi="宋体" w:cs="宋体" w:eastAsia="宋体" w:hint="default"/>
                <w:sz w:val="18"/>
                <w:szCs w:val="18"/>
              </w:rPr>
              <w:t>本公司 控股股 东控制 的企业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70"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金融设 备配件 采购</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79" w:right="80"/>
              <w:jc w:val="both"/>
              <w:rPr>
                <w:rFonts w:ascii="宋体" w:hAnsi="宋体" w:cs="宋体" w:eastAsia="宋体" w:hint="default"/>
                <w:sz w:val="18"/>
                <w:szCs w:val="18"/>
              </w:rPr>
            </w:pPr>
            <w:r>
              <w:rPr>
                <w:rFonts w:ascii="宋体" w:hAnsi="宋体" w:cs="宋体" w:eastAsia="宋体" w:hint="default"/>
                <w:sz w:val="18"/>
                <w:szCs w:val="18"/>
              </w:rPr>
              <w:t>依市场 公允价 格定价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1,384.62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312"/>
              <w:jc w:val="right"/>
              <w:rPr>
                <w:rFonts w:ascii="宋体" w:hAnsi="宋体" w:cs="宋体" w:eastAsia="宋体" w:hint="default"/>
                <w:sz w:val="18"/>
                <w:szCs w:val="18"/>
              </w:rPr>
            </w:pPr>
            <w:r>
              <w:rPr>
                <w:rFonts w:ascii="宋体" w:hAnsi="宋体" w:cs="宋体" w:eastAsia="宋体" w:hint="default"/>
                <w:sz w:val="18"/>
                <w:szCs w:val="18"/>
              </w:rPr>
              <w:t>转账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具体内容详见 巨潮资讯网 </w:t>
            </w:r>
            <w:r>
              <w:rPr>
                <w:rFonts w:ascii="Times New Roman" w:hAnsi="Times New Roman" w:cs="Times New Roman" w:eastAsia="Times New Roman" w:hint="default"/>
                <w:spacing w:val="-1"/>
                <w:sz w:val="18"/>
                <w:szCs w:val="18"/>
              </w:rPr>
              <w:t>(http://www.cnin</w:t>
            </w:r>
          </w:p>
          <w:p>
            <w:pPr>
              <w:pStyle w:val="TableParagraph"/>
              <w:spacing w:line="23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fo.com.cn/)</w:t>
            </w:r>
            <w:r>
              <w:rPr>
                <w:rFonts w:ascii="宋体" w:hAnsi="宋体" w:cs="宋体" w:eastAsia="宋体" w:hint="default"/>
                <w:sz w:val="18"/>
                <w:szCs w:val="18"/>
              </w:rPr>
              <w:t>的</w:t>
            </w:r>
          </w:p>
          <w:p>
            <w:pPr>
              <w:pStyle w:val="TableParagraph"/>
              <w:spacing w:line="309" w:lineRule="auto" w:before="63"/>
              <w:ind w:left="23" w:right="77"/>
              <w:jc w:val="left"/>
              <w:rPr>
                <w:rFonts w:ascii="宋体" w:hAnsi="宋体" w:cs="宋体" w:eastAsia="宋体" w:hint="default"/>
                <w:sz w:val="18"/>
                <w:szCs w:val="18"/>
              </w:rPr>
            </w:pPr>
            <w:r>
              <w:rPr>
                <w:rFonts w:ascii="宋体" w:hAnsi="宋体" w:cs="宋体" w:eastAsia="宋体" w:hint="default"/>
                <w:sz w:val="18"/>
                <w:szCs w:val="18"/>
              </w:rPr>
              <w:t>《新增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度日常关联交 易预计公告》</w:t>
            </w:r>
          </w:p>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2015-062</w:t>
            </w:r>
            <w:r>
              <w:rPr>
                <w:rFonts w:ascii="宋体" w:hAnsi="宋体" w:cs="宋体" w:eastAsia="宋体" w:hint="default"/>
                <w:sz w:val="18"/>
                <w:szCs w:val="18"/>
              </w:rPr>
              <w:t>）</w:t>
            </w:r>
          </w:p>
        </w:tc>
      </w:tr>
      <w:tr>
        <w:trPr>
          <w:trHeight w:val="402" w:hRule="exact"/>
        </w:trPr>
        <w:tc>
          <w:tcPr>
            <w:tcW w:w="2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3,917.78</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68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5672"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468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pacing w:val="-5"/>
                <w:sz w:val="18"/>
                <w:szCs w:val="18"/>
              </w:rPr>
              <w:t>按类别对本期将发生的日常关联交易进行总金额预计的，在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报告期内的实际履行情况（如有）</w:t>
            </w:r>
          </w:p>
        </w:tc>
        <w:tc>
          <w:tcPr>
            <w:tcW w:w="5672"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报告期内，公司与以上关联方发生的日常关联交易总额在预计范围内</w:t>
            </w:r>
          </w:p>
        </w:tc>
      </w:tr>
      <w:tr>
        <w:trPr>
          <w:trHeight w:val="402" w:hRule="exact"/>
        </w:trPr>
        <w:tc>
          <w:tcPr>
            <w:tcW w:w="468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交易价格与市场参考价格差异较大的原因（如适用）</w:t>
            </w:r>
          </w:p>
        </w:tc>
        <w:tc>
          <w:tcPr>
            <w:tcW w:w="5672"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left="532"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32"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left="532" w:right="6974"/>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32"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left="532" w:right="6974"/>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left="532"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39"/>
        <w:ind w:left="532" w:right="8774" w:firstLine="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t>否 应收关联方债权</w:t>
      </w:r>
    </w:p>
    <w:p>
      <w:pPr>
        <w:spacing w:line="240" w:lineRule="auto" w:before="7"/>
        <w:rPr>
          <w:rFonts w:ascii="宋体" w:hAnsi="宋体" w:cs="宋体" w:eastAsia="宋体" w:hint="default"/>
          <w:sz w:val="2"/>
          <w:szCs w:val="2"/>
        </w:rPr>
      </w:pPr>
    </w:p>
    <w:tbl>
      <w:tblPr>
        <w:tblW w:w="0" w:type="auto"/>
        <w:jc w:val="left"/>
        <w:tblInd w:w="529" w:type="dxa"/>
        <w:tblLayout w:type="fixed"/>
        <w:tblCellMar>
          <w:top w:w="0" w:type="dxa"/>
          <w:left w:w="0" w:type="dxa"/>
          <w:bottom w:w="0" w:type="dxa"/>
          <w:right w:w="0" w:type="dxa"/>
        </w:tblCellMar>
        <w:tblLook w:val="01E0"/>
      </w:tblPr>
      <w:tblGrid>
        <w:gridCol w:w="935"/>
        <w:gridCol w:w="1474"/>
        <w:gridCol w:w="1136"/>
        <w:gridCol w:w="1133"/>
        <w:gridCol w:w="852"/>
        <w:gridCol w:w="991"/>
        <w:gridCol w:w="991"/>
        <w:gridCol w:w="428"/>
        <w:gridCol w:w="850"/>
        <w:gridCol w:w="780"/>
      </w:tblGrid>
      <w:tr>
        <w:trPr>
          <w:trHeight w:val="1025"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8"/>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86" w:footer="1021" w:top="1100" w:bottom="1220" w:left="600" w:right="72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936"/>
        <w:gridCol w:w="1474"/>
        <w:gridCol w:w="1136"/>
        <w:gridCol w:w="1133"/>
        <w:gridCol w:w="852"/>
        <w:gridCol w:w="991"/>
        <w:gridCol w:w="991"/>
        <w:gridCol w:w="428"/>
        <w:gridCol w:w="850"/>
        <w:gridCol w:w="780"/>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张成虎</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高级管理人员</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1"/>
              <w:jc w:val="right"/>
              <w:rPr>
                <w:rFonts w:ascii="宋体" w:hAnsi="宋体" w:cs="宋体" w:eastAsia="宋体" w:hint="default"/>
                <w:sz w:val="18"/>
                <w:szCs w:val="18"/>
              </w:rPr>
            </w:pPr>
            <w:r>
              <w:rPr>
                <w:rFonts w:ascii="宋体" w:hAnsi="宋体" w:cs="宋体" w:eastAsia="宋体" w:hint="default"/>
                <w:sz w:val="18"/>
                <w:szCs w:val="18"/>
              </w:rPr>
              <w:t>个人借支款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5.58</w:t>
            </w:r>
          </w:p>
        </w:tc>
        <w:tc>
          <w:tcPr>
            <w:tcW w:w="42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7.72</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梁晓芹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高级管理人员</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1"/>
              <w:jc w:val="right"/>
              <w:rPr>
                <w:rFonts w:ascii="宋体" w:hAnsi="宋体" w:cs="宋体" w:eastAsia="宋体" w:hint="default"/>
                <w:sz w:val="18"/>
                <w:szCs w:val="18"/>
              </w:rPr>
            </w:pPr>
            <w:r>
              <w:rPr>
                <w:rFonts w:ascii="宋体" w:hAnsi="宋体" w:cs="宋体" w:eastAsia="宋体" w:hint="default"/>
                <w:sz w:val="18"/>
                <w:szCs w:val="18"/>
              </w:rPr>
              <w:t>个人借支款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8.00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李克福</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高级管理人员</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1"/>
              <w:jc w:val="right"/>
              <w:rPr>
                <w:rFonts w:ascii="宋体" w:hAnsi="宋体" w:cs="宋体" w:eastAsia="宋体" w:hint="default"/>
                <w:sz w:val="18"/>
                <w:szCs w:val="18"/>
              </w:rPr>
            </w:pPr>
            <w:r>
              <w:rPr>
                <w:rFonts w:ascii="宋体" w:hAnsi="宋体" w:cs="宋体" w:eastAsia="宋体" w:hint="default"/>
                <w:sz w:val="18"/>
                <w:szCs w:val="18"/>
              </w:rPr>
              <w:t>个人借支款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3" w:hRule="exact"/>
        </w:trPr>
        <w:tc>
          <w:tcPr>
            <w:tcW w:w="35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关联债权对公司经营成果及财务状况的影响</w:t>
            </w:r>
          </w:p>
        </w:tc>
        <w:tc>
          <w:tcPr>
            <w:tcW w:w="602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6"/>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after="0" w:line="338" w:lineRule="auto"/>
        <w:jc w:val="left"/>
        <w:sectPr>
          <w:pgSz w:w="11910" w:h="16840"/>
          <w:pgMar w:header="786" w:footer="1021" w:top="1100" w:bottom="1220" w:left="980" w:right="980"/>
        </w:sectPr>
      </w:pPr>
    </w:p>
    <w:p>
      <w:pPr>
        <w:spacing w:line="240" w:lineRule="auto" w:before="9"/>
        <w:rPr>
          <w:rFonts w:ascii="宋体" w:hAnsi="宋体" w:cs="宋体" w:eastAsia="宋体"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653"/>
        <w:gridCol w:w="830"/>
        <w:gridCol w:w="682"/>
        <w:gridCol w:w="1051"/>
        <w:gridCol w:w="938"/>
        <w:gridCol w:w="802"/>
        <w:gridCol w:w="907"/>
        <w:gridCol w:w="761"/>
        <w:gridCol w:w="745"/>
        <w:gridCol w:w="804"/>
        <w:gridCol w:w="598"/>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05" w:right="32"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0" w:right="50"/>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67" w:right="63"/>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16" w:right="34" w:hanging="181"/>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8" w:right="8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21" w:hanging="1"/>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5"/>
                <w:sz w:val="18"/>
                <w:szCs w:val="18"/>
              </w:rPr>
              <w:t>金额（如</w:t>
            </w:r>
            <w:r>
              <w:rPr>
                <w:rFonts w:ascii="宋体" w:hAnsi="宋体" w:cs="宋体" w:eastAsia="宋体" w:hint="default"/>
                <w:sz w:val="18"/>
                <w:szCs w:val="18"/>
              </w:rPr>
              <w:t> 有）</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6" w:right="98" w:hanging="181"/>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8" w:right="3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4.69%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11.74</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4.43%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14.65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14.65</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4.20%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17.24</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17.24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4.42%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4.40%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0.55</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11.77%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6.45</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4"/>
              <w:jc w:val="right"/>
              <w:rPr>
                <w:rFonts w:ascii="宋体" w:hAnsi="宋体" w:cs="宋体" w:eastAsia="宋体" w:hint="default"/>
                <w:sz w:val="18"/>
                <w:szCs w:val="18"/>
              </w:rPr>
            </w:pPr>
            <w:r>
              <w:rPr>
                <w:rFonts w:ascii="宋体" w:hAnsi="宋体" w:cs="宋体" w:eastAsia="宋体" w:hint="default"/>
                <w:sz w:val="18"/>
                <w:szCs w:val="18"/>
              </w:rPr>
              <w:t>民生证券</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4.07%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40.73</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40.73</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4.98%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39.69</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39.69</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4.92%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4.90%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6.78</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6.78</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44"/>
              <w:jc w:val="right"/>
              <w:rPr>
                <w:rFonts w:ascii="宋体" w:hAnsi="宋体" w:cs="宋体" w:eastAsia="宋体" w:hint="default"/>
                <w:sz w:val="18"/>
                <w:szCs w:val="18"/>
              </w:rPr>
            </w:pPr>
            <w:r>
              <w:rPr>
                <w:rFonts w:ascii="宋体" w:hAnsi="宋体" w:cs="宋体" w:eastAsia="宋体" w:hint="default"/>
                <w:sz w:val="18"/>
                <w:szCs w:val="18"/>
              </w:rPr>
              <w:t>中国银行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0"/>
              <w:jc w:val="center"/>
              <w:rPr>
                <w:rFonts w:ascii="宋体" w:hAnsi="宋体" w:cs="宋体" w:eastAsia="宋体" w:hint="default"/>
                <w:sz w:val="18"/>
                <w:szCs w:val="18"/>
              </w:rPr>
            </w:pPr>
            <w:r>
              <w:rPr>
                <w:rFonts w:ascii="宋体" w:hAnsi="宋体" w:cs="宋体" w:eastAsia="宋体" w:hint="default"/>
                <w:sz w:val="18"/>
                <w:szCs w:val="18"/>
              </w:rPr>
              <w:t>保本浮动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6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预计年化</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653"/>
        <w:gridCol w:w="830"/>
        <w:gridCol w:w="682"/>
        <w:gridCol w:w="1051"/>
        <w:gridCol w:w="938"/>
        <w:gridCol w:w="802"/>
        <w:gridCol w:w="907"/>
        <w:gridCol w:w="761"/>
        <w:gridCol w:w="745"/>
        <w:gridCol w:w="804"/>
        <w:gridCol w:w="598"/>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4"/>
              <w:jc w:val="left"/>
              <w:rPr>
                <w:rFonts w:ascii="宋体" w:hAnsi="宋体" w:cs="宋体" w:eastAsia="宋体" w:hint="default"/>
                <w:sz w:val="18"/>
                <w:szCs w:val="18"/>
              </w:rPr>
            </w:pPr>
            <w:r>
              <w:rPr>
                <w:rFonts w:ascii="宋体" w:hAnsi="宋体" w:cs="宋体" w:eastAsia="宋体" w:hint="default"/>
                <w:sz w:val="18"/>
                <w:szCs w:val="18"/>
              </w:rPr>
              <w:t>林和西路 支行</w:t>
            </w:r>
          </w:p>
        </w:tc>
        <w:tc>
          <w:tcPr>
            <w:tcW w:w="65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收益型</w:t>
            </w:r>
          </w:p>
        </w:tc>
        <w:tc>
          <w:tcPr>
            <w:tcW w:w="68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收益率</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2.90%</w:t>
            </w: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民生银行 天河北支 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1.50%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2.02</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2.02</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3.00%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4.51%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w:t>
            </w:r>
          </w:p>
        </w:tc>
      </w:tr>
      <w:tr>
        <w:trPr>
          <w:trHeight w:val="139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338" w:lineRule="auto"/>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4.51%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5.74%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23.93</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23.93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4"/>
              <w:jc w:val="right"/>
              <w:rPr>
                <w:rFonts w:ascii="宋体" w:hAnsi="宋体" w:cs="宋体" w:eastAsia="宋体" w:hint="default"/>
                <w:sz w:val="18"/>
                <w:szCs w:val="18"/>
              </w:rPr>
            </w:pPr>
            <w:r>
              <w:rPr>
                <w:rFonts w:ascii="宋体" w:hAnsi="宋体" w:cs="宋体" w:eastAsia="宋体" w:hint="default"/>
                <w:sz w:val="18"/>
                <w:szCs w:val="18"/>
              </w:rPr>
              <w:t>民生证券</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6.30%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50.06</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50.06</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4"/>
              <w:jc w:val="right"/>
              <w:rPr>
                <w:rFonts w:ascii="宋体" w:hAnsi="宋体" w:cs="宋体" w:eastAsia="宋体" w:hint="default"/>
                <w:sz w:val="18"/>
                <w:szCs w:val="18"/>
              </w:rPr>
            </w:pPr>
            <w:r>
              <w:rPr>
                <w:rFonts w:ascii="宋体" w:hAnsi="宋体" w:cs="宋体" w:eastAsia="宋体" w:hint="default"/>
                <w:sz w:val="18"/>
                <w:szCs w:val="18"/>
              </w:rPr>
              <w:t>广发基金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9.00%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9,314.62</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-685.38</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-685.3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2.31%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0.38</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0.38</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2.19%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0.24</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0.24</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4"/>
              <w:jc w:val="right"/>
              <w:rPr>
                <w:rFonts w:ascii="宋体" w:hAnsi="宋体" w:cs="宋体" w:eastAsia="宋体" w:hint="default"/>
                <w:sz w:val="18"/>
                <w:szCs w:val="18"/>
              </w:rPr>
            </w:pPr>
            <w:r>
              <w:rPr>
                <w:rFonts w:ascii="宋体" w:hAnsi="宋体" w:cs="宋体" w:eastAsia="宋体" w:hint="default"/>
                <w:sz w:val="18"/>
                <w:szCs w:val="18"/>
              </w:rPr>
              <w:t>民生证券</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6.30%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93.21</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93.21</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3.44%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0.33</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2.82%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0.27</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4"/>
              <w:jc w:val="right"/>
              <w:rPr>
                <w:rFonts w:ascii="宋体" w:hAnsi="宋体" w:cs="宋体" w:eastAsia="宋体" w:hint="default"/>
                <w:sz w:val="18"/>
                <w:szCs w:val="18"/>
              </w:rPr>
            </w:pPr>
            <w:r>
              <w:rPr>
                <w:rFonts w:ascii="宋体" w:hAnsi="宋体" w:cs="宋体" w:eastAsia="宋体" w:hint="default"/>
                <w:sz w:val="18"/>
                <w:szCs w:val="18"/>
              </w:rPr>
              <w:t>中国建设</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预计年化</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3.67</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653"/>
        <w:gridCol w:w="830"/>
        <w:gridCol w:w="682"/>
        <w:gridCol w:w="1051"/>
        <w:gridCol w:w="938"/>
        <w:gridCol w:w="802"/>
        <w:gridCol w:w="907"/>
        <w:gridCol w:w="761"/>
        <w:gridCol w:w="745"/>
        <w:gridCol w:w="804"/>
        <w:gridCol w:w="598"/>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4"/>
              <w:jc w:val="left"/>
              <w:rPr>
                <w:rFonts w:ascii="宋体" w:hAnsi="宋体" w:cs="宋体" w:eastAsia="宋体" w:hint="default"/>
                <w:sz w:val="18"/>
                <w:szCs w:val="18"/>
              </w:rPr>
            </w:pPr>
            <w:r>
              <w:rPr>
                <w:rFonts w:ascii="宋体" w:hAnsi="宋体" w:cs="宋体" w:eastAsia="宋体" w:hint="default"/>
                <w:sz w:val="18"/>
                <w:szCs w:val="18"/>
              </w:rPr>
              <w:t>银行高新 支行</w:t>
            </w:r>
          </w:p>
        </w:tc>
        <w:tc>
          <w:tcPr>
            <w:tcW w:w="65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收益型</w:t>
            </w:r>
          </w:p>
        </w:tc>
        <w:tc>
          <w:tcPr>
            <w:tcW w:w="68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收益率</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3.00%</w:t>
            </w: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4.40%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4.40%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5.42%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31.17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31.17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31.17</w:t>
            </w:r>
          </w:p>
        </w:tc>
      </w:tr>
      <w:tr>
        <w:trPr>
          <w:trHeight w:val="174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9"/>
              <w:ind w:left="24" w:right="44"/>
              <w:jc w:val="left"/>
              <w:rPr>
                <w:rFonts w:ascii="宋体" w:hAnsi="宋体" w:cs="宋体" w:eastAsia="宋体" w:hint="default"/>
                <w:sz w:val="18"/>
                <w:szCs w:val="18"/>
              </w:rPr>
            </w:pPr>
            <w:r>
              <w:rPr>
                <w:rFonts w:ascii="宋体" w:hAnsi="宋体" w:cs="宋体" w:eastAsia="宋体" w:hint="default"/>
                <w:sz w:val="18"/>
                <w:szCs w:val="18"/>
              </w:rPr>
              <w:t>工行工业 大道支行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9"/>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9"/>
              <w:jc w:val="right"/>
              <w:rPr>
                <w:rFonts w:ascii="Times New Roman" w:hAnsi="Times New Roman" w:cs="Times New Roman" w:eastAsia="Times New Roman" w:hint="default"/>
                <w:sz w:val="18"/>
                <w:szCs w:val="18"/>
              </w:rPr>
            </w:pPr>
            <w:r>
              <w:rPr>
                <w:rFonts w:ascii="Times New Roman"/>
                <w:sz w:val="18"/>
              </w:rPr>
              <w:t>1,000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38" w:lineRule="auto"/>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3.55%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8"/>
              <w:jc w:val="right"/>
              <w:rPr>
                <w:rFonts w:ascii="Times New Roman" w:hAnsi="Times New Roman" w:cs="Times New Roman" w:eastAsia="Times New Roman" w:hint="default"/>
                <w:sz w:val="18"/>
                <w:szCs w:val="18"/>
              </w:rPr>
            </w:pPr>
            <w:r>
              <w:rPr>
                <w:rFonts w:ascii="Times New Roman"/>
                <w:sz w:val="18"/>
              </w:rPr>
              <w:t>1,000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1"/>
              <w:jc w:val="right"/>
              <w:rPr>
                <w:rFonts w:ascii="Times New Roman" w:hAnsi="Times New Roman" w:cs="Times New Roman" w:eastAsia="Times New Roman" w:hint="default"/>
                <w:sz w:val="18"/>
                <w:szCs w:val="18"/>
              </w:rPr>
            </w:pPr>
            <w:r>
              <w:rPr>
                <w:rFonts w:ascii="Times New Roman"/>
                <w:spacing w:val="-1"/>
                <w:sz w:val="18"/>
              </w:rPr>
              <w:t>1.46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8"/>
              <w:jc w:val="right"/>
              <w:rPr>
                <w:rFonts w:ascii="Times New Roman" w:hAnsi="Times New Roman" w:cs="Times New Roman" w:eastAsia="Times New Roman" w:hint="default"/>
                <w:sz w:val="18"/>
                <w:szCs w:val="18"/>
              </w:rPr>
            </w:pPr>
            <w:r>
              <w:rPr>
                <w:rFonts w:ascii="Times New Roman"/>
                <w:spacing w:val="-1"/>
                <w:sz w:val="18"/>
              </w:rPr>
              <w:t>1.46</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8"/>
              <w:jc w:val="right"/>
              <w:rPr>
                <w:rFonts w:ascii="Times New Roman" w:hAnsi="Times New Roman" w:cs="Times New Roman" w:eastAsia="Times New Roman" w:hint="default"/>
                <w:sz w:val="18"/>
                <w:szCs w:val="18"/>
              </w:rPr>
            </w:pPr>
            <w:r>
              <w:rPr>
                <w:rFonts w:ascii="Times New Roman"/>
                <w:spacing w:val="-1"/>
                <w:sz w:val="18"/>
              </w:rPr>
              <w:t>1.46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银行增城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1.74%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中国建设 银行增城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1.94%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0.34</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0.34</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银行增城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0.36</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0.36</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中国建设 银行增城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0.33</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中国银行 林和西支 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2.41%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工商银行 工业大道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3.42%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工商银行 工业大道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3.94%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653"/>
        <w:gridCol w:w="830"/>
        <w:gridCol w:w="682"/>
        <w:gridCol w:w="1051"/>
        <w:gridCol w:w="938"/>
        <w:gridCol w:w="802"/>
        <w:gridCol w:w="907"/>
        <w:gridCol w:w="761"/>
        <w:gridCol w:w="745"/>
        <w:gridCol w:w="804"/>
        <w:gridCol w:w="598"/>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2.65%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3.12</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3.12</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中国建设 银行增城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3.47%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0.76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0.76</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10.4%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17.10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17.10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2.13%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0.35</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2.31%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4.38%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9.93</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工商银行 工业大道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1.36%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0.28</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0.28</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2.30%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0.72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0.72</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0.72</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4.37%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工商银行 工业大道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1.56%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2.30%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2.30%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0.21</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工商银行 工业大道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5.90%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预计年化</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653"/>
        <w:gridCol w:w="830"/>
        <w:gridCol w:w="682"/>
        <w:gridCol w:w="1051"/>
        <w:gridCol w:w="938"/>
        <w:gridCol w:w="802"/>
        <w:gridCol w:w="907"/>
        <w:gridCol w:w="761"/>
        <w:gridCol w:w="745"/>
        <w:gridCol w:w="804"/>
        <w:gridCol w:w="598"/>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4"/>
              <w:jc w:val="left"/>
              <w:rPr>
                <w:rFonts w:ascii="宋体" w:hAnsi="宋体" w:cs="宋体" w:eastAsia="宋体" w:hint="default"/>
                <w:sz w:val="18"/>
                <w:szCs w:val="18"/>
              </w:rPr>
            </w:pPr>
            <w:r>
              <w:rPr>
                <w:rFonts w:ascii="宋体" w:hAnsi="宋体" w:cs="宋体" w:eastAsia="宋体" w:hint="default"/>
                <w:sz w:val="18"/>
                <w:szCs w:val="18"/>
              </w:rPr>
              <w:t>工业大道 支行</w:t>
            </w:r>
          </w:p>
        </w:tc>
        <w:tc>
          <w:tcPr>
            <w:tcW w:w="65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收益型</w:t>
            </w:r>
          </w:p>
        </w:tc>
        <w:tc>
          <w:tcPr>
            <w:tcW w:w="68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收益率</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3.20%</w:t>
            </w: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1.36%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0.30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0.30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1.36%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0.98</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0.98</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3.00%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3.00%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0.45</w:t>
            </w:r>
          </w:p>
        </w:tc>
      </w:tr>
      <w:tr>
        <w:trPr>
          <w:trHeight w:val="139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非保本浮 动收益型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38" w:lineRule="auto"/>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1.30%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2.17</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工商银行 工业大道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2.45%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44"/>
              <w:jc w:val="left"/>
              <w:rPr>
                <w:rFonts w:ascii="宋体" w:hAnsi="宋体" w:cs="宋体" w:eastAsia="宋体" w:hint="default"/>
                <w:sz w:val="18"/>
                <w:szCs w:val="18"/>
              </w:rPr>
            </w:pPr>
            <w:r>
              <w:rPr>
                <w:rFonts w:ascii="宋体" w:hAnsi="宋体" w:cs="宋体" w:eastAsia="宋体" w:hint="default"/>
                <w:sz w:val="18"/>
                <w:szCs w:val="18"/>
              </w:rPr>
              <w:t>中信银行 广州分行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3.00%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12.47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12.47</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3.64%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5.39</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2.92%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1.06%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4.86%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41.05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41.05</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2.28%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7.49</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7.49</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中国建设</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预计年化</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653"/>
        <w:gridCol w:w="830"/>
        <w:gridCol w:w="682"/>
        <w:gridCol w:w="1051"/>
        <w:gridCol w:w="938"/>
        <w:gridCol w:w="802"/>
        <w:gridCol w:w="907"/>
        <w:gridCol w:w="761"/>
        <w:gridCol w:w="745"/>
        <w:gridCol w:w="804"/>
        <w:gridCol w:w="598"/>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4"/>
              <w:jc w:val="left"/>
              <w:rPr>
                <w:rFonts w:ascii="宋体" w:hAnsi="宋体" w:cs="宋体" w:eastAsia="宋体" w:hint="default"/>
                <w:sz w:val="18"/>
                <w:szCs w:val="18"/>
              </w:rPr>
            </w:pPr>
            <w:r>
              <w:rPr>
                <w:rFonts w:ascii="宋体" w:hAnsi="宋体" w:cs="宋体" w:eastAsia="宋体" w:hint="default"/>
                <w:sz w:val="18"/>
                <w:szCs w:val="18"/>
              </w:rPr>
              <w:t>银行高新 支行</w:t>
            </w:r>
          </w:p>
        </w:tc>
        <w:tc>
          <w:tcPr>
            <w:tcW w:w="65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收益型</w:t>
            </w:r>
          </w:p>
        </w:tc>
        <w:tc>
          <w:tcPr>
            <w:tcW w:w="68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收益率</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3.81%</w:t>
            </w: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0.77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0.77</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1.25%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12.38</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12.38</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4.75%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0.78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0.78</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0.78</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2.42%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5.56</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0.69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0.69</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0.47</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1.79%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0.59</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0.59</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1.95%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0.48</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0.48</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1.22%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0.35</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1.52%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2,650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12.56</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12.56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1.19%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0.44</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3.13%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6.35</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4"/>
              <w:jc w:val="left"/>
              <w:rPr>
                <w:rFonts w:ascii="宋体" w:hAnsi="宋体" w:cs="宋体" w:eastAsia="宋体" w:hint="default"/>
                <w:sz w:val="18"/>
                <w:szCs w:val="18"/>
              </w:rPr>
            </w:pPr>
            <w:r>
              <w:rPr>
                <w:rFonts w:ascii="宋体" w:hAnsi="宋体" w:cs="宋体" w:eastAsia="宋体" w:hint="default"/>
                <w:sz w:val="18"/>
                <w:szCs w:val="18"/>
              </w:rPr>
              <w:t>中国建设 银行高新</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46"/>
              <w:jc w:val="left"/>
              <w:rPr>
                <w:rFonts w:ascii="宋体" w:hAnsi="宋体" w:cs="宋体" w:eastAsia="宋体" w:hint="default"/>
                <w:sz w:val="18"/>
                <w:szCs w:val="18"/>
              </w:rPr>
            </w:pPr>
            <w:r>
              <w:rPr>
                <w:rFonts w:ascii="宋体" w:hAnsi="宋体" w:cs="宋体" w:eastAsia="宋体" w:hint="default"/>
                <w:sz w:val="18"/>
                <w:szCs w:val="18"/>
              </w:rPr>
              <w:t>预计年化 收益率</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0.97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0.97</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10"/>
        <w:rPr>
          <w:rFonts w:ascii="Times New Roman" w:hAnsi="Times New Roman" w:cs="Times New Roman" w:eastAsia="Times New Roman" w:hint="default"/>
          <w:sz w:val="28"/>
          <w:szCs w:val="28"/>
        </w:rPr>
      </w:pPr>
    </w:p>
    <w:tbl>
      <w:tblPr>
        <w:tblW w:w="0" w:type="auto"/>
        <w:jc w:val="left"/>
        <w:tblInd w:w="527" w:type="dxa"/>
        <w:tblLayout w:type="fixed"/>
        <w:tblCellMar>
          <w:top w:w="0" w:type="dxa"/>
          <w:left w:w="0" w:type="dxa"/>
          <w:bottom w:w="0" w:type="dxa"/>
          <w:right w:w="0" w:type="dxa"/>
        </w:tblCellMar>
        <w:tblLook w:val="01E0"/>
      </w:tblPr>
      <w:tblGrid>
        <w:gridCol w:w="800"/>
        <w:gridCol w:w="653"/>
        <w:gridCol w:w="830"/>
        <w:gridCol w:w="682"/>
        <w:gridCol w:w="1051"/>
        <w:gridCol w:w="938"/>
        <w:gridCol w:w="802"/>
        <w:gridCol w:w="907"/>
        <w:gridCol w:w="761"/>
        <w:gridCol w:w="745"/>
        <w:gridCol w:w="804"/>
        <w:gridCol w:w="598"/>
      </w:tblGrid>
      <w:tr>
        <w:trPr>
          <w:trHeight w:val="36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65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99"/>
              <w:jc w:val="right"/>
              <w:rPr>
                <w:rFonts w:ascii="Times New Roman" w:hAnsi="Times New Roman" w:cs="Times New Roman" w:eastAsia="Times New Roman" w:hint="default"/>
                <w:sz w:val="18"/>
                <w:szCs w:val="18"/>
              </w:rPr>
            </w:pPr>
            <w:r>
              <w:rPr>
                <w:rFonts w:ascii="Times New Roman"/>
                <w:sz w:val="18"/>
              </w:rPr>
              <w:t>1.10%</w:t>
            </w: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1.55%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0.23</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2.27%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0.56</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0.56</w:t>
            </w:r>
          </w:p>
        </w:tc>
      </w:tr>
      <w:tr>
        <w:trPr>
          <w:trHeight w:val="138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38" w:lineRule="auto"/>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1.22%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0.32</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0.32</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中国建设 银行高新 支行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 收益率 </w:t>
            </w:r>
            <w:r>
              <w:rPr>
                <w:rFonts w:ascii="Times New Roman" w:hAnsi="Times New Roman" w:cs="Times New Roman" w:eastAsia="Times New Roman" w:hint="default"/>
                <w:sz w:val="18"/>
                <w:szCs w:val="18"/>
              </w:rPr>
              <w:t>1.00%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5,670</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2.03</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2.03</w:t>
            </w:r>
          </w:p>
        </w:tc>
      </w:tr>
      <w:tr>
        <w:trPr>
          <w:trHeight w:val="403" w:hRule="exact"/>
        </w:trPr>
        <w:tc>
          <w:tcPr>
            <w:tcW w:w="22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328,820</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35"/>
              <w:jc w:val="right"/>
              <w:rPr>
                <w:rFonts w:ascii="Times New Roman" w:hAnsi="Times New Roman" w:cs="Times New Roman" w:eastAsia="Times New Roman" w:hint="default"/>
                <w:sz w:val="18"/>
                <w:szCs w:val="18"/>
              </w:rPr>
            </w:pPr>
            <w:r>
              <w:rPr>
                <w:rFonts w:ascii="Times New Roman"/>
                <w:sz w:val="18"/>
              </w:rPr>
              <w:t>--</w:t>
            </w:r>
          </w:p>
        </w:tc>
        <w:tc>
          <w:tcPr>
            <w:tcW w:w="9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328,134.62</w:t>
            </w:r>
          </w:p>
        </w:tc>
        <w:tc>
          <w:tcPr>
            <w:tcW w:w="761"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-146.11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-146.11</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0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5555"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自有闲置资金</w:t>
            </w:r>
          </w:p>
        </w:tc>
      </w:tr>
      <w:tr>
        <w:trPr>
          <w:trHeight w:val="402" w:hRule="exact"/>
        </w:trPr>
        <w:tc>
          <w:tcPr>
            <w:tcW w:w="40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5555"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5555"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0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委托理财审批董事会公告披露日期（如有</w:t>
            </w:r>
            <w:r>
              <w:rPr>
                <w:rFonts w:ascii="Times New Roman" w:hAnsi="Times New Roman" w:cs="Times New Roman" w:eastAsia="Times New Roman" w:hint="default"/>
                <w:sz w:val="18"/>
                <w:szCs w:val="18"/>
              </w:rPr>
              <w:t>)</w:t>
            </w:r>
          </w:p>
        </w:tc>
        <w:tc>
          <w:tcPr>
            <w:tcW w:w="5555"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40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5555"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532" w:right="7834"/>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32" w:right="7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left="532" w:right="783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7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711"/>
        <w:gridCol w:w="710"/>
        <w:gridCol w:w="566"/>
        <w:gridCol w:w="425"/>
        <w:gridCol w:w="992"/>
        <w:gridCol w:w="994"/>
        <w:gridCol w:w="708"/>
        <w:gridCol w:w="567"/>
        <w:gridCol w:w="504"/>
        <w:gridCol w:w="530"/>
        <w:gridCol w:w="490"/>
        <w:gridCol w:w="492"/>
        <w:gridCol w:w="680"/>
        <w:gridCol w:w="617"/>
        <w:gridCol w:w="1510"/>
      </w:tblGrid>
      <w:tr>
        <w:trPr>
          <w:trHeight w:val="1337" w:hRule="exact"/>
        </w:trPr>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1" w:right="77"/>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9"/>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96"/>
              <w:jc w:val="left"/>
              <w:rPr>
                <w:rFonts w:ascii="宋体" w:hAnsi="宋体" w:cs="宋体" w:eastAsia="宋体" w:hint="default"/>
                <w:sz w:val="18"/>
                <w:szCs w:val="18"/>
              </w:rPr>
            </w:pPr>
            <w:r>
              <w:rPr>
                <w:rFonts w:ascii="宋体" w:hAnsi="宋体" w:cs="宋体" w:eastAsia="宋体" w:hint="default"/>
                <w:sz w:val="18"/>
                <w:szCs w:val="18"/>
              </w:rPr>
              <w:t>合同 标的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合同 签订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9"/>
              <w:jc w:val="both"/>
              <w:rPr>
                <w:rFonts w:ascii="宋体" w:hAnsi="宋体" w:cs="宋体" w:eastAsia="宋体" w:hint="default"/>
                <w:sz w:val="18"/>
                <w:szCs w:val="18"/>
              </w:rPr>
            </w:pPr>
            <w:r>
              <w:rPr>
                <w:rFonts w:ascii="宋体" w:hAnsi="宋体" w:cs="宋体" w:eastAsia="宋体" w:hint="default"/>
                <w:sz w:val="18"/>
                <w:szCs w:val="18"/>
              </w:rPr>
              <w:t>合同涉及资 产的账面价 值（万元）</w:t>
            </w:r>
          </w:p>
          <w:p>
            <w:pPr>
              <w:pStyle w:val="TableParagraph"/>
              <w:spacing w:line="240" w:lineRule="auto" w:before="19"/>
              <w:ind w:left="132"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38"/>
              <w:jc w:val="both"/>
              <w:rPr>
                <w:rFonts w:ascii="宋体" w:hAnsi="宋体" w:cs="宋体" w:eastAsia="宋体" w:hint="default"/>
                <w:sz w:val="18"/>
                <w:szCs w:val="18"/>
              </w:rPr>
            </w:pPr>
            <w:r>
              <w:rPr>
                <w:rFonts w:ascii="宋体" w:hAnsi="宋体" w:cs="宋体" w:eastAsia="宋体" w:hint="default"/>
                <w:sz w:val="18"/>
                <w:szCs w:val="18"/>
              </w:rPr>
              <w:t>合同涉及资 产的评估价 值（万元）</w:t>
            </w:r>
          </w:p>
          <w:p>
            <w:pPr>
              <w:pStyle w:val="TableParagraph"/>
              <w:spacing w:line="240" w:lineRule="auto" w:before="19"/>
              <w:ind w:left="134"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240" w:lineRule="auto" w:before="19"/>
              <w:ind w:left="23" w:right="-46"/>
              <w:jc w:val="left"/>
              <w:rPr>
                <w:rFonts w:ascii="宋体" w:hAnsi="宋体" w:cs="宋体" w:eastAsia="宋体" w:hint="default"/>
                <w:sz w:val="18"/>
                <w:szCs w:val="18"/>
              </w:rPr>
            </w:pPr>
            <w:r>
              <w:rPr>
                <w:rFonts w:ascii="宋体" w:hAnsi="宋体" w:cs="宋体" w:eastAsia="宋体" w:hint="default"/>
                <w:sz w:val="18"/>
                <w:szCs w:val="18"/>
              </w:rPr>
              <w:t>（如有）</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hanging="3"/>
              <w:jc w:val="center"/>
              <w:rPr>
                <w:rFonts w:ascii="宋体" w:hAnsi="宋体" w:cs="宋体" w:eastAsia="宋体" w:hint="default"/>
                <w:sz w:val="18"/>
                <w:szCs w:val="18"/>
              </w:rPr>
            </w:pPr>
            <w:r>
              <w:rPr>
                <w:rFonts w:ascii="宋体" w:hAnsi="宋体" w:cs="宋体" w:eastAsia="宋体" w:hint="default"/>
                <w:sz w:val="18"/>
                <w:szCs w:val="18"/>
              </w:rPr>
              <w:t>评估 基准 </w:t>
            </w:r>
            <w:r>
              <w:rPr>
                <w:rFonts w:ascii="宋体" w:hAnsi="宋体" w:cs="宋体" w:eastAsia="宋体" w:hint="default"/>
                <w:spacing w:val="-10"/>
                <w:sz w:val="18"/>
                <w:szCs w:val="18"/>
              </w:rPr>
              <w:t>日（如</w:t>
            </w:r>
            <w:r>
              <w:rPr>
                <w:rFonts w:ascii="宋体" w:hAnsi="宋体" w:cs="宋体" w:eastAsia="宋体" w:hint="default"/>
                <w:sz w:val="18"/>
                <w:szCs w:val="18"/>
              </w:rPr>
              <w:t> 有）</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2"/>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77"/>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19"/>
              <w:ind w:left="81" w:right="77"/>
              <w:jc w:val="left"/>
              <w:rPr>
                <w:rFonts w:ascii="宋体" w:hAnsi="宋体" w:cs="宋体" w:eastAsia="宋体" w:hint="default"/>
                <w:sz w:val="18"/>
                <w:szCs w:val="18"/>
              </w:rPr>
            </w:pPr>
            <w:r>
              <w:rPr>
                <w:rFonts w:ascii="宋体" w:hAnsi="宋体" w:cs="宋体" w:eastAsia="宋体" w:hint="default"/>
                <w:sz w:val="18"/>
                <w:szCs w:val="18"/>
              </w:rPr>
              <w:t>（万 元）</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59"/>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3" w:right="3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 w:right="132"/>
              <w:jc w:val="both"/>
              <w:rPr>
                <w:rFonts w:ascii="宋体" w:hAnsi="宋体" w:cs="宋体" w:eastAsia="宋体" w:hint="default"/>
                <w:sz w:val="18"/>
                <w:szCs w:val="18"/>
              </w:rPr>
            </w:pPr>
            <w:r>
              <w:rPr>
                <w:rFonts w:ascii="宋体" w:hAnsi="宋体" w:cs="宋体" w:eastAsia="宋体" w:hint="default"/>
                <w:sz w:val="18"/>
                <w:szCs w:val="18"/>
              </w:rPr>
              <w:t>广州御 银科技 股份有 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34"/>
              <w:jc w:val="both"/>
              <w:rPr>
                <w:rFonts w:ascii="宋体" w:hAnsi="宋体" w:cs="宋体" w:eastAsia="宋体" w:hint="default"/>
                <w:sz w:val="18"/>
                <w:szCs w:val="18"/>
              </w:rPr>
            </w:pPr>
            <w:r>
              <w:rPr>
                <w:rFonts w:ascii="宋体" w:hAnsi="宋体" w:cs="宋体" w:eastAsia="宋体" w:hint="default"/>
                <w:sz w:val="18"/>
                <w:szCs w:val="18"/>
              </w:rPr>
              <w:t>中国邮 政集团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70"/>
              <w:jc w:val="both"/>
              <w:rPr>
                <w:rFonts w:ascii="宋体" w:hAnsi="宋体" w:cs="宋体" w:eastAsia="宋体" w:hint="default"/>
                <w:sz w:val="18"/>
                <w:szCs w:val="18"/>
              </w:rPr>
            </w:pPr>
            <w:r>
              <w:rPr>
                <w:rFonts w:ascii="宋体" w:hAnsi="宋体" w:cs="宋体" w:eastAsia="宋体" w:hint="default"/>
                <w:sz w:val="18"/>
                <w:szCs w:val="18"/>
              </w:rPr>
              <w:t>自动 柜员 机</w:t>
            </w: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107"/>
              <w:jc w:val="both"/>
              <w:rPr>
                <w:rFonts w:ascii="宋体" w:hAnsi="宋体" w:cs="宋体" w:eastAsia="宋体" w:hint="default"/>
                <w:sz w:val="18"/>
                <w:szCs w:val="18"/>
              </w:rPr>
            </w:pPr>
            <w:r>
              <w:rPr>
                <w:rFonts w:ascii="宋体" w:hAnsi="宋体" w:cs="宋体" w:eastAsia="宋体" w:hint="default"/>
                <w:sz w:val="18"/>
                <w:szCs w:val="18"/>
              </w:rPr>
              <w:t>依据 市场 公允 价格 定价</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4" w:lineRule="auto"/>
              <w:ind w:left="139" w:right="19"/>
              <w:jc w:val="left"/>
              <w:rPr>
                <w:rFonts w:ascii="宋体" w:hAnsi="宋体" w:cs="宋体" w:eastAsia="宋体" w:hint="default"/>
                <w:sz w:val="18"/>
                <w:szCs w:val="18"/>
              </w:rPr>
            </w:pPr>
            <w:r>
              <w:rPr>
                <w:rFonts w:ascii="宋体" w:hAnsi="宋体" w:cs="宋体" w:eastAsia="宋体" w:hint="default"/>
                <w:sz w:val="18"/>
                <w:szCs w:val="18"/>
              </w:rPr>
              <w:t>框架 合同</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4" w:lineRule="auto"/>
              <w:ind w:left="24" w:right="104"/>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2"/>
              <w:ind w:left="23" w:right="37"/>
              <w:jc w:val="left"/>
              <w:rPr>
                <w:rFonts w:ascii="宋体" w:hAnsi="宋体" w:cs="宋体" w:eastAsia="宋体" w:hint="default"/>
                <w:sz w:val="18"/>
                <w:szCs w:val="18"/>
              </w:rPr>
            </w:pPr>
            <w:r>
              <w:rPr>
                <w:rFonts w:ascii="宋体" w:hAnsi="宋体" w:cs="宋体" w:eastAsia="宋体" w:hint="default"/>
                <w:sz w:val="18"/>
                <w:szCs w:val="18"/>
              </w:rPr>
              <w:t>巨潮资讯网 </w:t>
            </w:r>
            <w:hyperlink r:id="rId14">
              <w:r>
                <w:rPr>
                  <w:rFonts w:ascii="Times New Roman" w:hAnsi="Times New Roman" w:cs="Times New Roman" w:eastAsia="Times New Roman" w:hint="default"/>
                  <w:spacing w:val="-1"/>
                  <w:sz w:val="18"/>
                  <w:szCs w:val="18"/>
                </w:rPr>
                <w:t>http://www.cninfo.c</w:t>
              </w:r>
            </w:hyperlink>
            <w:r>
              <w:rPr>
                <w:rFonts w:ascii="Times New Roman" w:hAnsi="Times New Roman" w:cs="Times New Roman" w:eastAsia="Times New Roman" w:hint="default"/>
                <w:sz w:val="18"/>
                <w:szCs w:val="18"/>
              </w:rPr>
              <w:t> om.cn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刊登的《中</w:t>
            </w:r>
          </w:p>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标通知公告》</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2015-047</w:t>
            </w:r>
            <w:r>
              <w:rPr>
                <w:rFonts w:ascii="宋体" w:hAnsi="宋体" w:cs="宋体" w:eastAsia="宋体" w:hint="default"/>
                <w:sz w:val="18"/>
                <w:szCs w:val="18"/>
              </w:rPr>
              <w:t>）</w:t>
            </w:r>
          </w:p>
        </w:tc>
      </w:tr>
      <w:tr>
        <w:trPr>
          <w:trHeight w:val="71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6" w:right="132"/>
              <w:jc w:val="left"/>
              <w:rPr>
                <w:rFonts w:ascii="宋体" w:hAnsi="宋体" w:cs="宋体" w:eastAsia="宋体" w:hint="default"/>
                <w:sz w:val="18"/>
                <w:szCs w:val="18"/>
              </w:rPr>
            </w:pPr>
            <w:r>
              <w:rPr>
                <w:rFonts w:ascii="宋体" w:hAnsi="宋体" w:cs="宋体" w:eastAsia="宋体" w:hint="default"/>
                <w:sz w:val="18"/>
                <w:szCs w:val="18"/>
              </w:rPr>
              <w:t>广州御 银科技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34"/>
              <w:jc w:val="left"/>
              <w:rPr>
                <w:rFonts w:ascii="宋体" w:hAnsi="宋体" w:cs="宋体" w:eastAsia="宋体" w:hint="default"/>
                <w:sz w:val="18"/>
                <w:szCs w:val="18"/>
              </w:rPr>
            </w:pPr>
            <w:r>
              <w:rPr>
                <w:rFonts w:ascii="宋体" w:hAnsi="宋体" w:cs="宋体" w:eastAsia="宋体" w:hint="default"/>
                <w:sz w:val="18"/>
                <w:szCs w:val="18"/>
              </w:rPr>
              <w:t>中国建 设银行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70"/>
              <w:jc w:val="left"/>
              <w:rPr>
                <w:rFonts w:ascii="宋体" w:hAnsi="宋体" w:cs="宋体" w:eastAsia="宋体" w:hint="default"/>
                <w:sz w:val="18"/>
                <w:szCs w:val="18"/>
              </w:rPr>
            </w:pPr>
            <w:r>
              <w:rPr>
                <w:rFonts w:ascii="宋体" w:hAnsi="宋体" w:cs="宋体" w:eastAsia="宋体" w:hint="default"/>
                <w:sz w:val="18"/>
                <w:szCs w:val="18"/>
              </w:rPr>
              <w:t>自动 柜员</w:t>
            </w: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6" w:right="107"/>
              <w:jc w:val="left"/>
              <w:rPr>
                <w:rFonts w:ascii="宋体" w:hAnsi="宋体" w:cs="宋体" w:eastAsia="宋体" w:hint="default"/>
                <w:sz w:val="18"/>
                <w:szCs w:val="18"/>
              </w:rPr>
            </w:pPr>
            <w:r>
              <w:rPr>
                <w:rFonts w:ascii="宋体" w:hAnsi="宋体" w:cs="宋体" w:eastAsia="宋体" w:hint="default"/>
                <w:sz w:val="18"/>
                <w:szCs w:val="18"/>
              </w:rPr>
              <w:t>依据 市场</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39" w:right="19"/>
              <w:jc w:val="left"/>
              <w:rPr>
                <w:rFonts w:ascii="宋体" w:hAnsi="宋体" w:cs="宋体" w:eastAsia="宋体" w:hint="default"/>
                <w:sz w:val="18"/>
                <w:szCs w:val="18"/>
              </w:rPr>
            </w:pPr>
            <w:r>
              <w:rPr>
                <w:rFonts w:ascii="宋体" w:hAnsi="宋体" w:cs="宋体" w:eastAsia="宋体" w:hint="default"/>
                <w:sz w:val="18"/>
                <w:szCs w:val="18"/>
              </w:rPr>
              <w:t>框架 合同</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4">
              <w:r>
                <w:rPr>
                  <w:rFonts w:ascii="Times New Roman"/>
                  <w:sz w:val="18"/>
                </w:rPr>
                <w:t>http://www.cninfo.c</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86" w:footer="1021" w:top="1100" w:bottom="1220" w:left="600" w:right="580"/>
        </w:sectPr>
      </w:pPr>
    </w:p>
    <w:p>
      <w:pPr>
        <w:spacing w:line="240" w:lineRule="auto" w:before="5"/>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711"/>
        <w:gridCol w:w="710"/>
        <w:gridCol w:w="566"/>
        <w:gridCol w:w="425"/>
        <w:gridCol w:w="992"/>
        <w:gridCol w:w="994"/>
        <w:gridCol w:w="708"/>
        <w:gridCol w:w="567"/>
        <w:gridCol w:w="504"/>
        <w:gridCol w:w="530"/>
        <w:gridCol w:w="490"/>
        <w:gridCol w:w="492"/>
        <w:gridCol w:w="680"/>
        <w:gridCol w:w="617"/>
        <w:gridCol w:w="1510"/>
      </w:tblGrid>
      <w:tr>
        <w:trPr>
          <w:trHeight w:val="129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32"/>
              <w:jc w:val="left"/>
              <w:rPr>
                <w:rFonts w:ascii="宋体" w:hAnsi="宋体" w:cs="宋体" w:eastAsia="宋体" w:hint="default"/>
                <w:sz w:val="18"/>
                <w:szCs w:val="18"/>
              </w:rPr>
            </w:pPr>
            <w:r>
              <w:rPr>
                <w:rFonts w:ascii="宋体" w:hAnsi="宋体" w:cs="宋体" w:eastAsia="宋体" w:hint="default"/>
                <w:sz w:val="18"/>
                <w:szCs w:val="18"/>
              </w:rPr>
              <w:t>股份有 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34"/>
              <w:jc w:val="left"/>
              <w:rPr>
                <w:rFonts w:ascii="宋体" w:hAnsi="宋体" w:cs="宋体" w:eastAsia="宋体" w:hint="default"/>
                <w:sz w:val="18"/>
                <w:szCs w:val="18"/>
              </w:rPr>
            </w:pPr>
            <w:r>
              <w:rPr>
                <w:rFonts w:ascii="宋体" w:hAnsi="宋体" w:cs="宋体" w:eastAsia="宋体" w:hint="default"/>
                <w:sz w:val="18"/>
                <w:szCs w:val="18"/>
              </w:rPr>
              <w:t>股份有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机</w:t>
            </w: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07"/>
              <w:jc w:val="both"/>
              <w:rPr>
                <w:rFonts w:ascii="宋体" w:hAnsi="宋体" w:cs="宋体" w:eastAsia="宋体" w:hint="default"/>
                <w:sz w:val="18"/>
                <w:szCs w:val="18"/>
              </w:rPr>
            </w:pPr>
            <w:r>
              <w:rPr>
                <w:rFonts w:ascii="宋体" w:hAnsi="宋体" w:cs="宋体" w:eastAsia="宋体" w:hint="default"/>
                <w:sz w:val="18"/>
                <w:szCs w:val="18"/>
              </w:rPr>
              <w:t>公允 价格 定价</w:t>
            </w:r>
          </w:p>
        </w:tc>
        <w:tc>
          <w:tcPr>
            <w:tcW w:w="53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34"/>
              <w:jc w:val="both"/>
              <w:rPr>
                <w:rFonts w:ascii="宋体" w:hAnsi="宋体" w:cs="宋体" w:eastAsia="宋体" w:hint="default"/>
                <w:sz w:val="18"/>
                <w:szCs w:val="18"/>
              </w:rPr>
            </w:pPr>
            <w:r>
              <w:rPr>
                <w:rFonts w:ascii="Times New Roman" w:hAnsi="Times New Roman" w:cs="Times New Roman" w:eastAsia="Times New Roman" w:hint="default"/>
                <w:sz w:val="18"/>
                <w:szCs w:val="18"/>
              </w:rPr>
              <w:t>om.cn </w:t>
            </w:r>
            <w:r>
              <w:rPr>
                <w:rFonts w:ascii="宋体" w:hAnsi="宋体" w:cs="宋体" w:eastAsia="宋体" w:hint="default"/>
                <w:sz w:val="18"/>
                <w:szCs w:val="18"/>
              </w:rPr>
              <w:t>刊登的《中 标通知公告》（公 告编号：</w:t>
            </w:r>
            <w:r>
              <w:rPr>
                <w:rFonts w:ascii="Times New Roman" w:hAnsi="Times New Roman" w:cs="Times New Roman" w:eastAsia="Times New Roman" w:hint="default"/>
                <w:sz w:val="18"/>
                <w:szCs w:val="18"/>
              </w:rPr>
              <w:t>2014-046 </w:t>
            </w:r>
            <w:r>
              <w:rPr>
                <w:rFonts w:ascii="宋体" w:hAnsi="宋体" w:cs="宋体" w:eastAsia="宋体" w:hint="default"/>
                <w:sz w:val="18"/>
                <w:szCs w:val="18"/>
              </w:rPr>
              <w:t>号）</w:t>
            </w:r>
          </w:p>
        </w:tc>
      </w:tr>
      <w:tr>
        <w:trPr>
          <w:trHeight w:val="2897"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6" w:right="132"/>
              <w:jc w:val="both"/>
              <w:rPr>
                <w:rFonts w:ascii="宋体" w:hAnsi="宋体" w:cs="宋体" w:eastAsia="宋体" w:hint="default"/>
                <w:sz w:val="18"/>
                <w:szCs w:val="18"/>
              </w:rPr>
            </w:pPr>
            <w:r>
              <w:rPr>
                <w:rFonts w:ascii="宋体" w:hAnsi="宋体" w:cs="宋体" w:eastAsia="宋体" w:hint="default"/>
                <w:sz w:val="18"/>
                <w:szCs w:val="18"/>
              </w:rPr>
              <w:t>广州御 银科技 股份有 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34"/>
              <w:jc w:val="both"/>
              <w:rPr>
                <w:rFonts w:ascii="宋体" w:hAnsi="宋体" w:cs="宋体" w:eastAsia="宋体" w:hint="default"/>
                <w:sz w:val="18"/>
                <w:szCs w:val="18"/>
              </w:rPr>
            </w:pPr>
            <w:r>
              <w:rPr>
                <w:rFonts w:ascii="宋体" w:hAnsi="宋体" w:cs="宋体" w:eastAsia="宋体" w:hint="default"/>
                <w:sz w:val="18"/>
                <w:szCs w:val="18"/>
              </w:rPr>
              <w:t>中国工 商银行 股份有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自动 柜员 机</w:t>
            </w: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07"/>
              <w:jc w:val="both"/>
              <w:rPr>
                <w:rFonts w:ascii="宋体" w:hAnsi="宋体" w:cs="宋体" w:eastAsia="宋体" w:hint="default"/>
                <w:sz w:val="18"/>
                <w:szCs w:val="18"/>
              </w:rPr>
            </w:pPr>
            <w:r>
              <w:rPr>
                <w:rFonts w:ascii="宋体" w:hAnsi="宋体" w:cs="宋体" w:eastAsia="宋体" w:hint="default"/>
                <w:sz w:val="18"/>
                <w:szCs w:val="18"/>
              </w:rPr>
              <w:t>依据 市场 公允 价格 定价</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39" w:right="19"/>
              <w:jc w:val="left"/>
              <w:rPr>
                <w:rFonts w:ascii="宋体" w:hAnsi="宋体" w:cs="宋体" w:eastAsia="宋体" w:hint="default"/>
                <w:sz w:val="18"/>
                <w:szCs w:val="18"/>
              </w:rPr>
            </w:pPr>
            <w:r>
              <w:rPr>
                <w:rFonts w:ascii="宋体" w:hAnsi="宋体" w:cs="宋体" w:eastAsia="宋体" w:hint="default"/>
                <w:sz w:val="18"/>
                <w:szCs w:val="18"/>
              </w:rPr>
              <w:t>框架 合同</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104"/>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17"/>
              <w:jc w:val="left"/>
              <w:rPr>
                <w:rFonts w:ascii="宋体" w:hAnsi="宋体" w:cs="宋体" w:eastAsia="宋体" w:hint="default"/>
                <w:sz w:val="18"/>
                <w:szCs w:val="18"/>
              </w:rPr>
            </w:pPr>
            <w:r>
              <w:rPr>
                <w:rFonts w:ascii="宋体" w:hAnsi="宋体" w:cs="宋体" w:eastAsia="宋体" w:hint="default"/>
                <w:sz w:val="18"/>
                <w:szCs w:val="18"/>
              </w:rPr>
              <w:t>巨潮资讯网 </w:t>
            </w:r>
            <w:hyperlink r:id="rId14">
              <w:r>
                <w:rPr>
                  <w:rFonts w:ascii="Times New Roman" w:hAnsi="Times New Roman" w:cs="Times New Roman" w:eastAsia="Times New Roman" w:hint="default"/>
                  <w:sz w:val="18"/>
                  <w:szCs w:val="18"/>
                </w:rPr>
                <w:t>http://www.cninfo.c</w:t>
              </w:r>
            </w:hyperlink>
            <w:r>
              <w:rPr>
                <w:rFonts w:ascii="Times New Roman" w:hAnsi="Times New Roman" w:cs="Times New Roman" w:eastAsia="Times New Roman" w:hint="default"/>
                <w:sz w:val="18"/>
                <w:szCs w:val="18"/>
              </w:rPr>
              <w:t> om.cn </w:t>
            </w:r>
            <w:r>
              <w:rPr>
                <w:rFonts w:ascii="宋体" w:hAnsi="宋体" w:cs="宋体" w:eastAsia="宋体" w:hint="default"/>
                <w:sz w:val="18"/>
                <w:szCs w:val="18"/>
              </w:rPr>
              <w:t>刊登的《成 为中国工商银行自 动柜员机项目</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国 产品牌存取款一体 </w:t>
            </w:r>
            <w:r>
              <w:rPr>
                <w:rFonts w:ascii="宋体" w:hAnsi="宋体" w:cs="宋体" w:eastAsia="宋体" w:hint="default"/>
                <w:spacing w:val="-18"/>
                <w:sz w:val="18"/>
                <w:szCs w:val="18"/>
              </w:rPr>
              <w:t>机（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9"/>
                <w:sz w:val="18"/>
                <w:szCs w:val="18"/>
              </w:rPr>
              <w:t> </w:t>
            </w:r>
            <w:r>
              <w:rPr>
                <w:rFonts w:ascii="宋体" w:hAnsi="宋体" w:cs="宋体" w:eastAsia="宋体" w:hint="default"/>
                <w:spacing w:val="-8"/>
                <w:sz w:val="18"/>
                <w:szCs w:val="18"/>
              </w:rPr>
              <w:t>项）供应商</w:t>
            </w:r>
            <w:r>
              <w:rPr>
                <w:rFonts w:ascii="宋体" w:hAnsi="宋体" w:cs="宋体" w:eastAsia="宋体" w:hint="default"/>
                <w:sz w:val="18"/>
                <w:szCs w:val="18"/>
              </w:rPr>
              <w:t> 的公告》（公告编 号：</w:t>
            </w:r>
            <w:r>
              <w:rPr>
                <w:rFonts w:ascii="Times New Roman" w:hAnsi="Times New Roman" w:cs="Times New Roman" w:eastAsia="Times New Roman" w:hint="default"/>
                <w:sz w:val="18"/>
                <w:szCs w:val="18"/>
              </w:rPr>
              <w:t>2015-015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line="240" w:lineRule="auto" w:before="1"/>
        <w:rPr>
          <w:rFonts w:ascii="宋体" w:hAnsi="宋体" w:cs="宋体" w:eastAsia="宋体" w:hint="default"/>
          <w:sz w:val="18"/>
          <w:szCs w:val="18"/>
        </w:rPr>
      </w:pPr>
    </w:p>
    <w:p>
      <w:pPr>
        <w:pStyle w:val="Heading2"/>
        <w:spacing w:line="240" w:lineRule="auto" w:before="26"/>
        <w:ind w:left="532" w:right="544"/>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2" w:right="7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left="532" w:right="544" w:firstLine="360"/>
        <w:jc w:val="left"/>
      </w:pPr>
      <w:r>
        <w:rPr>
          <w:rFonts w:ascii="Times New Roman" w:hAnsi="Times New Roman" w:cs="Times New Roman" w:eastAsia="Times New Roman" w:hint="default"/>
          <w:spacing w:val="-2"/>
        </w:rPr>
        <w:t>1</w:t>
      </w:r>
      <w:r>
        <w:rPr>
          <w:spacing w:val="-2"/>
        </w:rPr>
        <w:t>、由于经营发展需要，公司对注册地址及经营范围进行了变更。公司于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日召开的第四届董事会第十八次会</w:t>
      </w:r>
      <w:r>
        <w:rPr/>
        <w:t> </w:t>
      </w:r>
      <w:r>
        <w:rPr>
          <w:spacing w:val="-1"/>
        </w:rPr>
        <w:t>议及</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20</w:t>
      </w:r>
      <w:r>
        <w:rPr>
          <w:spacing w:val="-1"/>
        </w:rPr>
        <w:t>日召开</w:t>
      </w:r>
      <w:r>
        <w:rPr>
          <w:rFonts w:ascii="Times New Roman" w:hAnsi="Times New Roman" w:cs="Times New Roman" w:eastAsia="Times New Roman" w:hint="default"/>
          <w:spacing w:val="-1"/>
        </w:rPr>
        <w:t>2014</w:t>
      </w:r>
      <w:r>
        <w:rPr>
          <w:spacing w:val="-1"/>
        </w:rPr>
        <w:t>年度股东大会，会议分别审议通过了《关于变更公司注册地址及经营范围并修订</w:t>
      </w:r>
      <w:r>
        <w:rPr>
          <w:rFonts w:ascii="Times New Roman" w:hAnsi="Times New Roman" w:cs="Times New Roman" w:eastAsia="Times New Roman" w:hint="default"/>
          <w:spacing w:val="-1"/>
        </w:rPr>
        <w:t>&lt;</w:t>
      </w:r>
      <w:r>
        <w:rPr>
          <w:spacing w:val="-1"/>
        </w:rPr>
        <w:t>公司章程</w:t>
      </w:r>
      <w:r>
        <w:rPr>
          <w:rFonts w:ascii="Times New Roman" w:hAnsi="Times New Roman" w:cs="Times New Roman" w:eastAsia="Times New Roman" w:hint="default"/>
          <w:spacing w:val="-1"/>
        </w:rPr>
        <w:t>&gt;</w:t>
      </w:r>
      <w:r>
        <w:rPr>
          <w:spacing w:val="-1"/>
        </w:rPr>
        <w:t>的</w:t>
      </w:r>
      <w:r>
        <w:rPr>
          <w:spacing w:val="-50"/>
        </w:rPr>
        <w:t> </w:t>
      </w:r>
      <w:r>
        <w:rPr/>
        <w:t>议案》及《关于修订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的议案》，根据审议结果，对《公司章程》部分条款做出相应修订，并授权董事会办理公 司注册地址变更的工商变更登记事宜。</w:t>
      </w:r>
    </w:p>
    <w:p>
      <w:pPr>
        <w:pStyle w:val="BodyText"/>
        <w:spacing w:line="304" w:lineRule="auto" w:before="31"/>
        <w:ind w:left="532" w:right="548" w:firstLine="360"/>
        <w:jc w:val="both"/>
      </w:pPr>
      <w:r>
        <w:rPr>
          <w:rFonts w:ascii="Times New Roman" w:hAnsi="Times New Roman" w:cs="Times New Roman" w:eastAsia="Times New Roman" w:hint="default"/>
          <w:spacing w:val="-5"/>
        </w:rPr>
        <w:t>2</w:t>
      </w:r>
      <w:r>
        <w:rPr>
          <w:spacing w:val="-5"/>
        </w:rPr>
        <w:t>、公司于</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日召开的第四届董事会第二十次会议审议通过了《关于参股设立金融租赁公司的议案》，公司 </w:t>
      </w:r>
      <w:r>
        <w:rPr>
          <w:spacing w:val="-2"/>
        </w:rPr>
        <w:t>拟与广东南海农村商业银行股份有限公司等其他发起人共同投资设立南海金融租赁股份有限公司（暂定名，最终以国家相关</w:t>
      </w:r>
      <w:r>
        <w:rPr>
          <w:spacing w:val="-64"/>
        </w:rPr>
        <w:t> </w:t>
      </w:r>
      <w:r>
        <w:rPr>
          <w:spacing w:val="-64"/>
        </w:rPr>
      </w:r>
      <w:r>
        <w:rPr/>
        <w:t>部门审批及核准的名称为准），该公司拟定注册资本人民币</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 </w:t>
      </w:r>
      <w:r>
        <w:rPr/>
        <w:t>亿元，本公司拟以自有资金人民币约</w:t>
      </w:r>
      <w:r>
        <w:rPr>
          <w:spacing w:val="-55"/>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10"/>
        </w:rPr>
        <w:t> </w:t>
      </w:r>
      <w:r>
        <w:rPr/>
        <w:t>万元投资入股南 海金融租赁股份有限公司，持有其约</w:t>
      </w:r>
      <w:r>
        <w:rPr>
          <w:spacing w:val="-63"/>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17"/>
        </w:rPr>
        <w:t> </w:t>
      </w:r>
      <w:r>
        <w:rPr/>
        <w:t>万股股份，约占其总股本的</w:t>
      </w:r>
      <w:r>
        <w:rPr>
          <w:spacing w:val="-63"/>
        </w:rPr>
        <w:t> </w:t>
      </w:r>
      <w:r>
        <w:rPr>
          <w:rFonts w:ascii="Times New Roman" w:hAnsi="Times New Roman" w:cs="Times New Roman" w:eastAsia="Times New Roman" w:hint="default"/>
        </w:rPr>
        <w:t>9%</w:t>
      </w:r>
      <w:r>
        <w:rPr/>
        <w:t>。工商行政管理局最终核准的企业名称为：佛山 海晟金融租赁股份有限公司。目前相关设立手续正在审核中。</w:t>
      </w:r>
    </w:p>
    <w:p>
      <w:pPr>
        <w:spacing w:line="240" w:lineRule="auto" w:before="7"/>
        <w:rPr>
          <w:rFonts w:ascii="宋体" w:hAnsi="宋体" w:cs="宋体" w:eastAsia="宋体" w:hint="default"/>
          <w:sz w:val="21"/>
          <w:szCs w:val="21"/>
        </w:rPr>
      </w:pPr>
    </w:p>
    <w:p>
      <w:pPr>
        <w:pStyle w:val="Heading2"/>
        <w:spacing w:line="240" w:lineRule="auto"/>
        <w:ind w:left="532" w:right="544"/>
        <w:jc w:val="left"/>
        <w:rPr>
          <w:b w:val="0"/>
          <w:bCs w:val="0"/>
        </w:rPr>
      </w:pPr>
      <w:r>
        <w:rPr/>
        <w:t>十九、公司子公司重大事项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893" w:right="54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为抓住互联网金融产业蓬勃发展的机遇，推进广州御银科技股份有限公司互联网金融业务发展，充分利用公司多年在银</w:t>
      </w:r>
    </w:p>
    <w:p>
      <w:pPr>
        <w:pStyle w:val="BodyText"/>
        <w:spacing w:line="304" w:lineRule="auto" w:before="1"/>
        <w:ind w:left="532" w:right="551"/>
        <w:jc w:val="both"/>
      </w:pPr>
      <w:r>
        <w:rPr/>
        <w:t>行的优势，整合现有资源，调整产业链结构，培养互联网金融成为公司新的利润增长点。</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日公司第四届董事会 </w:t>
      </w:r>
      <w:r>
        <w:rPr>
          <w:spacing w:val="-2"/>
        </w:rPr>
        <w:t>第十九次会议审议通过了《关于对全资子公司广州御银信息科技有限公司增资的议案》。同意以现金出资方式对全资子公司</w:t>
      </w:r>
      <w:r>
        <w:rPr>
          <w:spacing w:val="-64"/>
        </w:rPr>
        <w:t> </w:t>
      </w:r>
      <w:r>
        <w:rPr>
          <w:spacing w:val="-64"/>
        </w:rPr>
      </w:r>
      <w:r>
        <w:rPr/>
        <w:t>广州御银信息科技有限公司增资</w:t>
      </w:r>
      <w:r>
        <w:rPr>
          <w:rFonts w:ascii="Times New Roman" w:hAnsi="Times New Roman" w:cs="Times New Roman" w:eastAsia="Times New Roman" w:hint="default"/>
        </w:rPr>
        <w:t>7,000</w:t>
      </w:r>
      <w:r>
        <w:rPr/>
        <w:t>万元人民币，加大对互联网金融企业的投资、兼并，适时参与互联网金融产业基金的 </w:t>
      </w:r>
      <w:r>
        <w:rPr>
          <w:spacing w:val="-3"/>
        </w:rPr>
        <w:t>发起设立。本次增资完成后，御银信息的注册资本将增至</w:t>
      </w:r>
      <w:r>
        <w:rPr>
          <w:rFonts w:ascii="Times New Roman" w:hAnsi="Times New Roman" w:cs="Times New Roman" w:eastAsia="Times New Roman" w:hint="default"/>
          <w:spacing w:val="-3"/>
        </w:rPr>
        <w:t>10,000</w:t>
      </w:r>
      <w:r>
        <w:rPr>
          <w:spacing w:val="-3"/>
        </w:rPr>
        <w:t>万元人民币。详见刊登于巨潮资讯网</w:t>
      </w:r>
      <w:hyperlink r:id="rId11">
        <w:r>
          <w:rPr>
            <w:rFonts w:ascii="Times New Roman" w:hAnsi="Times New Roman" w:cs="Times New Roman" w:eastAsia="Times New Roman" w:hint="default"/>
            <w:spacing w:val="-3"/>
          </w:rPr>
          <w:t>http://www.cninfo.com.cn</w:t>
        </w:r>
      </w:hyperlink>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的《关于对全资子公司广州御银信息科技有限公司增资的公告》（公告编号：</w:t>
      </w:r>
      <w:r>
        <w:rPr>
          <w:rFonts w:ascii="Times New Roman" w:hAnsi="Times New Roman" w:cs="Times New Roman" w:eastAsia="Times New Roman" w:hint="default"/>
        </w:rPr>
        <w:t>2015-014</w:t>
      </w:r>
      <w:r>
        <w:rPr/>
        <w:t>号）。</w:t>
      </w:r>
    </w:p>
    <w:p>
      <w:pPr>
        <w:spacing w:line="240" w:lineRule="auto" w:before="2"/>
        <w:rPr>
          <w:rFonts w:ascii="宋体" w:hAnsi="宋体" w:cs="宋体" w:eastAsia="宋体" w:hint="default"/>
          <w:sz w:val="20"/>
          <w:szCs w:val="20"/>
        </w:rPr>
      </w:pPr>
    </w:p>
    <w:p>
      <w:pPr>
        <w:pStyle w:val="Heading2"/>
        <w:spacing w:line="240" w:lineRule="auto"/>
        <w:ind w:left="532" w:right="7834"/>
        <w:jc w:val="left"/>
        <w:rPr>
          <w:b w:val="0"/>
          <w:bCs w:val="0"/>
        </w:rPr>
      </w:pPr>
      <w:r>
        <w:rPr/>
        <w:t>二十、社会责任情况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893" w:right="54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公司把为社会创造价值作为应当承担社会责任的一项承诺，在自身发展的同时，注重社会责任，以实现经济效益和社会</w:t>
      </w:r>
    </w:p>
    <w:p>
      <w:pPr>
        <w:pStyle w:val="BodyText"/>
        <w:spacing w:line="240" w:lineRule="auto" w:before="1"/>
        <w:ind w:left="532" w:right="544"/>
        <w:jc w:val="left"/>
      </w:pPr>
      <w:r>
        <w:rPr/>
        <w:t>效益双增长，努力做一个受员工热爱、客户信赖、社会尊重的优秀企业。</w:t>
      </w:r>
    </w:p>
    <w:p>
      <w:pPr>
        <w:pStyle w:val="BodyText"/>
        <w:spacing w:line="300" w:lineRule="auto" w:before="76"/>
        <w:ind w:left="532" w:right="544" w:firstLine="360"/>
        <w:jc w:val="left"/>
      </w:pPr>
      <w:r>
        <w:rPr>
          <w:rFonts w:ascii="Times New Roman" w:hAnsi="Times New Roman" w:cs="Times New Roman" w:eastAsia="Times New Roman" w:hint="default"/>
        </w:rPr>
        <w:t>1</w:t>
      </w:r>
      <w:r>
        <w:rPr/>
        <w:t>、公司坚持与供应商、客户互利共赢的经营理念，诚实守信、规范运营。重视供应商管理，加强监督考核，为供应商 </w:t>
      </w:r>
      <w:r>
        <w:rPr>
          <w:spacing w:val="-2"/>
        </w:rPr>
        <w:t>提供质量控制帮助，协助其提升完善；与客户建立长期稳定的合作伙伴关系，将客户满意度作为衡量工作的标准，不断提升</w:t>
      </w:r>
    </w:p>
    <w:p>
      <w:pPr>
        <w:spacing w:after="0" w:line="300" w:lineRule="auto"/>
        <w:jc w:val="left"/>
        <w:sectPr>
          <w:pgSz w:w="11910" w:h="16840"/>
          <w:pgMar w:header="786" w:footer="1021" w:top="1100" w:bottom="1220" w:left="600" w:right="580"/>
        </w:sectPr>
      </w:pPr>
    </w:p>
    <w:p>
      <w:pPr>
        <w:spacing w:line="240" w:lineRule="auto" w:before="8"/>
        <w:rPr>
          <w:rFonts w:ascii="宋体" w:hAnsi="宋体" w:cs="宋体" w:eastAsia="宋体" w:hint="default"/>
          <w:sz w:val="22"/>
          <w:szCs w:val="22"/>
        </w:rPr>
      </w:pPr>
    </w:p>
    <w:p>
      <w:pPr>
        <w:pStyle w:val="BodyText"/>
        <w:spacing w:line="240" w:lineRule="auto" w:before="44"/>
        <w:ind w:right="94"/>
        <w:jc w:val="left"/>
      </w:pPr>
      <w:r>
        <w:rPr/>
        <w:t>产品品质与售后服务能力，为客户提供更多超值服务。</w:t>
      </w:r>
    </w:p>
    <w:p>
      <w:pPr>
        <w:pStyle w:val="BodyText"/>
        <w:spacing w:line="312" w:lineRule="auto" w:before="77"/>
        <w:ind w:right="91" w:firstLine="360"/>
        <w:jc w:val="left"/>
      </w:pPr>
      <w:r>
        <w:rPr>
          <w:rFonts w:ascii="Times New Roman" w:hAnsi="Times New Roman" w:cs="Times New Roman" w:eastAsia="Times New Roman" w:hint="default"/>
        </w:rPr>
        <w:t>2</w:t>
      </w:r>
      <w:r>
        <w:rPr/>
        <w:t>、公司坚持以人为本、注重人才培养，不断改善员工的工作环境，使其更加安全、舒适；重视员工素质培养，以内部 </w:t>
      </w:r>
      <w:r>
        <w:rPr>
          <w:spacing w:val="-2"/>
        </w:rPr>
        <w:t>培训与外部专业机构组织的相关培训为重点，为员工提供宽广的成长平台；关注员工业余生活和身心健康，每年安排员工体</w:t>
      </w:r>
      <w:r>
        <w:rPr>
          <w:spacing w:val="-62"/>
        </w:rPr>
        <w:t> </w:t>
      </w:r>
      <w:r>
        <w:rPr>
          <w:spacing w:val="-62"/>
        </w:rPr>
      </w:r>
      <w:r>
        <w:rPr>
          <w:spacing w:val="-2"/>
        </w:rPr>
        <w:t>检与年度旅游活动，组织员工座谈、召开公司年度晚会、</w:t>
      </w:r>
      <w:r>
        <w:rPr>
          <w:spacing w:val="21"/>
        </w:rPr>
        <w:t> </w:t>
      </w:r>
      <w:r>
        <w:rPr>
          <w:spacing w:val="-2"/>
        </w:rPr>
        <w:t>举办职工运动会等。通过各种途径丰富员工生活、展示员工才艺，</w:t>
      </w:r>
      <w:r>
        <w:rPr>
          <w:spacing w:val="-87"/>
        </w:rPr>
        <w:t> </w:t>
      </w:r>
      <w:r>
        <w:rPr>
          <w:spacing w:val="-87"/>
        </w:rPr>
      </w:r>
      <w:r>
        <w:rPr/>
        <w:t>同时也增强企业凝聚力，凸显企业的良好形象。</w:t>
      </w:r>
    </w:p>
    <w:p>
      <w:pPr>
        <w:pStyle w:val="BodyText"/>
        <w:spacing w:line="300" w:lineRule="auto" w:before="22"/>
        <w:ind w:right="180" w:firstLine="360"/>
        <w:jc w:val="left"/>
      </w:pPr>
      <w:r>
        <w:rPr>
          <w:rFonts w:ascii="Times New Roman" w:hAnsi="Times New Roman" w:cs="Times New Roman" w:eastAsia="Times New Roman" w:hint="default"/>
          <w:spacing w:val="-2"/>
        </w:rPr>
        <w:t>3</w:t>
      </w:r>
      <w:r>
        <w:rPr>
          <w:spacing w:val="-2"/>
        </w:rPr>
        <w:t>、作为资本市场的参与者，公司尊重资本市场运行规律，重视投资者关系管理，</w:t>
      </w:r>
      <w:r>
        <w:rPr>
          <w:spacing w:val="18"/>
        </w:rPr>
        <w:t> </w:t>
      </w:r>
      <w:r>
        <w:rPr>
          <w:spacing w:val="-2"/>
        </w:rPr>
        <w:t>不断完善信息披露，及时回复投资者</w:t>
      </w:r>
      <w:r>
        <w:rPr/>
        <w:t> 关注，积极回报投资者，有效保障投资者的合法权益。</w:t>
      </w:r>
    </w:p>
    <w:p>
      <w:pPr>
        <w:pStyle w:val="BodyText"/>
        <w:spacing w:line="300" w:lineRule="auto" w:before="31"/>
        <w:ind w:left="352" w:right="1892" w:firstLine="160"/>
        <w:jc w:val="left"/>
      </w:pPr>
      <w:r>
        <w:rPr>
          <w:rFonts w:ascii="Times New Roman" w:hAnsi="Times New Roman" w:cs="Times New Roman" w:eastAsia="Times New Roman" w:hint="default"/>
        </w:rPr>
        <w:t>4</w:t>
      </w:r>
      <w:r>
        <w:rPr/>
        <w:t>、此外，公司还积极参与社会公益活动，努力增加就业机会，</w:t>
      </w:r>
      <w:r>
        <w:rPr>
          <w:spacing w:val="2"/>
        </w:rPr>
        <w:t> </w:t>
      </w:r>
      <w:r>
        <w:rPr/>
        <w:t>为带动地方经济发展多作贡献。</w:t>
      </w:r>
      <w:r>
        <w:rPr/>
        <w:t> 上市公司及其子公司是否属于国家环境保护部门规定的重污染行业。</w:t>
      </w:r>
    </w:p>
    <w:p>
      <w:pPr>
        <w:pStyle w:val="BodyText"/>
        <w:spacing w:line="240" w:lineRule="auto" w:before="31"/>
        <w:ind w:left="352"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二十一、公司债券相关情况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117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86" w:footer="1021" w:top="1100" w:bottom="122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2964" w:right="0"/>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5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8"/>
        <w:gridCol w:w="1202"/>
        <w:gridCol w:w="823"/>
        <w:gridCol w:w="823"/>
        <w:gridCol w:w="656"/>
        <w:gridCol w:w="667"/>
        <w:gridCol w:w="1022"/>
        <w:gridCol w:w="944"/>
        <w:gridCol w:w="967"/>
        <w:gridCol w:w="816"/>
      </w:tblGrid>
      <w:tr>
        <w:trPr>
          <w:trHeight w:val="403" w:hRule="exact"/>
        </w:trPr>
        <w:tc>
          <w:tcPr>
            <w:tcW w:w="1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38" w:type="dxa"/>
            <w:vMerge w:val="restart"/>
            <w:tcBorders>
              <w:top w:val="nil" w:sz="6" w:space="0" w:color="auto"/>
              <w:left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48" w:right="55"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838" w:type="dxa"/>
            <w:vMerge/>
            <w:tcBorders>
              <w:left w:val="single" w:sz="4" w:space="0" w:color="000000"/>
              <w:bottom w:val="nil" w:sz="6" w:space="0" w:color="auto"/>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67" w:type="dxa"/>
            <w:vMerge/>
            <w:tcBorders>
              <w:left w:val="single" w:sz="4" w:space="0" w:color="000000"/>
              <w:right w:val="single" w:sz="4" w:space="0" w:color="000000"/>
            </w:tcBorders>
            <w:shd w:val="clear" w:color="auto" w:fill="D2D2D2"/>
          </w:tcPr>
          <w:p>
            <w:pPr/>
          </w:p>
        </w:tc>
        <w:tc>
          <w:tcPr>
            <w:tcW w:w="10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1838" w:type="dxa"/>
            <w:vMerge w:val="restart"/>
            <w:tcBorders>
              <w:top w:val="nil" w:sz="6" w:space="0" w:color="auto"/>
              <w:left w:val="single" w:sz="4" w:space="0" w:color="000000"/>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1022" w:type="dxa"/>
            <w:vMerge/>
            <w:tcBorders>
              <w:left w:val="single" w:sz="4" w:space="0" w:color="000000"/>
              <w:bottom w:val="nil" w:sz="6" w:space="0" w:color="auto"/>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c>
          <w:tcPr>
            <w:tcW w:w="967"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38"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1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217,795,282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28.61%</w:t>
            </w:r>
          </w:p>
        </w:tc>
        <w:tc>
          <w:tcPr>
            <w:tcW w:w="82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-54,448,800</w:t>
            </w:r>
            <w:r>
              <w:rPr>
                <w:rFonts w:ascii="Times New Roman"/>
                <w:sz w:val="18"/>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-54,448,800</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163,346,482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21.45%</w:t>
            </w:r>
          </w:p>
        </w:tc>
      </w:tr>
      <w:tr>
        <w:trPr>
          <w:trHeight w:val="401" w:hRule="exact"/>
        </w:trPr>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217,795,282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28.61%</w:t>
            </w:r>
          </w:p>
        </w:tc>
        <w:tc>
          <w:tcPr>
            <w:tcW w:w="82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-54,448,800</w:t>
            </w:r>
            <w:r>
              <w:rPr>
                <w:rFonts w:ascii="Times New Roman"/>
                <w:sz w:val="18"/>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-54,448,800</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163,346,482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21.45%</w:t>
            </w:r>
          </w:p>
        </w:tc>
      </w:tr>
      <w:tr>
        <w:trPr>
          <w:trHeight w:val="403" w:hRule="exact"/>
        </w:trPr>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217,795,282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28.61%</w:t>
            </w:r>
          </w:p>
        </w:tc>
        <w:tc>
          <w:tcPr>
            <w:tcW w:w="82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-54,448,800</w:t>
            </w:r>
            <w:r>
              <w:rPr>
                <w:rFonts w:ascii="Times New Roman"/>
                <w:sz w:val="18"/>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-54,448,800</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163,346,482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21.45%</w:t>
            </w:r>
          </w:p>
        </w:tc>
      </w:tr>
      <w:tr>
        <w:trPr>
          <w:trHeight w:val="401" w:hRule="exact"/>
        </w:trPr>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543,396,012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71.39%</w:t>
            </w:r>
          </w:p>
        </w:tc>
        <w:tc>
          <w:tcPr>
            <w:tcW w:w="82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54,448,800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54,448,800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597,844,812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78.55%</w:t>
            </w:r>
          </w:p>
        </w:tc>
      </w:tr>
      <w:tr>
        <w:trPr>
          <w:trHeight w:val="403" w:hRule="exact"/>
        </w:trPr>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543,396,012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71.39%</w:t>
            </w:r>
          </w:p>
        </w:tc>
        <w:tc>
          <w:tcPr>
            <w:tcW w:w="82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54,448,800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54,448,800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597,844,812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78.55%</w:t>
            </w:r>
          </w:p>
        </w:tc>
      </w:tr>
      <w:tr>
        <w:trPr>
          <w:trHeight w:val="401" w:hRule="exact"/>
        </w:trPr>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761,191,294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股份变动的原因</w:t>
      </w:r>
    </w:p>
    <w:p>
      <w:pPr>
        <w:pStyle w:val="BodyText"/>
        <w:spacing w:line="328"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本次股份变动的原因系董事、监事及高管的限售股在本期按规定自动进行解锁所致，董事、监事及高管所持股份的解锁情况</w:t>
      </w:r>
      <w:r>
        <w:rPr>
          <w:spacing w:val="-63"/>
        </w:rPr>
        <w:t> </w:t>
      </w:r>
      <w:r>
        <w:rPr>
          <w:spacing w:val="-63"/>
        </w:rPr>
      </w:r>
      <w:r>
        <w:rPr/>
        <w:t>按照中国证监会的相关规定执行。</w:t>
      </w:r>
    </w:p>
    <w:p>
      <w:pPr>
        <w:pStyle w:val="BodyText"/>
        <w:spacing w:line="240" w:lineRule="auto" w:before="51"/>
        <w:ind w:right="0"/>
        <w:jc w:val="left"/>
      </w:pPr>
      <w:r>
        <w:rPr/>
        <w:t>股份变动的批准情况</w:t>
      </w:r>
    </w:p>
    <w:p>
      <w:pPr>
        <w:pStyle w:val="BodyText"/>
        <w:spacing w:line="338" w:lineRule="auto" w:before="117"/>
        <w:ind w:right="8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43"/>
        <w:ind w:right="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39"/>
        <w:ind w:right="59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2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416"/>
        <w:gridCol w:w="1553"/>
        <w:gridCol w:w="1568"/>
        <w:gridCol w:w="1166"/>
        <w:gridCol w:w="1366"/>
        <w:gridCol w:w="1368"/>
      </w:tblGrid>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217,795,282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54,448,800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163,346,482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217,795,282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54,448,800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163,346,482</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6" w:footer="1021" w:top="1100" w:bottom="1220" w:left="980" w:right="880"/>
        </w:sectPr>
      </w:pPr>
    </w:p>
    <w:p>
      <w:pPr>
        <w:spacing w:line="240" w:lineRule="auto" w:before="6"/>
        <w:rPr>
          <w:rFonts w:ascii="宋体" w:hAnsi="宋体" w:cs="宋体" w:eastAsia="宋体" w:hint="default"/>
          <w:sz w:val="20"/>
          <w:szCs w:val="20"/>
        </w:rPr>
      </w:pPr>
    </w:p>
    <w:p>
      <w:pPr>
        <w:pStyle w:val="Heading2"/>
        <w:spacing w:line="240" w:lineRule="auto" w:before="26"/>
        <w:ind w:left="392"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392"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392"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392"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392"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392"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pict>
          <v:shape style="position:absolute;margin-left:510.820007pt;margin-top:57.23172pt;width:24.25pt;height:17.650pt;mso-position-horizontal-relative:page;mso-position-vertical-relative:paragraph;z-index:-830416" type="#_x0000_t202" filled="false" stroked="false">
            <v:textbox inset="0,0,0,0">
              <w:txbxContent>
                <w:p>
                  <w:pPr>
                    <w:pStyle w:val="BodyText"/>
                    <w:spacing w:line="203" w:lineRule="exact"/>
                    <w:ind w:left="0" w:right="0"/>
                    <w:jc w:val="left"/>
                  </w:pPr>
                  <w:r>
                    <w:rPr/>
                    <w:t>）</w:t>
                  </w:r>
                </w:p>
              </w:txbxContent>
            </v:textbox>
            <w10:wrap type="none"/>
          </v:shape>
        </w:pict>
      </w:r>
      <w:r>
        <w:rPr/>
        <w:pict>
          <v:group style="position:absolute;margin-left:390.190002pt;margin-top:37.131721pt;width:19.6pt;height:20.65pt;mso-position-horizontal-relative:page;mso-position-vertical-relative:paragraph;z-index:-830392" coordorigin="7804,743" coordsize="392,413">
            <v:group style="position:absolute;left:7815;top:753;width:2;height:392" coordorigin="7815,753" coordsize="2,392">
              <v:shape style="position:absolute;left:7815;top:753;width:2;height:392" coordorigin="7815,753" coordsize="0,392" path="m7815,753l7815,1145e" filled="false" stroked="true" strokeweight="1.08pt" strokecolor="#ffffff">
                <v:path arrowok="t"/>
              </v:shape>
            </v:group>
            <v:group style="position:absolute;left:7825;top:753;width:370;height:392" coordorigin="7825,753" coordsize="370,392">
              <v:shape style="position:absolute;left:7825;top:753;width:370;height:392" coordorigin="7825,753" coordsize="370,392" path="m7825,1145l8195,1145,8195,753,7825,753,7825,1145xe" filled="true" fillcolor="#ffffff" stroked="false">
                <v:path arrowok="t"/>
                <v:fill type="solid"/>
              </v:shape>
            </v:group>
            <w10:wrap type="none"/>
          </v:group>
        </w:pict>
      </w:r>
      <w:r>
        <w:rPr/>
        <w:pict>
          <v:group style="position:absolute;margin-left:516.820007pt;margin-top:57.23172pt;width:18.25pt;height:17.650pt;mso-position-horizontal-relative:page;mso-position-vertical-relative:paragraph;z-index:-830368" coordorigin="10336,1145" coordsize="365,353">
            <v:shape style="position:absolute;left:10336;top:1145;width:365;height:353" coordorigin="10336,1145" coordsize="365,353" path="m10336,1497l10701,1497,10701,1145,10336,1145,10336,1497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691"/>
        <w:gridCol w:w="995"/>
        <w:gridCol w:w="149"/>
        <w:gridCol w:w="994"/>
        <w:gridCol w:w="568"/>
        <w:gridCol w:w="140"/>
        <w:gridCol w:w="542"/>
        <w:gridCol w:w="449"/>
        <w:gridCol w:w="994"/>
        <w:gridCol w:w="414"/>
        <w:gridCol w:w="195"/>
        <w:gridCol w:w="252"/>
        <w:gridCol w:w="132"/>
        <w:gridCol w:w="992"/>
        <w:gridCol w:w="850"/>
        <w:gridCol w:w="113"/>
        <w:gridCol w:w="172"/>
        <w:gridCol w:w="215"/>
      </w:tblGrid>
      <w:tr>
        <w:trPr>
          <w:trHeight w:val="204"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5" w:type="dxa"/>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104,176</w:t>
            </w:r>
          </w:p>
        </w:tc>
        <w:tc>
          <w:tcPr>
            <w:tcW w:w="171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1" w:right="66"/>
              <w:jc w:val="both"/>
              <w:rPr>
                <w:rFonts w:ascii="宋体" w:hAnsi="宋体" w:cs="宋体" w:eastAsia="宋体" w:hint="default"/>
                <w:sz w:val="18"/>
                <w:szCs w:val="18"/>
              </w:rPr>
            </w:pPr>
            <w:r>
              <w:rPr>
                <w:rFonts w:ascii="宋体" w:hAnsi="宋体" w:cs="宋体" w:eastAsia="宋体" w:hint="default"/>
                <w:sz w:val="18"/>
                <w:szCs w:val="18"/>
              </w:rPr>
              <w:t>年度报告披露日前上 一月末普通股股东总 数</w:t>
            </w:r>
          </w:p>
        </w:tc>
        <w:tc>
          <w:tcPr>
            <w:tcW w:w="683" w:type="dxa"/>
            <w:gridSpan w:val="2"/>
            <w:vMerge w:val="restart"/>
            <w:tcBorders>
              <w:top w:val="single" w:sz="4" w:space="0" w:color="000000"/>
              <w:left w:val="single" w:sz="12"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99,891</w:t>
            </w:r>
          </w:p>
        </w:tc>
        <w:tc>
          <w:tcPr>
            <w:tcW w:w="185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2"/>
              <w:ind w:left="11" w:right="33"/>
              <w:jc w:val="left"/>
              <w:rPr>
                <w:rFonts w:ascii="宋体" w:hAnsi="宋体" w:cs="宋体" w:eastAsia="宋体" w:hint="default"/>
                <w:sz w:val="18"/>
                <w:szCs w:val="18"/>
              </w:rPr>
            </w:pPr>
            <w:r>
              <w:rPr>
                <w:rFonts w:ascii="宋体" w:hAnsi="宋体" w:cs="宋体" w:eastAsia="宋体" w:hint="default"/>
                <w:sz w:val="18"/>
                <w:szCs w:val="18"/>
              </w:rPr>
              <w:t>报告期末表决权恢复的 </w:t>
            </w:r>
            <w:r>
              <w:rPr>
                <w:rFonts w:ascii="宋体" w:hAnsi="宋体" w:cs="宋体" w:eastAsia="宋体" w:hint="default"/>
                <w:spacing w:val="-7"/>
                <w:sz w:val="18"/>
                <w:szCs w:val="18"/>
              </w:rPr>
              <w:t>优先股股东总数（如有</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95" w:type="dxa"/>
            <w:vMerge w:val="restart"/>
            <w:tcBorders>
              <w:top w:val="single" w:sz="4" w:space="0" w:color="000000"/>
              <w:left w:val="single" w:sz="10" w:space="0" w:color="D2D2D2"/>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52" w:type="dxa"/>
            <w:tcBorders>
              <w:top w:val="single" w:sz="4" w:space="0" w:color="000000"/>
              <w:left w:val="nil" w:sz="6" w:space="0" w:color="auto"/>
              <w:bottom w:val="nil" w:sz="6" w:space="0" w:color="auto"/>
              <w:right w:val="single" w:sz="13" w:space="0" w:color="D2D2D2"/>
            </w:tcBorders>
          </w:tcPr>
          <w:p>
            <w:pPr/>
          </w:p>
        </w:tc>
        <w:tc>
          <w:tcPr>
            <w:tcW w:w="208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1" w:right="81"/>
              <w:jc w:val="both"/>
              <w:rPr>
                <w:rFonts w:ascii="Times New Roman" w:hAnsi="Times New Roman" w:cs="Times New Roman" w:eastAsia="Times New Roman" w:hint="default"/>
                <w:sz w:val="18"/>
                <w:szCs w:val="18"/>
              </w:rPr>
            </w:pPr>
            <w:r>
              <w:rPr>
                <w:rFonts w:ascii="宋体" w:hAnsi="宋体" w:cs="宋体" w:eastAsia="宋体" w:hint="default"/>
                <w:sz w:val="18"/>
                <w:szCs w:val="18"/>
              </w:rPr>
              <w:t>年度报告披露日前上一月 末表决权恢复的优先股股 </w:t>
            </w:r>
            <w:r>
              <w:rPr>
                <w:rFonts w:ascii="宋体" w:hAnsi="宋体" w:cs="宋体" w:eastAsia="宋体" w:hint="default"/>
                <w:spacing w:val="-14"/>
                <w:sz w:val="18"/>
                <w:szCs w:val="18"/>
              </w:rPr>
              <w:t>东总数（如有）（参见注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p>
        </w:tc>
        <w:tc>
          <w:tcPr>
            <w:tcW w:w="172" w:type="dxa"/>
            <w:vMerge w:val="restart"/>
            <w:tcBorders>
              <w:top w:val="single" w:sz="4" w:space="0" w:color="000000"/>
              <w:left w:val="single" w:sz="10" w:space="0" w:color="D2D2D2"/>
              <w:right w:val="nil" w:sz="6" w:space="0" w:color="auto"/>
            </w:tcBorders>
          </w:tcPr>
          <w:p>
            <w:pPr/>
          </w:p>
        </w:tc>
        <w:tc>
          <w:tcPr>
            <w:tcW w:w="215" w:type="dxa"/>
            <w:tcBorders>
              <w:top w:val="single" w:sz="4" w:space="0" w:color="000000"/>
              <w:left w:val="nil" w:sz="6" w:space="0" w:color="auto"/>
              <w:bottom w:val="nil" w:sz="6" w:space="0" w:color="auto"/>
              <w:right w:val="single" w:sz="4" w:space="0" w:color="000000"/>
            </w:tcBorders>
          </w:tcPr>
          <w:p>
            <w:pPr/>
          </w:p>
        </w:tc>
      </w:tr>
      <w:tr>
        <w:trPr>
          <w:trHeight w:val="703"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报告期末普通股股东 总数</w:t>
            </w:r>
          </w:p>
        </w:tc>
        <w:tc>
          <w:tcPr>
            <w:tcW w:w="995" w:type="dxa"/>
            <w:vMerge/>
            <w:tcBorders>
              <w:left w:val="single" w:sz="9" w:space="0" w:color="D2D2D2"/>
              <w:right w:val="single" w:sz="13" w:space="0" w:color="D2D2D2"/>
            </w:tcBorders>
          </w:tcPr>
          <w:p>
            <w:pPr/>
          </w:p>
        </w:tc>
        <w:tc>
          <w:tcPr>
            <w:tcW w:w="1711" w:type="dxa"/>
            <w:gridSpan w:val="3"/>
            <w:vMerge/>
            <w:tcBorders>
              <w:left w:val="single" w:sz="4" w:space="0" w:color="000000"/>
              <w:right w:val="single" w:sz="4" w:space="0" w:color="000000"/>
            </w:tcBorders>
            <w:shd w:val="clear" w:color="auto" w:fill="D2D2D2"/>
          </w:tcPr>
          <w:p>
            <w:pPr/>
          </w:p>
        </w:tc>
        <w:tc>
          <w:tcPr>
            <w:tcW w:w="683" w:type="dxa"/>
            <w:gridSpan w:val="2"/>
            <w:vMerge/>
            <w:tcBorders>
              <w:left w:val="single" w:sz="12" w:space="0" w:color="D2D2D2"/>
              <w:right w:val="single" w:sz="10" w:space="0" w:color="D2D2D2"/>
            </w:tcBorders>
          </w:tcPr>
          <w:p>
            <w:pPr/>
          </w:p>
        </w:tc>
        <w:tc>
          <w:tcPr>
            <w:tcW w:w="1857" w:type="dxa"/>
            <w:gridSpan w:val="3"/>
            <w:vMerge/>
            <w:tcBorders>
              <w:left w:val="single" w:sz="4" w:space="0" w:color="000000"/>
              <w:right w:val="single" w:sz="4" w:space="0" w:color="000000"/>
            </w:tcBorders>
            <w:shd w:val="clear" w:color="auto" w:fill="D2D2D2"/>
          </w:tcPr>
          <w:p>
            <w:pPr/>
          </w:p>
        </w:tc>
        <w:tc>
          <w:tcPr>
            <w:tcW w:w="195" w:type="dxa"/>
            <w:vMerge/>
            <w:tcBorders>
              <w:left w:val="single" w:sz="10" w:space="0" w:color="D2D2D2"/>
              <w:right w:val="nil" w:sz="6" w:space="0" w:color="auto"/>
            </w:tcBorders>
          </w:tcPr>
          <w:p>
            <w:pPr/>
          </w:p>
        </w:tc>
        <w:tc>
          <w:tcPr>
            <w:tcW w:w="252" w:type="dxa"/>
            <w:tcBorders>
              <w:top w:val="nil" w:sz="6" w:space="0" w:color="auto"/>
              <w:left w:val="nil" w:sz="6" w:space="0" w:color="auto"/>
              <w:bottom w:val="nil" w:sz="6" w:space="0" w:color="auto"/>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0</w:t>
            </w:r>
          </w:p>
        </w:tc>
        <w:tc>
          <w:tcPr>
            <w:tcW w:w="2086" w:type="dxa"/>
            <w:gridSpan w:val="4"/>
            <w:vMerge/>
            <w:tcBorders>
              <w:left w:val="single" w:sz="4" w:space="0" w:color="000000"/>
              <w:right w:val="single" w:sz="4" w:space="0" w:color="000000"/>
            </w:tcBorders>
            <w:shd w:val="clear" w:color="auto" w:fill="D2D2D2"/>
          </w:tcPr>
          <w:p>
            <w:pPr/>
          </w:p>
        </w:tc>
        <w:tc>
          <w:tcPr>
            <w:tcW w:w="172" w:type="dxa"/>
            <w:vMerge/>
            <w:tcBorders>
              <w:left w:val="single" w:sz="10" w:space="0" w:color="D2D2D2"/>
              <w:right w:val="nil" w:sz="6" w:space="0" w:color="auto"/>
            </w:tcBorders>
          </w:tcPr>
          <w:p>
            <w:pPr/>
          </w:p>
        </w:tc>
        <w:tc>
          <w:tcPr>
            <w:tcW w:w="215"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0</w:t>
            </w:r>
          </w:p>
        </w:tc>
      </w:tr>
      <w:tr>
        <w:trPr>
          <w:trHeight w:val="209"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5" w:type="dxa"/>
            <w:vMerge/>
            <w:tcBorders>
              <w:left w:val="single" w:sz="9" w:space="0" w:color="D2D2D2"/>
              <w:bottom w:val="single" w:sz="4" w:space="0" w:color="000000"/>
              <w:right w:val="single" w:sz="13" w:space="0" w:color="D2D2D2"/>
            </w:tcBorders>
          </w:tcPr>
          <w:p>
            <w:pPr/>
          </w:p>
        </w:tc>
        <w:tc>
          <w:tcPr>
            <w:tcW w:w="1711" w:type="dxa"/>
            <w:gridSpan w:val="3"/>
            <w:vMerge/>
            <w:tcBorders>
              <w:left w:val="single" w:sz="4" w:space="0" w:color="000000"/>
              <w:bottom w:val="single" w:sz="4" w:space="0" w:color="000000"/>
              <w:right w:val="single" w:sz="4" w:space="0" w:color="000000"/>
            </w:tcBorders>
            <w:shd w:val="clear" w:color="auto" w:fill="D2D2D2"/>
          </w:tcPr>
          <w:p>
            <w:pPr/>
          </w:p>
        </w:tc>
        <w:tc>
          <w:tcPr>
            <w:tcW w:w="683" w:type="dxa"/>
            <w:gridSpan w:val="2"/>
            <w:vMerge/>
            <w:tcBorders>
              <w:left w:val="single" w:sz="12" w:space="0" w:color="D2D2D2"/>
              <w:bottom w:val="single" w:sz="4" w:space="0" w:color="000000"/>
              <w:right w:val="single" w:sz="10" w:space="0" w:color="D2D2D2"/>
            </w:tcBorders>
          </w:tcPr>
          <w:p>
            <w:pPr/>
          </w:p>
        </w:tc>
        <w:tc>
          <w:tcPr>
            <w:tcW w:w="1857" w:type="dxa"/>
            <w:gridSpan w:val="3"/>
            <w:vMerge/>
            <w:tcBorders>
              <w:left w:val="single" w:sz="4" w:space="0" w:color="000000"/>
              <w:bottom w:val="single" w:sz="4" w:space="0" w:color="000000"/>
              <w:right w:val="single" w:sz="4" w:space="0" w:color="000000"/>
            </w:tcBorders>
            <w:shd w:val="clear" w:color="auto" w:fill="D2D2D2"/>
          </w:tcPr>
          <w:p>
            <w:pPr/>
          </w:p>
        </w:tc>
        <w:tc>
          <w:tcPr>
            <w:tcW w:w="195" w:type="dxa"/>
            <w:vMerge/>
            <w:tcBorders>
              <w:left w:val="single" w:sz="10" w:space="0" w:color="D2D2D2"/>
              <w:bottom w:val="single" w:sz="4" w:space="0" w:color="000000"/>
              <w:right w:val="nil" w:sz="6" w:space="0" w:color="auto"/>
            </w:tcBorders>
          </w:tcPr>
          <w:p>
            <w:pPr/>
          </w:p>
        </w:tc>
        <w:tc>
          <w:tcPr>
            <w:tcW w:w="252" w:type="dxa"/>
            <w:tcBorders>
              <w:top w:val="nil" w:sz="6" w:space="0" w:color="auto"/>
              <w:left w:val="nil" w:sz="6" w:space="0" w:color="auto"/>
              <w:bottom w:val="single" w:sz="4" w:space="0" w:color="000000"/>
              <w:right w:val="single" w:sz="13" w:space="0" w:color="D2D2D2"/>
            </w:tcBorders>
          </w:tcPr>
          <w:p>
            <w:pPr/>
          </w:p>
        </w:tc>
        <w:tc>
          <w:tcPr>
            <w:tcW w:w="2086" w:type="dxa"/>
            <w:gridSpan w:val="4"/>
            <w:vMerge/>
            <w:tcBorders>
              <w:left w:val="single" w:sz="4" w:space="0" w:color="000000"/>
              <w:bottom w:val="single" w:sz="4" w:space="0" w:color="000000"/>
              <w:right w:val="single" w:sz="4" w:space="0" w:color="000000"/>
            </w:tcBorders>
            <w:shd w:val="clear" w:color="auto" w:fill="D2D2D2"/>
          </w:tcPr>
          <w:p>
            <w:pPr/>
          </w:p>
        </w:tc>
        <w:tc>
          <w:tcPr>
            <w:tcW w:w="172" w:type="dxa"/>
            <w:vMerge/>
            <w:tcBorders>
              <w:left w:val="single" w:sz="10" w:space="0" w:color="D2D2D2"/>
              <w:bottom w:val="single" w:sz="4" w:space="0" w:color="000000"/>
              <w:right w:val="nil" w:sz="6" w:space="0" w:color="auto"/>
            </w:tcBorders>
          </w:tcPr>
          <w:p>
            <w:pPr/>
          </w:p>
        </w:tc>
        <w:tc>
          <w:tcPr>
            <w:tcW w:w="215"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856"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20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2835" w:type="dxa"/>
            <w:gridSpan w:val="3"/>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70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0"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4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835" w:type="dxa"/>
            <w:gridSpan w:val="3"/>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70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20" w:right="3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43"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4" w:type="dxa"/>
            <w:gridSpan w:val="4"/>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349" w:type="dxa"/>
            <w:gridSpan w:val="4"/>
            <w:vMerge/>
            <w:tcBorders>
              <w:left w:val="single" w:sz="4" w:space="0" w:color="000000"/>
              <w:right w:val="single" w:sz="4" w:space="0" w:color="000000"/>
            </w:tcBorders>
            <w:shd w:val="clear" w:color="auto" w:fill="D2D2D2"/>
          </w:tcPr>
          <w:p>
            <w:pPr/>
          </w:p>
        </w:tc>
      </w:tr>
      <w:tr>
        <w:trPr>
          <w:trHeight w:val="141" w:hRule="exact"/>
        </w:trPr>
        <w:tc>
          <w:tcPr>
            <w:tcW w:w="2835"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994" w:type="dxa"/>
            <w:gridSpan w:val="4"/>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349"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2835" w:type="dxa"/>
            <w:gridSpan w:val="3"/>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994" w:type="dxa"/>
            <w:gridSpan w:val="4"/>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4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6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835" w:type="dxa"/>
            <w:gridSpan w:val="3"/>
            <w:vMerge w:val="restart"/>
            <w:tcBorders>
              <w:top w:val="nil" w:sz="6" w:space="0" w:color="auto"/>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708"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4" w:type="dxa"/>
            <w:gridSpan w:val="4"/>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499" w:type="dxa"/>
            <w:gridSpan w:val="3"/>
            <w:vMerge/>
            <w:tcBorders>
              <w:left w:val="single" w:sz="4" w:space="0" w:color="000000"/>
              <w:right w:val="single" w:sz="4" w:space="0" w:color="000000"/>
            </w:tcBorders>
            <w:shd w:val="clear" w:color="auto" w:fill="D2D2D2"/>
          </w:tcPr>
          <w:p>
            <w:pPr/>
          </w:p>
        </w:tc>
      </w:tr>
      <w:tr>
        <w:trPr>
          <w:trHeight w:val="161" w:hRule="exact"/>
        </w:trPr>
        <w:tc>
          <w:tcPr>
            <w:tcW w:w="2835" w:type="dxa"/>
            <w:gridSpan w:val="3"/>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4"/>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499" w:type="dxa"/>
            <w:gridSpan w:val="3"/>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z w:val="18"/>
              </w:rPr>
              <w:t>23.61%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179,745,310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-38,050,000</w:t>
            </w:r>
            <w:r>
              <w:rPr>
                <w:rFonts w:ascii="Times New Roman"/>
                <w:sz w:val="18"/>
              </w:rPr>
            </w:r>
          </w:p>
        </w:tc>
        <w:tc>
          <w:tcPr>
            <w:tcW w:w="9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163,346,482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16,398,828</w:t>
            </w:r>
          </w:p>
        </w:tc>
        <w:tc>
          <w:tcPr>
            <w:tcW w:w="850" w:type="dxa"/>
            <w:tcBorders>
              <w:top w:val="single" w:sz="48" w:space="0" w:color="D2D2D2"/>
              <w:left w:val="single" w:sz="4" w:space="0" w:color="000000"/>
              <w:bottom w:val="single" w:sz="4" w:space="0" w:color="000000"/>
              <w:right w:val="single" w:sz="4" w:space="0" w:color="000000"/>
            </w:tcBorders>
          </w:tcPr>
          <w:p>
            <w:pPr/>
          </w:p>
        </w:tc>
        <w:tc>
          <w:tcPr>
            <w:tcW w:w="499" w:type="dxa"/>
            <w:gridSpan w:val="3"/>
            <w:tcBorders>
              <w:top w:val="single" w:sz="48" w:space="0" w:color="D2D2D2"/>
              <w:left w:val="single" w:sz="4" w:space="0" w:color="000000"/>
              <w:bottom w:val="single" w:sz="4" w:space="0" w:color="000000"/>
              <w:right w:val="single" w:sz="4" w:space="0" w:color="000000"/>
            </w:tcBorders>
          </w:tcPr>
          <w:p>
            <w:pPr/>
          </w:p>
        </w:tc>
      </w:tr>
      <w:tr>
        <w:trPr>
          <w:trHeight w:val="713"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湖州新家园投资管理有限公司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0.59%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4,462,700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4,462,700</w:t>
            </w:r>
          </w:p>
        </w:tc>
        <w:tc>
          <w:tcPr>
            <w:tcW w:w="9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4,462,700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广州御银科技股份有限公司－第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期员工持股计划</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0.53%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4,037,985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4,037,985</w:t>
            </w:r>
          </w:p>
        </w:tc>
        <w:tc>
          <w:tcPr>
            <w:tcW w:w="9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4,037,985</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徐茶美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0.44%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3,318,900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3,318,900</w:t>
            </w:r>
          </w:p>
        </w:tc>
        <w:tc>
          <w:tcPr>
            <w:tcW w:w="9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3,318,900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0.40%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3,056,912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3,056,912</w:t>
            </w:r>
          </w:p>
        </w:tc>
        <w:tc>
          <w:tcPr>
            <w:tcW w:w="9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3,056,912</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杨绍会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0.33%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9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浙江锦鑫建设工程有限公司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0.31%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2,369,100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2,369,100</w:t>
            </w:r>
          </w:p>
        </w:tc>
        <w:tc>
          <w:tcPr>
            <w:tcW w:w="9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2,369,100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0.26%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2,006,200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2,006,200</w:t>
            </w:r>
          </w:p>
        </w:tc>
        <w:tc>
          <w:tcPr>
            <w:tcW w:w="9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2,006,200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张忠民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0.25%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1,924,900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1,924,900</w:t>
            </w:r>
          </w:p>
        </w:tc>
        <w:tc>
          <w:tcPr>
            <w:tcW w:w="9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1,924,900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郭长聚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0.23%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1,727,135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1,727,135</w:t>
            </w:r>
          </w:p>
        </w:tc>
        <w:tc>
          <w:tcPr>
            <w:tcW w:w="9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1,727,135</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1" w:top="1100" w:bottom="1220" w:left="740" w:right="980"/>
        </w:sectPr>
      </w:pPr>
    </w:p>
    <w:p>
      <w:pPr>
        <w:spacing w:line="240" w:lineRule="auto" w:before="10"/>
        <w:rPr>
          <w:rFonts w:ascii="Times New Roman" w:hAnsi="Times New Roman" w:cs="Times New Roman" w:eastAsia="Times New Roman"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3818"/>
        <w:gridCol w:w="577"/>
        <w:gridCol w:w="2976"/>
        <w:gridCol w:w="1136"/>
        <w:gridCol w:w="1349"/>
      </w:tblGrid>
      <w:tr>
        <w:trPr>
          <w:trHeight w:val="714" w:hRule="exact"/>
        </w:trPr>
        <w:tc>
          <w:tcPr>
            <w:tcW w:w="3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股东的情况（如有）（参见注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038" w:type="dxa"/>
            <w:gridSpan w:val="4"/>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2" w:hRule="exact"/>
        </w:trPr>
        <w:tc>
          <w:tcPr>
            <w:tcW w:w="3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6038" w:type="dxa"/>
            <w:gridSpan w:val="4"/>
            <w:vMerge w:val="restart"/>
            <w:tcBorders>
              <w:top w:val="single" w:sz="4" w:space="0" w:color="000000"/>
              <w:left w:val="single" w:sz="9" w:space="0" w:color="D2D2D2"/>
              <w:right w:val="single" w:sz="4" w:space="0" w:color="000000"/>
            </w:tcBorders>
          </w:tcPr>
          <w:p>
            <w:pPr>
              <w:pStyle w:val="TableParagraph"/>
              <w:spacing w:line="314" w:lineRule="auto" w:before="50"/>
              <w:ind w:left="28" w:right="51"/>
              <w:jc w:val="left"/>
              <w:rPr>
                <w:rFonts w:ascii="宋体" w:hAnsi="宋体" w:cs="宋体" w:eastAsia="宋体" w:hint="default"/>
                <w:sz w:val="18"/>
                <w:szCs w:val="18"/>
              </w:rPr>
            </w:pPr>
            <w:r>
              <w:rPr>
                <w:rFonts w:ascii="宋体" w:hAnsi="宋体" w:cs="宋体" w:eastAsia="宋体" w:hint="default"/>
                <w:sz w:val="18"/>
                <w:szCs w:val="18"/>
              </w:rPr>
              <w:t>公司未知前十名股东之间是否存在关联关系，也未知是否属于《上市公司股 东持股变动信息披露管理办法》中规定的一致行动人</w:t>
            </w:r>
          </w:p>
        </w:tc>
      </w:tr>
      <w:tr>
        <w:trPr>
          <w:trHeight w:val="391" w:hRule="exact"/>
        </w:trPr>
        <w:tc>
          <w:tcPr>
            <w:tcW w:w="38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038" w:type="dxa"/>
            <w:gridSpan w:val="4"/>
            <w:vMerge/>
            <w:tcBorders>
              <w:left w:val="single" w:sz="9" w:space="0" w:color="D2D2D2"/>
              <w:right w:val="single" w:sz="4" w:space="0" w:color="000000"/>
            </w:tcBorders>
          </w:tcPr>
          <w:p>
            <w:pPr/>
          </w:p>
        </w:tc>
      </w:tr>
      <w:tr>
        <w:trPr>
          <w:trHeight w:val="161" w:hRule="exact"/>
        </w:trPr>
        <w:tc>
          <w:tcPr>
            <w:tcW w:w="3818" w:type="dxa"/>
            <w:tcBorders>
              <w:top w:val="nil" w:sz="6" w:space="0" w:color="auto"/>
              <w:left w:val="single" w:sz="4" w:space="0" w:color="000000"/>
              <w:bottom w:val="single" w:sz="4" w:space="0" w:color="000000"/>
              <w:right w:val="single" w:sz="4" w:space="0" w:color="000000"/>
            </w:tcBorders>
            <w:shd w:val="clear" w:color="auto" w:fill="D2D2D2"/>
          </w:tcPr>
          <w:p>
            <w:pPr/>
          </w:p>
        </w:tc>
        <w:tc>
          <w:tcPr>
            <w:tcW w:w="6038" w:type="dxa"/>
            <w:gridSpan w:val="4"/>
            <w:vMerge/>
            <w:tcBorders>
              <w:left w:val="single" w:sz="9" w:space="0" w:color="D2D2D2"/>
              <w:bottom w:val="single" w:sz="4" w:space="0" w:color="000000"/>
              <w:right w:val="single" w:sz="4" w:space="0" w:color="000000"/>
            </w:tcBorders>
          </w:tcPr>
          <w:p>
            <w:pPr/>
          </w:p>
        </w:tc>
      </w:tr>
      <w:tr>
        <w:trPr>
          <w:trHeight w:val="402" w:hRule="exact"/>
        </w:trPr>
        <w:tc>
          <w:tcPr>
            <w:tcW w:w="98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439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9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439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9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485"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395" w:type="dxa"/>
            <w:gridSpan w:val="2"/>
            <w:vMerge/>
            <w:tcBorders>
              <w:left w:val="single" w:sz="4" w:space="0" w:color="000000"/>
              <w:bottom w:val="nil" w:sz="6" w:space="0" w:color="auto"/>
              <w:right w:val="single" w:sz="4" w:space="0" w:color="000000"/>
            </w:tcBorders>
            <w:shd w:val="clear" w:color="auto" w:fill="D2D2D2"/>
          </w:tcPr>
          <w:p>
            <w:pPr/>
          </w:p>
        </w:tc>
        <w:tc>
          <w:tcPr>
            <w:tcW w:w="2976" w:type="dxa"/>
            <w:vMerge/>
            <w:tcBorders>
              <w:left w:val="single" w:sz="4" w:space="0" w:color="000000"/>
              <w:bottom w:val="nil" w:sz="6" w:space="0" w:color="auto"/>
              <w:right w:val="single" w:sz="4" w:space="0" w:color="000000"/>
            </w:tcBorders>
            <w:shd w:val="clear" w:color="auto" w:fill="D2D2D2"/>
          </w:tcPr>
          <w:p>
            <w:pP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439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9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16,398,828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16,398,828</w:t>
            </w:r>
          </w:p>
        </w:tc>
      </w:tr>
      <w:tr>
        <w:trPr>
          <w:trHeight w:val="713" w:hRule="exact"/>
        </w:trPr>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湖州新家园投资管理有限公司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4,462,700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4,462,700</w:t>
            </w:r>
          </w:p>
        </w:tc>
      </w:tr>
      <w:tr>
        <w:trPr>
          <w:trHeight w:val="716" w:hRule="exact"/>
        </w:trPr>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期员工持股计划</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4,037,985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4,037,985</w:t>
            </w:r>
          </w:p>
        </w:tc>
      </w:tr>
      <w:tr>
        <w:trPr>
          <w:trHeight w:val="713" w:hRule="exact"/>
        </w:trPr>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徐茶美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3,318,900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3,318,900</w:t>
            </w:r>
          </w:p>
        </w:tc>
      </w:tr>
      <w:tr>
        <w:trPr>
          <w:trHeight w:val="715" w:hRule="exact"/>
        </w:trPr>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3,056,912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3,056,912</w:t>
            </w:r>
          </w:p>
        </w:tc>
      </w:tr>
      <w:tr>
        <w:trPr>
          <w:trHeight w:val="713" w:hRule="exact"/>
        </w:trPr>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杨绍会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715" w:hRule="exact"/>
        </w:trPr>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浙江锦鑫建设工程有限公司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2,369,100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2,369,100</w:t>
            </w:r>
          </w:p>
        </w:tc>
      </w:tr>
      <w:tr>
        <w:trPr>
          <w:trHeight w:val="713" w:hRule="exact"/>
        </w:trPr>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2,006,200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2,006,200</w:t>
            </w:r>
          </w:p>
        </w:tc>
      </w:tr>
      <w:tr>
        <w:trPr>
          <w:trHeight w:val="715" w:hRule="exact"/>
        </w:trPr>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张忠民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1,924,900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1,924,900</w:t>
            </w:r>
          </w:p>
        </w:tc>
      </w:tr>
      <w:tr>
        <w:trPr>
          <w:trHeight w:val="713" w:hRule="exact"/>
        </w:trPr>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郭长聚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1,727,135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1,727,135</w:t>
            </w:r>
          </w:p>
        </w:tc>
      </w:tr>
      <w:tr>
        <w:trPr>
          <w:trHeight w:val="1027" w:hRule="exact"/>
        </w:trPr>
        <w:tc>
          <w:tcPr>
            <w:tcW w:w="43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w:t>
            </w:r>
          </w:p>
          <w:p>
            <w:pPr>
              <w:pStyle w:val="TableParagraph"/>
              <w:spacing w:line="300" w:lineRule="auto" w:before="60"/>
              <w:ind w:left="24" w:right="128"/>
              <w:jc w:val="left"/>
              <w:rPr>
                <w:rFonts w:ascii="宋体" w:hAnsi="宋体" w:cs="宋体" w:eastAsia="宋体" w:hint="default"/>
                <w:sz w:val="18"/>
                <w:szCs w:val="18"/>
              </w:rPr>
            </w:pPr>
            <w:r>
              <w:rPr>
                <w:rFonts w:ascii="宋体" w:hAnsi="宋体" w:cs="宋体" w:eastAsia="宋体" w:hint="default"/>
                <w:sz w:val="18"/>
                <w:szCs w:val="18"/>
              </w:rPr>
              <w:t>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名股东之间关联关系或一致行动的说 明</w:t>
            </w:r>
          </w:p>
        </w:tc>
        <w:tc>
          <w:tcPr>
            <w:tcW w:w="54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5"/>
              <w:jc w:val="left"/>
              <w:rPr>
                <w:rFonts w:ascii="宋体" w:hAnsi="宋体" w:cs="宋体" w:eastAsia="宋体" w:hint="default"/>
                <w:sz w:val="18"/>
                <w:szCs w:val="18"/>
              </w:rPr>
            </w:pPr>
            <w:r>
              <w:rPr>
                <w:rFonts w:ascii="宋体" w:hAnsi="宋体" w:cs="宋体" w:eastAsia="宋体" w:hint="default"/>
                <w:sz w:val="18"/>
                <w:szCs w:val="18"/>
              </w:rPr>
              <w:t>公司未知前十名股东之间是否存在关联关系，也未知是否属于《上市 公司股东持股变动信息披露管理办法》中规定的一致行动人。</w:t>
            </w:r>
          </w:p>
        </w:tc>
      </w:tr>
      <w:tr>
        <w:trPr>
          <w:trHeight w:val="2900" w:hRule="exact"/>
        </w:trPr>
        <w:tc>
          <w:tcPr>
            <w:tcW w:w="43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名普通股股东参与融资融券业务情况说明（如有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4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公司股东杨绍会通过信用交易担保证券账户持有本公司股票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股，通过普通证券账户持有本公司股票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股，合计持</w:t>
            </w:r>
          </w:p>
          <w:p>
            <w:pPr>
              <w:pStyle w:val="TableParagraph"/>
              <w:spacing w:line="300" w:lineRule="atLeast" w:before="12"/>
              <w:ind w:left="23" w:right="19"/>
              <w:jc w:val="left"/>
              <w:rPr>
                <w:rFonts w:ascii="宋体" w:hAnsi="宋体" w:cs="宋体" w:eastAsia="宋体" w:hint="default"/>
                <w:sz w:val="18"/>
                <w:szCs w:val="18"/>
              </w:rPr>
            </w:pPr>
            <w:r>
              <w:rPr>
                <w:rFonts w:ascii="宋体" w:hAnsi="宋体" w:cs="宋体" w:eastAsia="宋体" w:hint="default"/>
                <w:sz w:val="18"/>
                <w:szCs w:val="18"/>
              </w:rPr>
              <w:t>有本公司股票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2,500,000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股，占本公司总股本的</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0.33%</w:t>
            </w:r>
            <w:r>
              <w:rPr>
                <w:rFonts w:ascii="宋体" w:hAnsi="宋体" w:cs="宋体" w:eastAsia="宋体" w:hint="default"/>
                <w:spacing w:val="-3"/>
                <w:sz w:val="18"/>
                <w:szCs w:val="18"/>
              </w:rPr>
              <w:t>；公司股东浙江</w:t>
            </w:r>
            <w:r>
              <w:rPr>
                <w:rFonts w:ascii="宋体" w:hAnsi="宋体" w:cs="宋体" w:eastAsia="宋体" w:hint="default"/>
                <w:sz w:val="18"/>
                <w:szCs w:val="18"/>
              </w:rPr>
              <w:t> 锦鑫建设工程有限公司通过信用交易担保证券账户分别持有本公司股</w:t>
            </w:r>
          </w:p>
          <w:p>
            <w:pPr>
              <w:pStyle w:val="TableParagraph"/>
              <w:spacing w:line="11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股，通过普通证券账户持有本公司股票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2,359,100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持有本公司股票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2,369,100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股，占本公司总股本的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0.31%</w:t>
            </w:r>
            <w:r>
              <w:rPr>
                <w:rFonts w:ascii="宋体" w:hAnsi="宋体" w:cs="宋体" w:eastAsia="宋体" w:hint="default"/>
                <w:spacing w:val="-3"/>
                <w:sz w:val="18"/>
                <w:szCs w:val="18"/>
              </w:rPr>
              <w:t>；公司股东张</w:t>
            </w:r>
            <w:r>
              <w:rPr>
                <w:rFonts w:ascii="宋体" w:hAnsi="宋体" w:cs="宋体" w:eastAsia="宋体" w:hint="default"/>
                <w:sz w:val="18"/>
                <w:szCs w:val="18"/>
              </w:rPr>
              <w:t> 忠民通过信用交易担保证券账户持有本公司股票</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1,424,900</w:t>
            </w:r>
            <w:r>
              <w:rPr>
                <w:rFonts w:ascii="Times New Roman" w:hAnsi="Times New Roman" w:cs="Times New Roman" w:eastAsia="Times New Roman" w:hint="default"/>
                <w:spacing w:val="5"/>
                <w:sz w:val="18"/>
                <w:szCs w:val="18"/>
              </w:rPr>
              <w:t> </w:t>
            </w:r>
            <w:r>
              <w:rPr>
                <w:rFonts w:ascii="宋体" w:hAnsi="宋体" w:cs="宋体" w:eastAsia="宋体" w:hint="default"/>
                <w:spacing w:val="-18"/>
                <w:sz w:val="18"/>
                <w:szCs w:val="18"/>
              </w:rPr>
              <w:t>股，通过普</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通证券账户持有本公司股票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股，合计持有本公司股票</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1,924,900 </w:t>
            </w:r>
            <w:r>
              <w:rPr>
                <w:rFonts w:ascii="宋体" w:hAnsi="宋体" w:cs="宋体" w:eastAsia="宋体" w:hint="default"/>
                <w:sz w:val="18"/>
                <w:szCs w:val="18"/>
              </w:rPr>
              <w:t>股，占本公司总股本的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86" w:footer="1021" w:top="1100" w:bottom="1220" w:left="740" w:right="980"/>
        </w:sectPr>
      </w:pPr>
    </w:p>
    <w:p>
      <w:pPr>
        <w:spacing w:line="240" w:lineRule="auto" w:before="8"/>
        <w:rPr>
          <w:rFonts w:ascii="Times New Roman" w:hAnsi="Times New Roman" w:cs="Times New Roman" w:eastAsia="Times New Roman" w:hint="default"/>
          <w:sz w:val="25"/>
          <w:szCs w:val="25"/>
        </w:rPr>
      </w:pPr>
    </w:p>
    <w:p>
      <w:pPr>
        <w:pStyle w:val="BodyText"/>
        <w:spacing w:line="240" w:lineRule="auto" w:before="44"/>
        <w:ind w:right="15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4"/>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5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1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1260"/>
        <w:gridCol w:w="1702"/>
        <w:gridCol w:w="3190"/>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9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46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4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01" w:hRule="exact"/>
        </w:trPr>
        <w:tc>
          <w:tcPr>
            <w:tcW w:w="46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4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153"/>
        <w:jc w:val="left"/>
      </w:pPr>
      <w:r>
        <w:rPr/>
        <w:t>控股股东报告期内变更</w:t>
      </w:r>
    </w:p>
    <w:p>
      <w:pPr>
        <w:pStyle w:val="BodyText"/>
        <w:spacing w:line="338" w:lineRule="auto" w:before="117"/>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153"/>
        <w:jc w:val="left"/>
      </w:pPr>
      <w:r>
        <w:rPr/>
        <w:t>实际控制人报告期内变更</w:t>
      </w:r>
    </w:p>
    <w:p>
      <w:pPr>
        <w:pStyle w:val="BodyText"/>
        <w:spacing w:line="34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3"/>
        <w:rPr>
          <w:rFonts w:ascii="宋体" w:hAnsi="宋体" w:cs="宋体" w:eastAsia="宋体" w:hint="default"/>
          <w:sz w:val="22"/>
          <w:szCs w:val="22"/>
        </w:rPr>
      </w:pPr>
    </w:p>
    <w:p>
      <w:pPr>
        <w:spacing w:line="1950" w:lineRule="exact"/>
        <w:ind w:left="153"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5229643" cy="12382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5229643" cy="1238250"/>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6"/>
        <w:rPr>
          <w:rFonts w:ascii="宋体" w:hAnsi="宋体" w:cs="宋体" w:eastAsia="宋体" w:hint="default"/>
          <w:sz w:val="25"/>
          <w:szCs w:val="25"/>
        </w:rPr>
      </w:pPr>
    </w:p>
    <w:p>
      <w:pPr>
        <w:pStyle w:val="BodyText"/>
        <w:spacing w:line="240" w:lineRule="auto"/>
        <w:ind w:right="153"/>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021" w:top="1100" w:bottom="1220" w:left="980" w:right="980"/>
        </w:sectPr>
      </w:pPr>
    </w:p>
    <w:p>
      <w:pPr>
        <w:spacing w:line="240" w:lineRule="auto" w:before="9"/>
        <w:rPr>
          <w:rFonts w:ascii="宋体" w:hAnsi="宋体" w:cs="宋体" w:eastAsia="宋体"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3"/>
        <w:ind w:right="147" w:firstLine="360"/>
        <w:jc w:val="both"/>
      </w:pPr>
      <w:r>
        <w:rPr>
          <w:spacing w:val="-2"/>
        </w:rPr>
        <w:t>（</w:t>
      </w:r>
      <w:r>
        <w:rPr>
          <w:rFonts w:ascii="Times New Roman" w:hAnsi="Times New Roman" w:cs="Times New Roman" w:eastAsia="Times New Roman" w:hint="default"/>
          <w:spacing w:val="-2"/>
        </w:rPr>
        <w:t>1</w:t>
      </w:r>
      <w:r>
        <w:rPr>
          <w:spacing w:val="-2"/>
        </w:rPr>
        <w:t>）公司控股股东杨文江先生于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25</w:t>
      </w:r>
      <w:r>
        <w:rPr>
          <w:spacing w:val="-2"/>
        </w:rPr>
        <w:t>日承诺：自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25</w:t>
      </w:r>
      <w:r>
        <w:rPr>
          <w:spacing w:val="-2"/>
        </w:rPr>
        <w:t>日起至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日止的</w:t>
      </w:r>
      <w:r>
        <w:rPr>
          <w:rFonts w:ascii="Times New Roman" w:hAnsi="Times New Roman" w:cs="Times New Roman" w:eastAsia="Times New Roman" w:hint="default"/>
          <w:spacing w:val="-2"/>
        </w:rPr>
        <w:t>12</w:t>
      </w:r>
      <w:r>
        <w:rPr>
          <w:spacing w:val="-2"/>
        </w:rPr>
        <w:t>个月期间内不再减持</w:t>
      </w:r>
      <w:r>
        <w:rPr/>
        <w:t> </w:t>
      </w:r>
      <w:r>
        <w:rPr>
          <w:spacing w:val="-2"/>
        </w:rPr>
        <w:t>本人所持有的公司股份，包括承诺期间因送股、公积金转增股本等权益分派产生的股票（如有），本人将严格遵守承诺，若</w:t>
      </w:r>
      <w:r>
        <w:rPr>
          <w:spacing w:val="-70"/>
        </w:rPr>
        <w:t> </w:t>
      </w:r>
      <w:r>
        <w:rPr>
          <w:spacing w:val="-70"/>
        </w:rPr>
      </w:r>
      <w:r>
        <w:rPr>
          <w:spacing w:val="-5"/>
        </w:rPr>
        <w:t>违反承诺减持股份，本人将遵照有关规定承担责任。以实际行动切实维护市场稳定，保护投资者利益。具体内容详见公司</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25</w:t>
      </w:r>
      <w:r>
        <w:rPr>
          <w:spacing w:val="-1"/>
        </w:rPr>
        <w:t>日刊登在《证券时报》、《中国证券报》、《上海证券报》和巨潮资讯网（</w:t>
      </w:r>
      <w:hyperlink r:id="rId11">
        <w:r>
          <w:rPr>
            <w:rFonts w:ascii="Times New Roman" w:hAnsi="Times New Roman" w:cs="Times New Roman" w:eastAsia="Times New Roman" w:hint="default"/>
            <w:spacing w:val="-1"/>
          </w:rPr>
          <w:t>www.cninfo.com.cn</w:t>
        </w:r>
      </w:hyperlink>
      <w:r>
        <w:rPr>
          <w:spacing w:val="-1"/>
        </w:rPr>
        <w:t>）的《关于控股股东</w:t>
      </w:r>
      <w:r>
        <w:rPr>
          <w:spacing w:val="-54"/>
        </w:rPr>
        <w:t> </w:t>
      </w:r>
      <w:r>
        <w:rPr>
          <w:spacing w:val="-54"/>
        </w:rPr>
      </w:r>
      <w:r>
        <w:rPr/>
        <w:t>减持股份并承诺未来十二个月不再减持股份的公告》（</w:t>
      </w:r>
      <w:r>
        <w:rPr>
          <w:rFonts w:ascii="Times New Roman" w:hAnsi="Times New Roman" w:cs="Times New Roman" w:eastAsia="Times New Roman" w:hint="default"/>
        </w:rPr>
        <w:t>2015-016</w:t>
      </w:r>
      <w:r>
        <w:rPr/>
        <w:t>）。</w:t>
      </w:r>
    </w:p>
    <w:p>
      <w:pPr>
        <w:pStyle w:val="BodyText"/>
        <w:spacing w:line="307" w:lineRule="auto" w:before="9"/>
        <w:ind w:right="144" w:firstLine="360"/>
        <w:jc w:val="left"/>
      </w:pPr>
      <w:r>
        <w:rPr/>
        <w:t>（</w:t>
      </w:r>
      <w:r>
        <w:rPr>
          <w:rFonts w:ascii="Times New Roman" w:hAnsi="Times New Roman" w:cs="Times New Roman" w:eastAsia="Times New Roman" w:hint="default"/>
        </w:rPr>
        <w:t>2</w:t>
      </w:r>
      <w:r>
        <w:rPr/>
        <w:t>）公司控股股东杨文江先生于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日承诺：在法律、法规允许的范围内，根据中国证监会和深圳证券交易所 的有关规定，将于公司复牌后十二个月内根据自身资金状况通过证券公司、基金管理公司定向资产管理等方式购买不超过 </w:t>
      </w:r>
      <w:r>
        <w:rPr>
          <w:rFonts w:ascii="Times New Roman" w:hAnsi="Times New Roman" w:cs="Times New Roman" w:eastAsia="Times New Roman" w:hint="default"/>
        </w:rPr>
        <w:t>4,500</w:t>
      </w:r>
      <w:r>
        <w:rPr/>
        <w:t>万元人民币的公司股票。增持所需资金由其自筹取得，本次增持系公司控股股东的个人行为。通过上述方式购买的公 司股票</w:t>
      </w:r>
      <w:r>
        <w:rPr>
          <w:rFonts w:ascii="Times New Roman" w:hAnsi="Times New Roman" w:cs="Times New Roman" w:eastAsia="Times New Roman" w:hint="default"/>
        </w:rPr>
        <w:t>6</w:t>
      </w:r>
      <w:r>
        <w:rPr/>
        <w:t>个月内不得减持。并于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日完成了增持承诺，且承诺此次所增持股份在增持完成后的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个月内不减持。</w:t>
      </w:r>
    </w:p>
    <w:p>
      <w:pPr>
        <w:spacing w:after="0" w:line="307" w:lineRule="auto"/>
        <w:jc w:val="left"/>
        <w:sectPr>
          <w:pgSz w:w="11910" w:h="16840"/>
          <w:pgMar w:header="786" w:footer="1021" w:top="110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53"/>
        <w:jc w:val="left"/>
        <w:rPr>
          <w:b w:val="0"/>
          <w:bCs w:val="0"/>
        </w:rPr>
      </w:pPr>
      <w:bookmarkStart w:name="_TOC_250004"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40"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40" w:lineRule="auto"/>
        <w:jc w:val="left"/>
        <w:sectPr>
          <w:pgSz w:w="11910" w:h="16840"/>
          <w:pgMar w:header="786" w:footer="1021" w:top="110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2059" w:right="564"/>
        <w:jc w:val="left"/>
        <w:rPr>
          <w:b w:val="0"/>
          <w:bCs w:val="0"/>
        </w:rPr>
      </w:pPr>
      <w:bookmarkStart w:name="_TOC_250003" w:id="8"/>
      <w:r>
        <w:rPr/>
        <w:t>第八节</w:t>
      </w:r>
      <w:r>
        <w:rPr>
          <w:spacing w:val="-8"/>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532" w:right="564"/>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711"/>
        <w:gridCol w:w="1313"/>
        <w:gridCol w:w="442"/>
        <w:gridCol w:w="382"/>
        <w:gridCol w:w="382"/>
        <w:gridCol w:w="1541"/>
        <w:gridCol w:w="1500"/>
        <w:gridCol w:w="1063"/>
        <w:gridCol w:w="656"/>
        <w:gridCol w:w="912"/>
        <w:gridCol w:w="600"/>
        <w:gridCol w:w="1011"/>
      </w:tblGrid>
      <w:tr>
        <w:trPr>
          <w:trHeight w:val="1339" w:hRule="exact"/>
        </w:trPr>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6" w:right="35"/>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5" w:right="95"/>
              <w:jc w:val="left"/>
              <w:rPr>
                <w:rFonts w:ascii="宋体" w:hAnsi="宋体" w:cs="宋体" w:eastAsia="宋体" w:hint="default"/>
                <w:sz w:val="18"/>
                <w:szCs w:val="18"/>
              </w:rPr>
            </w:pPr>
            <w:r>
              <w:rPr>
                <w:rFonts w:ascii="宋体" w:hAnsi="宋体" w:cs="宋体" w:eastAsia="宋体" w:hint="default"/>
                <w:sz w:val="18"/>
                <w:szCs w:val="18"/>
              </w:rPr>
              <w:t>性 别</w:t>
            </w:r>
          </w:p>
        </w:tc>
        <w:tc>
          <w:tcPr>
            <w:tcW w:w="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5" w:right="94"/>
              <w:jc w:val="left"/>
              <w:rPr>
                <w:rFonts w:ascii="宋体" w:hAnsi="宋体" w:cs="宋体" w:eastAsia="宋体" w:hint="default"/>
                <w:sz w:val="18"/>
                <w:szCs w:val="18"/>
              </w:rPr>
            </w:pPr>
            <w:r>
              <w:rPr>
                <w:rFonts w:ascii="宋体" w:hAnsi="宋体" w:cs="宋体" w:eastAsia="宋体" w:hint="default"/>
                <w:sz w:val="18"/>
                <w:szCs w:val="18"/>
              </w:rPr>
              <w:t>年 龄</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5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8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8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现任</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44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217,795,310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38,050,000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179,745,310</w:t>
            </w:r>
          </w:p>
        </w:tc>
      </w:tr>
      <w:tr>
        <w:trPr>
          <w:trHeight w:val="71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副董事长；副总 经理</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现任</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45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副董事长；副总 经理</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现任</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48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董事；副总经 理；董事会秘书</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现任</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44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梁 </w:t>
            </w:r>
            <w:r>
              <w:rPr>
                <w:rFonts w:ascii="宋体" w:hAnsi="宋体" w:cs="宋体" w:eastAsia="宋体" w:hint="default"/>
                <w:spacing w:val="2"/>
                <w:sz w:val="18"/>
                <w:szCs w:val="18"/>
              </w:rPr>
              <w:t> </w:t>
            </w:r>
            <w:r>
              <w:rPr>
                <w:rFonts w:ascii="宋体" w:hAnsi="宋体" w:cs="宋体" w:eastAsia="宋体" w:hint="default"/>
                <w:sz w:val="18"/>
                <w:szCs w:val="18"/>
              </w:rPr>
              <w:t>行</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现任</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43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现任</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52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现任</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51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现任</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70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现任</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女</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现任</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女</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43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现任</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41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现任</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40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现任</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现任</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48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2"/>
              <w:jc w:val="right"/>
              <w:rPr>
                <w:rFonts w:ascii="Times New Roman" w:hAnsi="Times New Roman" w:cs="Times New Roman" w:eastAsia="Times New Roman" w:hint="default"/>
                <w:sz w:val="18"/>
                <w:szCs w:val="18"/>
              </w:rPr>
            </w:pPr>
            <w:r>
              <w:rPr>
                <w:rFonts w:ascii="Times New Roman"/>
                <w:sz w:val="18"/>
              </w:rPr>
              <w:t>--</w:t>
            </w:r>
          </w:p>
        </w:tc>
        <w:tc>
          <w:tcPr>
            <w:tcW w:w="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217,795,310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38,050,000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179,745,310</w:t>
            </w:r>
          </w:p>
        </w:tc>
      </w:tr>
    </w:tbl>
    <w:p>
      <w:pPr>
        <w:spacing w:line="240" w:lineRule="auto" w:before="1"/>
        <w:rPr>
          <w:rFonts w:ascii="宋体" w:hAnsi="宋体" w:cs="宋体" w:eastAsia="宋体" w:hint="default"/>
          <w:b/>
          <w:bCs/>
          <w:sz w:val="18"/>
          <w:szCs w:val="18"/>
        </w:rPr>
      </w:pPr>
    </w:p>
    <w:p>
      <w:pPr>
        <w:spacing w:line="470" w:lineRule="auto" w:before="26"/>
        <w:ind w:left="532" w:right="3930" w:firstLine="0"/>
        <w:jc w:val="left"/>
        <w:rPr>
          <w:rFonts w:ascii="宋体" w:hAnsi="宋体" w:cs="宋体" w:eastAsia="宋体" w:hint="default"/>
          <w:sz w:val="24"/>
          <w:szCs w:val="24"/>
        </w:rPr>
      </w:pPr>
      <w:r>
        <w:rPr>
          <w:rFonts w:ascii="宋体" w:hAnsi="宋体" w:cs="宋体" w:eastAsia="宋体" w:hint="default"/>
          <w:b/>
          <w:bCs/>
          <w:sz w:val="24"/>
          <w:szCs w:val="24"/>
        </w:rPr>
        <w:t>二、本报告期公司董事、监事、高级管理人员无变动情况。</w:t>
      </w:r>
      <w:r>
        <w:rPr>
          <w:rFonts w:ascii="宋体" w:hAnsi="宋体" w:cs="宋体" w:eastAsia="宋体" w:hint="default"/>
          <w:b/>
          <w:bCs/>
          <w:w w:val="99"/>
          <w:sz w:val="24"/>
          <w:szCs w:val="24"/>
        </w:rPr>
        <w:t> </w:t>
      </w:r>
      <w:r>
        <w:rPr>
          <w:rFonts w:ascii="宋体" w:hAnsi="宋体" w:cs="宋体" w:eastAsia="宋体" w:hint="default"/>
          <w:b/>
          <w:bCs/>
          <w:sz w:val="24"/>
          <w:szCs w:val="24"/>
        </w:rPr>
        <w:t>三、任职情况</w:t>
      </w:r>
      <w:r>
        <w:rPr>
          <w:rFonts w:ascii="宋体" w:hAnsi="宋体" w:cs="宋体" w:eastAsia="宋体" w:hint="default"/>
          <w:sz w:val="24"/>
          <w:szCs w:val="24"/>
        </w:rPr>
      </w:r>
    </w:p>
    <w:p>
      <w:pPr>
        <w:pStyle w:val="BodyText"/>
        <w:spacing w:line="240" w:lineRule="auto" w:before="114"/>
        <w:ind w:left="532" w:right="564"/>
        <w:jc w:val="left"/>
      </w:pPr>
      <w:r>
        <w:rPr/>
        <w:t>公司现任董事、监事、高级管理人员专业背景、主要工作经历以及目前在公司的主要职责</w:t>
      </w:r>
    </w:p>
    <w:p>
      <w:pPr>
        <w:pStyle w:val="BodyText"/>
        <w:spacing w:line="240" w:lineRule="auto" w:before="117"/>
        <w:ind w:left="893" w:right="564"/>
        <w:jc w:val="left"/>
      </w:pPr>
      <w:r>
        <w:rPr>
          <w:rFonts w:ascii="Times New Roman" w:hAnsi="Times New Roman" w:cs="Times New Roman" w:eastAsia="Times New Roman" w:hint="default"/>
        </w:rPr>
        <w:t>1</w:t>
      </w:r>
      <w:r>
        <w:rPr/>
        <w:t>、董事会成员</w:t>
      </w:r>
    </w:p>
    <w:p>
      <w:pPr>
        <w:pStyle w:val="BodyText"/>
        <w:spacing w:line="300" w:lineRule="auto" w:before="103"/>
        <w:ind w:left="532" w:right="564" w:firstLine="360"/>
        <w:jc w:val="left"/>
      </w:pPr>
      <w:r>
        <w:rPr/>
        <w:t>（</w:t>
      </w:r>
      <w:r>
        <w:rPr>
          <w:rFonts w:ascii="Times New Roman" w:hAnsi="Times New Roman" w:cs="Times New Roman" w:eastAsia="Times New Roman" w:hint="default"/>
        </w:rPr>
        <w:t>1</w:t>
      </w:r>
      <w:r>
        <w:rPr/>
        <w:t>）杨文江先生：男，</w:t>
      </w:r>
      <w:r>
        <w:rPr>
          <w:rFonts w:ascii="Times New Roman" w:hAnsi="Times New Roman" w:cs="Times New Roman" w:eastAsia="Times New Roman" w:hint="default"/>
        </w:rPr>
        <w:t>1972</w:t>
      </w:r>
      <w:r>
        <w:rPr/>
        <w:t>年生，管理学硕士，公司创始人和控股股东。曾任广东省金安汽车工业制造有限公司副总 经理，广州市宝龙特种汽车股份有限公司总经理。现任公司董事长、总经理。</w:t>
      </w:r>
    </w:p>
    <w:p>
      <w:pPr>
        <w:pStyle w:val="BodyText"/>
        <w:spacing w:line="300" w:lineRule="auto" w:before="69"/>
        <w:ind w:left="532" w:right="564" w:firstLine="360"/>
        <w:jc w:val="left"/>
      </w:pPr>
      <w:r>
        <w:rPr/>
        <w:t>（</w:t>
      </w:r>
      <w:r>
        <w:rPr>
          <w:rFonts w:ascii="Times New Roman" w:hAnsi="Times New Roman" w:cs="Times New Roman" w:eastAsia="Times New Roman" w:hint="default"/>
        </w:rPr>
        <w:t>2</w:t>
      </w:r>
      <w:r>
        <w:rPr/>
        <w:t>）高永坚先生：男，</w:t>
      </w:r>
      <w:r>
        <w:rPr>
          <w:rFonts w:ascii="Times New Roman" w:hAnsi="Times New Roman" w:cs="Times New Roman" w:eastAsia="Times New Roman" w:hint="default"/>
        </w:rPr>
        <w:t>1968</w:t>
      </w:r>
      <w:r>
        <w:rPr/>
        <w:t>年生，研究生学历。曾在广州石油化工总厂、君兰国际高尔夫发展有限公司、广州德杏苑 健康发展有限公司等单位任职，历任市场经理助理、销售部经理、市场部经理等职务。现任公司副董事长、副总经理。</w:t>
      </w:r>
    </w:p>
    <w:p>
      <w:pPr>
        <w:spacing w:after="0" w:line="300" w:lineRule="auto"/>
        <w:jc w:val="left"/>
        <w:sectPr>
          <w:pgSz w:w="11910" w:h="16840"/>
          <w:pgMar w:header="786" w:footer="1021" w:top="1100" w:bottom="1220" w:left="600" w:right="560"/>
        </w:sectPr>
      </w:pPr>
    </w:p>
    <w:p>
      <w:pPr>
        <w:spacing w:line="240" w:lineRule="auto" w:before="8"/>
        <w:rPr>
          <w:rFonts w:ascii="宋体" w:hAnsi="宋体" w:cs="宋体" w:eastAsia="宋体" w:hint="default"/>
          <w:sz w:val="22"/>
          <w:szCs w:val="22"/>
        </w:rPr>
      </w:pPr>
    </w:p>
    <w:p>
      <w:pPr>
        <w:pStyle w:val="BodyText"/>
        <w:spacing w:line="300" w:lineRule="auto" w:before="44"/>
        <w:ind w:right="284" w:firstLine="360"/>
        <w:jc w:val="left"/>
      </w:pPr>
      <w:r>
        <w:rPr/>
        <w:t>（</w:t>
      </w:r>
      <w:r>
        <w:rPr>
          <w:rFonts w:ascii="Times New Roman" w:hAnsi="Times New Roman" w:cs="Times New Roman" w:eastAsia="Times New Roman" w:hint="default"/>
        </w:rPr>
        <w:t>3</w:t>
      </w:r>
      <w:r>
        <w:rPr/>
        <w:t>）庞泰松先生：男，</w:t>
      </w:r>
      <w:r>
        <w:rPr>
          <w:rFonts w:ascii="Times New Roman" w:hAnsi="Times New Roman" w:cs="Times New Roman" w:eastAsia="Times New Roman" w:hint="default"/>
        </w:rPr>
        <w:t>1971</w:t>
      </w:r>
      <w:r>
        <w:rPr/>
        <w:t>年生，本科学历，加拿大国籍。曾在广州东方宝龙特种汽车股份有限公司、多伦多</w:t>
      </w:r>
      <w:r>
        <w:rPr>
          <w:rFonts w:ascii="Times New Roman" w:hAnsi="Times New Roman" w:cs="Times New Roman" w:eastAsia="Times New Roman" w:hint="default"/>
        </w:rPr>
        <w:t>PC24 Company</w:t>
      </w:r>
      <w:r>
        <w:rPr/>
        <w:t>、多伦多</w:t>
      </w:r>
      <w:r>
        <w:rPr>
          <w:rFonts w:ascii="Times New Roman" w:hAnsi="Times New Roman" w:cs="Times New Roman" w:eastAsia="Times New Roman" w:hint="default"/>
        </w:rPr>
        <w:t>ROADSPORT</w:t>
      </w:r>
      <w:r>
        <w:rPr/>
        <w:t>本田车行工作。现任公司副董事长、副总经理。</w:t>
      </w:r>
    </w:p>
    <w:p>
      <w:pPr>
        <w:pStyle w:val="BodyText"/>
        <w:spacing w:line="300" w:lineRule="auto" w:before="53"/>
        <w:ind w:right="144" w:firstLine="360"/>
        <w:jc w:val="left"/>
      </w:pPr>
      <w:r>
        <w:rPr/>
        <w:t>（</w:t>
      </w:r>
      <w:r>
        <w:rPr>
          <w:rFonts w:ascii="Times New Roman" w:hAnsi="Times New Roman" w:cs="Times New Roman" w:eastAsia="Times New Roman" w:hint="default"/>
        </w:rPr>
        <w:t>4</w:t>
      </w:r>
      <w:r>
        <w:rPr/>
        <w:t>）谭骅先生：男，</w:t>
      </w:r>
      <w:r>
        <w:rPr>
          <w:rFonts w:ascii="Times New Roman" w:hAnsi="Times New Roman" w:cs="Times New Roman" w:eastAsia="Times New Roman" w:hint="default"/>
        </w:rPr>
        <w:t>1972</w:t>
      </w:r>
      <w:r>
        <w:rPr/>
        <w:t>年生，武汉大学工商管理硕士，经济师。曾任职于中国农业银行，有丰富的金融投资及企业 管理经验。现任公司董事、副总经理兼董事会秘书</w:t>
      </w:r>
    </w:p>
    <w:p>
      <w:pPr>
        <w:pStyle w:val="BodyText"/>
        <w:spacing w:line="240" w:lineRule="auto" w:before="70"/>
        <w:ind w:left="513" w:right="153"/>
        <w:jc w:val="left"/>
      </w:pPr>
      <w:r>
        <w:rPr/>
        <w:t>（</w:t>
      </w:r>
      <w:r>
        <w:rPr>
          <w:rFonts w:ascii="Times New Roman" w:hAnsi="Times New Roman" w:cs="Times New Roman" w:eastAsia="Times New Roman" w:hint="default"/>
        </w:rPr>
        <w:t>5</w:t>
      </w:r>
      <w:r>
        <w:rPr/>
        <w:t>）梁行先生：男，</w:t>
      </w:r>
      <w:r>
        <w:rPr>
          <w:rFonts w:ascii="Times New Roman" w:hAnsi="Times New Roman" w:cs="Times New Roman" w:eastAsia="Times New Roman" w:hint="default"/>
        </w:rPr>
        <w:t>1973</w:t>
      </w:r>
      <w:r>
        <w:rPr/>
        <w:t>年生，本科学历。现任公司董事，广州市好易达家居网络科技有限公司首席执行官。</w:t>
      </w:r>
    </w:p>
    <w:p>
      <w:pPr>
        <w:pStyle w:val="BodyText"/>
        <w:spacing w:line="300" w:lineRule="auto" w:before="103"/>
        <w:ind w:right="144" w:firstLine="360"/>
        <w:jc w:val="left"/>
      </w:pPr>
      <w:r>
        <w:rPr/>
        <w:t>（</w:t>
      </w:r>
      <w:r>
        <w:rPr>
          <w:rFonts w:ascii="Times New Roman" w:hAnsi="Times New Roman" w:cs="Times New Roman" w:eastAsia="Times New Roman" w:hint="default"/>
        </w:rPr>
        <w:t>6</w:t>
      </w:r>
      <w:r>
        <w:rPr/>
        <w:t>）徐印州先生：男，</w:t>
      </w:r>
      <w:r>
        <w:rPr>
          <w:rFonts w:ascii="Times New Roman" w:hAnsi="Times New Roman" w:cs="Times New Roman" w:eastAsia="Times New Roman" w:hint="default"/>
        </w:rPr>
        <w:t>1946</w:t>
      </w:r>
      <w:r>
        <w:rPr/>
        <w:t>年出生。现任公司独立董事、广东财经大学教授、中国商业经济学会副会长、广东省综合 改革发展研究院院长。</w:t>
      </w:r>
    </w:p>
    <w:p>
      <w:pPr>
        <w:pStyle w:val="BodyText"/>
        <w:spacing w:line="300" w:lineRule="auto" w:before="72"/>
        <w:ind w:right="144" w:firstLine="360"/>
        <w:jc w:val="left"/>
      </w:pPr>
      <w:r>
        <w:rPr/>
        <w:t>（</w:t>
      </w:r>
      <w:r>
        <w:rPr>
          <w:rFonts w:ascii="Times New Roman" w:hAnsi="Times New Roman" w:cs="Times New Roman" w:eastAsia="Times New Roman" w:hint="default"/>
        </w:rPr>
        <w:t>7</w:t>
      </w:r>
      <w:r>
        <w:rPr/>
        <w:t>）石本仁先生：男，</w:t>
      </w:r>
      <w:r>
        <w:rPr>
          <w:rFonts w:ascii="Times New Roman" w:hAnsi="Times New Roman" w:cs="Times New Roman" w:eastAsia="Times New Roman" w:hint="default"/>
        </w:rPr>
        <w:t>1964</w:t>
      </w:r>
      <w:r>
        <w:rPr/>
        <w:t>年生，博士，会计学教授。曾于武汉供销学校任教，武汉工业大学任教。现于广州暨南大 学会计系任教。现任公司独立董事，广州发展实业控股集团股份有限公司独立董事。</w:t>
      </w:r>
    </w:p>
    <w:p>
      <w:pPr>
        <w:pStyle w:val="BodyText"/>
        <w:spacing w:line="309" w:lineRule="auto" w:before="70"/>
        <w:ind w:right="151" w:firstLine="360"/>
        <w:jc w:val="both"/>
      </w:pPr>
      <w:r>
        <w:rPr/>
        <w:t>（</w:t>
      </w:r>
      <w:r>
        <w:rPr>
          <w:rFonts w:ascii="Times New Roman" w:hAnsi="Times New Roman" w:cs="Times New Roman" w:eastAsia="Times New Roman" w:hint="default"/>
        </w:rPr>
        <w:t>8</w:t>
      </w:r>
      <w:r>
        <w:rPr/>
        <w:t>）张华先生：男，</w:t>
      </w:r>
      <w:r>
        <w:rPr>
          <w:rFonts w:ascii="Times New Roman" w:hAnsi="Times New Roman" w:cs="Times New Roman" w:eastAsia="Times New Roman" w:hint="default"/>
        </w:rPr>
        <w:t>1965</w:t>
      </w:r>
      <w:r>
        <w:rPr/>
        <w:t>年生，经济学硕士。曾在国家开发银行广东省分行、广东金手指投资顾问有限公司、广州市 </w:t>
      </w:r>
      <w:r>
        <w:rPr>
          <w:spacing w:val="-2"/>
        </w:rPr>
        <w:t>宝鑫控股集团有限公司、君华集团有限公司、广州市英智财华投资有限公司等单位工作，历任业务主管、分析师、总监、总</w:t>
      </w:r>
      <w:r>
        <w:rPr>
          <w:spacing w:val="-70"/>
        </w:rPr>
        <w:t> </w:t>
      </w:r>
      <w:r>
        <w:rPr>
          <w:spacing w:val="-70"/>
        </w:rPr>
      </w:r>
      <w:r>
        <w:rPr>
          <w:spacing w:val="-2"/>
        </w:rPr>
        <w:t>裁助理、副总经理等职务。现任公司独立董事，广州德瑞投资有限责任公司副总经理，兼任深圳东盈瑞通投资管理合伙企业</w:t>
      </w:r>
    </w:p>
    <w:p>
      <w:pPr>
        <w:pStyle w:val="BodyText"/>
        <w:spacing w:line="240" w:lineRule="auto" w:before="25"/>
        <w:ind w:right="153"/>
        <w:jc w:val="left"/>
      </w:pPr>
      <w:r>
        <w:rPr/>
        <w:t>（有限合伙）副总经理，广东电力发展股份有限公司独立董事。</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left="513" w:right="153"/>
        <w:jc w:val="left"/>
      </w:pPr>
      <w:r>
        <w:rPr>
          <w:rFonts w:ascii="Times New Roman" w:hAnsi="Times New Roman" w:cs="Times New Roman" w:eastAsia="Times New Roman" w:hint="default"/>
        </w:rPr>
        <w:t>2</w:t>
      </w:r>
      <w:r>
        <w:rPr/>
        <w:t>、监事会成员</w:t>
      </w:r>
    </w:p>
    <w:p>
      <w:pPr>
        <w:pStyle w:val="BodyText"/>
        <w:spacing w:line="300" w:lineRule="auto" w:before="101"/>
        <w:ind w:right="144" w:firstLine="360"/>
        <w:jc w:val="left"/>
      </w:pPr>
      <w:r>
        <w:rPr/>
        <w:t>（</w:t>
      </w:r>
      <w:r>
        <w:rPr>
          <w:rFonts w:ascii="Times New Roman" w:hAnsi="Times New Roman" w:cs="Times New Roman" w:eastAsia="Times New Roman" w:hint="default"/>
        </w:rPr>
        <w:t>1</w:t>
      </w:r>
      <w:r>
        <w:rPr/>
        <w:t>）梁晓芹女士：女，</w:t>
      </w:r>
      <w:r>
        <w:rPr>
          <w:rFonts w:ascii="Times New Roman" w:hAnsi="Times New Roman" w:cs="Times New Roman" w:eastAsia="Times New Roman" w:hint="default"/>
        </w:rPr>
        <w:t>1977</w:t>
      </w:r>
      <w:r>
        <w:rPr/>
        <w:t>年生，贸易经济和工业分析双专业本科学历。人力资源高级管理师、经济师。</w:t>
      </w:r>
      <w:r>
        <w:rPr>
          <w:rFonts w:ascii="Times New Roman" w:hAnsi="Times New Roman" w:cs="Times New Roman" w:eastAsia="Times New Roman" w:hint="default"/>
        </w:rPr>
        <w:t>2001</w:t>
      </w:r>
      <w:r>
        <w:rPr/>
        <w:t>年加入 公司，现任公司人力行政中心总监，第五届监事会主席。</w:t>
      </w:r>
    </w:p>
    <w:p>
      <w:pPr>
        <w:pStyle w:val="BodyText"/>
        <w:spacing w:line="240" w:lineRule="auto" w:before="72"/>
        <w:ind w:left="513" w:right="153"/>
        <w:jc w:val="left"/>
      </w:pPr>
      <w:r>
        <w:rPr/>
        <w:t>（</w:t>
      </w:r>
      <w:r>
        <w:rPr>
          <w:rFonts w:ascii="Times New Roman" w:hAnsi="Times New Roman" w:cs="Times New Roman" w:eastAsia="Times New Roman" w:hint="default"/>
        </w:rPr>
        <w:t>2</w:t>
      </w:r>
      <w:r>
        <w:rPr/>
        <w:t>）龚穗娟女士：女，</w:t>
      </w:r>
      <w:r>
        <w:rPr>
          <w:rFonts w:ascii="Times New Roman" w:hAnsi="Times New Roman" w:cs="Times New Roman" w:eastAsia="Times New Roman" w:hint="default"/>
        </w:rPr>
        <w:t>1973</w:t>
      </w:r>
      <w:r>
        <w:rPr/>
        <w:t>年生，大专学历。现任公司股东代表监事，广州利讯汽车配件有限公司会计。</w:t>
      </w:r>
    </w:p>
    <w:p>
      <w:pPr>
        <w:pStyle w:val="BodyText"/>
        <w:spacing w:line="300" w:lineRule="auto" w:before="103"/>
        <w:ind w:right="144" w:firstLine="360"/>
        <w:jc w:val="left"/>
      </w:pPr>
      <w:r>
        <w:rPr/>
        <w:t>（</w:t>
      </w:r>
      <w:r>
        <w:rPr>
          <w:rFonts w:ascii="Times New Roman" w:hAnsi="Times New Roman" w:cs="Times New Roman" w:eastAsia="Times New Roman" w:hint="default"/>
        </w:rPr>
        <w:t>3</w:t>
      </w:r>
      <w:r>
        <w:rPr/>
        <w:t>）张成虎先生：男，</w:t>
      </w:r>
      <w:r>
        <w:rPr>
          <w:rFonts w:ascii="Times New Roman" w:hAnsi="Times New Roman" w:cs="Times New Roman" w:eastAsia="Times New Roman" w:hint="default"/>
        </w:rPr>
        <w:t>1975</w:t>
      </w:r>
      <w:r>
        <w:rPr/>
        <w:t>年生，高中学历。曾在广州宝龙集团有限公司行政部工作。现任公司物业管理部副经理、 职工代表监事。</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513" w:right="153"/>
        <w:jc w:val="left"/>
      </w:pPr>
      <w:r>
        <w:rPr>
          <w:rFonts w:ascii="Times New Roman" w:hAnsi="Times New Roman" w:cs="Times New Roman" w:eastAsia="Times New Roman" w:hint="default"/>
        </w:rPr>
        <w:t>3</w:t>
      </w:r>
      <w:r>
        <w:rPr/>
        <w:t>、高级管理人员</w:t>
      </w:r>
    </w:p>
    <w:p>
      <w:pPr>
        <w:pStyle w:val="BodyText"/>
        <w:spacing w:line="240" w:lineRule="auto" w:before="103"/>
        <w:ind w:left="513" w:right="153"/>
        <w:jc w:val="left"/>
      </w:pPr>
      <w:r>
        <w:rPr/>
        <w:t>（</w:t>
      </w:r>
      <w:r>
        <w:rPr>
          <w:rFonts w:ascii="Times New Roman" w:hAnsi="Times New Roman" w:cs="Times New Roman" w:eastAsia="Times New Roman" w:hint="default"/>
        </w:rPr>
        <w:t>1</w:t>
      </w:r>
      <w:r>
        <w:rPr/>
        <w:t>）杨文江先生：公司总经理（简历见前述董事介绍）</w:t>
      </w:r>
    </w:p>
    <w:p>
      <w:pPr>
        <w:pStyle w:val="BodyText"/>
        <w:spacing w:line="240" w:lineRule="auto" w:before="101"/>
        <w:ind w:left="513" w:right="153"/>
        <w:jc w:val="left"/>
      </w:pPr>
      <w:r>
        <w:rPr/>
        <w:t>（</w:t>
      </w:r>
      <w:r>
        <w:rPr>
          <w:rFonts w:ascii="Times New Roman" w:hAnsi="Times New Roman" w:cs="Times New Roman" w:eastAsia="Times New Roman" w:hint="default"/>
        </w:rPr>
        <w:t>2</w:t>
      </w:r>
      <w:r>
        <w:rPr/>
        <w:t>）高永坚先生：公司副总经理（简历见前述董事介绍）</w:t>
      </w:r>
    </w:p>
    <w:p>
      <w:pPr>
        <w:pStyle w:val="BodyText"/>
        <w:spacing w:line="240" w:lineRule="auto" w:before="103"/>
        <w:ind w:left="513" w:right="153"/>
        <w:jc w:val="left"/>
      </w:pPr>
      <w:r>
        <w:rPr/>
        <w:t>（</w:t>
      </w:r>
      <w:r>
        <w:rPr>
          <w:rFonts w:ascii="Times New Roman" w:hAnsi="Times New Roman" w:cs="Times New Roman" w:eastAsia="Times New Roman" w:hint="default"/>
        </w:rPr>
        <w:t>3</w:t>
      </w:r>
      <w:r>
        <w:rPr/>
        <w:t>）庞泰松先生：公司副总经理（简历见前述董事介绍）</w:t>
      </w:r>
    </w:p>
    <w:p>
      <w:pPr>
        <w:pStyle w:val="BodyText"/>
        <w:spacing w:line="240" w:lineRule="auto" w:before="103"/>
        <w:ind w:left="513" w:right="153"/>
        <w:jc w:val="left"/>
      </w:pPr>
      <w:r>
        <w:rPr/>
        <w:t>（</w:t>
      </w:r>
      <w:r>
        <w:rPr>
          <w:rFonts w:ascii="Times New Roman" w:hAnsi="Times New Roman" w:cs="Times New Roman" w:eastAsia="Times New Roman" w:hint="default"/>
        </w:rPr>
        <w:t>4</w:t>
      </w:r>
      <w:r>
        <w:rPr/>
        <w:t>）谭骅先生：公司副总经理、董事会秘书（简历见前述董事介绍）</w:t>
      </w:r>
    </w:p>
    <w:p>
      <w:pPr>
        <w:pStyle w:val="BodyText"/>
        <w:spacing w:line="300" w:lineRule="auto" w:before="101"/>
        <w:ind w:right="144" w:firstLine="360"/>
        <w:jc w:val="left"/>
      </w:pPr>
      <w:r>
        <w:rPr/>
        <w:t>（</w:t>
      </w:r>
      <w:r>
        <w:rPr>
          <w:rFonts w:ascii="Times New Roman" w:hAnsi="Times New Roman" w:cs="Times New Roman" w:eastAsia="Times New Roman" w:hint="default"/>
        </w:rPr>
        <w:t>5</w:t>
      </w:r>
      <w:r>
        <w:rPr/>
        <w:t>）徐德银先生：男，</w:t>
      </w:r>
      <w:r>
        <w:rPr>
          <w:rFonts w:ascii="Times New Roman" w:hAnsi="Times New Roman" w:cs="Times New Roman" w:eastAsia="Times New Roman" w:hint="default"/>
        </w:rPr>
        <w:t>1976</w:t>
      </w:r>
      <w:r>
        <w:rPr/>
        <w:t>年生，本科。曾任职于雅思商务、广东金宇恒科技有限公司担任研发中心经理。后加入公 司，历任公司软件产品管理部经理、软件总监、客户服务总监，现任公司副总经理。</w:t>
      </w:r>
    </w:p>
    <w:p>
      <w:pPr>
        <w:pStyle w:val="BodyText"/>
        <w:spacing w:line="300" w:lineRule="auto" w:before="72"/>
        <w:ind w:right="144" w:firstLine="360"/>
        <w:jc w:val="left"/>
      </w:pPr>
      <w:r>
        <w:rPr/>
        <w:t>（</w:t>
      </w:r>
      <w:r>
        <w:rPr>
          <w:rFonts w:ascii="Times New Roman" w:hAnsi="Times New Roman" w:cs="Times New Roman" w:eastAsia="Times New Roman" w:hint="default"/>
        </w:rPr>
        <w:t>6</w:t>
      </w:r>
      <w:r>
        <w:rPr/>
        <w:t>）陈国军先生：男，</w:t>
      </w:r>
      <w:r>
        <w:rPr>
          <w:rFonts w:ascii="Times New Roman" w:hAnsi="Times New Roman" w:cs="Times New Roman" w:eastAsia="Times New Roman" w:hint="default"/>
        </w:rPr>
        <w:t>1978</w:t>
      </w:r>
      <w:r>
        <w:rPr/>
        <w:t>年生，本科学历，中国注册会计师。曾任中山大学达安基因股份有限公司财务主管，广东 大地电影院线有限公司财务经理。现任公司财务总监。</w:t>
      </w:r>
    </w:p>
    <w:p>
      <w:pPr>
        <w:pStyle w:val="BodyText"/>
        <w:spacing w:line="300" w:lineRule="auto" w:before="72"/>
        <w:ind w:right="144" w:firstLine="360"/>
        <w:jc w:val="left"/>
      </w:pPr>
      <w:r>
        <w:rPr/>
        <w:t>（</w:t>
      </w:r>
      <w:r>
        <w:rPr>
          <w:rFonts w:ascii="Times New Roman" w:hAnsi="Times New Roman" w:cs="Times New Roman" w:eastAsia="Times New Roman" w:hint="default"/>
        </w:rPr>
        <w:t>7</w:t>
      </w:r>
      <w:r>
        <w:rPr/>
        <w:t>）李克福先生：男，</w:t>
      </w:r>
      <w:r>
        <w:rPr>
          <w:rFonts w:ascii="Times New Roman" w:hAnsi="Times New Roman" w:cs="Times New Roman" w:eastAsia="Times New Roman" w:hint="default"/>
        </w:rPr>
        <w:t>1968</w:t>
      </w:r>
      <w:r>
        <w:rPr/>
        <w:t>年生，本科学历，加入公司后，历任公司行政主管、行政经理、行政总监，现任公司公共 事务部总监，公司副总经理。</w:t>
      </w:r>
    </w:p>
    <w:p>
      <w:pPr>
        <w:pStyle w:val="BodyText"/>
        <w:spacing w:line="240" w:lineRule="auto" w:before="70"/>
        <w:ind w:right="153"/>
        <w:jc w:val="left"/>
      </w:pPr>
      <w:r>
        <w:rPr/>
        <w:t>在股东单位任职情况</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1324"/>
        <w:gridCol w:w="1665"/>
        <w:gridCol w:w="1037"/>
        <w:gridCol w:w="1495"/>
        <w:gridCol w:w="1479"/>
        <w:gridCol w:w="1354"/>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9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5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4" w:right="60"/>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2" w:right="38"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谭骅</w:t>
            </w:r>
          </w:p>
        </w:tc>
        <w:tc>
          <w:tcPr>
            <w:tcW w:w="2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广州花都稠州村镇银行股份有限公司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703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53"/>
        <w:jc w:val="left"/>
      </w:pPr>
      <w:r>
        <w:rPr/>
        <w:t>在其他单位任职情况</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86" w:footer="1021" w:top="1100" w:bottom="1220" w:left="980" w:right="980"/>
        </w:sectPr>
      </w:pPr>
    </w:p>
    <w:p>
      <w:pPr>
        <w:spacing w:line="240" w:lineRule="auto" w:before="5"/>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855"/>
        <w:gridCol w:w="2835"/>
        <w:gridCol w:w="1954"/>
        <w:gridCol w:w="1512"/>
        <w:gridCol w:w="1637"/>
        <w:gridCol w:w="1416"/>
      </w:tblGrid>
      <w:tr>
        <w:trPr>
          <w:trHeight w:val="713"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4" w:right="58"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3" w:right="71"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广州杰萃投资有限公司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广州奕萃投资管理有限公司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00" w:right="70" w:hanging="629"/>
              <w:jc w:val="left"/>
              <w:rPr>
                <w:rFonts w:ascii="宋体" w:hAnsi="宋体" w:cs="宋体" w:eastAsia="宋体" w:hint="default"/>
                <w:sz w:val="18"/>
                <w:szCs w:val="18"/>
              </w:rPr>
            </w:pPr>
            <w:r>
              <w:rPr>
                <w:rFonts w:ascii="宋体" w:hAnsi="宋体" w:cs="宋体" w:eastAsia="宋体" w:hint="default"/>
                <w:sz w:val="18"/>
                <w:szCs w:val="18"/>
              </w:rPr>
              <w:t>法定代表人兼执行董事 兼经理</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庞泰松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庞泰松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陈国军</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陈国军</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陈国军</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石本仁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暨南大学</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石本仁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9"/>
              <w:jc w:val="left"/>
              <w:rPr>
                <w:rFonts w:ascii="宋体" w:hAnsi="宋体" w:cs="宋体" w:eastAsia="宋体" w:hint="default"/>
                <w:sz w:val="18"/>
                <w:szCs w:val="18"/>
              </w:rPr>
            </w:pPr>
            <w:r>
              <w:rPr>
                <w:rFonts w:ascii="宋体" w:hAnsi="宋体" w:cs="宋体" w:eastAsia="宋体" w:hint="default"/>
                <w:sz w:val="18"/>
                <w:szCs w:val="18"/>
              </w:rPr>
              <w:t>广州发展实业控股集团股份有限公 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张华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广东电力发展股份有限公司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张华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广州德瑞投资有限责任公司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深圳东盈瑞通投资管理合伙企业</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徐印州</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广东财经大学</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梁行</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广州市好易达家居网络科技有限公 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首席执行官</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6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6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532" w:right="0"/>
        <w:jc w:val="left"/>
      </w:pPr>
      <w:r>
        <w:rPr/>
        <w:t>公司现任及报告期内离任董事、监事和高级管理人员近三年证券监管机构处罚的情况</w:t>
      </w:r>
    </w:p>
    <w:p>
      <w:pPr>
        <w:pStyle w:val="BodyText"/>
        <w:spacing w:line="240" w:lineRule="auto" w:before="115"/>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532"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893" w:right="0" w:hanging="361"/>
        <w:jc w:val="left"/>
      </w:pPr>
      <w:r>
        <w:rPr/>
        <w:t>董事、监事、高级管理人员报酬的决策程序、确定依据、实际支付情况 </w:t>
      </w:r>
      <w:r>
        <w:rPr>
          <w:spacing w:val="-2"/>
        </w:rPr>
        <w:t>在公司任职的内部董事、监事和高级管理人员按其行政岗位及职务，根据公司现行的工资制度领取薪酬，高级管理人员</w:t>
      </w:r>
    </w:p>
    <w:p>
      <w:pPr>
        <w:pStyle w:val="BodyText"/>
        <w:spacing w:line="236" w:lineRule="exact"/>
        <w:ind w:left="532" w:right="0"/>
        <w:jc w:val="left"/>
      </w:pPr>
      <w:r>
        <w:rPr/>
        <w:t>实行年薪制，年薪与年度经营指标完成情况挂钩。经公司董事会、股东大会审议批准，公司独立董事津贴为</w:t>
      </w:r>
      <w:r>
        <w:rPr>
          <w:rFonts w:ascii="Times New Roman" w:hAnsi="Times New Roman" w:cs="Times New Roman" w:eastAsia="Times New Roman" w:hint="default"/>
        </w:rPr>
        <w:t>6</w:t>
      </w:r>
      <w:r>
        <w:rPr/>
        <w:t>万元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w:t>
      </w:r>
      <w:r>
        <w:rPr/>
        <w:t>税前</w:t>
      </w:r>
      <w:r>
        <w:rPr>
          <w:rFonts w:ascii="Times New Roman" w:hAnsi="Times New Roman" w:cs="Times New Roman" w:eastAsia="Times New Roman" w:hint="default"/>
        </w:rPr>
        <w:t>)</w:t>
      </w:r>
      <w:r>
        <w:rPr/>
        <w:t>，</w:t>
      </w:r>
    </w:p>
    <w:p>
      <w:pPr>
        <w:pStyle w:val="BodyText"/>
        <w:spacing w:line="316" w:lineRule="auto" w:before="63"/>
        <w:ind w:left="532" w:right="0"/>
        <w:jc w:val="left"/>
      </w:pPr>
      <w:r>
        <w:rPr>
          <w:spacing w:val="-2"/>
        </w:rPr>
        <w:t>独立董事津贴均按具体任职时间及规定发放。董事、监事、高级管理人员为参加会议发生的差旅费、办公费等履职费用由公</w:t>
      </w:r>
      <w:r>
        <w:rPr>
          <w:spacing w:val="-66"/>
        </w:rPr>
        <w:t> </w:t>
      </w:r>
      <w:r>
        <w:rPr>
          <w:spacing w:val="-66"/>
        </w:rPr>
      </w:r>
      <w:r>
        <w:rPr/>
        <w:t>司承担。</w:t>
      </w:r>
    </w:p>
    <w:p>
      <w:pPr>
        <w:pStyle w:val="BodyText"/>
        <w:spacing w:line="240" w:lineRule="auto" w:before="59"/>
        <w:ind w:left="532" w:right="0"/>
        <w:jc w:val="left"/>
      </w:pPr>
      <w:r>
        <w:rPr/>
        <w:t>公司报告期内董事、监事和高级管理人员报酬情况</w:t>
      </w:r>
    </w:p>
    <w:p>
      <w:pPr>
        <w:pStyle w:val="BodyText"/>
        <w:spacing w:line="240" w:lineRule="auto" w:before="114"/>
        <w:ind w:left="0" w:right="251"/>
        <w:jc w:val="right"/>
      </w:pPr>
      <w:r>
        <w:rPr/>
        <w:t>单位：万元</w:t>
      </w:r>
    </w:p>
    <w:p>
      <w:pPr>
        <w:spacing w:after="0" w:line="240" w:lineRule="auto"/>
        <w:jc w:val="right"/>
        <w:sectPr>
          <w:footerReference w:type="default" r:id="rId16"/>
          <w:pgSz w:w="11910" w:h="16840"/>
          <w:pgMar w:footer="1021" w:header="786" w:top="1100" w:bottom="1220" w:left="600" w:right="880"/>
          <w:pgNumType w:start="5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136"/>
        <w:gridCol w:w="1601"/>
        <w:gridCol w:w="1368"/>
        <w:gridCol w:w="1366"/>
        <w:gridCol w:w="1368"/>
        <w:gridCol w:w="1366"/>
        <w:gridCol w:w="1368"/>
      </w:tblGrid>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0"/>
              <w:jc w:val="right"/>
              <w:rPr>
                <w:rFonts w:ascii="宋体" w:hAnsi="宋体" w:cs="宋体" w:eastAsia="宋体" w:hint="default"/>
                <w:sz w:val="18"/>
                <w:szCs w:val="18"/>
              </w:rPr>
            </w:pPr>
            <w:r>
              <w:rPr>
                <w:rFonts w:ascii="宋体" w:hAnsi="宋体" w:cs="宋体" w:eastAsia="宋体" w:hint="default"/>
                <w:sz w:val="18"/>
                <w:szCs w:val="18"/>
              </w:rPr>
              <w:t>杨文江</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庞泰松</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副董事长</w:t>
            </w:r>
            <w:r>
              <w:rPr>
                <w:rFonts w:ascii="宋体" w:hAnsi="宋体" w:cs="宋体" w:eastAsia="宋体" w:hint="default"/>
                <w:spacing w:val="-75"/>
                <w:sz w:val="18"/>
                <w:szCs w:val="18"/>
              </w:rPr>
              <w:t>、</w:t>
            </w: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0"/>
              <w:jc w:val="right"/>
              <w:rPr>
                <w:rFonts w:ascii="宋体" w:hAnsi="宋体" w:cs="宋体" w:eastAsia="宋体" w:hint="default"/>
                <w:sz w:val="18"/>
                <w:szCs w:val="18"/>
              </w:rPr>
            </w:pPr>
            <w:r>
              <w:rPr>
                <w:rFonts w:ascii="宋体" w:hAnsi="宋体" w:cs="宋体" w:eastAsia="宋体" w:hint="default"/>
                <w:sz w:val="18"/>
                <w:szCs w:val="18"/>
              </w:rPr>
              <w:t>高永坚</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副董事长</w:t>
            </w:r>
            <w:r>
              <w:rPr>
                <w:rFonts w:ascii="宋体" w:hAnsi="宋体" w:cs="宋体" w:eastAsia="宋体" w:hint="default"/>
                <w:spacing w:val="-75"/>
                <w:sz w:val="18"/>
                <w:szCs w:val="18"/>
              </w:rPr>
              <w:t>、</w:t>
            </w: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36" w:right="17" w:hanging="413"/>
              <w:jc w:val="left"/>
              <w:rPr>
                <w:rFonts w:ascii="宋体" w:hAnsi="宋体" w:cs="宋体" w:eastAsia="宋体" w:hint="default"/>
                <w:sz w:val="18"/>
                <w:szCs w:val="18"/>
              </w:rPr>
            </w:pPr>
            <w:r>
              <w:rPr>
                <w:rFonts w:ascii="宋体" w:hAnsi="宋体" w:cs="宋体" w:eastAsia="宋体" w:hint="default"/>
                <w:spacing w:val="-8"/>
                <w:sz w:val="18"/>
                <w:szCs w:val="18"/>
              </w:rPr>
              <w:t>董事、副总经理、董</w:t>
            </w:r>
            <w:r>
              <w:rPr>
                <w:rFonts w:ascii="宋体" w:hAnsi="宋体" w:cs="宋体" w:eastAsia="宋体" w:hint="default"/>
                <w:sz w:val="18"/>
                <w:szCs w:val="18"/>
              </w:rPr>
              <w:t> 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梁行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徐印州</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0"/>
              <w:jc w:val="right"/>
              <w:rPr>
                <w:rFonts w:ascii="宋体" w:hAnsi="宋体" w:cs="宋体" w:eastAsia="宋体" w:hint="default"/>
                <w:sz w:val="18"/>
                <w:szCs w:val="18"/>
              </w:rPr>
            </w:pPr>
            <w:r>
              <w:rPr>
                <w:rFonts w:ascii="宋体" w:hAnsi="宋体" w:cs="宋体" w:eastAsia="宋体" w:hint="default"/>
                <w:sz w:val="18"/>
                <w:szCs w:val="18"/>
              </w:rPr>
              <w:t>石本仁</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8"/>
              <w:jc w:val="righ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0"/>
              <w:jc w:val="right"/>
              <w:rPr>
                <w:rFonts w:ascii="宋体" w:hAnsi="宋体" w:cs="宋体" w:eastAsia="宋体" w:hint="default"/>
                <w:sz w:val="18"/>
                <w:szCs w:val="18"/>
              </w:rPr>
            </w:pPr>
            <w:r>
              <w:rPr>
                <w:rFonts w:ascii="宋体" w:hAnsi="宋体" w:cs="宋体" w:eastAsia="宋体" w:hint="default"/>
                <w:sz w:val="18"/>
                <w:szCs w:val="18"/>
              </w:rPr>
              <w:t>梁晓芹</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龚穗娟</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0"/>
              <w:jc w:val="right"/>
              <w:rPr>
                <w:rFonts w:ascii="宋体" w:hAnsi="宋体" w:cs="宋体" w:eastAsia="宋体" w:hint="default"/>
                <w:sz w:val="18"/>
                <w:szCs w:val="18"/>
              </w:rPr>
            </w:pPr>
            <w:r>
              <w:rPr>
                <w:rFonts w:ascii="宋体" w:hAnsi="宋体" w:cs="宋体" w:eastAsia="宋体" w:hint="default"/>
                <w:sz w:val="18"/>
                <w:szCs w:val="18"/>
              </w:rPr>
              <w:t>张成虎</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徐德银</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0"/>
              <w:jc w:val="right"/>
              <w:rPr>
                <w:rFonts w:ascii="宋体" w:hAnsi="宋体" w:cs="宋体" w:eastAsia="宋体" w:hint="default"/>
                <w:sz w:val="18"/>
                <w:szCs w:val="18"/>
              </w:rPr>
            </w:pPr>
            <w:r>
              <w:rPr>
                <w:rFonts w:ascii="宋体" w:hAnsi="宋体" w:cs="宋体" w:eastAsia="宋体" w:hint="default"/>
                <w:sz w:val="18"/>
                <w:szCs w:val="18"/>
              </w:rPr>
              <w:t>陈国军</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李克福</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333.49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公司董事、监事、高级管理人员报告期内被授予的股权激励情况</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468</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w:t>
            </w:r>
          </w:p>
        </w:tc>
      </w:tr>
    </w:tbl>
    <w:p>
      <w:pPr>
        <w:spacing w:after="0" w:line="240" w:lineRule="auto"/>
        <w:jc w:val="center"/>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5"/>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79"/>
        <w:gridCol w:w="4792"/>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121</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468</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228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w:t>
              <w:tab/>
              <w:t>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189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468</w:t>
            </w:r>
          </w:p>
        </w:tc>
      </w:tr>
    </w:tbl>
    <w:p>
      <w:pPr>
        <w:spacing w:line="240" w:lineRule="auto" w:before="3"/>
        <w:rPr>
          <w:rFonts w:ascii="宋体" w:hAnsi="宋体" w:cs="宋体" w:eastAsia="宋体" w:hint="default"/>
          <w:b/>
          <w:bCs/>
          <w:sz w:val="19"/>
          <w:szCs w:val="19"/>
        </w:rPr>
      </w:pPr>
    </w:p>
    <w:p>
      <w:pPr>
        <w:spacing w:before="36"/>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316" w:lineRule="auto"/>
        <w:ind w:right="94" w:firstLine="360"/>
        <w:jc w:val="left"/>
      </w:pPr>
      <w:r>
        <w:rPr>
          <w:spacing w:val="-2"/>
        </w:rPr>
        <w:t>为充分发掘员工潜力，调动员工的工作积极性，吸引优秀的人才，提高公司的竞争力和工作效率，公司一直致力于构建</w:t>
      </w:r>
      <w:r>
        <w:rPr/>
        <w:t> 符合国家法律法规要求且具有竞争力的薪酬体系，并提供激励性的绩效考核方案，特别加强了对研发团队的考核激励政策。 同时，公司也在不断完善福利体系，除正常为员工缴纳各项法定福利外，公司还提供餐费津贴、交通班车、生日活动费用、 </w:t>
      </w:r>
      <w:r>
        <w:rPr>
          <w:spacing w:val="-2"/>
        </w:rPr>
        <w:t>团队活动费用、年度旅游等，员工生日、结婚、生子公司发放礼金给员工，及传统节假日，公司会发放礼金或礼品给全体员</w:t>
      </w:r>
      <w:r>
        <w:rPr>
          <w:spacing w:val="-67"/>
        </w:rPr>
        <w:t> </w:t>
      </w:r>
      <w:r>
        <w:rPr>
          <w:spacing w:val="-67"/>
        </w:rPr>
      </w:r>
      <w:r>
        <w:rPr/>
        <w:t>工。</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94" w:firstLine="360"/>
        <w:jc w:val="left"/>
      </w:pPr>
      <w:r>
        <w:rPr>
          <w:spacing w:val="-2"/>
        </w:rPr>
        <w:t>在人才培养方面，御银侧重专业领域的技能培训，为员工提供技术、业务、管理三条晋升通道，引导员工充分挖掘自身</w:t>
      </w:r>
      <w:r>
        <w:rPr/>
        <w:t> </w:t>
      </w:r>
      <w:r>
        <w:rPr>
          <w:spacing w:val="-2"/>
        </w:rPr>
        <w:t>潜能，与企业核心价值相结合更好的实现自身价值，以拓宽员工发展空间，实现员工与企业的共同成长。与此同时，御银还</w:t>
      </w:r>
      <w:r>
        <w:rPr>
          <w:spacing w:val="-67"/>
        </w:rPr>
        <w:t> </w:t>
      </w:r>
      <w:r>
        <w:rPr>
          <w:spacing w:val="-67"/>
        </w:rPr>
      </w:r>
      <w:r>
        <w:rPr>
          <w:spacing w:val="-4"/>
        </w:rPr>
        <w:t>不断完善培训资料库，积极引进市场上的先进思路与管理工具，并制定了完善的职业培训计划，为员工提供各类型专业培训。</w:t>
      </w:r>
      <w:r>
        <w:rPr>
          <w:spacing w:val="-44"/>
        </w:rPr>
        <w:t> </w:t>
      </w:r>
      <w:r>
        <w:rPr>
          <w:spacing w:val="-44"/>
        </w:rPr>
      </w:r>
      <w:r>
        <w:rPr/>
        <w:t>计划中涉及的课程类型包括，新员工导向培训、职业素养培训、职业能力、管理提升、通用技能、体系安全以及岗位基础、 专业技能提升等八大类别。</w:t>
      </w:r>
    </w:p>
    <w:p>
      <w:pPr>
        <w:spacing w:line="240" w:lineRule="auto" w:before="9"/>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3,237,382.92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72,207,345.66</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right="3465"/>
        <w:jc w:val="center"/>
        <w:rPr>
          <w:b w:val="0"/>
          <w:bCs w:val="0"/>
        </w:rPr>
      </w:pPr>
      <w:bookmarkStart w:name="_TOC_250002"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rPr>
          <w:rFonts w:ascii="Times New Roman" w:hAnsi="Times New Roman" w:cs="Times New Roman" w:eastAsia="Times New Roman" w:hint="default"/>
        </w:rPr>
      </w:pPr>
      <w:r>
        <w:rPr>
          <w:spacing w:val="-2"/>
        </w:rPr>
        <w:t>报告期内，公司严格按照《公司法》、《证券法》、《上市公司治理准则》、《深圳证券交易所股票上市规则》、《上</w:t>
      </w:r>
      <w:r>
        <w:rPr/>
        <w:t> 市公司章程指引》、《深圳证券交易所中小企业板上市公司规范运作指引》等相关法律法规的要求和《公司章程》的规定， 不断建立健全法人治理结构和公司治理制度，进一步规范公司运作，切实提高了公司治理水平。报告期内，公司股东大会、 董事会、监事会运作规范，公司经营管理决策程序合规有效。</w:t>
      </w:r>
      <w:r>
        <w:rPr>
          <w:spacing w:val="-17"/>
        </w:rPr>
        <w:t> </w:t>
      </w:r>
      <w:r>
        <w:rPr/>
        <w:t>报告期内，公司根据国家有关法律法规和监管部门的规范性</w:t>
      </w:r>
      <w:r>
        <w:rPr/>
        <w:t> 文件、自律规则等及公司实际情况的变化，公司修订的各项制度及相关公开信息披露情况如下</w:t>
      </w:r>
      <w:r>
        <w:rPr>
          <w:rFonts w:ascii="Times New Roman" w:hAnsi="Times New Roman" w:cs="Times New Roman" w:eastAsia="Times New Roman" w:hint="default"/>
        </w:rPr>
        <w:t>:</w:t>
      </w:r>
    </w:p>
    <w:tbl>
      <w:tblPr>
        <w:tblW w:w="0" w:type="auto"/>
        <w:jc w:val="left"/>
        <w:tblInd w:w="145" w:type="dxa"/>
        <w:tblLayout w:type="fixed"/>
        <w:tblCellMar>
          <w:top w:w="0" w:type="dxa"/>
          <w:left w:w="0" w:type="dxa"/>
          <w:bottom w:w="0" w:type="dxa"/>
          <w:right w:w="0" w:type="dxa"/>
        </w:tblCellMar>
        <w:tblLook w:val="01E0"/>
      </w:tblPr>
      <w:tblGrid>
        <w:gridCol w:w="675"/>
        <w:gridCol w:w="6131"/>
        <w:gridCol w:w="1136"/>
        <w:gridCol w:w="1416"/>
      </w:tblGrid>
      <w:tr>
        <w:trPr>
          <w:trHeight w:val="342" w:hRule="exact"/>
        </w:trPr>
        <w:tc>
          <w:tcPr>
            <w:tcW w:w="67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613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113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1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346" w:hRule="exact"/>
        </w:trPr>
        <w:tc>
          <w:tcPr>
            <w:tcW w:w="67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41" w:right="0"/>
              <w:jc w:val="left"/>
              <w:rPr>
                <w:rFonts w:ascii="Times New Roman" w:hAnsi="Times New Roman" w:cs="Times New Roman" w:eastAsia="Times New Roman" w:hint="default"/>
                <w:sz w:val="18"/>
                <w:szCs w:val="18"/>
              </w:rPr>
            </w:pPr>
            <w:r>
              <w:rPr>
                <w:rFonts w:ascii="Times New Roman"/>
                <w:sz w:val="18"/>
              </w:rPr>
              <w:t>2015-04-29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 w:right="0"/>
              <w:jc w:val="center"/>
              <w:rPr>
                <w:rFonts w:ascii="Times New Roman" w:hAnsi="Times New Roman" w:cs="Times New Roman" w:eastAsia="Times New Roman" w:hint="default"/>
                <w:sz w:val="18"/>
                <w:szCs w:val="18"/>
              </w:rPr>
            </w:pPr>
            <w:r>
              <w:rPr>
                <w:rFonts w:ascii="Times New Roman"/>
                <w:sz w:val="18"/>
              </w:rPr>
              <w:t>2</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1" w:right="0"/>
              <w:jc w:val="left"/>
              <w:rPr>
                <w:rFonts w:ascii="Times New Roman" w:hAnsi="Times New Roman" w:cs="Times New Roman" w:eastAsia="Times New Roman" w:hint="default"/>
                <w:sz w:val="18"/>
                <w:szCs w:val="18"/>
              </w:rPr>
            </w:pPr>
            <w:r>
              <w:rPr>
                <w:rFonts w:ascii="Times New Roman"/>
                <w:sz w:val="18"/>
              </w:rPr>
              <w:t>2015-04-29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3</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监事会议事规则（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41" w:right="0"/>
              <w:jc w:val="left"/>
              <w:rPr>
                <w:rFonts w:ascii="Times New Roman" w:hAnsi="Times New Roman" w:cs="Times New Roman" w:eastAsia="Times New Roman" w:hint="default"/>
                <w:sz w:val="18"/>
                <w:szCs w:val="18"/>
              </w:rPr>
            </w:pPr>
            <w:r>
              <w:rPr>
                <w:rFonts w:ascii="Times New Roman"/>
                <w:sz w:val="18"/>
              </w:rPr>
              <w:t>2015-04-29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 w:right="0"/>
              <w:jc w:val="center"/>
              <w:rPr>
                <w:rFonts w:ascii="Times New Roman" w:hAnsi="Times New Roman" w:cs="Times New Roman" w:eastAsia="Times New Roman" w:hint="default"/>
                <w:sz w:val="18"/>
                <w:szCs w:val="18"/>
              </w:rPr>
            </w:pPr>
            <w:r>
              <w:rPr>
                <w:rFonts w:ascii="Times New Roman"/>
                <w:sz w:val="18"/>
              </w:rPr>
              <w:t>4</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1" w:right="0"/>
              <w:jc w:val="left"/>
              <w:rPr>
                <w:rFonts w:ascii="Times New Roman" w:hAnsi="Times New Roman" w:cs="Times New Roman" w:eastAsia="Times New Roman" w:hint="default"/>
                <w:sz w:val="18"/>
                <w:szCs w:val="18"/>
              </w:rPr>
            </w:pPr>
            <w:r>
              <w:rPr>
                <w:rFonts w:ascii="Times New Roman"/>
                <w:sz w:val="18"/>
              </w:rPr>
              <w:t>2015-04-29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5</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关联交易决策制度（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41" w:right="0"/>
              <w:jc w:val="left"/>
              <w:rPr>
                <w:rFonts w:ascii="Times New Roman" w:hAnsi="Times New Roman" w:cs="Times New Roman" w:eastAsia="Times New Roman" w:hint="default"/>
                <w:sz w:val="18"/>
                <w:szCs w:val="18"/>
              </w:rPr>
            </w:pPr>
            <w:r>
              <w:rPr>
                <w:rFonts w:ascii="Times New Roman"/>
                <w:sz w:val="18"/>
              </w:rPr>
              <w:t>2015-04-29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6</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对外担保决策制度（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41" w:right="0"/>
              <w:jc w:val="left"/>
              <w:rPr>
                <w:rFonts w:ascii="Times New Roman" w:hAnsi="Times New Roman" w:cs="Times New Roman" w:eastAsia="Times New Roman" w:hint="default"/>
                <w:sz w:val="18"/>
                <w:szCs w:val="18"/>
              </w:rPr>
            </w:pPr>
            <w:r>
              <w:rPr>
                <w:rFonts w:ascii="Times New Roman"/>
                <w:sz w:val="18"/>
              </w:rPr>
              <w:t>2015-04-29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 w:right="0"/>
              <w:jc w:val="center"/>
              <w:rPr>
                <w:rFonts w:ascii="Times New Roman" w:hAnsi="Times New Roman" w:cs="Times New Roman" w:eastAsia="Times New Roman" w:hint="default"/>
                <w:sz w:val="18"/>
                <w:szCs w:val="18"/>
              </w:rPr>
            </w:pPr>
            <w:r>
              <w:rPr>
                <w:rFonts w:ascii="Times New Roman"/>
                <w:sz w:val="18"/>
              </w:rPr>
              <w:t>7</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对外投资管理制度（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1" w:right="0"/>
              <w:jc w:val="left"/>
              <w:rPr>
                <w:rFonts w:ascii="Times New Roman" w:hAnsi="Times New Roman" w:cs="Times New Roman" w:eastAsia="Times New Roman" w:hint="default"/>
                <w:sz w:val="18"/>
                <w:szCs w:val="18"/>
              </w:rPr>
            </w:pPr>
            <w:r>
              <w:rPr>
                <w:rFonts w:ascii="Times New Roman"/>
                <w:sz w:val="18"/>
              </w:rPr>
              <w:t>2015-04-29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8</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利润分配管理制度（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41" w:right="0"/>
              <w:jc w:val="left"/>
              <w:rPr>
                <w:rFonts w:ascii="Times New Roman" w:hAnsi="Times New Roman" w:cs="Times New Roman" w:eastAsia="Times New Roman" w:hint="default"/>
                <w:sz w:val="18"/>
                <w:szCs w:val="18"/>
              </w:rPr>
            </w:pPr>
            <w:r>
              <w:rPr>
                <w:rFonts w:ascii="Times New Roman"/>
                <w:sz w:val="18"/>
              </w:rPr>
              <w:t>2015-04-29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 w:right="0"/>
              <w:jc w:val="center"/>
              <w:rPr>
                <w:rFonts w:ascii="Times New Roman" w:hAnsi="Times New Roman" w:cs="Times New Roman" w:eastAsia="Times New Roman" w:hint="default"/>
                <w:sz w:val="18"/>
                <w:szCs w:val="18"/>
              </w:rPr>
            </w:pPr>
            <w:r>
              <w:rPr>
                <w:rFonts w:ascii="Times New Roman"/>
                <w:sz w:val="18"/>
              </w:rPr>
              <w:t>9</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独立董事工作方法（</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1" w:right="0"/>
              <w:jc w:val="left"/>
              <w:rPr>
                <w:rFonts w:ascii="Times New Roman" w:hAnsi="Times New Roman" w:cs="Times New Roman" w:eastAsia="Times New Roman" w:hint="default"/>
                <w:sz w:val="18"/>
                <w:szCs w:val="18"/>
              </w:rPr>
            </w:pPr>
            <w:r>
              <w:rPr>
                <w:rFonts w:ascii="Times New Roman"/>
                <w:sz w:val="18"/>
              </w:rPr>
              <w:t>2015-04-29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7" w:right="0"/>
              <w:jc w:val="center"/>
              <w:rPr>
                <w:rFonts w:ascii="Times New Roman" w:hAnsi="Times New Roman" w:cs="Times New Roman" w:eastAsia="Times New Roman" w:hint="default"/>
                <w:sz w:val="18"/>
                <w:szCs w:val="18"/>
              </w:rPr>
            </w:pPr>
            <w:r>
              <w:rPr>
                <w:rFonts w:ascii="Times New Roman"/>
                <w:sz w:val="18"/>
              </w:rPr>
              <w:t>10</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41" w:right="0"/>
              <w:jc w:val="left"/>
              <w:rPr>
                <w:rFonts w:ascii="Times New Roman" w:hAnsi="Times New Roman" w:cs="Times New Roman" w:eastAsia="Times New Roman" w:hint="default"/>
                <w:sz w:val="18"/>
                <w:szCs w:val="18"/>
              </w:rPr>
            </w:pPr>
            <w:r>
              <w:rPr>
                <w:rFonts w:ascii="Times New Roman"/>
                <w:sz w:val="18"/>
              </w:rPr>
              <w:t>2015-04-29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7" w:right="0"/>
              <w:jc w:val="center"/>
              <w:rPr>
                <w:rFonts w:ascii="Times New Roman" w:hAnsi="Times New Roman" w:cs="Times New Roman" w:eastAsia="Times New Roman" w:hint="default"/>
                <w:sz w:val="18"/>
                <w:szCs w:val="18"/>
              </w:rPr>
            </w:pPr>
            <w:r>
              <w:rPr>
                <w:rFonts w:ascii="Times New Roman"/>
                <w:sz w:val="18"/>
              </w:rPr>
              <w:t>11</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内部审计制度（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41" w:right="0"/>
              <w:jc w:val="left"/>
              <w:rPr>
                <w:rFonts w:ascii="Times New Roman" w:hAnsi="Times New Roman" w:cs="Times New Roman" w:eastAsia="Times New Roman" w:hint="default"/>
                <w:sz w:val="18"/>
                <w:szCs w:val="18"/>
              </w:rPr>
            </w:pPr>
            <w:r>
              <w:rPr>
                <w:rFonts w:ascii="Times New Roman"/>
                <w:sz w:val="18"/>
              </w:rPr>
              <w:t>2015-04-29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7" w:right="0"/>
              <w:jc w:val="center"/>
              <w:rPr>
                <w:rFonts w:ascii="Times New Roman" w:hAnsi="Times New Roman" w:cs="Times New Roman" w:eastAsia="Times New Roman" w:hint="default"/>
                <w:sz w:val="18"/>
                <w:szCs w:val="18"/>
              </w:rPr>
            </w:pPr>
            <w:r>
              <w:rPr>
                <w:rFonts w:ascii="Times New Roman"/>
                <w:sz w:val="18"/>
              </w:rPr>
              <w:t>12</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总经理办公会议制度（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1" w:right="0"/>
              <w:jc w:val="left"/>
              <w:rPr>
                <w:rFonts w:ascii="Times New Roman" w:hAnsi="Times New Roman" w:cs="Times New Roman" w:eastAsia="Times New Roman" w:hint="default"/>
                <w:sz w:val="18"/>
                <w:szCs w:val="18"/>
              </w:rPr>
            </w:pPr>
            <w:r>
              <w:rPr>
                <w:rFonts w:ascii="Times New Roman"/>
                <w:sz w:val="18"/>
              </w:rPr>
              <w:t>2015-04-29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7" w:right="0"/>
              <w:jc w:val="center"/>
              <w:rPr>
                <w:rFonts w:ascii="Times New Roman" w:hAnsi="Times New Roman" w:cs="Times New Roman" w:eastAsia="Times New Roman" w:hint="default"/>
                <w:sz w:val="18"/>
                <w:szCs w:val="18"/>
              </w:rPr>
            </w:pPr>
            <w:r>
              <w:rPr>
                <w:rFonts w:ascii="Times New Roman"/>
                <w:sz w:val="18"/>
              </w:rPr>
              <w:t>13</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关于会计估计变更的议案（</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41" w:right="0"/>
              <w:jc w:val="left"/>
              <w:rPr>
                <w:rFonts w:ascii="Times New Roman" w:hAnsi="Times New Roman" w:cs="Times New Roman" w:eastAsia="Times New Roman" w:hint="default"/>
                <w:sz w:val="18"/>
                <w:szCs w:val="18"/>
              </w:rPr>
            </w:pPr>
            <w:r>
              <w:rPr>
                <w:rFonts w:ascii="Times New Roman"/>
                <w:sz w:val="18"/>
              </w:rPr>
              <w:t>2015-04-29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309" w:lineRule="auto" w:before="5"/>
        <w:ind w:left="513" w:right="94"/>
        <w:jc w:val="left"/>
      </w:pPr>
      <w:r>
        <w:rPr/>
        <w:t>截止报告期末，公司已基本建立了完善的治理制度，公司治理结构符合上市公司治理的规范性要求。 </w:t>
      </w:r>
      <w:r>
        <w:rPr>
          <w:rFonts w:ascii="Times New Roman" w:hAnsi="Times New Roman" w:cs="Times New Roman" w:eastAsia="Times New Roman" w:hint="default"/>
        </w:rPr>
        <w:t>1</w:t>
      </w:r>
      <w:r>
        <w:rPr/>
        <w:t>、关于股东与股东大会 </w:t>
      </w:r>
      <w:r>
        <w:rPr>
          <w:spacing w:val="-2"/>
        </w:rPr>
        <w:t>公司严格按照《公司章程》、《上市公司股东大会规则》、《公司法》和公司《股东大会议事规则》等法律法规及制度</w:t>
      </w:r>
    </w:p>
    <w:p>
      <w:pPr>
        <w:pStyle w:val="BodyText"/>
        <w:spacing w:line="312" w:lineRule="auto" w:before="24"/>
        <w:ind w:right="94"/>
        <w:jc w:val="left"/>
      </w:pPr>
      <w:r>
        <w:rPr/>
        <w:t>的要求，规范股东大会的召集、召开、表决程序，能够确保全体股东特别是中小股东享有平等地位，充分行使自己的权利。 </w:t>
      </w:r>
      <w:r>
        <w:rPr>
          <w:spacing w:val="-2"/>
        </w:rPr>
        <w:t>重大事项的表决公司同时采取现场会议和网络投票的方式，确保更多中小股东能参与到公司的决策程序中。</w:t>
      </w:r>
      <w:r>
        <w:rPr>
          <w:rFonts w:ascii="Times New Roman" w:hAnsi="Times New Roman" w:cs="Times New Roman" w:eastAsia="Times New Roman" w:hint="default"/>
          <w:spacing w:val="-2"/>
        </w:rPr>
        <w:t>2015</w:t>
      </w:r>
      <w:r>
        <w:rPr>
          <w:spacing w:val="-2"/>
        </w:rPr>
        <w:t>年共召开股</w:t>
      </w:r>
      <w:r>
        <w:rPr>
          <w:spacing w:val="-60"/>
        </w:rPr>
        <w:t> </w:t>
      </w:r>
      <w:r>
        <w:rPr>
          <w:spacing w:val="-60"/>
        </w:rPr>
      </w:r>
      <w:r>
        <w:rPr/>
        <w:t>东大会</w:t>
      </w:r>
      <w:r>
        <w:rPr>
          <w:rFonts w:ascii="Times New Roman" w:hAnsi="Times New Roman" w:cs="Times New Roman" w:eastAsia="Times New Roman" w:hint="default"/>
        </w:rPr>
        <w:t>3</w:t>
      </w:r>
      <w:r>
        <w:rPr/>
        <w:t>次，均由董事会召集召开，均同时采取了现场会议和网络投票的方式，对重大事项还实行了中小股东单独计票；报 </w:t>
      </w:r>
      <w:r>
        <w:rPr>
          <w:spacing w:val="-2"/>
        </w:rPr>
        <w:t>告期内股东大会的召集、召开、表决程序均经两位见证律师见证，全部合法有效。根据《公司章程》及相关法律法规的规定</w:t>
      </w:r>
      <w:r>
        <w:rPr>
          <w:spacing w:val="-70"/>
        </w:rPr>
        <w:t> </w:t>
      </w:r>
      <w:r>
        <w:rPr>
          <w:spacing w:val="-70"/>
        </w:rPr>
      </w:r>
      <w:r>
        <w:rPr>
          <w:spacing w:val="-2"/>
        </w:rPr>
        <w:t>应由股东大会表决的事项均按照相应的权限审批后交由股东大会审议，不存在越权审批的现象，也不存在先实施后审议的情</w:t>
      </w:r>
      <w:r>
        <w:rPr>
          <w:spacing w:val="-62"/>
        </w:rPr>
        <w:t> </w:t>
      </w:r>
      <w:r>
        <w:rPr>
          <w:spacing w:val="-62"/>
        </w:rPr>
      </w:r>
      <w:r>
        <w:rPr/>
        <w:t>况。</w:t>
      </w:r>
    </w:p>
    <w:p>
      <w:pPr>
        <w:pStyle w:val="BodyText"/>
        <w:spacing w:line="300" w:lineRule="auto" w:before="22"/>
        <w:ind w:left="513" w:right="94"/>
        <w:jc w:val="left"/>
      </w:pPr>
      <w:r>
        <w:rPr>
          <w:rFonts w:ascii="Times New Roman" w:hAnsi="Times New Roman" w:cs="Times New Roman" w:eastAsia="Times New Roman" w:hint="default"/>
        </w:rPr>
        <w:t>2</w:t>
      </w:r>
      <w:r>
        <w:rPr/>
        <w:t>、关于公司与控股股东 </w:t>
      </w:r>
      <w:r>
        <w:rPr>
          <w:spacing w:val="-2"/>
        </w:rPr>
        <w:t>公司在业务和经营上保持独立，在业务、人员、资产、机构、财务上均独立于控股股东，公司董事会、监事会和内部机</w:t>
      </w:r>
    </w:p>
    <w:p>
      <w:pPr>
        <w:pStyle w:val="BodyText"/>
        <w:spacing w:line="316" w:lineRule="auto" w:before="29"/>
        <w:ind w:right="191"/>
        <w:jc w:val="both"/>
      </w:pPr>
      <w:r>
        <w:rPr>
          <w:spacing w:val="-2"/>
        </w:rPr>
        <w:t>构根据各议事规则及公司制度独立运作。公司控股股东行为规范，能依法行使其权利，并承担相应义务，未出现越过公司股</w:t>
      </w:r>
      <w:r>
        <w:rPr>
          <w:spacing w:val="-64"/>
        </w:rPr>
        <w:t> </w:t>
      </w:r>
      <w:r>
        <w:rPr>
          <w:spacing w:val="-64"/>
        </w:rPr>
      </w:r>
      <w:r>
        <w:rPr>
          <w:spacing w:val="-2"/>
        </w:rPr>
        <w:t>东大会直接或间接干预公司决策和经营活动的行为。截至报告期末，公司不存在控股股东占用上市公司资金或者上市公司违</w:t>
      </w:r>
      <w:r>
        <w:rPr>
          <w:spacing w:val="-64"/>
        </w:rPr>
        <w:t> </w:t>
      </w:r>
      <w:r>
        <w:rPr>
          <w:spacing w:val="-64"/>
        </w:rPr>
      </w:r>
      <w:r>
        <w:rPr/>
        <w:t>规为控股股东提供担保的情况。</w:t>
      </w:r>
    </w:p>
    <w:p>
      <w:pPr>
        <w:pStyle w:val="BodyText"/>
        <w:spacing w:line="300" w:lineRule="auto" w:before="19"/>
        <w:ind w:left="513" w:right="93"/>
        <w:jc w:val="left"/>
      </w:pPr>
      <w:r>
        <w:rPr>
          <w:rFonts w:ascii="Times New Roman" w:hAnsi="Times New Roman" w:cs="Times New Roman" w:eastAsia="Times New Roman" w:hint="default"/>
        </w:rPr>
        <w:t>3</w:t>
      </w:r>
      <w:r>
        <w:rPr/>
        <w:t>、关于董事和董事会 公司董事会的人数与成员构成及董事的任职资格均符合相关法律法规与公司章程的要求，董事的选聘程序公开、公平、</w:t>
      </w:r>
    </w:p>
    <w:p>
      <w:pPr>
        <w:pStyle w:val="BodyText"/>
        <w:spacing w:line="240" w:lineRule="auto" w:before="31"/>
        <w:ind w:right="0"/>
        <w:jc w:val="both"/>
      </w:pPr>
      <w:r>
        <w:rPr/>
        <w:t>公正，董事人员构成和人数符合法律、法规的要求。公司董事会由</w:t>
      </w:r>
      <w:r>
        <w:rPr>
          <w:rFonts w:ascii="Times New Roman" w:hAnsi="Times New Roman" w:cs="Times New Roman" w:eastAsia="Times New Roman" w:hint="default"/>
        </w:rPr>
        <w:t>8</w:t>
      </w:r>
      <w:r>
        <w:rPr/>
        <w:t>名董事组成，其中独立董事</w:t>
      </w:r>
      <w:r>
        <w:rPr>
          <w:rFonts w:ascii="Times New Roman" w:hAnsi="Times New Roman" w:cs="Times New Roman" w:eastAsia="Times New Roman" w:hint="default"/>
        </w:rPr>
        <w:t>3</w:t>
      </w:r>
      <w:r>
        <w:rPr/>
        <w:t>名。独立董事占全体董事的</w:t>
      </w:r>
    </w:p>
    <w:p>
      <w:pPr>
        <w:spacing w:after="0" w:line="240" w:lineRule="auto"/>
        <w:jc w:val="both"/>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240" w:lineRule="auto" w:before="44"/>
        <w:ind w:right="0"/>
        <w:jc w:val="left"/>
      </w:pPr>
      <w:r>
        <w:rPr/>
        <w:t>三分之一以上，管理层董事未超过全体董事的二分之一。公司全体董事能够依据《董事会议事规则》、《独立董事制度》、</w:t>
      </w:r>
    </w:p>
    <w:p>
      <w:pPr>
        <w:pStyle w:val="BodyText"/>
        <w:spacing w:line="316" w:lineRule="auto" w:before="77"/>
        <w:ind w:right="94"/>
        <w:jc w:val="left"/>
      </w:pPr>
      <w:r>
        <w:rPr>
          <w:spacing w:val="-2"/>
        </w:rPr>
        <w:t>《深圳证券交易所中小企业板上市公司规范运作指引》等规定和《公司章程》等开展工作和履行职责，认真出席董事会和股</w:t>
      </w:r>
      <w:r>
        <w:rPr>
          <w:spacing w:val="-64"/>
        </w:rPr>
        <w:t> </w:t>
      </w:r>
      <w:r>
        <w:rPr>
          <w:spacing w:val="-64"/>
        </w:rPr>
      </w:r>
      <w:r>
        <w:rPr/>
        <w:t>东大会，积极参加对相关知识的培训，熟悉有关法律法规，勤勉尽责。董事会下设审计委员会、提名委员会、战略委员会、 薪酬与考核委员会四个专门委员会，各尽其责，为公司的治理和决策提供了宝贵的专业意见。</w:t>
      </w:r>
    </w:p>
    <w:p>
      <w:pPr>
        <w:pStyle w:val="BodyText"/>
        <w:spacing w:line="300" w:lineRule="auto" w:before="19"/>
        <w:ind w:left="513" w:right="94"/>
        <w:jc w:val="left"/>
      </w:pPr>
      <w:r>
        <w:rPr>
          <w:rFonts w:ascii="Times New Roman" w:hAnsi="Times New Roman" w:cs="Times New Roman" w:eastAsia="Times New Roman" w:hint="default"/>
        </w:rPr>
        <w:t>4</w:t>
      </w:r>
      <w:r>
        <w:rPr/>
        <w:t>、关于监事和监事会 </w:t>
      </w:r>
      <w:r>
        <w:rPr>
          <w:spacing w:val="-2"/>
        </w:rPr>
        <w:t>公司严格按照《公司法》、《公司章程》等有关规定选举监事，监事的选聘程序公开、公平、公正。公司第五届监事会</w:t>
      </w:r>
    </w:p>
    <w:p>
      <w:pPr>
        <w:pStyle w:val="BodyText"/>
        <w:spacing w:line="307" w:lineRule="auto" w:before="31"/>
        <w:ind w:right="191"/>
        <w:jc w:val="both"/>
      </w:pPr>
      <w:r>
        <w:rPr>
          <w:spacing w:val="-2"/>
        </w:rPr>
        <w:t>的选举采用累积投票的方式，职工监事由职工代表大会选举产。公司监事会由</w:t>
      </w:r>
      <w:r>
        <w:rPr>
          <w:rFonts w:ascii="Times New Roman" w:hAnsi="Times New Roman" w:cs="Times New Roman" w:eastAsia="Times New Roman" w:hint="default"/>
          <w:spacing w:val="-2"/>
        </w:rPr>
        <w:t>3</w:t>
      </w:r>
      <w:r>
        <w:rPr>
          <w:spacing w:val="-2"/>
        </w:rPr>
        <w:t>名监事组成，其中股东监事</w:t>
      </w:r>
      <w:r>
        <w:rPr>
          <w:rFonts w:ascii="Times New Roman" w:hAnsi="Times New Roman" w:cs="Times New Roman" w:eastAsia="Times New Roman" w:hint="default"/>
          <w:spacing w:val="-2"/>
        </w:rPr>
        <w:t>2</w:t>
      </w:r>
      <w:r>
        <w:rPr>
          <w:spacing w:val="-2"/>
        </w:rPr>
        <w:t>名、职工代表监</w:t>
      </w:r>
      <w:r>
        <w:rPr>
          <w:spacing w:val="-63"/>
        </w:rPr>
        <w:t> </w:t>
      </w:r>
      <w:r>
        <w:rPr>
          <w:spacing w:val="-63"/>
        </w:rPr>
      </w:r>
      <w:r>
        <w:rPr/>
        <w:t>事</w:t>
      </w:r>
      <w:r>
        <w:rPr>
          <w:rFonts w:ascii="Times New Roman" w:hAnsi="Times New Roman" w:cs="Times New Roman" w:eastAsia="Times New Roman" w:hint="default"/>
        </w:rPr>
        <w:t>1</w:t>
      </w:r>
      <w:r>
        <w:rPr/>
        <w:t>名。监事会的人数及结构符合法律法规和公司章程的要求。公司监事严格按照《监事会议事规则》等制度的规定，规范 </w:t>
      </w:r>
      <w:r>
        <w:rPr>
          <w:spacing w:val="-2"/>
        </w:rPr>
        <w:t>监事会的召集、召开和表决，认真履行了自己的职责，对公司的财务状况、运营情况、内部控制执行情况、重大事项的决策</w:t>
      </w:r>
      <w:r>
        <w:rPr>
          <w:spacing w:val="-68"/>
        </w:rPr>
        <w:t> </w:t>
      </w:r>
      <w:r>
        <w:rPr>
          <w:spacing w:val="-68"/>
        </w:rPr>
      </w:r>
      <w:r>
        <w:rPr/>
        <w:t>等以及公司董事和高级管理人员履行职责的情况实施监督，维护公司及各位股东的合法权益。</w:t>
      </w:r>
    </w:p>
    <w:p>
      <w:pPr>
        <w:pStyle w:val="BodyText"/>
        <w:spacing w:line="300" w:lineRule="auto" w:before="26"/>
        <w:ind w:left="513" w:right="94"/>
        <w:jc w:val="left"/>
      </w:pPr>
      <w:r>
        <w:rPr>
          <w:rFonts w:ascii="Times New Roman" w:hAnsi="Times New Roman" w:cs="Times New Roman" w:eastAsia="Times New Roman" w:hint="default"/>
        </w:rPr>
        <w:t>5</w:t>
      </w:r>
      <w:r>
        <w:rPr/>
        <w:t>、关于绩效评价与激励约束机制 </w:t>
      </w:r>
      <w:r>
        <w:rPr>
          <w:spacing w:val="-4"/>
        </w:rPr>
        <w:t>公司建立了公正、透明、有效的董事、监事和经理人员的绩效评价标准和激励约束机制，公司高级管理人员的聘任公开、</w:t>
      </w:r>
    </w:p>
    <w:p>
      <w:pPr>
        <w:pStyle w:val="BodyText"/>
        <w:spacing w:line="319" w:lineRule="auto" w:before="31"/>
        <w:ind w:right="94"/>
        <w:jc w:val="left"/>
      </w:pPr>
      <w:r>
        <w:rPr>
          <w:spacing w:val="-4"/>
        </w:rPr>
        <w:t>透明，严格按照有关法律法规的规定进行。报告期内通过第一次及第二次员工持股计划等方式加强对公司董事、高管的激励。</w:t>
      </w:r>
      <w:r>
        <w:rPr>
          <w:spacing w:val="-44"/>
        </w:rPr>
        <w:t> </w:t>
      </w:r>
      <w:r>
        <w:rPr>
          <w:spacing w:val="-44"/>
        </w:rPr>
      </w:r>
      <w:r>
        <w:rPr>
          <w:spacing w:val="-2"/>
        </w:rPr>
        <w:t>公司已建立了相关的业绩指标管理体系，经营管理层和员工的收入与其工作成效挂钩。公司还将根据自身经营发展状况不断</w:t>
      </w:r>
      <w:r>
        <w:rPr>
          <w:spacing w:val="-64"/>
        </w:rPr>
        <w:t> </w:t>
      </w:r>
      <w:r>
        <w:rPr>
          <w:spacing w:val="-64"/>
        </w:rPr>
      </w:r>
      <w:r>
        <w:rPr/>
        <w:t>完善绩效评价与激励约束机制。</w:t>
      </w:r>
    </w:p>
    <w:p>
      <w:pPr>
        <w:pStyle w:val="BodyText"/>
        <w:spacing w:line="300" w:lineRule="auto" w:before="17"/>
        <w:ind w:left="513" w:right="93"/>
        <w:jc w:val="left"/>
      </w:pPr>
      <w:r>
        <w:rPr>
          <w:rFonts w:ascii="Times New Roman" w:hAnsi="Times New Roman" w:cs="Times New Roman" w:eastAsia="Times New Roman" w:hint="default"/>
        </w:rPr>
        <w:t>6</w:t>
      </w:r>
      <w:r>
        <w:rPr/>
        <w:t>、关于相关利益者 公司在创造利润最大化的同时，充分尊重和维护相关利益者的合法权益，关注所在地区环境保护以及公益事业等问题，</w:t>
      </w:r>
    </w:p>
    <w:p>
      <w:pPr>
        <w:pStyle w:val="BodyText"/>
        <w:spacing w:line="316" w:lineRule="auto" w:before="31"/>
        <w:ind w:right="94"/>
        <w:jc w:val="left"/>
      </w:pPr>
      <w:r>
        <w:rPr>
          <w:spacing w:val="-2"/>
        </w:rPr>
        <w:t>积极主动承担社会责任，不断加强与各方的沟通交流，积极与相关利益者合作，诚信对待供应商和客户，努力促进和实现公</w:t>
      </w:r>
      <w:r>
        <w:rPr>
          <w:spacing w:val="-65"/>
        </w:rPr>
        <w:t> </w:t>
      </w:r>
      <w:r>
        <w:rPr>
          <w:spacing w:val="-65"/>
        </w:rPr>
      </w:r>
      <w:r>
        <w:rPr/>
        <w:t>司、股东、员工、最终用户、社会等各方利益的协调平衡，共同推动公司持续、稳定、健康地发展。</w:t>
      </w:r>
    </w:p>
    <w:p>
      <w:pPr>
        <w:pStyle w:val="BodyText"/>
        <w:spacing w:line="300" w:lineRule="auto" w:before="19"/>
        <w:ind w:left="513" w:right="94"/>
        <w:jc w:val="left"/>
      </w:pPr>
      <w:r>
        <w:rPr>
          <w:rFonts w:ascii="Times New Roman" w:hAnsi="Times New Roman" w:cs="Times New Roman" w:eastAsia="Times New Roman" w:hint="default"/>
        </w:rPr>
        <w:t>7</w:t>
      </w:r>
      <w:r>
        <w:rPr/>
        <w:t>、关于信息披露与透明度 </w:t>
      </w:r>
      <w:r>
        <w:rPr>
          <w:spacing w:val="-2"/>
        </w:rPr>
        <w:t>报告期内，公司严格按照《信息披露管理制度》、《公司章程》等相关法律、法规的规定，真实、准确、完整、及时地</w:t>
      </w:r>
    </w:p>
    <w:p>
      <w:pPr>
        <w:pStyle w:val="BodyText"/>
        <w:spacing w:line="300" w:lineRule="auto" w:before="31"/>
        <w:ind w:right="94"/>
        <w:jc w:val="left"/>
      </w:pPr>
      <w:r>
        <w:rPr>
          <w:spacing w:val="-2"/>
        </w:rPr>
        <w:t>披露了定期报告、临时公告共</w:t>
      </w:r>
      <w:r>
        <w:rPr>
          <w:rFonts w:ascii="Times New Roman" w:hAnsi="Times New Roman" w:cs="Times New Roman" w:eastAsia="Times New Roman" w:hint="default"/>
          <w:spacing w:val="-2"/>
        </w:rPr>
        <w:t>72</w:t>
      </w:r>
      <w:r>
        <w:rPr>
          <w:spacing w:val="-2"/>
        </w:rPr>
        <w:t>份，确保公司所有股东平等地获取公司治理和经营的重要信息。公司不断健全有关公司信息</w:t>
      </w:r>
      <w:r>
        <w:rPr>
          <w:spacing w:val="-65"/>
        </w:rPr>
        <w:t> </w:t>
      </w:r>
      <w:r>
        <w:rPr>
          <w:spacing w:val="-65"/>
        </w:rPr>
      </w:r>
      <w:r>
        <w:rPr/>
        <w:t>披露的管理制度，履行信息披露义务，公司董事会秘书负责信息披露工作和投资者关系管理工作，公司指定《证券时报》、</w:t>
      </w:r>
    </w:p>
    <w:p>
      <w:pPr>
        <w:pStyle w:val="BodyText"/>
        <w:spacing w:line="312" w:lineRule="auto" w:before="31"/>
        <w:ind w:right="190"/>
        <w:jc w:val="both"/>
      </w:pPr>
      <w:r>
        <w:rPr/>
        <w:t>《中国证券报》、《上海证券报》和巨潮资讯网</w:t>
      </w:r>
      <w:hyperlink r:id="rId17">
        <w:r>
          <w:rPr>
            <w:rFonts w:ascii="Times New Roman" w:hAnsi="Times New Roman" w:cs="Times New Roman" w:eastAsia="Times New Roman" w:hint="default"/>
          </w:rPr>
          <w:t>(htt</w:t>
        </w:r>
      </w:hyperlink>
      <w:r>
        <w:rPr>
          <w:rFonts w:ascii="Times New Roman" w:hAnsi="Times New Roman" w:cs="Times New Roman" w:eastAsia="Times New Roman" w:hint="default"/>
        </w:rPr>
        <w:t>p</w:t>
      </w:r>
      <w:hyperlink r:id="rId17">
        <w:r>
          <w:rPr>
            <w:rFonts w:ascii="Times New Roman" w:hAnsi="Times New Roman" w:cs="Times New Roman" w:eastAsia="Times New Roman" w:hint="default"/>
          </w:rPr>
          <w:t>://www.cninfo.com.cn/)</w:t>
        </w:r>
        <w:r>
          <w:rPr/>
          <w:t>为公司信息披露的报纸和网站，确保所有投资者</w:t>
        </w:r>
      </w:hyperlink>
      <w:r>
        <w:rPr/>
        <w:t> </w:t>
      </w:r>
      <w:r>
        <w:rPr>
          <w:spacing w:val="-2"/>
        </w:rPr>
        <w:t>及时、公平地获得公司相关信息。另外，公司建立了畅通的沟通渠道，设立投资者专线、创建投资者关系互动平台与投资者</w:t>
      </w:r>
      <w:r>
        <w:rPr>
          <w:spacing w:val="-67"/>
        </w:rPr>
        <w:t> </w:t>
      </w:r>
      <w:r>
        <w:rPr>
          <w:spacing w:val="-67"/>
        </w:rPr>
      </w:r>
      <w:r>
        <w:rPr>
          <w:spacing w:val="-2"/>
        </w:rPr>
        <w:t>进行沟通交流。公司还将不断适应新规则，进一步加强与广东证监局和深圳证券交易所的联系，从而更加准确地了解信息披</w:t>
      </w:r>
      <w:r>
        <w:rPr>
          <w:spacing w:val="-63"/>
        </w:rPr>
        <w:t> </w:t>
      </w:r>
      <w:r>
        <w:rPr>
          <w:spacing w:val="-63"/>
        </w:rPr>
      </w:r>
      <w:r>
        <w:rPr/>
        <w:t>露的具体要求，进一步提高公司的信息披露的质量。</w:t>
      </w:r>
    </w:p>
    <w:p>
      <w:pPr>
        <w:pStyle w:val="BodyText"/>
        <w:spacing w:line="300" w:lineRule="auto" w:before="22"/>
        <w:ind w:left="513" w:right="94"/>
        <w:jc w:val="left"/>
      </w:pPr>
      <w:r>
        <w:rPr>
          <w:rFonts w:ascii="Times New Roman" w:hAnsi="Times New Roman" w:cs="Times New Roman" w:eastAsia="Times New Roman" w:hint="default"/>
        </w:rPr>
        <w:t>8</w:t>
      </w:r>
      <w:r>
        <w:rPr/>
        <w:t>、内部审计制度 </w:t>
      </w:r>
      <w:r>
        <w:rPr>
          <w:spacing w:val="-2"/>
        </w:rPr>
        <w:t>公司已建立较为完善的内部审计制度，定期向董事会审计委员会报告工作，负责审核公司的经营、财务状况及对外披露</w:t>
      </w:r>
    </w:p>
    <w:p>
      <w:pPr>
        <w:pStyle w:val="BodyText"/>
        <w:spacing w:line="316" w:lineRule="auto" w:before="31"/>
        <w:ind w:right="94"/>
        <w:jc w:val="left"/>
      </w:pPr>
      <w:r>
        <w:rPr>
          <w:spacing w:val="-2"/>
        </w:rPr>
        <w:t>的财务信息、审查内部控制的执行情况和外部审计的沟通、监督和核查工作，对公司日常经营管理、内部控制和公司关联交</w:t>
      </w:r>
      <w:r>
        <w:rPr>
          <w:spacing w:val="-65"/>
        </w:rPr>
        <w:t> </w:t>
      </w:r>
      <w:r>
        <w:rPr>
          <w:spacing w:val="-65"/>
        </w:rPr>
      </w:r>
      <w:r>
        <w:rPr>
          <w:spacing w:val="-4"/>
        </w:rPr>
        <w:t>易及对外担保进行了有效控制。报告期内，公司的内部审计机构发挥了强化内部控制、改善经营管理、提高经济效益的作用，</w:t>
      </w:r>
      <w:r>
        <w:rPr>
          <w:spacing w:val="-46"/>
        </w:rPr>
        <w:t> </w:t>
      </w:r>
      <w:r>
        <w:rPr>
          <w:spacing w:val="-46"/>
        </w:rPr>
      </w:r>
      <w:r>
        <w:rPr/>
        <w:t>对公司的日常运行进行了有效的内部监督，保护了投资者的合法权益。</w:t>
      </w:r>
    </w:p>
    <w:p>
      <w:pPr>
        <w:pStyle w:val="BodyText"/>
        <w:spacing w:line="300" w:lineRule="auto" w:before="19"/>
        <w:ind w:left="513" w:right="94"/>
        <w:jc w:val="left"/>
      </w:pPr>
      <w:r>
        <w:rPr>
          <w:rFonts w:ascii="Times New Roman" w:hAnsi="Times New Roman" w:cs="Times New Roman" w:eastAsia="Times New Roman" w:hint="default"/>
        </w:rPr>
        <w:t>9</w:t>
      </w:r>
      <w:r>
        <w:rPr/>
        <w:t>、投资者关系 </w:t>
      </w:r>
      <w:r>
        <w:rPr>
          <w:spacing w:val="-2"/>
        </w:rPr>
        <w:t>公司十分重视投资者关系管理工作，安排专人做好投资者来访接待工作，规范接待投资者的实地调研，客观、真实、准</w:t>
      </w:r>
    </w:p>
    <w:p>
      <w:pPr>
        <w:pStyle w:val="BodyText"/>
        <w:spacing w:line="314" w:lineRule="auto" w:before="31"/>
        <w:ind w:right="191"/>
        <w:jc w:val="both"/>
      </w:pPr>
      <w:r>
        <w:rPr>
          <w:spacing w:val="-2"/>
        </w:rPr>
        <w:t>确、完整地向投资者介绍和反映公司的实际状况，严格遵守相关法律法规的规定，注重尚未公布信息及内部信息的保密，并</w:t>
      </w:r>
      <w:r>
        <w:rPr>
          <w:spacing w:val="-64"/>
        </w:rPr>
        <w:t> </w:t>
      </w:r>
      <w:r>
        <w:rPr>
          <w:spacing w:val="-64"/>
        </w:rPr>
      </w:r>
      <w:r>
        <w:rPr>
          <w:spacing w:val="-2"/>
        </w:rPr>
        <w:t>做好各次接待的资料存档工作。公司采取多种形式实施投资者关系管理，充分保证广大投资者的知情权。报告期内，公司累</w:t>
      </w:r>
      <w:r>
        <w:rPr>
          <w:spacing w:val="-64"/>
        </w:rPr>
        <w:t> </w:t>
      </w:r>
      <w:r>
        <w:rPr>
          <w:spacing w:val="-64"/>
        </w:rPr>
      </w:r>
      <w:r>
        <w:rPr/>
        <w:t>计接待了</w:t>
      </w:r>
      <w:r>
        <w:rPr>
          <w:rFonts w:ascii="Times New Roman" w:hAnsi="Times New Roman" w:cs="Times New Roman" w:eastAsia="Times New Roman" w:hint="default"/>
        </w:rPr>
        <w:t>12</w:t>
      </w:r>
      <w:r>
        <w:rPr/>
        <w:t>家机构</w:t>
      </w:r>
      <w:r>
        <w:rPr>
          <w:rFonts w:ascii="Times New Roman" w:hAnsi="Times New Roman" w:cs="Times New Roman" w:eastAsia="Times New Roman" w:hint="default"/>
        </w:rPr>
        <w:t>2</w:t>
      </w:r>
      <w:r>
        <w:rPr/>
        <w:t>次实地调研，调研的主要内容为公司经营情况；报告期内，通过公司网站、投资者关系管理热线电话、 </w:t>
      </w:r>
      <w:r>
        <w:rPr>
          <w:spacing w:val="-2"/>
        </w:rPr>
        <w:t>电子信箱、传真、巨潮资讯网、深圳交易所投资者互动易平台等多种渠道加强与投资者、潜在投资者之间的交流，尽可能解</w:t>
      </w:r>
      <w:r>
        <w:rPr>
          <w:spacing w:val="-67"/>
        </w:rPr>
        <w:t> </w:t>
      </w:r>
      <w:r>
        <w:rPr>
          <w:spacing w:val="-67"/>
        </w:rPr>
      </w:r>
      <w:r>
        <w:rPr/>
        <w:t>答投资者的疑问，增进投资者对公司的了解和信心。</w:t>
      </w:r>
    </w:p>
    <w:p>
      <w:pPr>
        <w:spacing w:line="240" w:lineRule="auto" w:before="6"/>
        <w:rPr>
          <w:rFonts w:ascii="宋体" w:hAnsi="宋体" w:cs="宋体" w:eastAsia="宋体" w:hint="default"/>
          <w:sz w:val="25"/>
          <w:szCs w:val="25"/>
        </w:rPr>
      </w:pPr>
    </w:p>
    <w:p>
      <w:pPr>
        <w:pStyle w:val="BodyText"/>
        <w:spacing w:line="240" w:lineRule="auto"/>
        <w:ind w:right="94"/>
        <w:jc w:val="left"/>
      </w:pPr>
      <w:r>
        <w:rPr/>
        <w:t>公司治理的实际状况与中国证监会发布的有关上市公司治理的规范性文件是否存在重大差异</w:t>
      </w:r>
    </w:p>
    <w:p>
      <w:pPr>
        <w:pStyle w:val="BodyText"/>
        <w:spacing w:line="300" w:lineRule="auto" w:before="76"/>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after="0" w:line="300" w:lineRule="auto"/>
        <w:jc w:val="left"/>
        <w:sectPr>
          <w:pgSz w:w="11910" w:h="16840"/>
          <w:pgMar w:header="786" w:footer="1021" w:top="1100" w:bottom="1220" w:left="980" w:right="940"/>
        </w:sectPr>
      </w:pPr>
    </w:p>
    <w:p>
      <w:pPr>
        <w:spacing w:line="240" w:lineRule="auto" w:before="4"/>
        <w:rPr>
          <w:rFonts w:ascii="宋体" w:hAnsi="宋体" w:cs="宋体" w:eastAsia="宋体" w:hint="default"/>
          <w:sz w:val="20"/>
          <w:szCs w:val="20"/>
        </w:rPr>
      </w:pPr>
    </w:p>
    <w:p>
      <w:pPr>
        <w:pStyle w:val="Heading2"/>
        <w:spacing w:line="240" w:lineRule="auto" w:before="26"/>
        <w:ind w:right="414"/>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33"/>
          <w:szCs w:val="33"/>
        </w:rPr>
      </w:pPr>
    </w:p>
    <w:p>
      <w:pPr>
        <w:pStyle w:val="BodyText"/>
        <w:spacing w:line="316" w:lineRule="auto"/>
        <w:ind w:right="414" w:firstLine="360"/>
        <w:jc w:val="left"/>
      </w:pPr>
      <w:r>
        <w:rPr>
          <w:spacing w:val="-2"/>
        </w:rPr>
        <w:t>公司在业务、资产、人员、机构、财务等方面与控股股东之间相互独立，具有独立完整的业务及面向市场自主经营的能</w:t>
      </w:r>
      <w:r>
        <w:rPr/>
        <w:t> 力，具有完整的供应、生产和销售及售后服务系统。</w:t>
      </w:r>
    </w:p>
    <w:p>
      <w:pPr>
        <w:pStyle w:val="BodyText"/>
        <w:spacing w:line="300" w:lineRule="auto" w:before="19"/>
        <w:ind w:left="513" w:right="414"/>
        <w:jc w:val="left"/>
      </w:pPr>
      <w:r>
        <w:rPr>
          <w:rFonts w:ascii="Times New Roman" w:hAnsi="Times New Roman" w:cs="Times New Roman" w:eastAsia="Times New Roman" w:hint="default"/>
        </w:rPr>
        <w:t>1</w:t>
      </w:r>
      <w:r>
        <w:rPr/>
        <w:t>、业务独立 </w:t>
      </w:r>
      <w:r>
        <w:rPr>
          <w:spacing w:val="-2"/>
        </w:rPr>
        <w:t>公司目前已拥有了从事所属业务生产经营所必需的生产经营性资产及辅助设施，拥有包括独立的研发、采购、生产、销</w:t>
      </w:r>
    </w:p>
    <w:p>
      <w:pPr>
        <w:pStyle w:val="BodyText"/>
        <w:spacing w:line="316" w:lineRule="auto" w:before="31"/>
        <w:ind w:left="513" w:right="414" w:hanging="361"/>
        <w:jc w:val="left"/>
      </w:pPr>
      <w:r>
        <w:rPr>
          <w:spacing w:val="-4"/>
        </w:rPr>
        <w:t>售、质量控制、售后服务在内的完整的主营业务体系，维持了主营业务的完整、独立与连续，也确保了公司的独立规范运营。</w:t>
      </w:r>
      <w:r>
        <w:rPr>
          <w:spacing w:val="-44"/>
        </w:rPr>
        <w:t> </w:t>
      </w:r>
      <w:r>
        <w:rPr>
          <w:spacing w:val="-44"/>
        </w:rPr>
      </w:r>
      <w:r>
        <w:rPr>
          <w:spacing w:val="-2"/>
        </w:rPr>
        <w:t>公司拥有独立完整的研发、供应、生产和销售业务体系，具有面对市场独立经营的能力，不存在其他需要依赖股东及其</w:t>
      </w:r>
    </w:p>
    <w:p>
      <w:pPr>
        <w:pStyle w:val="BodyText"/>
        <w:spacing w:line="316" w:lineRule="auto" w:before="19"/>
        <w:ind w:left="513" w:right="414" w:hanging="361"/>
        <w:jc w:val="left"/>
      </w:pPr>
      <w:r>
        <w:rPr/>
        <w:t>他关联方进行生产经营活动的情况。 </w:t>
      </w:r>
      <w:r>
        <w:rPr>
          <w:spacing w:val="-2"/>
        </w:rPr>
        <w:t>公司及其控股子公司与控股股东、实际控制人及其控制的其他企业间不存在同业竞争和显失公平的关联交易。对于日常</w:t>
      </w:r>
    </w:p>
    <w:p>
      <w:pPr>
        <w:pStyle w:val="BodyText"/>
        <w:spacing w:line="309" w:lineRule="auto" w:before="19"/>
        <w:ind w:left="513" w:right="414" w:hanging="361"/>
        <w:jc w:val="left"/>
      </w:pPr>
      <w:r>
        <w:rPr/>
        <w:t>经营行为导致无法避免的关联交易，公司在公开、公平、公正的前提下按照现行制度进行，依照市场规则定价。 </w:t>
      </w:r>
      <w:r>
        <w:rPr>
          <w:rFonts w:ascii="Times New Roman" w:hAnsi="Times New Roman" w:cs="Times New Roman" w:eastAsia="Times New Roman" w:hint="default"/>
        </w:rPr>
        <w:t>2</w:t>
      </w:r>
      <w:r>
        <w:rPr/>
        <w:t>、资产独立 </w:t>
      </w:r>
      <w:r>
        <w:rPr>
          <w:spacing w:val="-2"/>
        </w:rPr>
        <w:t>公司的资产独立完整、权属明细，公司及其控股子公司拥有与主营业务密切生产系统以及配套设施，公司与控股股东及</w:t>
      </w:r>
    </w:p>
    <w:p>
      <w:pPr>
        <w:pStyle w:val="BodyText"/>
        <w:spacing w:line="316" w:lineRule="auto" w:before="25"/>
        <w:ind w:right="414"/>
        <w:jc w:val="left"/>
      </w:pPr>
      <w:r>
        <w:rPr>
          <w:spacing w:val="-2"/>
        </w:rPr>
        <w:t>其关联方之间产权明晰，公司建立了防止控股股东及其关联企业占用上市公司资金、侵害上市公司利益的长效机制，不存在</w:t>
      </w:r>
      <w:r>
        <w:rPr>
          <w:spacing w:val="-63"/>
        </w:rPr>
        <w:t> </w:t>
      </w:r>
      <w:r>
        <w:rPr>
          <w:spacing w:val="-63"/>
        </w:rPr>
      </w:r>
      <w:r>
        <w:rPr/>
        <w:t>控股股东违规占用公司资金、资产的情况。</w:t>
      </w:r>
    </w:p>
    <w:p>
      <w:pPr>
        <w:pStyle w:val="BodyText"/>
        <w:spacing w:line="300" w:lineRule="auto" w:before="19"/>
        <w:ind w:left="513" w:right="414"/>
        <w:jc w:val="left"/>
      </w:pPr>
      <w:r>
        <w:rPr>
          <w:rFonts w:ascii="Times New Roman" w:hAnsi="Times New Roman" w:cs="Times New Roman" w:eastAsia="Times New Roman" w:hint="default"/>
        </w:rPr>
        <w:t>3</w:t>
      </w:r>
      <w:r>
        <w:rPr/>
        <w:t>、人员独立 </w:t>
      </w:r>
      <w:r>
        <w:rPr>
          <w:spacing w:val="-2"/>
        </w:rPr>
        <w:t>公司与控股股东在劳动、人事、工资管理上完全独立。公司的总经理、副总经理、财务负责人和董事会秘书等高级管理</w:t>
      </w:r>
    </w:p>
    <w:p>
      <w:pPr>
        <w:pStyle w:val="BodyText"/>
        <w:spacing w:line="316" w:lineRule="auto" w:before="31"/>
        <w:ind w:right="511"/>
        <w:jc w:val="both"/>
      </w:pPr>
      <w:r>
        <w:rPr>
          <w:spacing w:val="-2"/>
        </w:rPr>
        <w:t>人员均无在控股股东、实际控制人及其控制的其他企业中担任除董事、监事以外的职务的情况，亦无在控股股东、实际控制</w:t>
      </w:r>
      <w:r>
        <w:rPr>
          <w:spacing w:val="-64"/>
        </w:rPr>
        <w:t> </w:t>
      </w:r>
      <w:r>
        <w:rPr>
          <w:spacing w:val="-64"/>
        </w:rPr>
      </w:r>
      <w:r>
        <w:rPr>
          <w:spacing w:val="-2"/>
        </w:rPr>
        <w:t>人及其控制的企业领取薪酬的情况；公司及其控股子公司财务人员无在其控股股东、实际控制人及其控制的其他企业中兼职</w:t>
      </w:r>
      <w:r>
        <w:rPr>
          <w:spacing w:val="-64"/>
        </w:rPr>
        <w:t> </w:t>
      </w:r>
      <w:r>
        <w:rPr>
          <w:spacing w:val="-64"/>
        </w:rPr>
      </w:r>
      <w:r>
        <w:rPr/>
        <w:t>的情况。</w:t>
      </w:r>
    </w:p>
    <w:p>
      <w:pPr>
        <w:pStyle w:val="BodyText"/>
        <w:spacing w:line="300" w:lineRule="auto" w:before="19"/>
        <w:ind w:left="513" w:right="414"/>
        <w:jc w:val="left"/>
      </w:pPr>
      <w:r>
        <w:rPr>
          <w:rFonts w:ascii="Times New Roman" w:hAnsi="Times New Roman" w:cs="Times New Roman" w:eastAsia="Times New Roman" w:hint="default"/>
        </w:rPr>
        <w:t>4</w:t>
      </w:r>
      <w:r>
        <w:rPr/>
        <w:t>、机构独立 </w:t>
      </w:r>
      <w:r>
        <w:rPr>
          <w:spacing w:val="-2"/>
        </w:rPr>
        <w:t>公司根据《公司章程》和内部管理制度体系建立了规范的法人治理结构，设置了独立的、符合公司自身发展需求、符合</w:t>
      </w:r>
    </w:p>
    <w:p>
      <w:pPr>
        <w:pStyle w:val="BodyText"/>
        <w:spacing w:line="319" w:lineRule="auto" w:before="31"/>
        <w:ind w:right="511"/>
        <w:jc w:val="both"/>
      </w:pPr>
      <w:r>
        <w:rPr>
          <w:spacing w:val="-2"/>
        </w:rPr>
        <w:t>公司实际情况的独立、完整的经营管理机构。公司已设立股东大会、董事会和监事会等决策及监督机构，并制定了相应的三</w:t>
      </w:r>
      <w:r>
        <w:rPr>
          <w:spacing w:val="-65"/>
        </w:rPr>
        <w:t> </w:t>
      </w:r>
      <w:r>
        <w:rPr>
          <w:spacing w:val="-65"/>
        </w:rPr>
      </w:r>
      <w:r>
        <w:rPr>
          <w:spacing w:val="-2"/>
        </w:rPr>
        <w:t>会议事规则，公司股东大会、董事会、监事会等内部机构独立运作，不存在与控股股东职能部门之间的从属关系；公司完全</w:t>
      </w:r>
      <w:r>
        <w:rPr>
          <w:spacing w:val="-67"/>
        </w:rPr>
        <w:t> </w:t>
      </w:r>
      <w:r>
        <w:rPr>
          <w:spacing w:val="-67"/>
        </w:rPr>
      </w:r>
      <w:r>
        <w:rPr>
          <w:spacing w:val="-2"/>
        </w:rPr>
        <w:t>拥有机构设置自主权，已设置了健全的组织机构体系，董事会、监事会和其他内部机构独立运作；公司决策管理机构、生产</w:t>
      </w:r>
      <w:r>
        <w:rPr>
          <w:spacing w:val="-67"/>
        </w:rPr>
        <w:t> </w:t>
      </w:r>
      <w:r>
        <w:rPr>
          <w:spacing w:val="-67"/>
        </w:rPr>
      </w:r>
      <w:r>
        <w:rPr/>
        <w:t>单位及各职能部门与控股股东完全分开，独立运行。</w:t>
      </w:r>
    </w:p>
    <w:p>
      <w:pPr>
        <w:pStyle w:val="BodyText"/>
        <w:spacing w:line="300" w:lineRule="auto" w:before="17"/>
        <w:ind w:left="513" w:right="414"/>
        <w:jc w:val="left"/>
      </w:pPr>
      <w:r>
        <w:rPr>
          <w:rFonts w:ascii="Times New Roman" w:hAnsi="Times New Roman" w:cs="Times New Roman" w:eastAsia="Times New Roman" w:hint="default"/>
        </w:rPr>
        <w:t>5</w:t>
      </w:r>
      <w:r>
        <w:rPr/>
        <w:t>、财务独立 </w:t>
      </w:r>
      <w:r>
        <w:rPr>
          <w:spacing w:val="-2"/>
        </w:rPr>
        <w:t>公司设立后，已建立了一套独立、完整、规范的财务会计核算体系和财务管理制度，建立了相应的内部控制制度，并实</w:t>
      </w:r>
    </w:p>
    <w:p>
      <w:pPr>
        <w:pStyle w:val="BodyText"/>
        <w:spacing w:line="316" w:lineRule="auto" w:before="31"/>
        <w:ind w:right="414"/>
        <w:jc w:val="left"/>
      </w:pPr>
      <w:r>
        <w:rPr/>
        <w:t>施严格的财务监督管理。公司设立了独立的财务部门及内部审计部门，配备了专职财务、审计人员；在银行单独开立账户， </w:t>
      </w:r>
      <w:r>
        <w:rPr>
          <w:spacing w:val="-2"/>
        </w:rPr>
        <w:t>拥有独立的银行账号；作为独立的纳税人，依法独立纳税；独立作出财务决策，独立对外签订合同，不受控股股东或其他单</w:t>
      </w:r>
      <w:r>
        <w:rPr>
          <w:spacing w:val="-67"/>
        </w:rPr>
        <w:t> </w:t>
      </w:r>
      <w:r>
        <w:rPr>
          <w:spacing w:val="-67"/>
        </w:rPr>
      </w:r>
      <w:r>
        <w:rPr>
          <w:spacing w:val="-2"/>
        </w:rPr>
        <w:t>位干预或控制；报告期内，公司未为股东提供担保，对所有的资产拥有完全的控制支配权，不存在资产、资金被股东占用或</w:t>
      </w:r>
      <w:r>
        <w:rPr>
          <w:spacing w:val="-67"/>
        </w:rPr>
        <w:t> </w:t>
      </w:r>
      <w:r>
        <w:rPr>
          <w:spacing w:val="-67"/>
        </w:rPr>
      </w:r>
      <w:r>
        <w:rPr/>
        <w:t>其他损害公司利益的情况。</w:t>
      </w:r>
    </w:p>
    <w:p>
      <w:pPr>
        <w:spacing w:line="240" w:lineRule="auto" w:before="11"/>
        <w:rPr>
          <w:rFonts w:ascii="宋体" w:hAnsi="宋体" w:cs="宋体" w:eastAsia="宋体" w:hint="default"/>
          <w:sz w:val="20"/>
          <w:szCs w:val="20"/>
        </w:rPr>
      </w:pPr>
    </w:p>
    <w:p>
      <w:pPr>
        <w:pStyle w:val="Heading2"/>
        <w:spacing w:line="240" w:lineRule="auto"/>
        <w:ind w:right="414"/>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414"/>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414"/>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5"/>
          <w:szCs w:val="5"/>
        </w:rPr>
      </w:pPr>
    </w:p>
    <w:tbl>
      <w:tblPr>
        <w:tblW w:w="0" w:type="auto"/>
        <w:jc w:val="left"/>
        <w:tblInd w:w="119" w:type="dxa"/>
        <w:tblLayout w:type="fixed"/>
        <w:tblCellMar>
          <w:top w:w="0" w:type="dxa"/>
          <w:left w:w="0" w:type="dxa"/>
          <w:bottom w:w="0" w:type="dxa"/>
          <w:right w:w="0" w:type="dxa"/>
        </w:tblCellMar>
        <w:tblLook w:val="01E0"/>
      </w:tblPr>
      <w:tblGrid>
        <w:gridCol w:w="1306"/>
        <w:gridCol w:w="1274"/>
        <w:gridCol w:w="1419"/>
        <w:gridCol w:w="1560"/>
        <w:gridCol w:w="1558"/>
        <w:gridCol w:w="2941"/>
      </w:tblGrid>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300" w:lineRule="auto"/>
              <w:ind w:left="24"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具体内容详见巨潮资讯网 </w:t>
            </w:r>
            <w:hyperlink r:id="rId18">
              <w:r>
                <w:rPr>
                  <w:rFonts w:ascii="Times New Roman" w:hAnsi="Times New Roman" w:cs="Times New Roman" w:eastAsia="Times New Roman" w:hint="default"/>
                  <w:spacing w:val="-3"/>
                  <w:sz w:val="18"/>
                  <w:szCs w:val="18"/>
                </w:rPr>
                <w:t>(htt</w:t>
              </w:r>
            </w:hyperlink>
            <w:r>
              <w:rPr>
                <w:rFonts w:ascii="Times New Roman" w:hAnsi="Times New Roman" w:cs="Times New Roman" w:eastAsia="Times New Roman" w:hint="default"/>
                <w:spacing w:val="-3"/>
                <w:sz w:val="18"/>
                <w:szCs w:val="18"/>
              </w:rPr>
              <w:t>p</w:t>
            </w:r>
            <w:hyperlink r:id="rId18">
              <w:r>
                <w:rPr>
                  <w:rFonts w:ascii="Times New Roman" w:hAnsi="Times New Roman" w:cs="Times New Roman" w:eastAsia="Times New Roman" w:hint="default"/>
                  <w:spacing w:val="-3"/>
                  <w:sz w:val="18"/>
                  <w:szCs w:val="18"/>
                </w:rPr>
                <w:t>://www.cninfo.com.cn/)</w:t>
              </w:r>
              <w:r>
                <w:rPr>
                  <w:rFonts w:ascii="宋体" w:hAnsi="宋体" w:cs="宋体" w:eastAsia="宋体" w:hint="default"/>
                  <w:spacing w:val="-3"/>
                  <w:sz w:val="18"/>
                  <w:szCs w:val="18"/>
                </w:rPr>
                <w:t>及</w:t>
              </w:r>
            </w:hyperlink>
            <w:r>
              <w:rPr>
                <w:rFonts w:ascii="宋体" w:hAnsi="宋体" w:cs="宋体" w:eastAsia="宋体" w:hint="default"/>
                <w:spacing w:val="-3"/>
                <w:sz w:val="18"/>
                <w:szCs w:val="18"/>
              </w:rPr>
              <w:t>《证券时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报》、《中国证券报》、《上海证券</w:t>
            </w:r>
          </w:p>
        </w:tc>
      </w:tr>
    </w:tbl>
    <w:p>
      <w:pPr>
        <w:spacing w:after="0" w:line="307" w:lineRule="auto"/>
        <w:jc w:val="left"/>
        <w:rPr>
          <w:rFonts w:ascii="宋体" w:hAnsi="宋体" w:cs="宋体" w:eastAsia="宋体" w:hint="default"/>
          <w:sz w:val="18"/>
          <w:szCs w:val="18"/>
        </w:rPr>
        <w:sectPr>
          <w:pgSz w:w="11910" w:h="16840"/>
          <w:pgMar w:header="786" w:footer="1021" w:top="1100" w:bottom="1220" w:left="980" w:right="620"/>
        </w:sectPr>
      </w:pPr>
    </w:p>
    <w:p>
      <w:pPr>
        <w:spacing w:line="240" w:lineRule="auto" w:before="5"/>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306"/>
        <w:gridCol w:w="1274"/>
        <w:gridCol w:w="1419"/>
        <w:gridCol w:w="1560"/>
        <w:gridCol w:w="1558"/>
        <w:gridCol w:w="2941"/>
      </w:tblGrid>
      <w:tr>
        <w:trPr>
          <w:trHeight w:val="675"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5"/>
              <w:jc w:val="left"/>
              <w:rPr>
                <w:rFonts w:ascii="宋体" w:hAnsi="宋体" w:cs="宋体" w:eastAsia="宋体" w:hint="default"/>
                <w:sz w:val="18"/>
                <w:szCs w:val="18"/>
              </w:rPr>
            </w:pPr>
            <w:r>
              <w:rPr>
                <w:rFonts w:ascii="宋体" w:hAnsi="宋体" w:cs="宋体" w:eastAsia="宋体" w:hint="default"/>
                <w:spacing w:val="-5"/>
                <w:sz w:val="18"/>
                <w:szCs w:val="18"/>
              </w:rPr>
              <w:t>报》上的《</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 会决议公告》（公告编号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2015-009</w:t>
            </w:r>
            <w:r>
              <w:rPr>
                <w:rFonts w:ascii="宋体" w:hAnsi="宋体" w:cs="宋体" w:eastAsia="宋体" w:hint="default"/>
                <w:sz w:val="18"/>
                <w:szCs w:val="18"/>
              </w:rPr>
              <w:t>）</w:t>
            </w:r>
          </w:p>
        </w:tc>
      </w:tr>
      <w:tr>
        <w:trPr>
          <w:trHeight w:val="164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4"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 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具体内容详见巨潮资讯网 </w:t>
            </w:r>
            <w:hyperlink r:id="rId18">
              <w:r>
                <w:rPr>
                  <w:rFonts w:ascii="Times New Roman" w:hAnsi="Times New Roman" w:cs="Times New Roman" w:eastAsia="Times New Roman" w:hint="default"/>
                  <w:spacing w:val="-3"/>
                  <w:sz w:val="18"/>
                  <w:szCs w:val="18"/>
                </w:rPr>
                <w:t>(htt</w:t>
              </w:r>
            </w:hyperlink>
            <w:r>
              <w:rPr>
                <w:rFonts w:ascii="Times New Roman" w:hAnsi="Times New Roman" w:cs="Times New Roman" w:eastAsia="Times New Roman" w:hint="default"/>
                <w:spacing w:val="-3"/>
                <w:sz w:val="18"/>
                <w:szCs w:val="18"/>
              </w:rPr>
              <w:t>p</w:t>
            </w:r>
            <w:hyperlink r:id="rId18">
              <w:r>
                <w:rPr>
                  <w:rFonts w:ascii="Times New Roman" w:hAnsi="Times New Roman" w:cs="Times New Roman" w:eastAsia="Times New Roman" w:hint="default"/>
                  <w:spacing w:val="-3"/>
                  <w:sz w:val="18"/>
                  <w:szCs w:val="18"/>
                </w:rPr>
                <w:t>://www.cninfo.com.cn/)</w:t>
              </w:r>
              <w:r>
                <w:rPr>
                  <w:rFonts w:ascii="宋体" w:hAnsi="宋体" w:cs="宋体" w:eastAsia="宋体" w:hint="default"/>
                  <w:spacing w:val="-3"/>
                  <w:sz w:val="18"/>
                  <w:szCs w:val="18"/>
                </w:rPr>
                <w:t>及</w:t>
              </w:r>
            </w:hyperlink>
            <w:r>
              <w:rPr>
                <w:rFonts w:ascii="宋体" w:hAnsi="宋体" w:cs="宋体" w:eastAsia="宋体" w:hint="default"/>
                <w:spacing w:val="-3"/>
                <w:sz w:val="18"/>
                <w:szCs w:val="18"/>
              </w:rPr>
              <w:t>《证券时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报》、《中国证券报》、《上海证券 </w:t>
            </w:r>
            <w:r>
              <w:rPr>
                <w:rFonts w:ascii="宋体" w:hAnsi="宋体" w:cs="宋体" w:eastAsia="宋体" w:hint="default"/>
                <w:spacing w:val="-5"/>
                <w:sz w:val="18"/>
                <w:szCs w:val="18"/>
              </w:rPr>
              <w:t>报》上的《</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 告》（公告编号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2015-036</w:t>
            </w:r>
            <w:r>
              <w:rPr>
                <w:rFonts w:ascii="宋体" w:hAnsi="宋体" w:cs="宋体" w:eastAsia="宋体" w:hint="default"/>
                <w:sz w:val="18"/>
                <w:szCs w:val="18"/>
              </w:rPr>
              <w:t>）</w:t>
            </w:r>
          </w:p>
        </w:tc>
      </w:tr>
      <w:tr>
        <w:trPr>
          <w:trHeight w:val="165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4"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具体内容详见巨潮资讯网 </w:t>
            </w:r>
            <w:hyperlink r:id="rId18">
              <w:r>
                <w:rPr>
                  <w:rFonts w:ascii="Times New Roman" w:hAnsi="Times New Roman" w:cs="Times New Roman" w:eastAsia="Times New Roman" w:hint="default"/>
                  <w:spacing w:val="-3"/>
                  <w:sz w:val="18"/>
                  <w:szCs w:val="18"/>
                </w:rPr>
                <w:t>(htt</w:t>
              </w:r>
            </w:hyperlink>
            <w:r>
              <w:rPr>
                <w:rFonts w:ascii="Times New Roman" w:hAnsi="Times New Roman" w:cs="Times New Roman" w:eastAsia="Times New Roman" w:hint="default"/>
                <w:spacing w:val="-3"/>
                <w:sz w:val="18"/>
                <w:szCs w:val="18"/>
              </w:rPr>
              <w:t>p</w:t>
            </w:r>
            <w:hyperlink r:id="rId18">
              <w:r>
                <w:rPr>
                  <w:rFonts w:ascii="Times New Roman" w:hAnsi="Times New Roman" w:cs="Times New Roman" w:eastAsia="Times New Roman" w:hint="default"/>
                  <w:spacing w:val="-3"/>
                  <w:sz w:val="18"/>
                  <w:szCs w:val="18"/>
                </w:rPr>
                <w:t>://www.cninfo.com.cn/)</w:t>
              </w:r>
              <w:r>
                <w:rPr>
                  <w:rFonts w:ascii="宋体" w:hAnsi="宋体" w:cs="宋体" w:eastAsia="宋体" w:hint="default"/>
                  <w:spacing w:val="-3"/>
                  <w:sz w:val="18"/>
                  <w:szCs w:val="18"/>
                </w:rPr>
                <w:t>及</w:t>
              </w:r>
            </w:hyperlink>
            <w:r>
              <w:rPr>
                <w:rFonts w:ascii="宋体" w:hAnsi="宋体" w:cs="宋体" w:eastAsia="宋体" w:hint="default"/>
                <w:spacing w:val="-3"/>
                <w:sz w:val="18"/>
                <w:szCs w:val="18"/>
              </w:rPr>
              <w:t>《证券时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报》、《中国证券报》、《上海证券 </w:t>
            </w:r>
            <w:r>
              <w:rPr>
                <w:rFonts w:ascii="宋体" w:hAnsi="宋体" w:cs="宋体" w:eastAsia="宋体" w:hint="default"/>
                <w:spacing w:val="-5"/>
                <w:sz w:val="18"/>
                <w:szCs w:val="18"/>
              </w:rPr>
              <w:t>报》上的《</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 会决议公告》（公告编号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2015-050</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spacing w:before="36"/>
        <w:ind w:left="152" w:right="4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414"/>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41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石本仁</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2"/>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张华</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2"/>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徐印州</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2"/>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88" w:right="0"/>
              <w:jc w:val="left"/>
              <w:rPr>
                <w:rFonts w:ascii="宋体" w:hAnsi="宋体" w:cs="宋体" w:eastAsia="宋体" w:hint="default"/>
                <w:sz w:val="18"/>
                <w:szCs w:val="18"/>
              </w:rPr>
            </w:pPr>
            <w:r>
              <w:rPr>
                <w:rFonts w:ascii="宋体" w:hAnsi="宋体" w:cs="宋体" w:eastAsia="宋体" w:hint="default"/>
                <w:sz w:val="18"/>
                <w:szCs w:val="18"/>
              </w:rPr>
              <w:t>石本仁、张华各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次；徐印州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w:t>
            </w:r>
          </w:p>
        </w:tc>
      </w:tr>
    </w:tbl>
    <w:p>
      <w:pPr>
        <w:pStyle w:val="BodyText"/>
        <w:spacing w:line="357" w:lineRule="auto" w:before="49"/>
        <w:ind w:right="5094"/>
        <w:jc w:val="left"/>
      </w:pPr>
      <w:r>
        <w:rPr/>
        <w:t>连续两次未亲自出席董事会的说明 报告期内，公司独立董事无连续两次未亲自出席董事会的情况。</w:t>
      </w:r>
    </w:p>
    <w:p>
      <w:pPr>
        <w:spacing w:line="240" w:lineRule="auto" w:before="6"/>
        <w:rPr>
          <w:rFonts w:ascii="宋体" w:hAnsi="宋体" w:cs="宋体" w:eastAsia="宋体" w:hint="default"/>
          <w:sz w:val="20"/>
          <w:szCs w:val="20"/>
        </w:rPr>
      </w:pPr>
    </w:p>
    <w:p>
      <w:pPr>
        <w:pStyle w:val="Heading3"/>
        <w:spacing w:line="240" w:lineRule="auto"/>
        <w:ind w:right="41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14"/>
        <w:jc w:val="left"/>
      </w:pPr>
      <w:r>
        <w:rPr/>
        <w:t>独立董事对公司有关事项是否提出异议</w:t>
      </w:r>
    </w:p>
    <w:p>
      <w:pPr>
        <w:pStyle w:val="BodyText"/>
        <w:spacing w:line="340" w:lineRule="auto" w:before="115"/>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41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14"/>
        <w:jc w:val="left"/>
      </w:pPr>
      <w:r>
        <w:rPr/>
        <w:t>独立董事对公司有关建议是否被采纳</w:t>
      </w:r>
    </w:p>
    <w:p>
      <w:pPr>
        <w:pStyle w:val="BodyText"/>
        <w:spacing w:line="240" w:lineRule="auto" w:before="114"/>
        <w:ind w:right="4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86" w:footer="1021" w:top="1100" w:bottom="1220" w:left="980" w:right="620"/>
        </w:sectPr>
      </w:pPr>
    </w:p>
    <w:p>
      <w:pPr>
        <w:spacing w:line="240" w:lineRule="auto" w:before="8"/>
        <w:rPr>
          <w:rFonts w:ascii="宋体" w:hAnsi="宋体" w:cs="宋体" w:eastAsia="宋体" w:hint="default"/>
          <w:sz w:val="22"/>
          <w:szCs w:val="22"/>
        </w:rPr>
      </w:pPr>
    </w:p>
    <w:p>
      <w:pPr>
        <w:pStyle w:val="BodyText"/>
        <w:spacing w:line="360" w:lineRule="auto" w:before="44"/>
        <w:ind w:left="513" w:right="94" w:hanging="361"/>
        <w:jc w:val="left"/>
      </w:pPr>
      <w:r>
        <w:rPr/>
        <w:t>独立董事对公司有关建议被采纳或未被采纳的说明 </w:t>
      </w:r>
      <w:r>
        <w:rPr>
          <w:spacing w:val="-2"/>
        </w:rPr>
        <w:t>公司独立董事根据《公司法》、《证券法》、《公司章程》、《独立董事工作制度》和《深圳证券交易所中小企业板上</w:t>
      </w:r>
    </w:p>
    <w:p>
      <w:pPr>
        <w:pStyle w:val="BodyText"/>
        <w:spacing w:line="222" w:lineRule="exact"/>
        <w:ind w:right="0"/>
        <w:jc w:val="both"/>
      </w:pPr>
      <w:r>
        <w:rPr/>
        <w:t>市公司规范运作指引》等法律法规的规定，独立履行职责，认真行使公司所赋予的权利，关注公司运作的规范性，及时了解</w:t>
      </w:r>
    </w:p>
    <w:p>
      <w:pPr>
        <w:pStyle w:val="BodyText"/>
        <w:spacing w:line="316" w:lineRule="auto" w:before="76"/>
        <w:ind w:right="190"/>
        <w:jc w:val="both"/>
      </w:pPr>
      <w:r>
        <w:rPr>
          <w:spacing w:val="-2"/>
        </w:rPr>
        <w:t>公司的生产经营信息和重大事项进展情况，为公司的制度完善和日常经营、发展提出了许多宝贵的专业性意见和建议。报告</w:t>
      </w:r>
      <w:r>
        <w:rPr>
          <w:spacing w:val="-63"/>
        </w:rPr>
        <w:t> </w:t>
      </w:r>
      <w:r>
        <w:rPr>
          <w:spacing w:val="-63"/>
        </w:rPr>
      </w:r>
      <w:r>
        <w:rPr>
          <w:spacing w:val="-2"/>
        </w:rPr>
        <w:t>期内，公司独立董事对公司员工持股计划实施、关联交易、对外担保、关联方占用资金情况、聘请年度报告审计机构、内部</w:t>
      </w:r>
      <w:r>
        <w:rPr>
          <w:spacing w:val="-68"/>
        </w:rPr>
        <w:t> </w:t>
      </w:r>
      <w:r>
        <w:rPr>
          <w:spacing w:val="-68"/>
        </w:rPr>
      </w:r>
      <w:r>
        <w:rPr>
          <w:spacing w:val="-2"/>
        </w:rPr>
        <w:t>控制自我评价、年度利润分配预案、证券投资情况专项说明、公司使用自有闲置资金购买理财产品、第五届董事会、监事会</w:t>
      </w:r>
      <w:r>
        <w:rPr>
          <w:spacing w:val="-67"/>
        </w:rPr>
        <w:t> </w:t>
      </w:r>
      <w:r>
        <w:rPr>
          <w:spacing w:val="-67"/>
        </w:rPr>
      </w:r>
      <w:r>
        <w:rPr>
          <w:spacing w:val="-2"/>
        </w:rPr>
        <w:t>换届选举、花城银行的发起设立与终止等公司等需要独立董事发表意见的事项发表了独立、公正的独立董事意见，为完善公</w:t>
      </w:r>
      <w:r>
        <w:rPr>
          <w:spacing w:val="-66"/>
        </w:rPr>
        <w:t> </w:t>
      </w:r>
      <w:r>
        <w:rPr>
          <w:spacing w:val="-66"/>
        </w:rPr>
      </w:r>
      <w:r>
        <w:rPr/>
        <w:t>司监督机制，维护公司和全体股东的合法权益发挥了应有的作用。</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9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年度审计委员会履职情况 </w:t>
      </w:r>
      <w:r>
        <w:rPr>
          <w:spacing w:val="-2"/>
        </w:rPr>
        <w:t>报告期内，审计委员会根据《公司法》、《证券法》、《上市公司治理准则》、《董事会审计委员会年报工作规程》及</w:t>
      </w:r>
    </w:p>
    <w:p>
      <w:pPr>
        <w:pStyle w:val="BodyText"/>
        <w:spacing w:line="312" w:lineRule="auto" w:before="32"/>
        <w:ind w:right="190"/>
        <w:jc w:val="both"/>
      </w:pPr>
      <w:r>
        <w:rPr>
          <w:spacing w:val="-2"/>
        </w:rPr>
        <w:t>《董事会审计委员会工作细则》等有关规定，积极履行职责。</w:t>
      </w:r>
      <w:r>
        <w:rPr>
          <w:rFonts w:ascii="Times New Roman" w:hAnsi="Times New Roman" w:cs="Times New Roman" w:eastAsia="Times New Roman" w:hint="default"/>
          <w:spacing w:val="-2"/>
        </w:rPr>
        <w:t>2015</w:t>
      </w:r>
      <w:r>
        <w:rPr>
          <w:spacing w:val="-2"/>
        </w:rPr>
        <w:t>年度内，审核了公司财务信息及其披露情况，定期了解公</w:t>
      </w:r>
      <w:r>
        <w:rPr>
          <w:spacing w:val="-64"/>
        </w:rPr>
        <w:t> </w:t>
      </w:r>
      <w:r>
        <w:rPr>
          <w:spacing w:val="-64"/>
        </w:rPr>
      </w:r>
      <w:r>
        <w:rPr>
          <w:spacing w:val="-2"/>
        </w:rPr>
        <w:t>司财务状况和经营情况，对公司审计部提交的年度季度经营审计报告、内部控制自我评价报告、内部审计工作计划、外部审</w:t>
      </w:r>
      <w:r>
        <w:rPr>
          <w:spacing w:val="-64"/>
        </w:rPr>
        <w:t> </w:t>
      </w:r>
      <w:r>
        <w:rPr>
          <w:spacing w:val="-64"/>
        </w:rPr>
      </w:r>
      <w:r>
        <w:rPr>
          <w:spacing w:val="-2"/>
        </w:rPr>
        <w:t>计机构的工作总结报告、续聘会计师事务所等事项进行审议等相关事项讨论后，形成决议提交公司董事会进行审议，督促和</w:t>
      </w:r>
      <w:r>
        <w:rPr>
          <w:spacing w:val="-63"/>
        </w:rPr>
        <w:t> </w:t>
      </w:r>
      <w:r>
        <w:rPr>
          <w:spacing w:val="-63"/>
        </w:rPr>
      </w:r>
      <w:r>
        <w:rPr/>
        <w:t>指导内部审计部门对公司的内部控制体系建设、运行情况及财务管理运行情况进行检查。</w:t>
      </w:r>
    </w:p>
    <w:p>
      <w:pPr>
        <w:pStyle w:val="BodyText"/>
        <w:spacing w:line="240" w:lineRule="auto" w:before="22"/>
        <w:ind w:left="513" w:right="94"/>
        <w:jc w:val="left"/>
      </w:pPr>
      <w:r>
        <w:rPr/>
        <w:t>（</w:t>
      </w:r>
      <w:r>
        <w:rPr>
          <w:rFonts w:ascii="Times New Roman" w:hAnsi="Times New Roman" w:cs="Times New Roman" w:eastAsia="Times New Roman" w:hint="default"/>
        </w:rPr>
        <w:t>1</w:t>
      </w:r>
      <w:r>
        <w:rPr/>
        <w:t>）审计委员</w:t>
      </w:r>
      <w:r>
        <w:rPr>
          <w:rFonts w:ascii="Times New Roman" w:hAnsi="Times New Roman" w:cs="Times New Roman" w:eastAsia="Times New Roman" w:hint="default"/>
        </w:rPr>
        <w:t>2015</w:t>
      </w:r>
      <w:r>
        <w:rPr/>
        <w:t>年报审计工作的履职情况</w:t>
      </w:r>
    </w:p>
    <w:p>
      <w:pPr>
        <w:pStyle w:val="BodyText"/>
        <w:spacing w:line="304" w:lineRule="auto" w:before="63"/>
        <w:ind w:right="188"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7</w:t>
      </w:r>
      <w:r>
        <w:rPr>
          <w:spacing w:val="-2"/>
        </w:rPr>
        <w:t>日，审计委员会在为公司提供年度财务报表审计的注册会计师进场前认真审阅了公司编制的</w:t>
      </w:r>
      <w:r>
        <w:rPr>
          <w:rFonts w:ascii="Times New Roman" w:hAnsi="Times New Roman" w:cs="Times New Roman" w:eastAsia="Times New Roman" w:hint="default"/>
          <w:spacing w:val="-2"/>
        </w:rPr>
        <w:t>2015</w:t>
      </w:r>
      <w:r>
        <w:rPr>
          <w:spacing w:val="-2"/>
        </w:rPr>
        <w:t>年度财务报</w:t>
      </w:r>
      <w:r>
        <w:rPr/>
        <w:t> </w:t>
      </w:r>
      <w:r>
        <w:rPr>
          <w:spacing w:val="-2"/>
        </w:rPr>
        <w:t>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日的合并和公司资产负债表及合并和公司股东权益变动表，</w:t>
      </w:r>
      <w:r>
        <w:rPr>
          <w:rFonts w:ascii="Times New Roman" w:hAnsi="Times New Roman" w:cs="Times New Roman" w:eastAsia="Times New Roman" w:hint="default"/>
          <w:spacing w:val="-2"/>
        </w:rPr>
        <w:t>2015</w:t>
      </w:r>
      <w:r>
        <w:rPr>
          <w:spacing w:val="-2"/>
        </w:rPr>
        <w:t>年度的合并和公司利润表，</w:t>
      </w:r>
      <w:r>
        <w:rPr>
          <w:rFonts w:ascii="Times New Roman" w:hAnsi="Times New Roman" w:cs="Times New Roman" w:eastAsia="Times New Roman" w:hint="default"/>
          <w:spacing w:val="-2"/>
        </w:rPr>
        <w:t>2015</w:t>
      </w:r>
      <w:r>
        <w:rPr>
          <w:spacing w:val="-2"/>
        </w:rPr>
        <w:t>年度</w:t>
      </w:r>
      <w:r>
        <w:rPr>
          <w:spacing w:val="-52"/>
        </w:rPr>
        <w:t> </w:t>
      </w:r>
      <w:r>
        <w:rPr>
          <w:spacing w:val="-2"/>
        </w:rPr>
        <w:t>的合并和公司现金流量表，并于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5</w:t>
      </w:r>
      <w:r>
        <w:rPr>
          <w:spacing w:val="-2"/>
        </w:rPr>
        <w:t>日发表书面意见认为：公司提供的年度财务报表的编制符合财政部《企业会计准</w:t>
      </w:r>
      <w:r>
        <w:rPr>
          <w:spacing w:val="-59"/>
        </w:rPr>
        <w:t> </w:t>
      </w:r>
      <w:r>
        <w:rPr>
          <w:spacing w:val="-59"/>
        </w:rPr>
      </w:r>
      <w:r>
        <w:rPr/>
        <w:t>则》及其相关规定的要求。会计核算执行的主</w:t>
      </w:r>
      <w:r>
        <w:rPr>
          <w:spacing w:val="2"/>
        </w:rPr>
        <w:t> </w:t>
      </w:r>
      <w:r>
        <w:rPr/>
        <w:t>要会计政策、会计估计和合并财务报表的编制方法合理，相关数据和指标不</w:t>
      </w:r>
      <w:r>
        <w:rPr/>
        <w:t> 存在重大错误或重大遗漏，同意提交会计师事务所进行年度财务报表审计。</w:t>
      </w:r>
    </w:p>
    <w:p>
      <w:pPr>
        <w:pStyle w:val="BodyText"/>
        <w:spacing w:line="307" w:lineRule="auto" w:before="28"/>
        <w:ind w:right="94" w:firstLine="451"/>
        <w:jc w:val="left"/>
      </w:pPr>
      <w:r>
        <w:rPr/>
        <w:t>审计委员会与年审注册会计师进行了进场沟通会议，年审注册会计师介绍了</w:t>
      </w:r>
      <w:r>
        <w:rPr>
          <w:rFonts w:ascii="Times New Roman" w:hAnsi="Times New Roman" w:cs="Times New Roman" w:eastAsia="Times New Roman" w:hint="default"/>
        </w:rPr>
        <w:t>2015</w:t>
      </w:r>
      <w:r>
        <w:rPr/>
        <w:t>年度财务报告审计的工作计划，公司 </w:t>
      </w:r>
      <w:r>
        <w:rPr>
          <w:spacing w:val="-2"/>
        </w:rPr>
        <w:t>审计委员会成员向审计师提出年度审计关注的重点。在年审过程中，审计委员会书面督促会计师事务所在约定的期限内提交</w:t>
      </w:r>
      <w:r>
        <w:rPr>
          <w:spacing w:val="-64"/>
        </w:rPr>
        <w:t> </w:t>
      </w:r>
      <w:r>
        <w:rPr>
          <w:spacing w:val="-64"/>
        </w:rPr>
      </w:r>
      <w:r>
        <w:rPr>
          <w:spacing w:val="-2"/>
        </w:rPr>
        <w:t>审计报告。</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5</w:t>
      </w:r>
      <w:r>
        <w:rPr>
          <w:spacing w:val="-2"/>
        </w:rPr>
        <w:t>日，会计师事务所出具了年度财务报表审计报告征求意见稿，审计委员会根据初步审计意见再次审阅</w:t>
      </w:r>
      <w:r>
        <w:rPr>
          <w:spacing w:val="-62"/>
        </w:rPr>
        <w:t> </w:t>
      </w:r>
      <w:r>
        <w:rPr>
          <w:spacing w:val="-62"/>
        </w:rPr>
      </w:r>
      <w:r>
        <w:rPr>
          <w:spacing w:val="-2"/>
        </w:rPr>
        <w:t>公司年度财务报表，并发表书面意见认为：公司</w:t>
      </w:r>
      <w:r>
        <w:rPr>
          <w:rFonts w:ascii="Times New Roman" w:hAnsi="Times New Roman" w:cs="Times New Roman" w:eastAsia="Times New Roman" w:hint="default"/>
          <w:spacing w:val="-2"/>
        </w:rPr>
        <w:t>2015</w:t>
      </w:r>
      <w:r>
        <w:rPr>
          <w:spacing w:val="-2"/>
        </w:rPr>
        <w:t>年度财务报表的编制符合财政部</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日颁布的《企业会计准则》</w:t>
      </w:r>
      <w:r>
        <w:rPr>
          <w:spacing w:val="-55"/>
        </w:rPr>
        <w:t> </w:t>
      </w:r>
      <w:r>
        <w:rPr>
          <w:spacing w:val="-55"/>
        </w:rPr>
      </w:r>
      <w:r>
        <w:rPr>
          <w:spacing w:val="-2"/>
        </w:rPr>
        <w:t>及其相关规定的要求。会计核算执行的主要会计政策、会计估计和合并财务报表的编制方法合理，在所有重大方面公允反映</w:t>
      </w:r>
      <w:r>
        <w:rPr>
          <w:spacing w:val="-63"/>
        </w:rPr>
        <w:t> </w:t>
      </w:r>
      <w:r>
        <w:rPr>
          <w:spacing w:val="-63"/>
        </w:rPr>
      </w:r>
      <w:r>
        <w:rPr/>
        <w:t>了公司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w:t>
      </w:r>
      <w:r>
        <w:rPr>
          <w:rFonts w:ascii="Times New Roman" w:hAnsi="Times New Roman" w:cs="Times New Roman" w:eastAsia="Times New Roman" w:hint="default"/>
        </w:rPr>
        <w:t>2015</w:t>
      </w:r>
      <w:r>
        <w:rPr/>
        <w:t>年度的经营成果和现金流量情况。</w:t>
      </w:r>
    </w:p>
    <w:p>
      <w:pPr>
        <w:pStyle w:val="BodyText"/>
        <w:spacing w:line="300" w:lineRule="auto" w:before="7"/>
        <w:ind w:left="513" w:right="94"/>
        <w:jc w:val="left"/>
      </w:pPr>
      <w:r>
        <w:rPr/>
        <w:t>（</w:t>
      </w:r>
      <w:r>
        <w:rPr>
          <w:rFonts w:ascii="Times New Roman" w:hAnsi="Times New Roman" w:cs="Times New Roman" w:eastAsia="Times New Roman" w:hint="default"/>
        </w:rPr>
        <w:t>2</w:t>
      </w:r>
      <w:r>
        <w:rPr/>
        <w:t>）审计委员会关于会计师事务所从事</w:t>
      </w:r>
      <w:r>
        <w:rPr>
          <w:rFonts w:ascii="Times New Roman" w:hAnsi="Times New Roman" w:cs="Times New Roman" w:eastAsia="Times New Roman" w:hint="default"/>
        </w:rPr>
        <w:t>2015</w:t>
      </w:r>
      <w:r>
        <w:rPr/>
        <w:t>年度公司审计工作的总结报告及下年度续聘会计师事务所的意见 </w:t>
      </w:r>
      <w:r>
        <w:rPr>
          <w:spacing w:val="-2"/>
        </w:rPr>
        <w:t>审计委员会在</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7</w:t>
      </w:r>
      <w:r>
        <w:rPr>
          <w:spacing w:val="-2"/>
        </w:rPr>
        <w:t>日召开的董事会审计委员会（第一次决议）会议上，对公司</w:t>
      </w:r>
      <w:r>
        <w:rPr>
          <w:rFonts w:ascii="Times New Roman" w:hAnsi="Times New Roman" w:cs="Times New Roman" w:eastAsia="Times New Roman" w:hint="default"/>
          <w:spacing w:val="-2"/>
        </w:rPr>
        <w:t>2015</w:t>
      </w:r>
      <w:r>
        <w:rPr>
          <w:spacing w:val="-2"/>
        </w:rPr>
        <w:t>年度会计师事务所从事审计工</w:t>
      </w:r>
    </w:p>
    <w:p>
      <w:pPr>
        <w:pStyle w:val="BodyText"/>
        <w:spacing w:line="314" w:lineRule="auto" w:before="13"/>
        <w:ind w:right="183"/>
        <w:jc w:val="left"/>
      </w:pPr>
      <w:r>
        <w:rPr/>
        <w:t>作的总结报告发表了如下意见：立信会计师事务所对公司</w:t>
      </w:r>
      <w:r>
        <w:rPr>
          <w:rFonts w:ascii="Times New Roman" w:hAnsi="Times New Roman" w:cs="Times New Roman" w:eastAsia="Times New Roman" w:hint="default"/>
        </w:rPr>
        <w:t>2015</w:t>
      </w:r>
      <w:r>
        <w:rPr/>
        <w:t>年度财务报表及附注进行审计并发表了标准无保留的审计意 </w:t>
      </w:r>
      <w:r>
        <w:rPr>
          <w:spacing w:val="-2"/>
        </w:rPr>
        <w:t>见；对截止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日公司控股股东及其他关联方资金占用情况和年度内部控制评价报告进行专项审核，并出具了控股</w:t>
      </w:r>
      <w:r>
        <w:rPr>
          <w:spacing w:val="-60"/>
        </w:rPr>
        <w:t> </w:t>
      </w:r>
      <w:r>
        <w:rPr>
          <w:spacing w:val="-60"/>
        </w:rPr>
      </w:r>
      <w:r>
        <w:rPr>
          <w:spacing w:val="-2"/>
        </w:rPr>
        <w:t>股东及其他关联方资金占用情况的专项审核报告和内部控制鉴证报告。审计过程中，审计小组与公司董事会和管理层进行了</w:t>
      </w:r>
      <w:r>
        <w:rPr>
          <w:spacing w:val="-64"/>
        </w:rPr>
        <w:t> </w:t>
      </w:r>
      <w:r>
        <w:rPr>
          <w:spacing w:val="-64"/>
        </w:rPr>
      </w:r>
      <w:r>
        <w:rPr>
          <w:spacing w:val="-2"/>
        </w:rPr>
        <w:t>必要的沟通，经过一个多月的审计工作，审计小组完成了所有审计程序，取得了相应的审计证据，并向公司审计委员会提交</w:t>
      </w:r>
      <w:r>
        <w:rPr>
          <w:spacing w:val="-65"/>
        </w:rPr>
        <w:t> </w:t>
      </w:r>
      <w:r>
        <w:rPr>
          <w:spacing w:val="-65"/>
        </w:rPr>
      </w:r>
      <w:r>
        <w:rPr/>
        <w:t>了无保留意见的审计报告。</w:t>
      </w:r>
      <w:r>
        <w:rPr>
          <w:spacing w:val="1"/>
        </w:rPr>
        <w:t> </w:t>
      </w:r>
      <w:r>
        <w:rPr/>
        <w:t>在本次审计工作中立信会计师事务所有限公司及公司审计成员始终保持了形式上和实质上的双</w:t>
      </w:r>
      <w:r>
        <w:rPr/>
        <w:t> </w:t>
      </w:r>
      <w:r>
        <w:rPr>
          <w:spacing w:val="-2"/>
        </w:rPr>
        <w:t>重独立，遵守了职业道德基本原则中关于保持独立性的要求。审计小组人员具有承办本次审计业务所必需的专业知识和相关</w:t>
      </w:r>
      <w:r>
        <w:rPr>
          <w:spacing w:val="-64"/>
        </w:rPr>
        <w:t> </w:t>
      </w:r>
      <w:r>
        <w:rPr>
          <w:spacing w:val="-64"/>
        </w:rPr>
      </w:r>
      <w:r>
        <w:rPr>
          <w:spacing w:val="-2"/>
        </w:rPr>
        <w:t>的职业证书，能够胜任本次审计工作，同时也能保持应有的关注和职业谨慎性。立信会计师事务所（特殊普通合伙）有限公</w:t>
      </w:r>
      <w:r>
        <w:rPr>
          <w:spacing w:val="-65"/>
        </w:rPr>
        <w:t> </w:t>
      </w:r>
      <w:r>
        <w:rPr>
          <w:spacing w:val="-65"/>
        </w:rPr>
      </w:r>
      <w:r>
        <w:rPr>
          <w:spacing w:val="-2"/>
        </w:rPr>
        <w:t>司对公司度财务报表发表的无保留审计意见是在获取充分、适当的审计证据的基础上做出的。根据立信会计师事务所（特殊</w:t>
      </w:r>
      <w:r>
        <w:rPr>
          <w:spacing w:val="-64"/>
        </w:rPr>
        <w:t> </w:t>
      </w:r>
      <w:r>
        <w:rPr>
          <w:spacing w:val="-64"/>
        </w:rPr>
      </w:r>
      <w:r>
        <w:rPr>
          <w:spacing w:val="-2"/>
        </w:rPr>
        <w:t>普通合伙）有限公司的服务意识、职业操守和履职能力，建议公司继续聘任立信会计师事务所（特殊普通合伙）有限公司作</w:t>
      </w:r>
      <w:r>
        <w:rPr>
          <w:spacing w:val="-66"/>
        </w:rPr>
        <w:t> </w:t>
      </w:r>
      <w:r>
        <w:rPr>
          <w:spacing w:val="-66"/>
        </w:rPr>
      </w:r>
      <w:r>
        <w:rPr/>
        <w:t>为公司</w:t>
      </w:r>
      <w:r>
        <w:rPr>
          <w:rFonts w:ascii="Times New Roman" w:hAnsi="Times New Roman" w:cs="Times New Roman" w:eastAsia="Times New Roman" w:hint="default"/>
        </w:rPr>
        <w:t>2016</w:t>
      </w:r>
      <w:r>
        <w:rPr/>
        <w:t>年度的财务报表审计机构。</w:t>
      </w:r>
    </w:p>
    <w:p>
      <w:pPr>
        <w:pStyle w:val="BodyText"/>
        <w:spacing w:line="300" w:lineRule="auto" w:before="1"/>
        <w:ind w:left="513" w:right="94"/>
        <w:jc w:val="left"/>
      </w:pPr>
      <w:r>
        <w:rPr>
          <w:rFonts w:ascii="Times New Roman" w:hAnsi="Times New Roman" w:cs="Times New Roman" w:eastAsia="Times New Roman" w:hint="default"/>
        </w:rPr>
        <w:t>2</w:t>
      </w:r>
      <w:r>
        <w:rPr/>
        <w:t>、战略委员会履职情况 </w:t>
      </w:r>
      <w:r>
        <w:rPr>
          <w:spacing w:val="-2"/>
        </w:rPr>
        <w:t>报告期内，公司董事会战略发展委员会认真研究国家宏观经济政策、结构调整对公司的影响，跟踪国内外同行业发展动</w:t>
      </w:r>
    </w:p>
    <w:p>
      <w:pPr>
        <w:pStyle w:val="BodyText"/>
        <w:spacing w:line="240" w:lineRule="auto" w:before="31"/>
        <w:ind w:right="0"/>
        <w:jc w:val="both"/>
      </w:pPr>
      <w:r>
        <w:rPr/>
        <w:t>向，结合公司战略发展要求，向公司董事会提出有关结构调整、资本运作、长远发展等事项的建议，对促进公司转方式、调</w:t>
      </w:r>
    </w:p>
    <w:p>
      <w:pPr>
        <w:spacing w:after="0" w:line="240" w:lineRule="auto"/>
        <w:jc w:val="both"/>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240" w:lineRule="auto" w:before="44"/>
        <w:ind w:right="0"/>
        <w:jc w:val="both"/>
      </w:pPr>
      <w:r>
        <w:rPr/>
        <w:t>结构，规避市场风险，起到积极良好的作用。报告期内，战略委员会共召开了</w:t>
      </w:r>
      <w:r>
        <w:rPr>
          <w:rFonts w:ascii="Times New Roman" w:hAnsi="Times New Roman" w:cs="Times New Roman" w:eastAsia="Times New Roman" w:hint="default"/>
        </w:rPr>
        <w:t>7</w:t>
      </w:r>
      <w:r>
        <w:rPr/>
        <w:t>次会议，会议审议情况如下：</w:t>
      </w:r>
    </w:p>
    <w:p>
      <w:pPr>
        <w:pStyle w:val="BodyText"/>
        <w:spacing w:line="300" w:lineRule="auto" w:before="63"/>
        <w:ind w:right="90" w:firstLine="45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年第一次会议提出：公司应充分整合现有资源，调整产业链结构，培养互联网金融成为公司新的利润增长点。</w:t>
      </w:r>
      <w:r>
        <w:rPr>
          <w:w w:val="99"/>
        </w:rPr>
        <w:t> </w:t>
      </w:r>
      <w:r>
        <w:rPr/>
        <w:t>同意对全资子公司广州御银信息科技有限公司增资</w:t>
      </w:r>
      <w:r>
        <w:rPr>
          <w:rFonts w:ascii="Times New Roman" w:hAnsi="Times New Roman" w:cs="Times New Roman" w:eastAsia="Times New Roman" w:hint="default"/>
        </w:rPr>
        <w:t>7,000</w:t>
      </w:r>
      <w:r>
        <w:rPr/>
        <w:t>万元人民币，加大对互联网金融企业的投资、兼并，适时参与互联</w:t>
      </w:r>
      <w:r>
        <w:rPr>
          <w:w w:val="99"/>
        </w:rPr>
        <w:t> </w:t>
      </w:r>
      <w:r>
        <w:rPr/>
        <w:t>网金融产业基金的发起设立。</w:t>
      </w:r>
    </w:p>
    <w:p>
      <w:pPr>
        <w:pStyle w:val="BodyText"/>
        <w:spacing w:line="300" w:lineRule="auto" w:before="31"/>
        <w:ind w:right="199"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年第二次会议提出：为实现公司整体战略规划布局，增加公司盈利能力，同时提升公司整体竞争力和抗风险 能力，同意参股设立南海金融租赁公司。</w:t>
      </w:r>
    </w:p>
    <w:p>
      <w:pPr>
        <w:pStyle w:val="BodyText"/>
        <w:spacing w:line="300" w:lineRule="auto" w:before="31"/>
        <w:ind w:right="141"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年第三次会议提出：同意公司以自有资金人民币</w:t>
      </w:r>
      <w:r>
        <w:rPr>
          <w:rFonts w:ascii="Times New Roman" w:hAnsi="Times New Roman" w:cs="Times New Roman" w:eastAsia="Times New Roman" w:hint="default"/>
          <w:spacing w:val="-2"/>
        </w:rPr>
        <w:t>75,000</w:t>
      </w:r>
      <w:r>
        <w:rPr>
          <w:spacing w:val="-2"/>
        </w:rPr>
        <w:t>万元投资入股花城银行，持有其</w:t>
      </w:r>
      <w:r>
        <w:rPr>
          <w:rFonts w:ascii="Times New Roman" w:hAnsi="Times New Roman" w:cs="Times New Roman" w:eastAsia="Times New Roman" w:hint="default"/>
          <w:spacing w:val="-2"/>
        </w:rPr>
        <w:t>75,000</w:t>
      </w:r>
      <w:r>
        <w:rPr>
          <w:spacing w:val="-2"/>
        </w:rPr>
        <w:t>万股股份，占其</w:t>
      </w:r>
      <w:r>
        <w:rPr/>
        <w:t> 总股本的</w:t>
      </w:r>
      <w:r>
        <w:rPr>
          <w:rFonts w:ascii="Times New Roman" w:hAnsi="Times New Roman" w:cs="Times New Roman" w:eastAsia="Times New Roman" w:hint="default"/>
        </w:rPr>
        <w:t>15%</w:t>
      </w:r>
      <w:r>
        <w:rPr/>
        <w:t>。（上述投资额和持股比例仍需有关主管部门审批，在材料申报、审批乃至最终核准的过程中可能进行调整， 公司投资总额不超过</w:t>
      </w:r>
      <w:r>
        <w:rPr>
          <w:rFonts w:ascii="Times New Roman" w:hAnsi="Times New Roman" w:cs="Times New Roman" w:eastAsia="Times New Roman" w:hint="default"/>
        </w:rPr>
        <w:t>8</w:t>
      </w:r>
      <w:r>
        <w:rPr/>
        <w:t>亿元）。</w:t>
      </w:r>
    </w:p>
    <w:p>
      <w:pPr>
        <w:pStyle w:val="BodyText"/>
        <w:spacing w:line="309" w:lineRule="auto" w:before="13"/>
        <w:ind w:right="191" w:firstLine="36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年第四次会议提出：创新运用人脸识别技术在金融服务领域，通过计算机技术和商业的有效整合，让金融行 </w:t>
      </w:r>
      <w:r>
        <w:rPr>
          <w:spacing w:val="-2"/>
        </w:rPr>
        <w:t>业的业务流程更简单、更方便、更快捷，使金融服务的用户体验不断提升。同意公司与与佳都新太科技股份有限公司及其参</w:t>
      </w:r>
      <w:r>
        <w:rPr>
          <w:spacing w:val="-64"/>
        </w:rPr>
        <w:t> </w:t>
      </w:r>
      <w:r>
        <w:rPr>
          <w:spacing w:val="-64"/>
        </w:rPr>
      </w:r>
      <w:r>
        <w:rPr/>
        <w:t>股子公司广州云从信息科技有限公司签订《关于共同推动人脸识别在金融领域应用的战略合作协议》。</w:t>
      </w:r>
    </w:p>
    <w:p>
      <w:pPr>
        <w:pStyle w:val="BodyText"/>
        <w:spacing w:line="300" w:lineRule="auto" w:before="24"/>
        <w:ind w:right="187" w:firstLine="360"/>
        <w:jc w:val="both"/>
      </w:pPr>
      <w:r>
        <w:rPr/>
        <w:t>（</w:t>
      </w:r>
      <w:r>
        <w:rPr>
          <w:spacing w:val="15"/>
        </w:rPr>
        <w:t> </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2015</w:t>
      </w:r>
      <w:r>
        <w:rPr>
          <w:spacing w:val="-2"/>
        </w:rPr>
        <w:t>年第五次会议提出：为拓展公司业务领域，实现公司整体战略规划布局，整合公司金融资源的优势，建立多</w:t>
      </w:r>
      <w:r>
        <w:rPr/>
        <w:t> </w:t>
      </w:r>
      <w:r>
        <w:rPr>
          <w:spacing w:val="-2"/>
        </w:rPr>
        <w:t>层次资本市场体系，公司以自有资金在不超过</w:t>
      </w:r>
      <w:r>
        <w:rPr>
          <w:rFonts w:ascii="Times New Roman" w:hAnsi="Times New Roman" w:cs="Times New Roman" w:eastAsia="Times New Roman" w:hint="default"/>
          <w:spacing w:val="-2"/>
        </w:rPr>
        <w:t>20,000</w:t>
      </w:r>
      <w:r>
        <w:rPr>
          <w:spacing w:val="-2"/>
        </w:rPr>
        <w:t>万元人民币认购前海股权交易中心（深圳）有限公司新增注册资本</w:t>
      </w:r>
      <w:r>
        <w:rPr>
          <w:rFonts w:ascii="Times New Roman" w:hAnsi="Times New Roman" w:cs="Times New Roman" w:eastAsia="Times New Roman" w:hint="default"/>
          <w:spacing w:val="-2"/>
        </w:rPr>
        <w:t>9,000</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万元，占其增资扩股后股权的</w:t>
      </w:r>
      <w:r>
        <w:rPr>
          <w:rFonts w:ascii="Times New Roman" w:hAnsi="Times New Roman" w:cs="Times New Roman" w:eastAsia="Times New Roman" w:hint="default"/>
        </w:rPr>
        <w:t>7.64395%</w:t>
      </w:r>
      <w:r>
        <w:rPr/>
        <w:t>。</w:t>
      </w:r>
    </w:p>
    <w:p>
      <w:pPr>
        <w:pStyle w:val="BodyText"/>
        <w:spacing w:line="309" w:lineRule="auto" w:before="13"/>
        <w:ind w:right="193" w:firstLine="36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t>年第六次会议提出：基于公司自身的战略发展的需要，有助于公司进行优势互补，有利于在金融自主设备、 </w:t>
      </w:r>
      <w:r>
        <w:rPr>
          <w:spacing w:val="-2"/>
        </w:rPr>
        <w:t>基于国产基础软硬件的金融基础支撑平台领域打造双方共赢、可持续发展的战略联盟合作伙伴关系，同意公司与普华基础软</w:t>
      </w:r>
      <w:r>
        <w:rPr>
          <w:spacing w:val="-64"/>
        </w:rPr>
        <w:t> </w:t>
      </w:r>
      <w:r>
        <w:rPr>
          <w:spacing w:val="-64"/>
        </w:rPr>
      </w:r>
      <w:r>
        <w:rPr/>
        <w:t>件股份有限公司签署《战略合作框架协议》。</w:t>
      </w:r>
    </w:p>
    <w:p>
      <w:pPr>
        <w:pStyle w:val="BodyText"/>
        <w:spacing w:line="300" w:lineRule="auto" w:before="24"/>
        <w:ind w:right="199" w:firstLine="360"/>
        <w:jc w:val="both"/>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t>年第七次会议提出：根据目前市场形势变化及项目进程的实施情况等多方面原因研究论证，该项目风险具有 不确定性，综合时间成本、资金成本、风险管控、资金利用效率等原因考虑，同意公司终止参股花城银行股份有限公司。</w:t>
      </w:r>
    </w:p>
    <w:p>
      <w:pPr>
        <w:pStyle w:val="BodyText"/>
        <w:spacing w:line="300" w:lineRule="auto" w:before="31"/>
        <w:ind w:left="513" w:right="94"/>
        <w:jc w:val="left"/>
      </w:pPr>
      <w:r>
        <w:rPr>
          <w:rFonts w:ascii="Times New Roman" w:hAnsi="Times New Roman" w:cs="Times New Roman" w:eastAsia="Times New Roman" w:hint="default"/>
        </w:rPr>
        <w:t>3</w:t>
      </w:r>
      <w:r>
        <w:rPr/>
        <w:t>、薪酬与考核委员会履职情况 </w:t>
      </w:r>
      <w:r>
        <w:rPr>
          <w:spacing w:val="-2"/>
        </w:rPr>
        <w:t>报告期内，薪酬与考核委员会对公司董事和高级管理人员的薪酬情况进行了审核，认为其薪酬标准和年度薪酬总额的确</w:t>
      </w:r>
    </w:p>
    <w:p>
      <w:pPr>
        <w:pStyle w:val="BodyText"/>
        <w:spacing w:line="319" w:lineRule="auto" w:before="31"/>
        <w:ind w:right="191"/>
        <w:jc w:val="both"/>
      </w:pPr>
      <w:r>
        <w:rPr>
          <w:spacing w:val="-2"/>
        </w:rPr>
        <w:t>定符合公司相关薪酬管理制度的规定。同时，薪酬与考核委员会不断探讨绩效考核体系的进一步完善，为充分调动公司及公</w:t>
      </w:r>
      <w:r>
        <w:rPr>
          <w:spacing w:val="-66"/>
        </w:rPr>
        <w:t> </w:t>
      </w:r>
      <w:r>
        <w:rPr>
          <w:spacing w:val="-66"/>
        </w:rPr>
      </w:r>
      <w:r>
        <w:rPr>
          <w:spacing w:val="-2"/>
        </w:rPr>
        <w:t>司控股子公司董事、监事、高级管理人员和核心员工的积极性，增强公司管理团队和核心员工对实现公司健康、持续发展的</w:t>
      </w:r>
      <w:r>
        <w:rPr>
          <w:spacing w:val="-64"/>
        </w:rPr>
        <w:t> </w:t>
      </w:r>
      <w:r>
        <w:rPr>
          <w:spacing w:val="-64"/>
        </w:rPr>
      </w:r>
      <w:r>
        <w:rPr>
          <w:spacing w:val="-2"/>
        </w:rPr>
        <w:t>责任感、使命感，有效地将股东利益、公司利益和公司员工利益结合在一起，使各方共同关注公司的长远发展，减少管理者</w:t>
      </w:r>
      <w:r>
        <w:rPr>
          <w:spacing w:val="-67"/>
        </w:rPr>
        <w:t> </w:t>
      </w:r>
      <w:r>
        <w:rPr>
          <w:spacing w:val="-67"/>
        </w:rPr>
      </w:r>
      <w:r>
        <w:rPr/>
        <w:t>的短期行为。</w:t>
      </w:r>
    </w:p>
    <w:p>
      <w:pPr>
        <w:pStyle w:val="BodyText"/>
        <w:spacing w:line="309" w:lineRule="auto" w:before="17"/>
        <w:ind w:right="194" w:firstLine="360"/>
        <w:jc w:val="both"/>
      </w:pPr>
      <w:r>
        <w:rPr>
          <w:spacing w:val="-2"/>
        </w:rPr>
        <w:t>报告期内，薪酬与考核委员会认为，公司董事、监事和高级管理人员根据各自的分工，认真履行了相应的职责，较好的</w:t>
      </w:r>
      <w:r>
        <w:rPr/>
        <w:t> 完成了其工作目标。报告期内，薪酬与考核委员会共召开了</w:t>
      </w:r>
      <w:r>
        <w:rPr>
          <w:rFonts w:ascii="Times New Roman" w:hAnsi="Times New Roman" w:cs="Times New Roman" w:eastAsia="Times New Roman" w:hint="default"/>
        </w:rPr>
        <w:t>2</w:t>
      </w:r>
      <w:r>
        <w:rPr/>
        <w:t>次会议，对公司</w:t>
      </w:r>
      <w:r>
        <w:rPr>
          <w:rFonts w:ascii="Times New Roman" w:hAnsi="Times New Roman" w:cs="Times New Roman" w:eastAsia="Times New Roman" w:hint="default"/>
        </w:rPr>
        <w:t>2015</w:t>
      </w:r>
      <w:r>
        <w:rPr/>
        <w:t>年度董事和高管的薪酬发放情况及第一期 员工持股计划参与对象及实施的合法合规性发表了意见，并提交给董事会审议。</w:t>
      </w:r>
    </w:p>
    <w:p>
      <w:pPr>
        <w:pStyle w:val="BodyText"/>
        <w:spacing w:line="300" w:lineRule="auto" w:before="24"/>
        <w:ind w:left="513" w:right="94"/>
        <w:jc w:val="left"/>
      </w:pPr>
      <w:r>
        <w:rPr>
          <w:rFonts w:ascii="Times New Roman" w:hAnsi="Times New Roman" w:cs="Times New Roman" w:eastAsia="Times New Roman" w:hint="default"/>
        </w:rPr>
        <w:t>4</w:t>
      </w:r>
      <w:r>
        <w:rPr/>
        <w:t>、提名委员会履职情况 </w:t>
      </w:r>
      <w:r>
        <w:rPr>
          <w:spacing w:val="-2"/>
        </w:rPr>
        <w:t>报告期内，提名委员会按照《董事会提名委员会工作细则》履行职责，提名委员会认为公司董事会人员结构合理，高管</w:t>
      </w:r>
    </w:p>
    <w:p>
      <w:pPr>
        <w:pStyle w:val="BodyText"/>
        <w:spacing w:line="300" w:lineRule="auto" w:before="31"/>
        <w:ind w:right="180"/>
        <w:jc w:val="left"/>
      </w:pPr>
      <w:r>
        <w:rPr>
          <w:spacing w:val="-1"/>
        </w:rPr>
        <w:t>团队具有丰富的行业经验和管理经验，完全胜任各自的工作。</w:t>
      </w:r>
      <w:r>
        <w:rPr>
          <w:spacing w:val="-5"/>
        </w:rPr>
        <w:t> </w:t>
      </w:r>
      <w:r>
        <w:rPr>
          <w:spacing w:val="-2"/>
        </w:rPr>
        <w:t>报告期内，提名委员会共召开了</w:t>
      </w:r>
      <w:r>
        <w:rPr>
          <w:rFonts w:ascii="Times New Roman" w:hAnsi="Times New Roman" w:cs="Times New Roman" w:eastAsia="Times New Roman" w:hint="default"/>
          <w:spacing w:val="-2"/>
        </w:rPr>
        <w:t>2</w:t>
      </w:r>
      <w:r>
        <w:rPr>
          <w:spacing w:val="-2"/>
        </w:rPr>
        <w:t>次会议，对公司第五届非独</w:t>
      </w:r>
      <w:r>
        <w:rPr>
          <w:spacing w:val="-88"/>
        </w:rPr>
        <w:t> </w:t>
      </w:r>
      <w:r>
        <w:rPr>
          <w:spacing w:val="-88"/>
        </w:rPr>
      </w:r>
      <w:r>
        <w:rPr/>
        <w:t>立董事、独立董事及高管人员的任职资格进行了认真审查，并提交给董事会审议。</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8"/>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firstLine="360"/>
        <w:jc w:val="both"/>
      </w:pPr>
      <w:r>
        <w:rPr>
          <w:spacing w:val="-2"/>
        </w:rPr>
        <w:t>报告期内，公司建立了比较完善的绩效考评机制和激励制度，建立健全高级管理人员的考评体系和薪酬制度。公司对高</w:t>
      </w:r>
      <w:r>
        <w:rPr/>
        <w:t> </w:t>
      </w:r>
      <w:r>
        <w:rPr>
          <w:spacing w:val="-2"/>
        </w:rPr>
        <w:t>级管理人员实行年薪制，对高级管理人员以量化的考核指标定期进行业绩考核，使高级管理人员的收入与其工作绩效直接挂</w:t>
      </w:r>
    </w:p>
    <w:p>
      <w:pPr>
        <w:spacing w:after="0" w:line="316" w:lineRule="auto"/>
        <w:jc w:val="both"/>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309" w:lineRule="auto" w:before="44"/>
        <w:ind w:right="94"/>
        <w:jc w:val="left"/>
      </w:pPr>
      <w:r>
        <w:rPr/>
        <w:t>钩。经过考评，</w:t>
      </w:r>
      <w:r>
        <w:rPr>
          <w:rFonts w:ascii="Times New Roman" w:hAnsi="Times New Roman" w:cs="Times New Roman" w:eastAsia="Times New Roman" w:hint="default"/>
        </w:rPr>
        <w:t>2015</w:t>
      </w:r>
      <w:r>
        <w:rPr/>
        <w:t>年度公司高级管理人员认真履行了工作职责，工作业绩良好，较好地完成了本年度所确定的各项任务。 </w:t>
      </w:r>
      <w:r>
        <w:rPr>
          <w:spacing w:val="-2"/>
        </w:rPr>
        <w:t>公司将不断优化薪酬激励及约束机制，完善对公司高级管理人员的考评标准和办法，促进高级管理人员良好的履行职责，促</w:t>
      </w:r>
      <w:r>
        <w:rPr>
          <w:spacing w:val="-63"/>
        </w:rPr>
        <w:t> </w:t>
      </w:r>
      <w:r>
        <w:rPr>
          <w:spacing w:val="-63"/>
        </w:rPr>
      </w:r>
      <w:r>
        <w:rPr/>
        <w:t>成公司提升经营业绩。</w:t>
      </w:r>
    </w:p>
    <w:p>
      <w:pPr>
        <w:spacing w:line="240" w:lineRule="auto" w:before="3"/>
        <w:rPr>
          <w:rFonts w:ascii="宋体" w:hAnsi="宋体" w:cs="宋体" w:eastAsia="宋体" w:hint="default"/>
          <w:sz w:val="21"/>
          <w:szCs w:val="21"/>
        </w:rPr>
      </w:pPr>
    </w:p>
    <w:p>
      <w:pPr>
        <w:pStyle w:val="Heading2"/>
        <w:spacing w:line="240" w:lineRule="auto"/>
        <w:ind w:right="94"/>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pStyle w:val="BodyText"/>
        <w:spacing w:line="240" w:lineRule="auto" w:before="44"/>
        <w:ind w:left="0" w:right="196"/>
        <w:jc w:val="right"/>
      </w:pPr>
      <w:r>
        <w:rPr/>
        <w:pict>
          <v:shape style="position:absolute;margin-left:56.400002pt;margin-top:-431.848297pt;width:479.3pt;height:512.1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4110"/>
                    <w:gridCol w:w="142"/>
                    <w:gridCol w:w="4325"/>
                  </w:tblGrid>
                  <w:tr>
                    <w:trPr>
                      <w:trHeight w:val="401" w:hRule="exact"/>
                    </w:trPr>
                    <w:tc>
                      <w:tcPr>
                        <w:tcW w:w="51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46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161" w:hRule="exact"/>
                    </w:trPr>
                    <w:tc>
                      <w:tcPr>
                        <w:tcW w:w="51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467" w:type="dxa"/>
                        <w:gridSpan w:val="2"/>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具体内容详见巨潮资讯网</w:t>
                        </w:r>
                        <w:hyperlink r:id="rId19">
                          <w:r>
                            <w:rPr>
                              <w:rFonts w:ascii="Times New Roman" w:hAnsi="Times New Roman" w:cs="Times New Roman" w:eastAsia="Times New Roman" w:hint="default"/>
                              <w:sz w:val="18"/>
                              <w:szCs w:val="18"/>
                            </w:rPr>
                            <w:t>(htt</w:t>
                          </w:r>
                        </w:hyperlink>
                        <w:r>
                          <w:rPr>
                            <w:rFonts w:ascii="Times New Roman" w:hAnsi="Times New Roman" w:cs="Times New Roman" w:eastAsia="Times New Roman" w:hint="default"/>
                            <w:sz w:val="18"/>
                            <w:szCs w:val="18"/>
                          </w:rPr>
                          <w:t>p</w:t>
                        </w:r>
                        <w:hyperlink r:id="rId19">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的</w:t>
                          </w:r>
                        </w:hyperlink>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年度内部控制自我评价报告》</w:t>
                        </w:r>
                      </w:p>
                    </w:tc>
                  </w:tr>
                  <w:tr>
                    <w:trPr>
                      <w:trHeight w:val="394" w:hRule="exact"/>
                    </w:trPr>
                    <w:tc>
                      <w:tcPr>
                        <w:tcW w:w="510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467" w:type="dxa"/>
                        <w:gridSpan w:val="2"/>
                        <w:vMerge/>
                        <w:tcBorders>
                          <w:left w:val="single" w:sz="10" w:space="0" w:color="D2D2D2"/>
                          <w:right w:val="single" w:sz="4" w:space="0" w:color="000000"/>
                        </w:tcBorders>
                      </w:tcPr>
                      <w:p>
                        <w:pPr/>
                      </w:p>
                    </w:tc>
                  </w:tr>
                  <w:tr>
                    <w:trPr>
                      <w:trHeight w:val="161" w:hRule="exact"/>
                    </w:trPr>
                    <w:tc>
                      <w:tcPr>
                        <w:tcW w:w="51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467" w:type="dxa"/>
                        <w:gridSpan w:val="2"/>
                        <w:vMerge/>
                        <w:tcBorders>
                          <w:left w:val="single" w:sz="10" w:space="0" w:color="D2D2D2"/>
                          <w:bottom w:val="single" w:sz="4" w:space="0" w:color="000000"/>
                          <w:right w:val="single" w:sz="4" w:space="0" w:color="000000"/>
                        </w:tcBorders>
                      </w:tcPr>
                      <w:p>
                        <w:pPr/>
                      </w:p>
                    </w:tc>
                  </w:tr>
                  <w:tr>
                    <w:trPr>
                      <w:trHeight w:val="401" w:hRule="exact"/>
                    </w:trPr>
                    <w:tc>
                      <w:tcPr>
                        <w:tcW w:w="51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46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8" w:hRule="exact"/>
                    </w:trPr>
                    <w:tc>
                      <w:tcPr>
                        <w:tcW w:w="51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46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2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4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992"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1" w:type="dxa"/>
                        <w:gridSpan w:val="2"/>
                        <w:vMerge w:val="restart"/>
                        <w:tcBorders>
                          <w:top w:val="single" w:sz="4" w:space="0" w:color="000000"/>
                          <w:left w:val="single" w:sz="9" w:space="0" w:color="D2D2D2"/>
                          <w:right w:val="single" w:sz="4" w:space="0" w:color="000000"/>
                        </w:tcBorders>
                      </w:tcPr>
                      <w:p>
                        <w:pPr>
                          <w:pStyle w:val="TableParagraph"/>
                          <w:spacing w:line="240" w:lineRule="auto" w:before="8"/>
                          <w:ind w:left="378" w:right="0"/>
                          <w:jc w:val="left"/>
                          <w:rPr>
                            <w:rFonts w:ascii="宋体" w:hAnsi="宋体" w:cs="宋体" w:eastAsia="宋体" w:hint="default"/>
                            <w:sz w:val="18"/>
                            <w:szCs w:val="18"/>
                          </w:rPr>
                        </w:pPr>
                        <w:r>
                          <w:rPr>
                            <w:rFonts w:ascii="宋体" w:hAnsi="宋体" w:cs="宋体" w:eastAsia="宋体" w:hint="default"/>
                            <w:sz w:val="18"/>
                            <w:szCs w:val="18"/>
                          </w:rPr>
                          <w:t>财务报告重大缺陷的迹象包括：①控制环境无效</w:t>
                        </w:r>
                      </w:p>
                      <w:p>
                        <w:pPr>
                          <w:pStyle w:val="TableParagraph"/>
                          <w:spacing w:line="316" w:lineRule="auto" w:before="76"/>
                          <w:ind w:left="18" w:right="17"/>
                          <w:jc w:val="both"/>
                          <w:rPr>
                            <w:rFonts w:ascii="宋体" w:hAnsi="宋体" w:cs="宋体" w:eastAsia="宋体" w:hint="default"/>
                            <w:sz w:val="18"/>
                            <w:szCs w:val="18"/>
                          </w:rPr>
                        </w:pPr>
                        <w:r>
                          <w:rPr>
                            <w:rFonts w:ascii="宋体" w:hAnsi="宋体" w:cs="宋体" w:eastAsia="宋体" w:hint="default"/>
                            <w:sz w:val="18"/>
                            <w:szCs w:val="18"/>
                          </w:rPr>
                          <w:t>②公司董事、监事和高级管理人员的舞弊行为；③外 部审计发现的却未被公司内部控制识别的当期财务报 告中的重大错报；④已经发现并报告给管理层的重大 缺陷在合理的时间内未加以改正；⑤审计委员会和审 计部门对内部控制的监督无效。财务报告重要缺陷的 迹象包括：</w:t>
                        </w:r>
                        <w:r>
                          <w:rPr>
                            <w:rFonts w:ascii="宋体" w:hAnsi="宋体" w:cs="宋体" w:eastAsia="宋体" w:hint="default"/>
                            <w:spacing w:val="-36"/>
                            <w:sz w:val="18"/>
                            <w:szCs w:val="18"/>
                          </w:rPr>
                          <w:t> </w:t>
                        </w:r>
                        <w:r>
                          <w:rPr>
                            <w:rFonts w:ascii="宋体" w:hAnsi="宋体" w:cs="宋体" w:eastAsia="宋体" w:hint="default"/>
                            <w:sz w:val="18"/>
                            <w:szCs w:val="18"/>
                          </w:rPr>
                          <w:t>①未依照公认会计准则选择和应用会计政</w:t>
                        </w:r>
                        <w:r>
                          <w:rPr>
                            <w:rFonts w:ascii="宋体" w:hAnsi="宋体" w:cs="宋体" w:eastAsia="宋体" w:hint="default"/>
                            <w:sz w:val="18"/>
                            <w:szCs w:val="18"/>
                          </w:rPr>
                          <w:t> 策； ②未建立反舞弊程序和控制措施；</w:t>
                        </w:r>
                        <w:r>
                          <w:rPr>
                            <w:rFonts w:ascii="宋体" w:hAnsi="宋体" w:cs="宋体" w:eastAsia="宋体" w:hint="default"/>
                            <w:spacing w:val="2"/>
                            <w:sz w:val="18"/>
                            <w:szCs w:val="18"/>
                          </w:rPr>
                          <w:t> </w:t>
                        </w:r>
                        <w:r>
                          <w:rPr>
                            <w:rFonts w:ascii="宋体" w:hAnsi="宋体" w:cs="宋体" w:eastAsia="宋体" w:hint="default"/>
                            <w:sz w:val="18"/>
                            <w:szCs w:val="18"/>
                          </w:rPr>
                          <w:t>③对于非常</w:t>
                        </w:r>
                        <w:r>
                          <w:rPr>
                            <w:rFonts w:ascii="宋体" w:hAnsi="宋体" w:cs="宋体" w:eastAsia="宋体" w:hint="default"/>
                            <w:sz w:val="18"/>
                            <w:szCs w:val="18"/>
                          </w:rPr>
                          <w:t> 规或特殊交易的账务处理没有建立相应的控制机制或 没有实施且没有相应的补偿性控制；</w:t>
                        </w:r>
                        <w:r>
                          <w:rPr>
                            <w:rFonts w:ascii="宋体" w:hAnsi="宋体" w:cs="宋体" w:eastAsia="宋体" w:hint="default"/>
                            <w:spacing w:val="-32"/>
                            <w:sz w:val="18"/>
                            <w:szCs w:val="18"/>
                          </w:rPr>
                          <w:t> </w:t>
                        </w:r>
                        <w:r>
                          <w:rPr>
                            <w:rFonts w:ascii="宋体" w:hAnsi="宋体" w:cs="宋体" w:eastAsia="宋体" w:hint="default"/>
                            <w:sz w:val="18"/>
                            <w:szCs w:val="18"/>
                          </w:rPr>
                          <w:t>④对于期末财务</w:t>
                        </w:r>
                        <w:r>
                          <w:rPr>
                            <w:rFonts w:ascii="宋体" w:hAnsi="宋体" w:cs="宋体" w:eastAsia="宋体" w:hint="default"/>
                            <w:sz w:val="18"/>
                            <w:szCs w:val="18"/>
                          </w:rPr>
                          <w:t> 报告过程的控制存在一项或多项缺陷且不能合理保证 编制的财务报表达到真实、完整的目标。</w:t>
                        </w:r>
                      </w:p>
                      <w:p>
                        <w:pPr>
                          <w:pStyle w:val="TableParagraph"/>
                          <w:spacing w:line="316" w:lineRule="auto" w:before="19"/>
                          <w:ind w:left="18" w:right="75" w:firstLine="360"/>
                          <w:jc w:val="left"/>
                          <w:rPr>
                            <w:rFonts w:ascii="宋体" w:hAnsi="宋体" w:cs="宋体" w:eastAsia="宋体" w:hint="default"/>
                            <w:sz w:val="18"/>
                            <w:szCs w:val="18"/>
                          </w:rPr>
                        </w:pPr>
                        <w:r>
                          <w:rPr>
                            <w:rFonts w:ascii="宋体" w:hAnsi="宋体" w:cs="宋体" w:eastAsia="宋体" w:hint="default"/>
                            <w:sz w:val="18"/>
                            <w:szCs w:val="18"/>
                          </w:rPr>
                          <w:t>一般缺陷：未构成重大缺陷、重要缺陷标准的其 他内部控制缺陷。</w:t>
                        </w:r>
                      </w:p>
                    </w:tc>
                    <w:tc>
                      <w:tcPr>
                        <w:tcW w:w="4325" w:type="dxa"/>
                        <w:vMerge w:val="restart"/>
                        <w:tcBorders>
                          <w:top w:val="single" w:sz="4" w:space="0" w:color="000000"/>
                          <w:left w:val="single" w:sz="4" w:space="0" w:color="000000"/>
                          <w:right w:val="single" w:sz="4" w:space="0" w:color="000000"/>
                        </w:tcBorders>
                      </w:tcPr>
                      <w:p>
                        <w:pPr>
                          <w:pStyle w:val="TableParagraph"/>
                          <w:spacing w:line="240" w:lineRule="auto" w:before="8"/>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26" w:right="19" w:firstLine="36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非财务报告缺陷认定主要以缺陷对业务流程有效 </w:t>
                        </w:r>
                        <w:r>
                          <w:rPr>
                            <w:rFonts w:ascii="宋体" w:hAnsi="宋体" w:cs="宋体" w:eastAsia="宋体" w:hint="default"/>
                            <w:spacing w:val="-3"/>
                            <w:sz w:val="18"/>
                            <w:szCs w:val="18"/>
                          </w:rPr>
                          <w:t>性的影响程度、发生的可能性作判定。如果缺陷发生的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可能性较小，会降低工作效率或效果、或加大效果的不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确定性、或使之偏离预期目标为一般缺陷；如果缺陷发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生的可能性较高，会显著降低工作效率或效果、或显著</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加大效果的不确定性、或使之显著偏离预期目标为重要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缺陷；</w:t>
                        </w:r>
                        <w:r>
                          <w:rPr>
                            <w:rFonts w:ascii="宋体" w:hAnsi="宋体" w:cs="宋体" w:eastAsia="宋体" w:hint="default"/>
                            <w:spacing w:val="1"/>
                            <w:sz w:val="18"/>
                            <w:szCs w:val="18"/>
                          </w:rPr>
                          <w:t> </w:t>
                        </w:r>
                        <w:r>
                          <w:rPr>
                            <w:rFonts w:ascii="宋体" w:hAnsi="宋体" w:cs="宋体" w:eastAsia="宋体" w:hint="default"/>
                            <w:sz w:val="18"/>
                            <w:szCs w:val="18"/>
                          </w:rPr>
                          <w:t>如果缺陷发生的可能性高，会严重降低工作效</w:t>
                        </w:r>
                        <w:r>
                          <w:rPr>
                            <w:rFonts w:ascii="宋体" w:hAnsi="宋体" w:cs="宋体" w:eastAsia="宋体" w:hint="default"/>
                            <w:sz w:val="18"/>
                            <w:szCs w:val="18"/>
                          </w:rPr>
                          <w:t> </w:t>
                        </w:r>
                        <w:r>
                          <w:rPr>
                            <w:rFonts w:ascii="宋体" w:hAnsi="宋体" w:cs="宋体" w:eastAsia="宋体" w:hint="default"/>
                            <w:spacing w:val="-3"/>
                            <w:sz w:val="18"/>
                            <w:szCs w:val="18"/>
                          </w:rPr>
                          <w:t>率或效果、或严重加大效果的不确定性、或使之严重偏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离预期目标为重大缺陷。</w:t>
                        </w:r>
                      </w:p>
                    </w:tc>
                  </w:tr>
                  <w:tr>
                    <w:trPr>
                      <w:trHeight w:val="391"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定性标准</w:t>
                        </w:r>
                      </w:p>
                    </w:tc>
                    <w:tc>
                      <w:tcPr>
                        <w:tcW w:w="4251" w:type="dxa"/>
                        <w:gridSpan w:val="2"/>
                        <w:vMerge/>
                        <w:tcBorders>
                          <w:left w:val="single" w:sz="9" w:space="0" w:color="D2D2D2"/>
                          <w:right w:val="single" w:sz="4" w:space="0" w:color="000000"/>
                        </w:tcBorders>
                      </w:tcPr>
                      <w:p>
                        <w:pPr/>
                      </w:p>
                    </w:tc>
                    <w:tc>
                      <w:tcPr>
                        <w:tcW w:w="4325" w:type="dxa"/>
                        <w:vMerge/>
                        <w:tcBorders>
                          <w:left w:val="single" w:sz="4" w:space="0" w:color="000000"/>
                          <w:right w:val="single" w:sz="4" w:space="0" w:color="000000"/>
                        </w:tcBorders>
                      </w:tcPr>
                      <w:p>
                        <w:pPr/>
                      </w:p>
                    </w:tc>
                  </w:tr>
                  <w:tr>
                    <w:trPr>
                      <w:trHeight w:val="1994"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1" w:type="dxa"/>
                        <w:gridSpan w:val="2"/>
                        <w:vMerge/>
                        <w:tcBorders>
                          <w:left w:val="single" w:sz="9" w:space="0" w:color="D2D2D2"/>
                          <w:bottom w:val="single" w:sz="4" w:space="0" w:color="000000"/>
                          <w:right w:val="single" w:sz="4" w:space="0" w:color="000000"/>
                        </w:tcBorders>
                      </w:tcPr>
                      <w:p>
                        <w:pPr/>
                      </w:p>
                    </w:tc>
                    <w:tc>
                      <w:tcPr>
                        <w:tcW w:w="4325" w:type="dxa"/>
                        <w:vMerge/>
                        <w:tcBorders>
                          <w:left w:val="single" w:sz="4" w:space="0" w:color="000000"/>
                          <w:bottom w:val="single" w:sz="4" w:space="0" w:color="000000"/>
                          <w:right w:val="single" w:sz="4" w:space="0" w:color="000000"/>
                        </w:tcBorders>
                      </w:tcPr>
                      <w:p>
                        <w:pPr/>
                      </w:p>
                    </w:tc>
                  </w:tr>
                  <w:tr>
                    <w:trPr>
                      <w:trHeight w:val="1369"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1" w:type="dxa"/>
                        <w:gridSpan w:val="2"/>
                        <w:vMerge w:val="restart"/>
                        <w:tcBorders>
                          <w:top w:val="single" w:sz="4" w:space="0" w:color="000000"/>
                          <w:left w:val="single" w:sz="9" w:space="0" w:color="D2D2D2"/>
                          <w:right w:val="single" w:sz="4" w:space="0" w:color="000000"/>
                        </w:tcBorders>
                      </w:tcPr>
                      <w:p>
                        <w:pPr>
                          <w:pStyle w:val="TableParagraph"/>
                          <w:spacing w:line="312" w:lineRule="auto" w:before="8"/>
                          <w:ind w:left="18" w:right="15" w:firstLine="360"/>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定量标准以营业收入、资产总额作为衡量指标。 内部控制缺陷可能导致或导致的损失与利润表相关 的，以营业收入指标衡量。如果该缺陷单独或连同其 他缺陷可能导致的财务报告错报金额小于营业收入的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，则认定为一般缺陷；如果超过营业收入的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但小于</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，则认定为重要缺陷；如果超过营业收入的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，则认定为重大缺陷。内部控制缺陷可能导致或导 致的损失与资产管理相关的，以资产总额指标衡量。 如果该缺陷单独或连同其他缺陷可能导致的财务报告 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tc>
                    <w:tc>
                      <w:tcPr>
                        <w:tcW w:w="43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2" w:lineRule="auto"/>
                          <w:ind w:left="26" w:right="19" w:firstLine="360"/>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定量标准以营业收入、资产总额作为衡量指标。</w:t>
                        </w:r>
                        <w:r>
                          <w:rPr>
                            <w:rFonts w:ascii="宋体" w:hAnsi="宋体" w:cs="宋体" w:eastAsia="宋体" w:hint="default"/>
                            <w:spacing w:val="-64"/>
                            <w:sz w:val="18"/>
                            <w:szCs w:val="18"/>
                          </w:rPr>
                          <w:t> </w:t>
                        </w:r>
                        <w:r>
                          <w:rPr>
                            <w:rFonts w:ascii="宋体" w:hAnsi="宋体" w:cs="宋体" w:eastAsia="宋体" w:hint="default"/>
                            <w:sz w:val="18"/>
                            <w:szCs w:val="18"/>
                          </w:rPr>
                          <w:t>内</w:t>
                        </w:r>
                        <w:r>
                          <w:rPr>
                            <w:rFonts w:ascii="宋体" w:hAnsi="宋体" w:cs="宋体" w:eastAsia="宋体" w:hint="default"/>
                            <w:sz w:val="18"/>
                            <w:szCs w:val="18"/>
                          </w:rPr>
                          <w:t> </w:t>
                        </w:r>
                        <w:r>
                          <w:rPr>
                            <w:rFonts w:ascii="宋体" w:hAnsi="宋体" w:cs="宋体" w:eastAsia="宋体" w:hint="default"/>
                            <w:spacing w:val="-3"/>
                            <w:sz w:val="18"/>
                            <w:szCs w:val="18"/>
                          </w:rPr>
                          <w:t>部控制缺陷可能导致或导致的损失与利润表相关的，以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营业收入指标衡量。如果该缺陷单独或连同其他缺陷可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能导致的财务报告错报金额小于营业收入的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 </w:t>
                        </w:r>
                        <w:r>
                          <w:rPr>
                            <w:rFonts w:ascii="宋体" w:hAnsi="宋体" w:cs="宋体" w:eastAsia="宋体" w:hint="default"/>
                            <w:spacing w:val="-6"/>
                            <w:sz w:val="18"/>
                            <w:szCs w:val="18"/>
                          </w:rPr>
                          <w:t>认定为一般缺陷；如果超过营业收入的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则认定为重要缺陷；如果超过营业收入的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 </w:t>
                        </w:r>
                        <w:r>
                          <w:rPr>
                            <w:rFonts w:ascii="宋体" w:hAnsi="宋体" w:cs="宋体" w:eastAsia="宋体" w:hint="default"/>
                            <w:spacing w:val="-3"/>
                            <w:sz w:val="18"/>
                            <w:szCs w:val="18"/>
                          </w:rPr>
                          <w:t>为重大缺陷。内部控制缺陷可能导致或导致的损失与资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产管理相关的，以资产总额指标衡量。如果该缺陷单独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或连同其他缺陷可能导致的财务报告错报金额小于资</w:t>
                        </w:r>
                      </w:p>
                    </w:tc>
                  </w:tr>
                  <w:tr>
                    <w:trPr>
                      <w:trHeight w:val="394"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定量标准</w:t>
                        </w:r>
                      </w:p>
                    </w:tc>
                    <w:tc>
                      <w:tcPr>
                        <w:tcW w:w="4251" w:type="dxa"/>
                        <w:gridSpan w:val="2"/>
                        <w:vMerge/>
                        <w:tcBorders>
                          <w:left w:val="single" w:sz="9" w:space="0" w:color="D2D2D2"/>
                          <w:right w:val="single" w:sz="4" w:space="0" w:color="000000"/>
                        </w:tcBorders>
                      </w:tcPr>
                      <w:p>
                        <w:pPr/>
                      </w:p>
                    </w:tc>
                    <w:tc>
                      <w:tcPr>
                        <w:tcW w:w="4325" w:type="dxa"/>
                        <w:vMerge/>
                        <w:tcBorders>
                          <w:left w:val="single" w:sz="4" w:space="0" w:color="000000"/>
                          <w:right w:val="single" w:sz="4" w:space="0" w:color="000000"/>
                        </w:tcBorders>
                      </w:tcPr>
                      <w:p>
                        <w:pPr/>
                      </w:p>
                    </w:tc>
                  </w:tr>
                  <w:tr>
                    <w:trPr>
                      <w:trHeight w:val="1368"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1" w:type="dxa"/>
                        <w:gridSpan w:val="2"/>
                        <w:vMerge/>
                        <w:tcBorders>
                          <w:left w:val="single" w:sz="9" w:space="0" w:color="D2D2D2"/>
                          <w:bottom w:val="single" w:sz="4" w:space="0" w:color="000000"/>
                          <w:right w:val="single" w:sz="4" w:space="0" w:color="000000"/>
                        </w:tcBorders>
                      </w:tcPr>
                      <w:p>
                        <w:pPr/>
                      </w:p>
                    </w:tc>
                    <w:tc>
                      <w:tcPr>
                        <w:tcW w:w="4325"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86" w:footer="1021" w:top="1100" w:bottom="1220" w:left="980" w:right="940"/>
        </w:sectPr>
      </w:pP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982"/>
        <w:gridCol w:w="1972"/>
        <w:gridCol w:w="2279"/>
        <w:gridCol w:w="4325"/>
      </w:tblGrid>
      <w:tr>
        <w:trPr>
          <w:trHeight w:val="946"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89"/>
              <w:jc w:val="left"/>
              <w:rPr>
                <w:rFonts w:ascii="宋体" w:hAnsi="宋体" w:cs="宋体" w:eastAsia="宋体" w:hint="default"/>
                <w:sz w:val="18"/>
                <w:szCs w:val="18"/>
              </w:rPr>
            </w:pPr>
            <w:r>
              <w:rPr>
                <w:rFonts w:ascii="宋体" w:hAnsi="宋体" w:cs="宋体" w:eastAsia="宋体" w:hint="default"/>
                <w:sz w:val="18"/>
                <w:szCs w:val="18"/>
              </w:rPr>
              <w:t>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 缺陷；如果超过资产总额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6" w:right="20"/>
              <w:jc w:val="left"/>
              <w:rPr>
                <w:rFonts w:ascii="宋体" w:hAnsi="宋体" w:cs="宋体" w:eastAsia="宋体" w:hint="default"/>
                <w:sz w:val="18"/>
                <w:szCs w:val="18"/>
              </w:rPr>
            </w:pPr>
            <w:r>
              <w:rPr>
                <w:rFonts w:ascii="宋体" w:hAnsi="宋体" w:cs="宋体" w:eastAsia="宋体" w:hint="default"/>
                <w:sz w:val="18"/>
                <w:szCs w:val="18"/>
              </w:rPr>
              <w:t>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，则认定为一般缺陷；如果超过资产总 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，则认定为重要缺陷；如果超过资</w:t>
            </w:r>
            <w:r>
              <w:rPr>
                <w:rFonts w:ascii="宋体" w:hAnsi="宋体" w:cs="宋体" w:eastAsia="宋体" w:hint="default"/>
                <w:sz w:val="18"/>
                <w:szCs w:val="18"/>
              </w:rPr>
              <w:t> 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r>
      <w:tr>
        <w:trPr>
          <w:trHeight w:val="403" w:hRule="exact"/>
        </w:trPr>
        <w:tc>
          <w:tcPr>
            <w:tcW w:w="29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60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9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60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9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60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9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60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18"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97" w:lineRule="auto"/>
              <w:ind w:left="24" w:right="79"/>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 面保持了与财务报表相关的有效的内部控制。本结论是在受到鉴证报告中指出的固有限制的条件下形成的。</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具体内容详见巨潮资讯网</w:t>
            </w:r>
            <w:hyperlink r:id="rId19">
              <w:r>
                <w:rPr>
                  <w:rFonts w:ascii="Times New Roman" w:hAnsi="Times New Roman" w:cs="Times New Roman" w:eastAsia="Times New Roman" w:hint="default"/>
                  <w:sz w:val="18"/>
                  <w:szCs w:val="18"/>
                </w:rPr>
                <w:t>(htt</w:t>
              </w:r>
            </w:hyperlink>
            <w:r>
              <w:rPr>
                <w:rFonts w:ascii="Times New Roman" w:hAnsi="Times New Roman" w:cs="Times New Roman" w:eastAsia="Times New Roman" w:hint="default"/>
                <w:sz w:val="18"/>
                <w:szCs w:val="18"/>
              </w:rPr>
              <w:t>p</w:t>
            </w:r>
            <w:hyperlink r:id="rId19">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的《内部控制鉴证报告》</w:t>
              </w:r>
            </w:hyperlink>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53"/>
        <w:jc w:val="left"/>
      </w:pPr>
      <w:r>
        <w:rPr/>
        <w:t>会计师事务所是否出具非标准意见的内部控制鉴证报告</w:t>
      </w:r>
    </w:p>
    <w:p>
      <w:pPr>
        <w:pStyle w:val="BodyText"/>
        <w:spacing w:line="340" w:lineRule="auto" w:before="115"/>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86" w:footer="1021" w:top="110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right="3465"/>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410347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张锦坤、关敏洁</w:t>
            </w:r>
          </w:p>
        </w:tc>
      </w:tr>
    </w:tbl>
    <w:p>
      <w:pPr>
        <w:pStyle w:val="Heading4"/>
        <w:spacing w:line="240" w:lineRule="auto" w:before="49"/>
        <w:ind w:left="3429" w:right="3467"/>
        <w:jc w:val="center"/>
        <w:rPr>
          <w:b w:val="0"/>
          <w:bCs w:val="0"/>
        </w:rPr>
      </w:pPr>
      <w:r>
        <w:rPr/>
        <w:t>审计报告正文</w:t>
      </w:r>
      <w:r>
        <w:rPr>
          <w:b w:val="0"/>
          <w:bCs w:val="0"/>
        </w:rPr>
      </w:r>
    </w:p>
    <w:p>
      <w:pPr>
        <w:spacing w:before="115"/>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广州御银科技股份有限公司全体股东：</w:t>
      </w:r>
      <w:r>
        <w:rPr>
          <w:rFonts w:ascii="宋体" w:hAnsi="宋体" w:cs="宋体" w:eastAsia="宋体" w:hint="default"/>
          <w:sz w:val="18"/>
          <w:szCs w:val="18"/>
        </w:rPr>
      </w:r>
    </w:p>
    <w:p>
      <w:pPr>
        <w:pStyle w:val="BodyText"/>
        <w:spacing w:line="300" w:lineRule="auto" w:before="76"/>
        <w:ind w:right="188" w:firstLine="360"/>
        <w:jc w:val="both"/>
      </w:pPr>
      <w:r>
        <w:rPr>
          <w:spacing w:val="-2"/>
        </w:rPr>
        <w:t>我们审计了后附的广州御银科技股份有限公司（以下简称“贵公司”）财务报表，包括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日的合并资产负债</w:t>
      </w:r>
      <w:r>
        <w:rPr/>
        <w:t> </w:t>
      </w:r>
      <w:r>
        <w:rPr>
          <w:spacing w:val="-2"/>
        </w:rPr>
        <w:t>表和资产负债表、</w:t>
      </w:r>
      <w:r>
        <w:rPr>
          <w:rFonts w:ascii="Times New Roman" w:hAnsi="Times New Roman" w:cs="Times New Roman" w:eastAsia="Times New Roman" w:hint="default"/>
          <w:spacing w:val="-2"/>
        </w:rPr>
        <w:t>2015</w:t>
      </w:r>
      <w:r>
        <w:rPr>
          <w:spacing w:val="-2"/>
        </w:rPr>
        <w:t>年度的合并利润表和利润表、</w:t>
      </w:r>
      <w:r>
        <w:rPr>
          <w:rFonts w:ascii="Times New Roman" w:hAnsi="Times New Roman" w:cs="Times New Roman" w:eastAsia="Times New Roman" w:hint="default"/>
          <w:spacing w:val="-2"/>
        </w:rPr>
        <w:t>2015</w:t>
      </w:r>
      <w:r>
        <w:rPr>
          <w:spacing w:val="-2"/>
        </w:rPr>
        <w:t>年度的合并现金流量表和现金流量表、</w:t>
      </w:r>
      <w:r>
        <w:rPr>
          <w:rFonts w:ascii="Times New Roman" w:hAnsi="Times New Roman" w:cs="Times New Roman" w:eastAsia="Times New Roman" w:hint="default"/>
          <w:spacing w:val="-2"/>
        </w:rPr>
        <w:t>2015</w:t>
      </w:r>
      <w:r>
        <w:rPr>
          <w:spacing w:val="-2"/>
        </w:rPr>
        <w:t>年度的合并所有者权益</w:t>
      </w:r>
      <w:r>
        <w:rPr>
          <w:spacing w:val="-54"/>
        </w:rPr>
        <w:t> </w:t>
      </w:r>
      <w:r>
        <w:rPr>
          <w:spacing w:val="-54"/>
        </w:rPr>
      </w:r>
      <w:r>
        <w:rPr/>
        <w:t>变动表和所有者权益变动表以及财务报表附注。</w:t>
      </w:r>
    </w:p>
    <w:p>
      <w:pPr>
        <w:spacing w:line="316" w:lineRule="auto" w:before="31"/>
        <w:ind w:left="513" w:right="4233"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编制和公允列报财务报表是贵公司管理层的责任。这种责任包括：</w:t>
      </w:r>
    </w:p>
    <w:p>
      <w:pPr>
        <w:pStyle w:val="BodyText"/>
        <w:spacing w:line="240" w:lineRule="auto" w:before="19"/>
        <w:ind w:left="513" w:right="94"/>
        <w:jc w:val="left"/>
      </w:pPr>
      <w:r>
        <w:rPr/>
        <w:t>（</w:t>
      </w:r>
      <w:r>
        <w:rPr>
          <w:rFonts w:ascii="Times New Roman" w:hAnsi="Times New Roman" w:cs="Times New Roman" w:eastAsia="Times New Roman" w:hint="default"/>
        </w:rPr>
        <w:t>1</w:t>
      </w:r>
      <w:r>
        <w:rPr/>
        <w:t>）按照企业会计准则的规定编制财务报表，并使其实现公允反映；</w:t>
      </w:r>
    </w:p>
    <w:p>
      <w:pPr>
        <w:pStyle w:val="BodyText"/>
        <w:spacing w:line="309" w:lineRule="auto" w:before="63"/>
        <w:ind w:left="513" w:right="94"/>
        <w:jc w:val="left"/>
      </w:pPr>
      <w:r>
        <w:rPr/>
        <w:t>（</w:t>
      </w:r>
      <w:r>
        <w:rPr>
          <w:rFonts w:ascii="Times New Roman" w:hAnsi="Times New Roman" w:cs="Times New Roman" w:eastAsia="Times New Roman"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9" w:lineRule="auto" w:before="24"/>
        <w:ind w:right="94"/>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7"/>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316" w:lineRule="auto" w:before="19"/>
        <w:ind w:left="513" w:right="315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19"/>
        <w:ind w:right="94" w:firstLine="360"/>
        <w:jc w:val="left"/>
      </w:pP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w:t>
      </w:r>
      <w:r>
        <w:rPr/>
        <w:t> 况以及</w:t>
      </w:r>
      <w:r>
        <w:rPr>
          <w:rFonts w:ascii="Times New Roman" w:hAnsi="Times New Roman" w:cs="Times New Roman" w:eastAsia="Times New Roman" w:hint="default"/>
        </w:rPr>
        <w:t>2015</w:t>
      </w:r>
      <w:r>
        <w:rPr/>
        <w:t>年度的经营成果和现金流量。</w:t>
      </w:r>
    </w:p>
    <w:p>
      <w:pPr>
        <w:spacing w:line="240" w:lineRule="auto" w:before="11"/>
        <w:rPr>
          <w:rFonts w:ascii="宋体" w:hAnsi="宋体" w:cs="宋体" w:eastAsia="宋体" w:hint="default"/>
          <w:sz w:val="24"/>
          <w:szCs w:val="24"/>
        </w:rPr>
      </w:pPr>
    </w:p>
    <w:p>
      <w:pPr>
        <w:pStyle w:val="Heading4"/>
        <w:spacing w:line="240" w:lineRule="auto"/>
        <w:ind w:right="94"/>
        <w:jc w:val="left"/>
        <w:rPr>
          <w:b w:val="0"/>
          <w:bCs w:val="0"/>
        </w:rPr>
      </w:pPr>
      <w:r>
        <w:rPr/>
        <w:t>立信会计师事务所（特殊普通合伙）</w:t>
      </w:r>
      <w:r>
        <w:rPr>
          <w:b w:val="0"/>
          <w:bCs w:val="0"/>
        </w:rPr>
      </w:r>
    </w:p>
    <w:p>
      <w:pPr>
        <w:spacing w:line="240" w:lineRule="auto" w:before="0"/>
        <w:rPr>
          <w:rFonts w:ascii="宋体" w:hAnsi="宋体" w:cs="宋体" w:eastAsia="宋体" w:hint="default"/>
          <w:b/>
          <w:bCs/>
          <w:sz w:val="18"/>
          <w:szCs w:val="18"/>
        </w:rPr>
      </w:pPr>
    </w:p>
    <w:p>
      <w:pPr>
        <w:spacing w:line="316" w:lineRule="auto" w:before="153"/>
        <w:ind w:left="6015" w:right="1963" w:firstLine="0"/>
        <w:jc w:val="left"/>
        <w:rPr>
          <w:rFonts w:ascii="宋体" w:hAnsi="宋体" w:cs="宋体" w:eastAsia="宋体" w:hint="default"/>
          <w:sz w:val="18"/>
          <w:szCs w:val="18"/>
        </w:rPr>
      </w:pPr>
      <w:r>
        <w:rPr>
          <w:rFonts w:ascii="宋体" w:hAnsi="宋体" w:cs="宋体" w:eastAsia="宋体" w:hint="default"/>
          <w:b/>
          <w:bCs/>
          <w:sz w:val="18"/>
          <w:szCs w:val="18"/>
        </w:rPr>
        <w:t>中国注册会计师：张锦坤</w:t>
      </w:r>
      <w:r>
        <w:rPr>
          <w:rFonts w:ascii="宋体" w:hAnsi="宋体" w:cs="宋体" w:eastAsia="宋体" w:hint="default"/>
          <w:b/>
          <w:bCs/>
          <w:w w:val="99"/>
          <w:sz w:val="18"/>
          <w:szCs w:val="18"/>
        </w:rPr>
        <w:t> </w:t>
      </w:r>
      <w:r>
        <w:rPr>
          <w:rFonts w:ascii="宋体" w:hAnsi="宋体" w:cs="宋体" w:eastAsia="宋体" w:hint="default"/>
          <w:b/>
          <w:bCs/>
          <w:sz w:val="18"/>
          <w:szCs w:val="18"/>
        </w:rPr>
        <w:t>中国注册会计师：关敏洁</w:t>
      </w:r>
      <w:r>
        <w:rPr>
          <w:rFonts w:ascii="宋体" w:hAnsi="宋体" w:cs="宋体" w:eastAsia="宋体" w:hint="default"/>
          <w:sz w:val="18"/>
          <w:szCs w:val="18"/>
        </w:rPr>
      </w:r>
    </w:p>
    <w:p>
      <w:pPr>
        <w:spacing w:after="0" w:line="316" w:lineRule="auto"/>
        <w:jc w:val="left"/>
        <w:rPr>
          <w:rFonts w:ascii="宋体" w:hAnsi="宋体" w:cs="宋体" w:eastAsia="宋体" w:hint="default"/>
          <w:sz w:val="18"/>
          <w:szCs w:val="18"/>
        </w:rPr>
        <w:sectPr>
          <w:pgSz w:w="11910" w:h="16840"/>
          <w:pgMar w:header="786" w:footer="1021" w:top="1100" w:bottom="1220" w:left="980" w:right="940"/>
        </w:sectPr>
      </w:pPr>
    </w:p>
    <w:p>
      <w:pPr>
        <w:spacing w:line="240" w:lineRule="auto" w:before="6"/>
        <w:rPr>
          <w:rFonts w:ascii="宋体" w:hAnsi="宋体" w:cs="宋体" w:eastAsia="宋体" w:hint="default"/>
          <w:b/>
          <w:bCs/>
          <w:sz w:val="20"/>
          <w:szCs w:val="20"/>
        </w:rPr>
      </w:pPr>
    </w:p>
    <w:p>
      <w:pPr>
        <w:spacing w:before="26"/>
        <w:ind w:left="532" w:right="7834"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left="532" w:right="544"/>
        <w:jc w:val="left"/>
      </w:pPr>
      <w:r>
        <w:rPr/>
        <w:t>财务附注中报表的单位为：人民币元</w:t>
      </w:r>
    </w:p>
    <w:p>
      <w:pPr>
        <w:spacing w:line="240" w:lineRule="auto" w:before="3"/>
        <w:rPr>
          <w:rFonts w:ascii="宋体" w:hAnsi="宋体" w:cs="宋体" w:eastAsia="宋体" w:hint="default"/>
          <w:sz w:val="24"/>
          <w:szCs w:val="24"/>
        </w:rPr>
      </w:pPr>
    </w:p>
    <w:p>
      <w:pPr>
        <w:spacing w:before="36"/>
        <w:ind w:left="4438" w:right="4456"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6" w:footer="1021" w:top="1100" w:bottom="1220" w:left="600" w:right="580"/>
        </w:sectPr>
      </w:pPr>
    </w:p>
    <w:p>
      <w:pPr>
        <w:pStyle w:val="BodyText"/>
        <w:spacing w:line="240" w:lineRule="auto" w:before="44"/>
        <w:ind w:left="532" w:right="-20"/>
        <w:jc w:val="left"/>
      </w:pPr>
      <w:r>
        <w:rPr/>
        <w:t>编制单位：广州御银科技股份有限公司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532" w:right="-14"/>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532" w:right="0"/>
        <w:jc w:val="left"/>
      </w:pPr>
      <w:r>
        <w:rPr/>
        <w:t>单位：元</w:t>
      </w:r>
    </w:p>
    <w:p>
      <w:pPr>
        <w:spacing w:after="0" w:line="240" w:lineRule="auto"/>
        <w:jc w:val="left"/>
        <w:sectPr>
          <w:type w:val="continuous"/>
          <w:pgSz w:w="11910" w:h="16840"/>
          <w:pgMar w:top="1100" w:bottom="1220" w:left="600" w:right="580"/>
          <w:cols w:num="3" w:equalWidth="0">
            <w:col w:w="3593" w:space="483"/>
            <w:col w:w="2022" w:space="2822"/>
            <w:col w:w="1810"/>
          </w:cols>
        </w:sectPr>
      </w:pP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374"/>
        <w:gridCol w:w="3059"/>
        <w:gridCol w:w="3049"/>
      </w:tblGrid>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453,366,245.26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290,223,319.40</w:t>
            </w:r>
          </w:p>
        </w:tc>
      </w:tr>
      <w:tr>
        <w:trPr>
          <w:trHeight w:val="40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326,989,267.75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320,701,697.63</w:t>
            </w:r>
          </w:p>
        </w:tc>
      </w:tr>
      <w:tr>
        <w:trPr>
          <w:trHeight w:val="40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11,896,491.26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10,756,532.78</w:t>
            </w: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21,865,410.31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16,544,909.77</w:t>
            </w: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370,948,259.22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272,079,634.21</w:t>
            </w: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96,534,006.72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65,155,184.11</w:t>
            </w: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19,639,790.62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2,607,681.29</w:t>
            </w:r>
          </w:p>
        </w:tc>
      </w:tr>
      <w:tr>
        <w:trPr>
          <w:trHeight w:val="40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1,301,239,471.14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978,068,959.19</w:t>
            </w: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222,791,000.00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33,851,000.00</w:t>
            </w:r>
          </w:p>
        </w:tc>
      </w:tr>
      <w:tr>
        <w:trPr>
          <w:trHeight w:val="40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600" w:right="580"/>
        </w:sectPr>
      </w:pPr>
    </w:p>
    <w:p>
      <w:pPr>
        <w:spacing w:line="240" w:lineRule="auto" w:before="10"/>
        <w:rPr>
          <w:rFonts w:ascii="Times New Roman" w:hAnsi="Times New Roman" w:cs="Times New Roman" w:eastAsia="Times New Roman"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4374"/>
        <w:gridCol w:w="3059"/>
        <w:gridCol w:w="3049"/>
      </w:tblGrid>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120,773,616.47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205,482,775.34</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4,664,579.13</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315,652,071.28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335,039,953.14</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253,197,537.69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210,040,029.10</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67,436,029.93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72,673,598.45</w:t>
            </w: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249,999.93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1,411,478.48</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12,683,384.27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10,900,121.97</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14,138,820.96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5,309,140.68</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1,011,587,039.66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874,708,097.16</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2,312,826,510.80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1,852,777,056.35</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6,054,000.00</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273,735,209.15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109,370,949.21</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5,462,609.95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6,578,438.99</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9,024,397.05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6,858,832.03</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74,648,636.87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45,837,610.21</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13,373,407.05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10,690,351.19</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600" w:right="580"/>
        </w:sectPr>
      </w:pPr>
    </w:p>
    <w:p>
      <w:pPr>
        <w:spacing w:line="240" w:lineRule="auto" w:before="10"/>
        <w:rPr>
          <w:rFonts w:ascii="Times New Roman" w:hAnsi="Times New Roman" w:cs="Times New Roman" w:eastAsia="Times New Roman"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4374"/>
        <w:gridCol w:w="3059"/>
        <w:gridCol w:w="3049"/>
      </w:tblGrid>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483,954,260.07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185,390,181.63</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118,523,069.28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17,837,604.21</w:t>
            </w: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56,824,800.00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39,676,419.00</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723,362.17</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175,347,869.28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58,237,385.38</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659,302,129.35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243,627,567.01</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761,191,294.00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761,191,294.00</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29,679,547.28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29,679,547.28</w:t>
            </w: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31,204.70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-16,242.10</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48,262,653.86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41,988,458.22</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814,359,681.61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776,306,431.94</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600" w:right="580"/>
        </w:sectPr>
      </w:pPr>
    </w:p>
    <w:p>
      <w:pPr>
        <w:spacing w:line="240" w:lineRule="auto" w:before="10"/>
        <w:rPr>
          <w:rFonts w:ascii="Times New Roman" w:hAnsi="Times New Roman" w:cs="Times New Roman" w:eastAsia="Times New Roman"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4397"/>
        <w:gridCol w:w="3048"/>
        <w:gridCol w:w="3049"/>
      </w:tblGrid>
      <w:tr>
        <w:trPr>
          <w:trHeight w:val="402" w:hRule="exact"/>
        </w:trPr>
        <w:tc>
          <w:tcPr>
            <w:tcW w:w="4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1,653,524,381.45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1,609,149,489.34</w:t>
            </w:r>
          </w:p>
        </w:tc>
      </w:tr>
      <w:tr>
        <w:trPr>
          <w:trHeight w:val="402" w:hRule="exact"/>
        </w:trPr>
        <w:tc>
          <w:tcPr>
            <w:tcW w:w="4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1,653,524,381.45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1,609,149,489.34</w:t>
            </w:r>
          </w:p>
        </w:tc>
      </w:tr>
      <w:tr>
        <w:trPr>
          <w:trHeight w:val="402" w:hRule="exact"/>
        </w:trPr>
        <w:tc>
          <w:tcPr>
            <w:tcW w:w="4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2,312,826,510.80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1,852,777,056.35</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9" w:val="left" w:leader="none"/>
        </w:tabs>
        <w:spacing w:line="240" w:lineRule="auto" w:before="44"/>
        <w:ind w:left="0" w:right="642"/>
        <w:jc w:val="right"/>
      </w:pPr>
      <w:r>
        <w:rPr/>
        <w:t>法定代表人：杨文江</w:t>
        <w:tab/>
      </w:r>
      <w:r>
        <w:rPr>
          <w:spacing w:val="-1"/>
        </w:rPr>
        <w:t>主管会计工作负责人：陈国军</w:t>
        <w:tab/>
      </w:r>
      <w:r>
        <w:rPr/>
        <w:t>会计机构负责人：陈国军</w:t>
      </w:r>
    </w:p>
    <w:p>
      <w:pPr>
        <w:spacing w:line="240" w:lineRule="auto" w:before="0"/>
        <w:rPr>
          <w:rFonts w:ascii="宋体" w:hAnsi="宋体" w:cs="宋体" w:eastAsia="宋体" w:hint="default"/>
          <w:sz w:val="18"/>
          <w:szCs w:val="18"/>
        </w:rPr>
      </w:pPr>
    </w:p>
    <w:p>
      <w:pPr>
        <w:pStyle w:val="Heading3"/>
        <w:spacing w:line="240" w:lineRule="auto" w:before="120"/>
        <w:ind w:left="532" w:right="7834"/>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551"/>
        <w:jc w:val="right"/>
      </w:pPr>
      <w:r>
        <w:rPr/>
        <w:t>单位：元</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374"/>
        <w:gridCol w:w="3059"/>
        <w:gridCol w:w="3049"/>
      </w:tblGrid>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437,933,955.08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279,773,102.02</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319,276,437.03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321,150,004.81</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11,538,117.45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10,413,318.42</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9,949,778.96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31,332,655.21</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394,050,715.75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266,717,347.33</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95,263,254.72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61,884,560.11</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19,997,641.57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2,607,681.29</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1,288,009,900.56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973,878,669.19</w:t>
            </w:r>
            <w:r>
              <w:rPr>
                <w:rFonts w:ascii="Times New Roman"/>
                <w:sz w:val="18"/>
              </w:rPr>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214,000,000.00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25,060,000.00</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118,594,486.34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202,643,848.31</w:t>
            </w: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153,662,718.86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68,662,718.86</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207,839,088.07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223,095,693.23</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253,197,537.69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210,040,029.10</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1" w:top="1100" w:bottom="1220" w:left="600" w:right="580"/>
        </w:sectPr>
      </w:pPr>
    </w:p>
    <w:p>
      <w:pPr>
        <w:spacing w:line="240" w:lineRule="auto" w:before="10"/>
        <w:rPr>
          <w:rFonts w:ascii="Times New Roman" w:hAnsi="Times New Roman" w:cs="Times New Roman" w:eastAsia="Times New Roman"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4374"/>
        <w:gridCol w:w="3059"/>
        <w:gridCol w:w="3049"/>
      </w:tblGrid>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56,652,762.75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61,363,655.31</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249,999.93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891,025.65</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12,384,176.70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10,330,124.42</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15,611,709.93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5,309,140.68</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1,032,192,480.27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807,396,235.56</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2,320,202,380.83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1,781,274,904.75</w:t>
            </w: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6,054,000.00</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310,939,617.15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294,274,723.47</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4,531,420.41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6,399,549.21</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7,479,636.24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5,809,413.74</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66,763,844.55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31,984,121.54</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520,166,348.99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301,858,715.15</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1,017,590,867.34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646,380,523.11</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118,523,069.28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1" w:top="1100" w:bottom="1220" w:left="600" w:right="580"/>
        </w:sectPr>
      </w:pPr>
    </w:p>
    <w:p>
      <w:pPr>
        <w:spacing w:line="240" w:lineRule="auto" w:before="10"/>
        <w:rPr>
          <w:rFonts w:ascii="Times New Roman" w:hAnsi="Times New Roman" w:cs="Times New Roman" w:eastAsia="Times New Roman"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4374"/>
        <w:gridCol w:w="3059"/>
        <w:gridCol w:w="3049"/>
      </w:tblGrid>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56,166,000.00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38,871,219.00</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723,362.17</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174,689,069.28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44,594,581.17</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1,192,279,936.62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690,975,104.28</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761,191,294.00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761,191,294.00</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29,679,547.28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29,679,547.28</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059" w:type="dxa"/>
            <w:tcBorders>
              <w:top w:val="single" w:sz="4" w:space="0" w:color="000000"/>
              <w:left w:val="single" w:sz="12"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48,262,653.86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41,988,458.22</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288,788,949.07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257,440,500.97</w:t>
            </w:r>
          </w:p>
        </w:tc>
      </w:tr>
      <w:tr>
        <w:trPr>
          <w:trHeight w:val="40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1,127,922,444.21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1,090,299,800.47</w:t>
            </w: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0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2,320,202,380.83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1,781,274,904.75</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9" w:val="left" w:leader="none"/>
        </w:tabs>
        <w:spacing w:line="240" w:lineRule="auto" w:before="44"/>
        <w:ind w:left="0" w:right="642"/>
        <w:jc w:val="right"/>
      </w:pPr>
      <w:r>
        <w:rPr/>
        <w:t>法定代表人：杨文江</w:t>
        <w:tab/>
      </w:r>
      <w:r>
        <w:rPr>
          <w:spacing w:val="-1"/>
        </w:rPr>
        <w:t>主管会计工作负责人：陈国军</w:t>
        <w:tab/>
      </w:r>
      <w:r>
        <w:rPr/>
        <w:t>会计机构负责人：陈国军</w:t>
      </w:r>
    </w:p>
    <w:p>
      <w:pPr>
        <w:spacing w:line="240" w:lineRule="auto" w:before="0"/>
        <w:rPr>
          <w:rFonts w:ascii="宋体" w:hAnsi="宋体" w:cs="宋体" w:eastAsia="宋体" w:hint="default"/>
          <w:sz w:val="18"/>
          <w:szCs w:val="18"/>
        </w:rPr>
      </w:pPr>
    </w:p>
    <w:p>
      <w:pPr>
        <w:pStyle w:val="Heading3"/>
        <w:spacing w:line="240" w:lineRule="auto" w:before="118"/>
        <w:ind w:left="532" w:right="7834"/>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551"/>
        <w:jc w:val="right"/>
      </w:pPr>
      <w:r>
        <w:rPr/>
        <w:t>单位：元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5082"/>
        <w:gridCol w:w="2704"/>
        <w:gridCol w:w="2696"/>
      </w:tblGrid>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1,097,003,512.37</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971,711,483.42</w:t>
            </w: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1,097,003,512.37</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971,711,483.42</w:t>
            </w: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1,036,070,360.74</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857,471,582.57</w:t>
            </w: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693,442,098.81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581,090,436.34</w:t>
            </w: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1" w:top="1100" w:bottom="1220" w:left="600" w:right="580"/>
        </w:sectPr>
      </w:pPr>
    </w:p>
    <w:p>
      <w:pPr>
        <w:spacing w:line="240" w:lineRule="auto" w:before="10"/>
        <w:rPr>
          <w:rFonts w:ascii="Times New Roman" w:hAnsi="Times New Roman" w:cs="Times New Roman" w:eastAsia="Times New Roman"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5105"/>
        <w:gridCol w:w="2693"/>
        <w:gridCol w:w="2696"/>
      </w:tblGrid>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5"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5"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5"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5"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10,705,978.99</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6,270,963.14</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114,610,835.09</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91,817,629.43</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198,565,084.04</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171,877,610.96</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17,006,848.24</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1,437,529.83</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1,739,515.57</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4,977,412.87</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5"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-1,309,128.55</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30,189,425.82</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5"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59,624,023.08</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144,429,326.67</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24,711,039.33</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21,853,641.89</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5"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214,259.60</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12,967,457.86</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17,331,991.27</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10,046,088.66</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13,914,779.08</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71,367,604.55</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148,950,977.29</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1,920,846.54</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16,943,178.89</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69,446,758.01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132,007,798.40</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5"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69,446,758.01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132,007,798.40</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47,446.80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-17,559,840.78</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5"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47,446.80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-17,559,840.78</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5"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5" w:right="7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47,446.80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-17,559,840.78</w:t>
            </w:r>
          </w:p>
        </w:tc>
      </w:tr>
      <w:tr>
        <w:trPr>
          <w:trHeight w:val="714"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5" w:right="7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-17,561,272.66</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1" w:top="1100" w:bottom="1220" w:left="600" w:right="580"/>
        </w:sectPr>
      </w:pPr>
    </w:p>
    <w:p>
      <w:pPr>
        <w:spacing w:line="240" w:lineRule="auto" w:before="10"/>
        <w:rPr>
          <w:rFonts w:ascii="Times New Roman" w:hAnsi="Times New Roman" w:cs="Times New Roman" w:eastAsia="Times New Roman"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5082"/>
        <w:gridCol w:w="2704"/>
        <w:gridCol w:w="2696"/>
      </w:tblGrid>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47,446.80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1,431.88</w:t>
            </w: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69,494,204.81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114,447,957.62</w:t>
            </w: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69,494,204.81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114,447,957.62</w:t>
            </w: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0.09</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0.17</w:t>
            </w:r>
          </w:p>
        </w:tc>
      </w:tr>
      <w:tr>
        <w:trPr>
          <w:trHeight w:val="403"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0.17</w:t>
            </w:r>
          </w:p>
        </w:tc>
      </w:tr>
    </w:tbl>
    <w:p>
      <w:pPr>
        <w:pStyle w:val="BodyText"/>
        <w:tabs>
          <w:tab w:pos="3958" w:val="left" w:leader="none"/>
          <w:tab w:pos="8101" w:val="left" w:leader="none"/>
        </w:tabs>
        <w:spacing w:line="595" w:lineRule="auto" w:before="49"/>
        <w:ind w:left="532" w:right="642"/>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法定代表人：杨文江</w:t>
        <w:tab/>
      </w:r>
      <w:r>
        <w:rPr>
          <w:spacing w:val="-1"/>
        </w:rPr>
        <w:t>主管会计工作负责人：陈国军</w:t>
        <w:tab/>
      </w:r>
      <w:r>
        <w:rPr/>
        <w:t>会计机构负责人：陈国军</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551"/>
        <w:jc w:val="right"/>
      </w:pPr>
      <w:r>
        <w:rPr/>
        <w:t>单位：元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5082"/>
        <w:gridCol w:w="2704"/>
        <w:gridCol w:w="2696"/>
      </w:tblGrid>
      <w:tr>
        <w:trPr>
          <w:trHeight w:val="401"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1,059,521,965.44</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908,307,498.29</w:t>
            </w:r>
          </w:p>
        </w:tc>
      </w:tr>
      <w:tr>
        <w:trPr>
          <w:trHeight w:val="401"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792,162,178.59</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643,279,370.41</w:t>
            </w:r>
          </w:p>
        </w:tc>
      </w:tr>
      <w:tr>
        <w:trPr>
          <w:trHeight w:val="403"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7,290,556.14</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3,614,721.44</w:t>
            </w:r>
          </w:p>
        </w:tc>
      </w:tr>
      <w:tr>
        <w:trPr>
          <w:trHeight w:val="401"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101,891,876.50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67,054,069.69</w:t>
            </w:r>
          </w:p>
        </w:tc>
      </w:tr>
      <w:tr>
        <w:trPr>
          <w:trHeight w:val="403"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170,786,756.71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143,394,353.05</w:t>
            </w:r>
          </w:p>
        </w:tc>
      </w:tr>
      <w:tr>
        <w:trPr>
          <w:trHeight w:val="401"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17,121,689.55</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-686,002.58</w:t>
            </w:r>
          </w:p>
        </w:tc>
      </w:tr>
      <w:tr>
        <w:trPr>
          <w:trHeight w:val="403"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551,643.21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5,235,284.23</w:t>
            </w:r>
          </w:p>
        </w:tc>
      </w:tr>
      <w:tr>
        <w:trPr>
          <w:trHeight w:val="401"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17"/>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97,634,668.75</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1,517,941.41</w:t>
            </w:r>
          </w:p>
        </w:tc>
      </w:tr>
      <w:tr>
        <w:trPr>
          <w:trHeight w:val="401"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96"/>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67,351,933.49</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47,933,643.46</w:t>
            </w:r>
          </w:p>
        </w:tc>
      </w:tr>
      <w:tr>
        <w:trPr>
          <w:trHeight w:val="401"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4,038,959.25</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4,623,927.91</w:t>
            </w:r>
          </w:p>
        </w:tc>
      </w:tr>
      <w:tr>
        <w:trPr>
          <w:trHeight w:val="403"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214,259.60</w:t>
            </w:r>
          </w:p>
        </w:tc>
      </w:tr>
      <w:tr>
        <w:trPr>
          <w:trHeight w:val="401"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11,724,626.10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16,213,793.28</w:t>
            </w:r>
          </w:p>
        </w:tc>
      </w:tr>
      <w:tr>
        <w:trPr>
          <w:trHeight w:val="403"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10,046,088.66</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13,914,779.08</w:t>
            </w:r>
          </w:p>
        </w:tc>
      </w:tr>
      <w:tr>
        <w:trPr>
          <w:trHeight w:val="401"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59,666,266.64</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36,343,778.09</w:t>
            </w:r>
          </w:p>
        </w:tc>
      </w:tr>
      <w:tr>
        <w:trPr>
          <w:trHeight w:val="403"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-3,075,689.80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61,364.83</w:t>
            </w:r>
          </w:p>
        </w:tc>
      </w:tr>
      <w:tr>
        <w:trPr>
          <w:trHeight w:val="401"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62,741,956.44</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36,282,413.26</w:t>
            </w:r>
          </w:p>
        </w:tc>
      </w:tr>
      <w:tr>
        <w:trPr>
          <w:trHeight w:val="403"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1" w:top="1100" w:bottom="1220" w:left="600" w:right="580"/>
        </w:sectPr>
      </w:pPr>
    </w:p>
    <w:p>
      <w:pPr>
        <w:spacing w:line="240" w:lineRule="auto" w:before="5"/>
        <w:rPr>
          <w:rFonts w:ascii="宋体" w:hAnsi="宋体" w:cs="宋体" w:eastAsia="宋体"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5082"/>
        <w:gridCol w:w="2704"/>
        <w:gridCol w:w="2696"/>
      </w:tblGrid>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3" w:right="6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3" w:right="6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631" w:right="0"/>
              <w:jc w:val="left"/>
              <w:rPr>
                <w:rFonts w:ascii="Times New Roman" w:hAnsi="Times New Roman" w:cs="Times New Roman" w:eastAsia="Times New Roman" w:hint="default"/>
                <w:sz w:val="18"/>
                <w:szCs w:val="18"/>
              </w:rPr>
            </w:pPr>
            <w:r>
              <w:rPr>
                <w:rFonts w:ascii="Times New Roman"/>
                <w:sz w:val="18"/>
              </w:rPr>
              <w:t>62,741,956.44</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27" w:right="0"/>
              <w:jc w:val="left"/>
              <w:rPr>
                <w:rFonts w:ascii="Times New Roman" w:hAnsi="Times New Roman" w:cs="Times New Roman" w:eastAsia="Times New Roman" w:hint="default"/>
                <w:sz w:val="18"/>
                <w:szCs w:val="18"/>
              </w:rPr>
            </w:pPr>
            <w:r>
              <w:rPr>
                <w:rFonts w:ascii="Times New Roman"/>
                <w:sz w:val="18"/>
              </w:rPr>
              <w:t>36,282,413.26</w:t>
            </w: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532" w:right="7834"/>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551"/>
        <w:jc w:val="right"/>
      </w:pPr>
      <w:r>
        <w:rPr/>
        <w:t>单位：元</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5649"/>
        <w:gridCol w:w="2423"/>
        <w:gridCol w:w="2410"/>
      </w:tblGrid>
      <w:tr>
        <w:trPr>
          <w:trHeight w:val="404"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1,335,923,723.67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965,905,868.72</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15,155,925.98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20,316,552.78</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88,355,158.75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58,539,285.43</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600" w:right="580"/>
        </w:sectPr>
      </w:pPr>
    </w:p>
    <w:p>
      <w:pPr>
        <w:spacing w:line="240" w:lineRule="auto" w:before="10"/>
        <w:rPr>
          <w:rFonts w:ascii="Times New Roman" w:hAnsi="Times New Roman" w:cs="Times New Roman" w:eastAsia="Times New Roman"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5649"/>
        <w:gridCol w:w="2423"/>
        <w:gridCol w:w="2410"/>
      </w:tblGrid>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1,439,434,808.40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1,044,761,706.93</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679,300,964.17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535,648,034.49</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140,482,779.22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112,612,000.99</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92,487,906.71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58,895,739.79</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226,726,548.82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161,178,817.60</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1,138,998,198.92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868,334,592.87</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300,436,609.48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176,427,114.06</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2,232,906,153.08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637,219,665.62</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5,544,718.42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30,189,425.82</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221,538.01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280,802.00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2,238,672,409.51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667,689,893.44</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117,949,677.55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129,142,429.33</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2,428,699,999.88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565,367,000.00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2,546,649,677.43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694,509,429.33</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-307,977,267.92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-26,819,535.89</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505,000,000.00</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505,000,000.00</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304,314,534.93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25,710,987.68</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600" w:right="580"/>
        </w:sectPr>
      </w:pPr>
    </w:p>
    <w:p>
      <w:pPr>
        <w:spacing w:line="240" w:lineRule="auto" w:before="10"/>
        <w:rPr>
          <w:rFonts w:ascii="Times New Roman" w:hAnsi="Times New Roman" w:cs="Times New Roman" w:eastAsia="Times New Roman"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5671"/>
        <w:gridCol w:w="2413"/>
        <w:gridCol w:w="2410"/>
      </w:tblGrid>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38,868,474.45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10,038,583.21</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5"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13"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13"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343,183,009.38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35,749,570.89</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161,816,990.62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-35,749,570.89</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13"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154,276,332.18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113,858,007.28</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268,239,983.46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154,381,976.18</w:t>
            </w:r>
          </w:p>
        </w:tc>
      </w:tr>
      <w:tr>
        <w:trPr>
          <w:trHeight w:val="403"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422,516,315.64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268,239,983.46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532" w:right="7834"/>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551"/>
        <w:jc w:val="right"/>
      </w:pPr>
      <w:r>
        <w:rPr/>
        <w:t>单位：元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5645"/>
        <w:gridCol w:w="2427"/>
        <w:gridCol w:w="2410"/>
      </w:tblGrid>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1,298,480,269.63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906,961,461.40</w:t>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2,628,982.48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2,503,080.62</w:t>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359,402,884.32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377,492,866.21</w:t>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1,660,512,136.43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1,286,957,408.23</w:t>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1,023,345,981.41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503,151,379.29</w:t>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116,390,151.30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89,480,802.90</w:t>
            </w:r>
            <w:r>
              <w:rPr>
                <w:rFonts w:ascii="Times New Roman"/>
                <w:sz w:val="18"/>
              </w:rPr>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48,267,962.04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21,442,785.42</w:t>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206,864,929.11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416,478,585.80</w:t>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1,394,869,023.86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1,030,553,553.41</w:t>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265,643,112.57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256,403,854.82</w:t>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1,718,206,152.91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565,100,000.00</w:t>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104,488,515.72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1,517,941.41</w:t>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221,538.01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280,802.00</w:t>
            </w:r>
          </w:p>
        </w:tc>
      </w:tr>
      <w:tr>
        <w:trPr>
          <w:trHeight w:val="403"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7"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7"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1,822,916,206.64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566,898,743.41</w:t>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114,983,842.80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121,048,015.24</w:t>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1,998,999,999.88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580,100,000.00</w:t>
            </w:r>
          </w:p>
        </w:tc>
      </w:tr>
      <w:tr>
        <w:trPr>
          <w:trHeight w:val="402" w:hRule="exact"/>
        </w:trPr>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7"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1" w:top="1100" w:bottom="1220" w:left="600" w:right="580"/>
        </w:sectPr>
      </w:pPr>
    </w:p>
    <w:p>
      <w:pPr>
        <w:spacing w:line="240" w:lineRule="auto" w:before="5"/>
        <w:rPr>
          <w:rFonts w:ascii="宋体" w:hAnsi="宋体" w:cs="宋体" w:eastAsia="宋体"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5649"/>
        <w:gridCol w:w="2423"/>
        <w:gridCol w:w="2410"/>
      </w:tblGrid>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2,113,983,842.68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701,148,015.24</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-291,067,636.04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-134,249,271.83</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505,000,000.00</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505,000,000.00</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291,476,930.72</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38,804,286.43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7,925,135.19</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330,281,217.15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7,925,135.19</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174,718,782.85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-7,925,135.19</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149,294,259.38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114,229,447.80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257,789,766.08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143,560,318.28</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407,084,025.46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257,789,766.08</w:t>
            </w:r>
          </w:p>
        </w:tc>
      </w:tr>
    </w:tbl>
    <w:p>
      <w:pPr>
        <w:spacing w:line="240" w:lineRule="auto" w:before="3"/>
        <w:rPr>
          <w:rFonts w:ascii="宋体" w:hAnsi="宋体" w:cs="宋体" w:eastAsia="宋体" w:hint="default"/>
          <w:sz w:val="19"/>
          <w:szCs w:val="19"/>
        </w:rPr>
      </w:pPr>
    </w:p>
    <w:p>
      <w:pPr>
        <w:pStyle w:val="Heading3"/>
        <w:spacing w:line="240" w:lineRule="auto" w:before="36"/>
        <w:ind w:left="532" w:right="544"/>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532" w:right="7834"/>
        <w:jc w:val="left"/>
      </w:pPr>
      <w:r>
        <w:rPr/>
        <w:t>本期金额</w:t>
      </w:r>
    </w:p>
    <w:p>
      <w:pPr>
        <w:pStyle w:val="BodyText"/>
        <w:spacing w:line="240" w:lineRule="auto" w:before="115"/>
        <w:ind w:left="0" w:right="551"/>
        <w:jc w:val="right"/>
      </w:pPr>
      <w:r>
        <w:rPr/>
        <w:t>单位：元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833"/>
        <w:gridCol w:w="850"/>
        <w:gridCol w:w="709"/>
        <w:gridCol w:w="710"/>
        <w:gridCol w:w="566"/>
        <w:gridCol w:w="710"/>
        <w:gridCol w:w="567"/>
        <w:gridCol w:w="708"/>
        <w:gridCol w:w="566"/>
        <w:gridCol w:w="708"/>
        <w:gridCol w:w="711"/>
        <w:gridCol w:w="708"/>
        <w:gridCol w:w="425"/>
        <w:gridCol w:w="711"/>
      </w:tblGrid>
      <w:tr>
        <w:trPr>
          <w:trHeight w:val="403" w:hRule="exact"/>
        </w:trPr>
        <w:tc>
          <w:tcPr>
            <w:tcW w:w="1833" w:type="dxa"/>
            <w:vMerge w:val="restart"/>
            <w:tcBorders>
              <w:top w:val="single" w:sz="4" w:space="0" w:color="000000"/>
              <w:left w:val="single" w:sz="4" w:space="0" w:color="000000"/>
              <w:right w:val="single" w:sz="4" w:space="0" w:color="000000"/>
            </w:tcBorders>
            <w:shd w:val="clear" w:color="auto" w:fill="D2D2D2"/>
          </w:tcPr>
          <w:p>
            <w:pPr/>
          </w:p>
        </w:tc>
        <w:tc>
          <w:tcPr>
            <w:tcW w:w="86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94" w:hRule="exact"/>
        </w:trPr>
        <w:tc>
          <w:tcPr>
            <w:tcW w:w="1833" w:type="dxa"/>
            <w:vMerge/>
            <w:tcBorders>
              <w:left w:val="single" w:sz="4" w:space="0" w:color="000000"/>
              <w:right w:val="single" w:sz="4" w:space="0" w:color="000000"/>
            </w:tcBorders>
            <w:shd w:val="clear" w:color="auto" w:fill="D2D2D2"/>
          </w:tcPr>
          <w:p>
            <w:pPr/>
          </w:p>
        </w:tc>
        <w:tc>
          <w:tcPr>
            <w:tcW w:w="751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0" w:hRule="exact"/>
        </w:trPr>
        <w:tc>
          <w:tcPr>
            <w:tcW w:w="1833" w:type="dxa"/>
            <w:vMerge/>
            <w:tcBorders>
              <w:left w:val="single" w:sz="4" w:space="0" w:color="000000"/>
              <w:bottom w:val="nil" w:sz="6" w:space="0" w:color="auto"/>
              <w:right w:val="single" w:sz="4" w:space="0" w:color="000000"/>
            </w:tcBorders>
            <w:shd w:val="clear" w:color="auto" w:fill="D2D2D2"/>
          </w:tcPr>
          <w:p>
            <w:pPr/>
          </w:p>
        </w:tc>
        <w:tc>
          <w:tcPr>
            <w:tcW w:w="7514" w:type="dxa"/>
            <w:gridSpan w:val="11"/>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9" w:right="8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20" w:hRule="exact"/>
        </w:trPr>
        <w:tc>
          <w:tcPr>
            <w:tcW w:w="18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7514" w:type="dxa"/>
            <w:gridSpan w:val="11"/>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r>
      <w:tr>
        <w:trPr>
          <w:trHeight w:val="174" w:hRule="exact"/>
        </w:trPr>
        <w:tc>
          <w:tcPr>
            <w:tcW w:w="1833" w:type="dxa"/>
            <w:vMerge/>
            <w:tcBorders>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259" w:right="79"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98" w:right="21"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259" w:right="7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82"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4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r>
      <w:tr>
        <w:trPr>
          <w:trHeight w:val="202" w:hRule="exact"/>
        </w:trPr>
        <w:tc>
          <w:tcPr>
            <w:tcW w:w="1833" w:type="dxa"/>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23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r>
      <w:tr>
        <w:trPr>
          <w:trHeight w:val="199" w:hRule="exact"/>
        </w:trPr>
        <w:tc>
          <w:tcPr>
            <w:tcW w:w="183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r>
      <w:tr>
        <w:trPr>
          <w:trHeight w:val="184" w:hRule="exact"/>
        </w:trPr>
        <w:tc>
          <w:tcPr>
            <w:tcW w:w="1833"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114"/>
              <w:ind w:left="92" w:right="0"/>
              <w:jc w:val="left"/>
              <w:rPr>
                <w:rFonts w:ascii="Times New Roman" w:hAnsi="Times New Roman" w:cs="Times New Roman" w:eastAsia="Times New Roman" w:hint="default"/>
                <w:sz w:val="18"/>
                <w:szCs w:val="18"/>
              </w:rPr>
            </w:pPr>
            <w:r>
              <w:rPr>
                <w:rFonts w:ascii="Times New Roman"/>
                <w:sz w:val="18"/>
              </w:rPr>
              <w:t>761,191,2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94.00</w:t>
            </w:r>
          </w:p>
        </w:tc>
        <w:tc>
          <w:tcPr>
            <w:tcW w:w="70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22" w:space="0" w:color="D2D2D2"/>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29,679,5</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47.28</w:t>
            </w:r>
          </w:p>
        </w:tc>
        <w:tc>
          <w:tcPr>
            <w:tcW w:w="567" w:type="dxa"/>
            <w:vMerge w:val="restart"/>
            <w:tcBorders>
              <w:top w:val="single" w:sz="22" w:space="0" w:color="D2D2D2"/>
              <w:left w:val="single" w:sz="4" w:space="0" w:color="000000"/>
              <w:right w:val="single" w:sz="4" w:space="0" w:color="000000"/>
            </w:tcBorders>
          </w:tcPr>
          <w:p>
            <w:pPr/>
          </w:p>
        </w:tc>
        <w:tc>
          <w:tcPr>
            <w:tcW w:w="708" w:type="dxa"/>
            <w:vMerge w:val="restart"/>
            <w:tcBorders>
              <w:top w:val="single" w:sz="22" w:space="0" w:color="D2D2D2"/>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566" w:type="dxa"/>
            <w:vMerge w:val="restart"/>
            <w:tcBorders>
              <w:top w:val="single" w:sz="22" w:space="0" w:color="D2D2D2"/>
              <w:left w:val="single" w:sz="4" w:space="0" w:color="000000"/>
              <w:right w:val="single" w:sz="4" w:space="0" w:color="000000"/>
            </w:tcBorders>
          </w:tcPr>
          <w:p>
            <w:pPr/>
          </w:p>
        </w:tc>
        <w:tc>
          <w:tcPr>
            <w:tcW w:w="708" w:type="dxa"/>
            <w:vMerge w:val="restart"/>
            <w:tcBorders>
              <w:top w:val="single" w:sz="22" w:space="0" w:color="D2D2D2"/>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41,988,4</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58.22</w:t>
            </w:r>
          </w:p>
        </w:tc>
        <w:tc>
          <w:tcPr>
            <w:tcW w:w="711" w:type="dxa"/>
            <w:vMerge w:val="restart"/>
            <w:tcBorders>
              <w:top w:val="single" w:sz="22" w:space="0" w:color="D2D2D2"/>
              <w:left w:val="single" w:sz="4" w:space="0" w:color="000000"/>
              <w:right w:val="single" w:sz="4" w:space="0" w:color="000000"/>
            </w:tcBorders>
          </w:tcPr>
          <w:p>
            <w:pPr/>
          </w:p>
        </w:tc>
        <w:tc>
          <w:tcPr>
            <w:tcW w:w="708" w:type="dxa"/>
            <w:vMerge w:val="restart"/>
            <w:tcBorders>
              <w:top w:val="single" w:sz="22" w:space="0" w:color="D2D2D2"/>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776,306,</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431.94</w:t>
            </w:r>
          </w:p>
        </w:tc>
        <w:tc>
          <w:tcPr>
            <w:tcW w:w="425" w:type="dxa"/>
            <w:vMerge w:val="restart"/>
            <w:tcBorders>
              <w:top w:val="single" w:sz="39" w:space="0" w:color="D2D2D2"/>
              <w:left w:val="single" w:sz="4" w:space="0" w:color="000000"/>
              <w:right w:val="single" w:sz="4" w:space="0" w:color="000000"/>
            </w:tcBorders>
          </w:tcPr>
          <w:p>
            <w:pPr/>
          </w:p>
        </w:tc>
        <w:tc>
          <w:tcPr>
            <w:tcW w:w="711" w:type="dxa"/>
            <w:vMerge w:val="restart"/>
            <w:tcBorders>
              <w:top w:val="single" w:sz="39" w:space="0" w:color="D2D2D2"/>
              <w:left w:val="single" w:sz="4" w:space="0" w:color="000000"/>
              <w:right w:val="single" w:sz="4" w:space="0" w:color="000000"/>
            </w:tcBorders>
          </w:tcPr>
          <w:p>
            <w:pPr>
              <w:pStyle w:val="TableParagraph"/>
              <w:spacing w:line="240" w:lineRule="auto" w:before="69"/>
              <w:ind w:left="45" w:right="0"/>
              <w:jc w:val="left"/>
              <w:rPr>
                <w:rFonts w:ascii="Times New Roman" w:hAnsi="Times New Roman" w:cs="Times New Roman" w:eastAsia="Times New Roman" w:hint="default"/>
                <w:sz w:val="18"/>
                <w:szCs w:val="18"/>
              </w:rPr>
            </w:pPr>
            <w:r>
              <w:rPr>
                <w:rFonts w:ascii="Times New Roman"/>
                <w:sz w:val="18"/>
              </w:rPr>
              <w:t>1,609,14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9,489.34</w:t>
            </w:r>
          </w:p>
        </w:tc>
      </w:tr>
      <w:tr>
        <w:trPr>
          <w:trHeight w:val="394" w:hRule="exact"/>
        </w:trPr>
        <w:tc>
          <w:tcPr>
            <w:tcW w:w="18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0"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r>
      <w:tr>
        <w:trPr>
          <w:trHeight w:val="161"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
        </w:tc>
      </w:tr>
      <w:tr>
        <w:trPr>
          <w:trHeight w:val="391" w:hRule="exact"/>
        </w:trPr>
        <w:tc>
          <w:tcPr>
            <w:tcW w:w="18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0"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r>
      <w:tr>
        <w:trPr>
          <w:trHeight w:val="161"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93"/>
              <w:ind w:left="92" w:right="0"/>
              <w:jc w:val="left"/>
              <w:rPr>
                <w:rFonts w:ascii="Times New Roman" w:hAnsi="Times New Roman" w:cs="Times New Roman" w:eastAsia="Times New Roman" w:hint="default"/>
                <w:sz w:val="18"/>
                <w:szCs w:val="18"/>
              </w:rPr>
            </w:pPr>
            <w:r>
              <w:rPr>
                <w:rFonts w:ascii="Times New Roman"/>
                <w:sz w:val="18"/>
              </w:rPr>
              <w:t>761,191,2</w:t>
            </w:r>
          </w:p>
          <w:p>
            <w:pPr>
              <w:pStyle w:val="TableParagraph"/>
              <w:spacing w:line="240" w:lineRule="auto" w:before="102"/>
              <w:ind w:left="406" w:right="0"/>
              <w:jc w:val="left"/>
              <w:rPr>
                <w:rFonts w:ascii="Times New Roman" w:hAnsi="Times New Roman" w:cs="Times New Roman" w:eastAsia="Times New Roman" w:hint="default"/>
                <w:sz w:val="18"/>
                <w:szCs w:val="18"/>
              </w:rPr>
            </w:pPr>
            <w:r>
              <w:rPr>
                <w:rFonts w:ascii="Times New Roman"/>
                <w:sz w:val="18"/>
              </w:rPr>
              <w:t>94.00</w:t>
            </w:r>
          </w:p>
        </w:tc>
        <w:tc>
          <w:tcPr>
            <w:tcW w:w="70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29,679,5</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47.28</w:t>
            </w:r>
          </w:p>
        </w:tc>
        <w:tc>
          <w:tcPr>
            <w:tcW w:w="56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-16,242.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10</w:t>
            </w:r>
          </w:p>
        </w:tc>
        <w:tc>
          <w:tcPr>
            <w:tcW w:w="566"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41,988,4</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58.22</w:t>
            </w:r>
          </w:p>
        </w:tc>
        <w:tc>
          <w:tcPr>
            <w:tcW w:w="71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776,306,</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431.94</w:t>
            </w:r>
          </w:p>
        </w:tc>
        <w:tc>
          <w:tcPr>
            <w:tcW w:w="425"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1,609,14</w:t>
            </w:r>
          </w:p>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9,489.34</w:t>
            </w:r>
          </w:p>
        </w:tc>
      </w:tr>
      <w:tr>
        <w:trPr>
          <w:trHeight w:val="391" w:hRule="exact"/>
        </w:trPr>
        <w:tc>
          <w:tcPr>
            <w:tcW w:w="18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0"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r>
      <w:tr>
        <w:trPr>
          <w:trHeight w:val="161"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r>
    </w:tbl>
    <w:p>
      <w:pPr>
        <w:spacing w:after="0"/>
        <w:sectPr>
          <w:pgSz w:w="11910" w:h="16840"/>
          <w:pgMar w:header="786" w:footer="1021" w:top="1100" w:bottom="1220" w:left="600" w:right="580"/>
        </w:sectPr>
      </w:pPr>
    </w:p>
    <w:p>
      <w:pPr>
        <w:spacing w:line="240" w:lineRule="auto" w:before="5"/>
        <w:rPr>
          <w:rFonts w:ascii="宋体" w:hAnsi="宋体" w:cs="宋体" w:eastAsia="宋体" w:hint="default"/>
          <w:sz w:val="25"/>
          <w:szCs w:val="25"/>
        </w:rPr>
      </w:pPr>
      <w:r>
        <w:rPr/>
        <w:pict>
          <v:group style="position:absolute;margin-left:127.82pt;margin-top:382.72998pt;width:42pt;height:28pt;mso-position-horizontal-relative:page;mso-position-vertical-relative:page;z-index:-830320" coordorigin="2556,7655" coordsize="840,560">
            <v:group style="position:absolute;left:2556;top:7655;width:840;height:156" coordorigin="2556,7655" coordsize="840,156">
              <v:shape style="position:absolute;left:2556;top:7655;width:840;height:156" coordorigin="2556,7655" coordsize="840,156" path="m2556,7811l3396,7811,3396,7655,2556,7655,2556,7811xe" filled="true" fillcolor="#ffffff" stroked="false">
                <v:path arrowok="t"/>
                <v:fill type="solid"/>
              </v:shape>
            </v:group>
            <v:group style="position:absolute;left:2568;top:7811;width:2;height:392" coordorigin="2568,7811" coordsize="2,392">
              <v:shape style="position:absolute;left:2568;top:7811;width:2;height:392" coordorigin="2568,7811" coordsize="0,392" path="m2568,7811l2568,8202e" filled="false" stroked="true" strokeweight="1.2pt" strokecolor="#ffffff">
                <v:path arrowok="t"/>
              </v:shape>
            </v:group>
            <v:group style="position:absolute;left:2580;top:7811;width:795;height:392" coordorigin="2580,7811" coordsize="795,392">
              <v:shape style="position:absolute;left:2580;top:7811;width:795;height:392" coordorigin="2580,7811" coordsize="795,392" path="m2580,8202l3375,8202,3375,7811,2580,7811,2580,8202xe" filled="true" fillcolor="#ffffff" stroked="false">
                <v:path arrowok="t"/>
                <v:fill type="solid"/>
              </v:shape>
            </v:group>
            <w10:wrap type="none"/>
          </v:group>
        </w:pict>
      </w:r>
    </w:p>
    <w:tbl>
      <w:tblPr>
        <w:tblW w:w="0" w:type="auto"/>
        <w:jc w:val="left"/>
        <w:tblInd w:w="101" w:type="dxa"/>
        <w:tblLayout w:type="fixed"/>
        <w:tblCellMar>
          <w:top w:w="0" w:type="dxa"/>
          <w:left w:w="0" w:type="dxa"/>
          <w:bottom w:w="0" w:type="dxa"/>
          <w:right w:w="0" w:type="dxa"/>
        </w:tblCellMar>
        <w:tblLook w:val="01E0"/>
      </w:tblPr>
      <w:tblGrid>
        <w:gridCol w:w="1845"/>
        <w:gridCol w:w="850"/>
        <w:gridCol w:w="709"/>
        <w:gridCol w:w="710"/>
        <w:gridCol w:w="566"/>
        <w:gridCol w:w="710"/>
        <w:gridCol w:w="567"/>
        <w:gridCol w:w="708"/>
        <w:gridCol w:w="566"/>
        <w:gridCol w:w="708"/>
        <w:gridCol w:w="711"/>
        <w:gridCol w:w="708"/>
        <w:gridCol w:w="425"/>
        <w:gridCol w:w="711"/>
      </w:tblGrid>
      <w:tr>
        <w:trPr>
          <w:trHeight w:val="71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7"/>
              <w:ind w:left="25"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47,446.8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6,274,19</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5.64</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38,053,2</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49.67</w:t>
            </w: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44,374,8</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92.11</w:t>
            </w:r>
          </w:p>
        </w:tc>
      </w:tr>
      <w:tr>
        <w:trPr>
          <w:trHeight w:val="715"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47,446.8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69,446,7</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58.01</w:t>
            </w: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69,494,2</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04.81</w:t>
            </w:r>
          </w:p>
        </w:tc>
      </w:tr>
      <w:tr>
        <w:trPr>
          <w:trHeight w:val="71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20"/>
              <w:jc w:val="left"/>
              <w:rPr>
                <w:rFonts w:ascii="宋体" w:hAnsi="宋体" w:cs="宋体" w:eastAsia="宋体" w:hint="default"/>
                <w:sz w:val="18"/>
                <w:szCs w:val="18"/>
              </w:rPr>
            </w:pPr>
            <w:r>
              <w:rPr>
                <w:rFonts w:ascii="宋体" w:hAnsi="宋体" w:cs="宋体" w:eastAsia="宋体" w:hint="default"/>
                <w:spacing w:val="-2"/>
                <w:sz w:val="18"/>
                <w:szCs w:val="18"/>
              </w:rPr>
              <w:t>（二）所有者投入和减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少资本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 者投入资本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5"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 者权益的金额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6,274,19</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5.64</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-31,393,</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508.34</w:t>
            </w: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-25,119,</w:t>
            </w:r>
          </w:p>
          <w:p>
            <w:pPr>
              <w:pStyle w:val="TableParagraph"/>
              <w:spacing w:line="240" w:lineRule="auto" w:before="102"/>
              <w:ind w:left="182" w:right="0"/>
              <w:jc w:val="left"/>
              <w:rPr>
                <w:rFonts w:ascii="Times New Roman" w:hAnsi="Times New Roman" w:cs="Times New Roman" w:eastAsia="Times New Roman" w:hint="default"/>
                <w:sz w:val="18"/>
                <w:szCs w:val="18"/>
              </w:rPr>
            </w:pPr>
            <w:r>
              <w:rPr>
                <w:rFonts w:ascii="Times New Roman"/>
                <w:sz w:val="18"/>
              </w:rPr>
              <w:t>312.70</w:t>
            </w:r>
          </w:p>
        </w:tc>
      </w:tr>
      <w:tr>
        <w:trPr>
          <w:trHeight w:val="71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6,274,19</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5.64</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-6,274,1</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95.64</w:t>
            </w: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1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．对所有者（或股东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的分配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-25,119,</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312.70</w:t>
            </w: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-25,119,</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312.70</w:t>
            </w: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 w:right="20"/>
              <w:jc w:val="left"/>
              <w:rPr>
                <w:rFonts w:ascii="宋体" w:hAnsi="宋体" w:cs="宋体" w:eastAsia="宋体" w:hint="default"/>
                <w:sz w:val="18"/>
                <w:szCs w:val="18"/>
              </w:rPr>
            </w:pPr>
            <w:r>
              <w:rPr>
                <w:rFonts w:ascii="宋体" w:hAnsi="宋体" w:cs="宋体" w:eastAsia="宋体" w:hint="default"/>
                <w:spacing w:val="-2"/>
                <w:sz w:val="18"/>
                <w:szCs w:val="18"/>
              </w:rPr>
              <w:t>（四）所有者权益内部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结转</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0"/>
              <w:ind w:left="2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761,191,2</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94.00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29,679,5</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47.28</w:t>
            </w: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31,204.7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48,262,6</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53.86</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814,359,</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681.61</w:t>
            </w: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1,653,52</w:t>
            </w:r>
          </w:p>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4,381.45</w:t>
            </w:r>
          </w:p>
        </w:tc>
      </w:tr>
    </w:tbl>
    <w:p>
      <w:pPr>
        <w:pStyle w:val="BodyText"/>
        <w:spacing w:line="240" w:lineRule="auto" w:before="49"/>
        <w:ind w:left="532" w:right="7834"/>
        <w:jc w:val="left"/>
      </w:pPr>
      <w:r>
        <w:rPr/>
        <w:t>上期金额</w:t>
      </w:r>
    </w:p>
    <w:p>
      <w:pPr>
        <w:pStyle w:val="BodyText"/>
        <w:spacing w:line="240" w:lineRule="auto" w:before="115"/>
        <w:ind w:left="0" w:right="551"/>
        <w:jc w:val="right"/>
      </w:pPr>
      <w:r>
        <w:rPr/>
        <w:t>单位：元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845"/>
        <w:gridCol w:w="8649"/>
      </w:tblGrid>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86" w:footer="1021" w:top="1100" w:bottom="1220" w:left="600" w:right="580"/>
        </w:sectPr>
      </w:pPr>
    </w:p>
    <w:p>
      <w:pPr>
        <w:spacing w:line="240" w:lineRule="auto" w:before="10"/>
        <w:rPr>
          <w:rFonts w:ascii="Times New Roman" w:hAnsi="Times New Roman" w:cs="Times New Roman" w:eastAsia="Times New Roman" w:hint="default"/>
          <w:sz w:val="28"/>
          <w:szCs w:val="28"/>
        </w:rPr>
      </w:pPr>
      <w:r>
        <w:rPr/>
        <w:pict>
          <v:group style="position:absolute;margin-left:127.82pt;margin-top:626.109985pt;width:42pt;height:28pt;mso-position-horizontal-relative:page;mso-position-vertical-relative:page;z-index:-830296" coordorigin="2556,12522" coordsize="840,560">
            <v:group style="position:absolute;left:2556;top:12522;width:840;height:156" coordorigin="2556,12522" coordsize="840,156">
              <v:shape style="position:absolute;left:2556;top:12522;width:840;height:156" coordorigin="2556,12522" coordsize="840,156" path="m2556,12678l3396,12678,3396,12522,2556,12522,2556,12678xe" filled="true" fillcolor="#ffffff" stroked="false">
                <v:path arrowok="t"/>
                <v:fill type="solid"/>
              </v:shape>
            </v:group>
            <v:group style="position:absolute;left:2568;top:12678;width:2;height:392" coordorigin="2568,12678" coordsize="2,392">
              <v:shape style="position:absolute;left:2568;top:12678;width:2;height:392" coordorigin="2568,12678" coordsize="0,392" path="m2568,12678l2568,13070e" filled="false" stroked="true" strokeweight="1.2pt" strokecolor="#ffffff">
                <v:path arrowok="t"/>
              </v:shape>
            </v:group>
            <v:group style="position:absolute;left:2580;top:12678;width:795;height:392" coordorigin="2580,12678" coordsize="795,392">
              <v:shape style="position:absolute;left:2580;top:12678;width:795;height:392" coordorigin="2580,12678" coordsize="795,392" path="m2580,13070l3375,13070,3375,12678,2580,12678,2580,13070xe" filled="true" fillcolor="#ffffff" stroked="false">
                <v:path arrowok="t"/>
                <v:fill type="solid"/>
              </v:shape>
            </v:group>
            <w10:wrap type="none"/>
          </v:group>
        </w:pict>
      </w:r>
    </w:p>
    <w:tbl>
      <w:tblPr>
        <w:tblW w:w="0" w:type="auto"/>
        <w:jc w:val="left"/>
        <w:tblInd w:w="113" w:type="dxa"/>
        <w:tblLayout w:type="fixed"/>
        <w:tblCellMar>
          <w:top w:w="0" w:type="dxa"/>
          <w:left w:w="0" w:type="dxa"/>
          <w:bottom w:w="0" w:type="dxa"/>
          <w:right w:w="0" w:type="dxa"/>
        </w:tblCellMar>
        <w:tblLook w:val="01E0"/>
      </w:tblPr>
      <w:tblGrid>
        <w:gridCol w:w="1833"/>
        <w:gridCol w:w="850"/>
        <w:gridCol w:w="709"/>
        <w:gridCol w:w="710"/>
        <w:gridCol w:w="566"/>
        <w:gridCol w:w="710"/>
        <w:gridCol w:w="567"/>
        <w:gridCol w:w="708"/>
        <w:gridCol w:w="566"/>
        <w:gridCol w:w="708"/>
        <w:gridCol w:w="711"/>
        <w:gridCol w:w="708"/>
        <w:gridCol w:w="425"/>
        <w:gridCol w:w="711"/>
      </w:tblGrid>
      <w:tr>
        <w:trPr>
          <w:trHeight w:val="96" w:hRule="exact"/>
        </w:trPr>
        <w:tc>
          <w:tcPr>
            <w:tcW w:w="1833" w:type="dxa"/>
            <w:vMerge w:val="restart"/>
            <w:tcBorders>
              <w:top w:val="single" w:sz="4" w:space="0" w:color="000000"/>
              <w:left w:val="single" w:sz="4" w:space="0" w:color="000000"/>
              <w:right w:val="single" w:sz="4" w:space="0" w:color="000000"/>
            </w:tcBorders>
            <w:shd w:val="clear" w:color="auto" w:fill="D2D2D2"/>
          </w:tcPr>
          <w:p>
            <w:pPr/>
          </w:p>
        </w:tc>
        <w:tc>
          <w:tcPr>
            <w:tcW w:w="751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28" w:hRule="exact"/>
        </w:trPr>
        <w:tc>
          <w:tcPr>
            <w:tcW w:w="1833" w:type="dxa"/>
            <w:vMerge/>
            <w:tcBorders>
              <w:left w:val="single" w:sz="4" w:space="0" w:color="000000"/>
              <w:right w:val="single" w:sz="4" w:space="0" w:color="000000"/>
            </w:tcBorders>
            <w:shd w:val="clear" w:color="auto" w:fill="D2D2D2"/>
          </w:tcPr>
          <w:p>
            <w:pPr/>
          </w:p>
        </w:tc>
        <w:tc>
          <w:tcPr>
            <w:tcW w:w="7514" w:type="dxa"/>
            <w:gridSpan w:val="11"/>
            <w:vMerge/>
            <w:tcBorders>
              <w:left w:val="single" w:sz="4" w:space="0" w:color="000000"/>
              <w:bottom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9" w:right="8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84" w:hRule="exact"/>
        </w:trPr>
        <w:tc>
          <w:tcPr>
            <w:tcW w:w="1833"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259" w:right="79"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98" w:right="21"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259" w:right="7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82"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170" w:right="77"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4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r>
      <w:tr>
        <w:trPr>
          <w:trHeight w:val="192" w:hRule="exact"/>
        </w:trPr>
        <w:tc>
          <w:tcPr>
            <w:tcW w:w="1833"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r>
      <w:tr>
        <w:trPr>
          <w:trHeight w:val="202" w:hRule="exact"/>
        </w:trPr>
        <w:tc>
          <w:tcPr>
            <w:tcW w:w="183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r>
      <w:tr>
        <w:trPr>
          <w:trHeight w:val="182" w:hRule="exact"/>
        </w:trPr>
        <w:tc>
          <w:tcPr>
            <w:tcW w:w="1833"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115"/>
              <w:ind w:left="92" w:right="0"/>
              <w:jc w:val="left"/>
              <w:rPr>
                <w:rFonts w:ascii="Times New Roman" w:hAnsi="Times New Roman" w:cs="Times New Roman" w:eastAsia="Times New Roman" w:hint="default"/>
                <w:sz w:val="18"/>
                <w:szCs w:val="18"/>
              </w:rPr>
            </w:pPr>
            <w:r>
              <w:rPr>
                <w:rFonts w:ascii="Times New Roman"/>
                <w:sz w:val="18"/>
              </w:rPr>
              <w:t>761,191,2</w:t>
            </w:r>
          </w:p>
          <w:p>
            <w:pPr>
              <w:pStyle w:val="TableParagraph"/>
              <w:spacing w:line="240" w:lineRule="auto" w:before="102"/>
              <w:ind w:left="406" w:right="0"/>
              <w:jc w:val="left"/>
              <w:rPr>
                <w:rFonts w:ascii="Times New Roman" w:hAnsi="Times New Roman" w:cs="Times New Roman" w:eastAsia="Times New Roman" w:hint="default"/>
                <w:sz w:val="18"/>
                <w:szCs w:val="18"/>
              </w:rPr>
            </w:pPr>
            <w:r>
              <w:rPr>
                <w:rFonts w:ascii="Times New Roman"/>
                <w:sz w:val="18"/>
              </w:rPr>
              <w:t>94.00</w:t>
            </w:r>
          </w:p>
        </w:tc>
        <w:tc>
          <w:tcPr>
            <w:tcW w:w="70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21" w:space="0" w:color="D2D2D2"/>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28,651,1</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29.28</w:t>
            </w:r>
          </w:p>
        </w:tc>
        <w:tc>
          <w:tcPr>
            <w:tcW w:w="567" w:type="dxa"/>
            <w:vMerge w:val="restart"/>
            <w:tcBorders>
              <w:top w:val="single" w:sz="21" w:space="0" w:color="D2D2D2"/>
              <w:left w:val="single" w:sz="4" w:space="0" w:color="000000"/>
              <w:right w:val="single" w:sz="4" w:space="0" w:color="000000"/>
            </w:tcBorders>
          </w:tcPr>
          <w:p>
            <w:pPr/>
          </w:p>
        </w:tc>
        <w:tc>
          <w:tcPr>
            <w:tcW w:w="708" w:type="dxa"/>
            <w:vMerge w:val="restart"/>
            <w:tcBorders>
              <w:top w:val="single" w:sz="21" w:space="0" w:color="D2D2D2"/>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17,543,5</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98.68</w:t>
            </w:r>
          </w:p>
        </w:tc>
        <w:tc>
          <w:tcPr>
            <w:tcW w:w="566" w:type="dxa"/>
            <w:vMerge w:val="restart"/>
            <w:tcBorders>
              <w:top w:val="single" w:sz="21" w:space="0" w:color="D2D2D2"/>
              <w:left w:val="single" w:sz="4" w:space="0" w:color="000000"/>
              <w:right w:val="single" w:sz="4" w:space="0" w:color="000000"/>
            </w:tcBorders>
          </w:tcPr>
          <w:p>
            <w:pPr/>
          </w:p>
        </w:tc>
        <w:tc>
          <w:tcPr>
            <w:tcW w:w="708" w:type="dxa"/>
            <w:vMerge w:val="restart"/>
            <w:tcBorders>
              <w:top w:val="single" w:sz="21" w:space="0" w:color="D2D2D2"/>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38,360,2</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16.89</w:t>
            </w:r>
          </w:p>
        </w:tc>
        <w:tc>
          <w:tcPr>
            <w:tcW w:w="711" w:type="dxa"/>
            <w:vMerge w:val="restart"/>
            <w:tcBorders>
              <w:top w:val="single" w:sz="21" w:space="0" w:color="D2D2D2"/>
              <w:left w:val="single" w:sz="4" w:space="0" w:color="000000"/>
              <w:right w:val="single" w:sz="4" w:space="0" w:color="000000"/>
            </w:tcBorders>
          </w:tcPr>
          <w:p>
            <w:pPr/>
          </w:p>
        </w:tc>
        <w:tc>
          <w:tcPr>
            <w:tcW w:w="708" w:type="dxa"/>
            <w:vMerge w:val="restart"/>
            <w:tcBorders>
              <w:top w:val="single" w:sz="21" w:space="0" w:color="D2D2D2"/>
              <w:left w:val="single" w:sz="4" w:space="0" w:color="000000"/>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655,538,</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787.81</w:t>
            </w:r>
          </w:p>
        </w:tc>
        <w:tc>
          <w:tcPr>
            <w:tcW w:w="425" w:type="dxa"/>
            <w:vMerge w:val="restart"/>
            <w:tcBorders>
              <w:top w:val="single" w:sz="39" w:space="0" w:color="D2D2D2"/>
              <w:left w:val="single" w:sz="4" w:space="0" w:color="000000"/>
              <w:right w:val="single" w:sz="4" w:space="0" w:color="000000"/>
            </w:tcBorders>
          </w:tcPr>
          <w:p>
            <w:pPr/>
          </w:p>
        </w:tc>
        <w:tc>
          <w:tcPr>
            <w:tcW w:w="711" w:type="dxa"/>
            <w:vMerge w:val="restart"/>
            <w:tcBorders>
              <w:top w:val="single" w:sz="39" w:space="0" w:color="D2D2D2"/>
              <w:left w:val="single" w:sz="4" w:space="0" w:color="000000"/>
              <w:right w:val="single" w:sz="4" w:space="0" w:color="000000"/>
            </w:tcBorders>
          </w:tcPr>
          <w:p>
            <w:pPr>
              <w:pStyle w:val="TableParagraph"/>
              <w:spacing w:line="240" w:lineRule="auto" w:before="70"/>
              <w:ind w:left="45" w:right="0"/>
              <w:jc w:val="left"/>
              <w:rPr>
                <w:rFonts w:ascii="Times New Roman" w:hAnsi="Times New Roman" w:cs="Times New Roman" w:eastAsia="Times New Roman" w:hint="default"/>
                <w:sz w:val="18"/>
                <w:szCs w:val="18"/>
              </w:rPr>
            </w:pPr>
            <w:r>
              <w:rPr>
                <w:rFonts w:ascii="Times New Roman"/>
                <w:sz w:val="18"/>
              </w:rPr>
              <w:t>1,501,28</w:t>
            </w:r>
          </w:p>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5,026.66</w:t>
            </w:r>
          </w:p>
        </w:tc>
      </w:tr>
      <w:tr>
        <w:trPr>
          <w:trHeight w:val="391" w:hRule="exact"/>
        </w:trPr>
        <w:tc>
          <w:tcPr>
            <w:tcW w:w="18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0"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r>
      <w:tr>
        <w:trPr>
          <w:trHeight w:val="161"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4"/>
              <w:ind w:left="1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761,191,2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94.00</w:t>
            </w:r>
          </w:p>
        </w:tc>
        <w:tc>
          <w:tcPr>
            <w:tcW w:w="70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28,651,1</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29.28</w:t>
            </w:r>
          </w:p>
        </w:tc>
        <w:tc>
          <w:tcPr>
            <w:tcW w:w="56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17,543,5</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98.68</w:t>
            </w:r>
          </w:p>
        </w:tc>
        <w:tc>
          <w:tcPr>
            <w:tcW w:w="566"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38,360,2</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16.89</w:t>
            </w:r>
          </w:p>
        </w:tc>
        <w:tc>
          <w:tcPr>
            <w:tcW w:w="71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655,538,</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787.81</w:t>
            </w:r>
          </w:p>
        </w:tc>
        <w:tc>
          <w:tcPr>
            <w:tcW w:w="425"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1,501,28</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5,026.66</w:t>
            </w:r>
          </w:p>
        </w:tc>
      </w:tr>
      <w:tr>
        <w:trPr>
          <w:trHeight w:val="391" w:hRule="exact"/>
        </w:trPr>
        <w:tc>
          <w:tcPr>
            <w:tcW w:w="18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0"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r>
      <w:tr>
        <w:trPr>
          <w:trHeight w:val="161"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r>
      <w:tr>
        <w:trPr>
          <w:trHeight w:val="715"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1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1,028,41</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8.00</w:t>
            </w: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-17,559,</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840.78</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3,628,24</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1.33</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120,767,</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644.13</w:t>
            </w: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107,864,</w:t>
            </w:r>
          </w:p>
          <w:p>
            <w:pPr>
              <w:pStyle w:val="TableParagraph"/>
              <w:spacing w:line="240" w:lineRule="auto" w:before="102"/>
              <w:ind w:left="158" w:right="0"/>
              <w:jc w:val="center"/>
              <w:rPr>
                <w:rFonts w:ascii="Times New Roman" w:hAnsi="Times New Roman" w:cs="Times New Roman" w:eastAsia="Times New Roman" w:hint="default"/>
                <w:sz w:val="18"/>
                <w:szCs w:val="18"/>
              </w:rPr>
            </w:pPr>
            <w:r>
              <w:rPr>
                <w:rFonts w:ascii="Times New Roman"/>
                <w:sz w:val="18"/>
              </w:rPr>
              <w:t>462.68</w:t>
            </w:r>
          </w:p>
        </w:tc>
      </w:tr>
      <w:tr>
        <w:trPr>
          <w:trHeight w:val="161"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-17,559,</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840.78</w:t>
            </w:r>
          </w:p>
        </w:tc>
        <w:tc>
          <w:tcPr>
            <w:tcW w:w="566"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132,007,</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798.40</w:t>
            </w:r>
          </w:p>
        </w:tc>
        <w:tc>
          <w:tcPr>
            <w:tcW w:w="425"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114,447,</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957.62</w:t>
            </w:r>
          </w:p>
        </w:tc>
      </w:tr>
      <w:tr>
        <w:trPr>
          <w:trHeight w:val="391" w:hRule="exact"/>
        </w:trPr>
        <w:tc>
          <w:tcPr>
            <w:tcW w:w="18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0"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r>
      <w:tr>
        <w:trPr>
          <w:trHeight w:val="161"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r>
      <w:tr>
        <w:trPr>
          <w:trHeight w:val="715"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3" w:right="20"/>
              <w:jc w:val="left"/>
              <w:rPr>
                <w:rFonts w:ascii="宋体" w:hAnsi="宋体" w:cs="宋体" w:eastAsia="宋体" w:hint="default"/>
                <w:sz w:val="18"/>
                <w:szCs w:val="18"/>
              </w:rPr>
            </w:pPr>
            <w:r>
              <w:rPr>
                <w:rFonts w:ascii="宋体" w:hAnsi="宋体" w:cs="宋体" w:eastAsia="宋体" w:hint="default"/>
                <w:spacing w:val="-2"/>
                <w:sz w:val="18"/>
                <w:szCs w:val="18"/>
              </w:rPr>
              <w:t>（二）所有者投入和减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少资本</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1,028,41</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8.00</w:t>
            </w: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1,028,41</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8.00</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 者投入资本</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 者权益的金额</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1,028,41</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8.00</w:t>
            </w: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1,028,41</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8.00</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3,628,24</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1.33</w:t>
            </w:r>
          </w:p>
        </w:tc>
        <w:tc>
          <w:tcPr>
            <w:tcW w:w="71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-11,240,</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154.27</w:t>
            </w:r>
          </w:p>
        </w:tc>
        <w:tc>
          <w:tcPr>
            <w:tcW w:w="425"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-7,611,9</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12.94</w:t>
            </w:r>
          </w:p>
        </w:tc>
      </w:tr>
      <w:tr>
        <w:trPr>
          <w:trHeight w:val="391" w:hRule="exact"/>
        </w:trPr>
        <w:tc>
          <w:tcPr>
            <w:tcW w:w="18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0"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r>
      <w:tr>
        <w:trPr>
          <w:trHeight w:val="161"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r>
      <w:tr>
        <w:trPr>
          <w:trHeight w:val="163"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3,628,24</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1.33</w:t>
            </w:r>
          </w:p>
        </w:tc>
        <w:tc>
          <w:tcPr>
            <w:tcW w:w="71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-3,628,2</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41.33</w:t>
            </w:r>
          </w:p>
        </w:tc>
        <w:tc>
          <w:tcPr>
            <w:tcW w:w="425"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
        </w:tc>
      </w:tr>
      <w:tr>
        <w:trPr>
          <w:trHeight w:val="391" w:hRule="exact"/>
        </w:trPr>
        <w:tc>
          <w:tcPr>
            <w:tcW w:w="18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50"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r>
      <w:tr>
        <w:trPr>
          <w:trHeight w:val="161"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3" w:right="11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．对所有者（或股东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的分配</w:t>
            </w:r>
          </w:p>
        </w:tc>
        <w:tc>
          <w:tcPr>
            <w:tcW w:w="8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center"/>
              <w:rPr>
                <w:rFonts w:ascii="Times New Roman" w:hAnsi="Times New Roman" w:cs="Times New Roman" w:eastAsia="Times New Roman" w:hint="default"/>
                <w:sz w:val="18"/>
                <w:szCs w:val="18"/>
              </w:rPr>
            </w:pPr>
            <w:r>
              <w:rPr>
                <w:rFonts w:ascii="Times New Roman"/>
                <w:sz w:val="18"/>
              </w:rPr>
              <w:t>-7,611,9</w:t>
            </w:r>
          </w:p>
          <w:p>
            <w:pPr>
              <w:pStyle w:val="TableParagraph"/>
              <w:spacing w:line="240" w:lineRule="auto" w:before="103"/>
              <w:ind w:left="250" w:right="0"/>
              <w:jc w:val="center"/>
              <w:rPr>
                <w:rFonts w:ascii="Times New Roman" w:hAnsi="Times New Roman" w:cs="Times New Roman" w:eastAsia="Times New Roman" w:hint="default"/>
                <w:sz w:val="18"/>
                <w:szCs w:val="18"/>
              </w:rPr>
            </w:pPr>
            <w:r>
              <w:rPr>
                <w:rFonts w:ascii="Times New Roman"/>
                <w:sz w:val="18"/>
              </w:rPr>
              <w:t>12.94</w:t>
            </w: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-7,611,9</w:t>
            </w:r>
          </w:p>
          <w:p>
            <w:pPr>
              <w:pStyle w:val="TableParagraph"/>
              <w:spacing w:line="240" w:lineRule="auto" w:before="103"/>
              <w:ind w:left="247" w:right="0"/>
              <w:jc w:val="center"/>
              <w:rPr>
                <w:rFonts w:ascii="Times New Roman" w:hAnsi="Times New Roman" w:cs="Times New Roman" w:eastAsia="Times New Roman" w:hint="default"/>
                <w:sz w:val="18"/>
                <w:szCs w:val="18"/>
              </w:rPr>
            </w:pPr>
            <w:r>
              <w:rPr>
                <w:rFonts w:ascii="Times New Roman"/>
                <w:sz w:val="18"/>
              </w:rPr>
              <w:t>12.94</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3" w:right="20"/>
              <w:jc w:val="left"/>
              <w:rPr>
                <w:rFonts w:ascii="宋体" w:hAnsi="宋体" w:cs="宋体" w:eastAsia="宋体" w:hint="default"/>
                <w:sz w:val="18"/>
                <w:szCs w:val="18"/>
              </w:rPr>
            </w:pPr>
            <w:r>
              <w:rPr>
                <w:rFonts w:ascii="宋体" w:hAnsi="宋体" w:cs="宋体" w:eastAsia="宋体" w:hint="default"/>
                <w:spacing w:val="-2"/>
                <w:sz w:val="18"/>
                <w:szCs w:val="18"/>
              </w:rPr>
              <w:t>（四）所有者权益内部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结转</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2"/>
              <w:ind w:left="1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50" w:type="dxa"/>
            <w:tcBorders>
              <w:top w:val="single" w:sz="4" w:space="0" w:color="000000"/>
              <w:left w:val="single" w:sz="12"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1" w:top="1100" w:bottom="1220" w:left="600" w:right="580"/>
        </w:sectPr>
      </w:pPr>
    </w:p>
    <w:p>
      <w:pPr>
        <w:spacing w:line="240" w:lineRule="auto" w:before="10"/>
        <w:rPr>
          <w:rFonts w:ascii="Times New Roman" w:hAnsi="Times New Roman" w:cs="Times New Roman" w:eastAsia="Times New Roman"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845"/>
        <w:gridCol w:w="850"/>
        <w:gridCol w:w="709"/>
        <w:gridCol w:w="710"/>
        <w:gridCol w:w="566"/>
        <w:gridCol w:w="710"/>
        <w:gridCol w:w="567"/>
        <w:gridCol w:w="708"/>
        <w:gridCol w:w="566"/>
        <w:gridCol w:w="708"/>
        <w:gridCol w:w="711"/>
        <w:gridCol w:w="708"/>
        <w:gridCol w:w="425"/>
        <w:gridCol w:w="711"/>
      </w:tblGrid>
      <w:tr>
        <w:trPr>
          <w:trHeight w:val="71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761,191,2</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94.00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29,679,5</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47.28</w:t>
            </w: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-16,242.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41,988,4</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58.22</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776,306,</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431.94</w:t>
            </w: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1,609,14</w:t>
            </w:r>
          </w:p>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9,489.34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532" w:right="544"/>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532" w:right="7834"/>
        <w:jc w:val="left"/>
      </w:pPr>
      <w:r>
        <w:rPr/>
        <w:t>本期金额</w:t>
      </w:r>
    </w:p>
    <w:p>
      <w:pPr>
        <w:pStyle w:val="BodyText"/>
        <w:spacing w:line="240" w:lineRule="auto" w:before="115"/>
        <w:ind w:left="0" w:right="551"/>
        <w:jc w:val="right"/>
      </w:pPr>
      <w:r>
        <w:rPr/>
        <w:t>单位：元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472"/>
        <w:gridCol w:w="1295"/>
        <w:gridCol w:w="505"/>
        <w:gridCol w:w="367"/>
        <w:gridCol w:w="370"/>
        <w:gridCol w:w="1171"/>
        <w:gridCol w:w="437"/>
        <w:gridCol w:w="518"/>
        <w:gridCol w:w="518"/>
        <w:gridCol w:w="1130"/>
        <w:gridCol w:w="1215"/>
        <w:gridCol w:w="1484"/>
      </w:tblGrid>
      <w:tr>
        <w:trPr>
          <w:trHeight w:val="398" w:hRule="exact"/>
        </w:trPr>
        <w:tc>
          <w:tcPr>
            <w:tcW w:w="1472" w:type="dxa"/>
            <w:vMerge w:val="restart"/>
            <w:tcBorders>
              <w:top w:val="single" w:sz="4" w:space="0" w:color="000000"/>
              <w:left w:val="single" w:sz="4" w:space="0" w:color="000000"/>
              <w:right w:val="single" w:sz="4" w:space="0" w:color="000000"/>
            </w:tcBorders>
            <w:shd w:val="clear" w:color="auto" w:fill="D2D2D2"/>
          </w:tcPr>
          <w:p>
            <w:pPr/>
          </w:p>
        </w:tc>
        <w:tc>
          <w:tcPr>
            <w:tcW w:w="90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72" w:type="dxa"/>
            <w:vMerge/>
            <w:tcBorders>
              <w:left w:val="single" w:sz="4" w:space="0" w:color="000000"/>
              <w:right w:val="single" w:sz="4" w:space="0" w:color="000000"/>
            </w:tcBorders>
            <w:shd w:val="clear" w:color="auto" w:fill="D2D2D2"/>
          </w:tcPr>
          <w:p>
            <w:pPr/>
          </w:p>
        </w:tc>
        <w:tc>
          <w:tcPr>
            <w:tcW w:w="1295" w:type="dxa"/>
            <w:vMerge w:val="restart"/>
            <w:tcBorders>
              <w:top w:val="single" w:sz="4" w:space="0" w:color="000000"/>
              <w:left w:val="single" w:sz="4" w:space="0" w:color="000000"/>
              <w:right w:val="single" w:sz="4" w:space="0" w:color="000000"/>
            </w:tcBorders>
            <w:shd w:val="clear" w:color="auto" w:fill="D2D2D2"/>
          </w:tcPr>
          <w:p>
            <w:pPr/>
          </w:p>
        </w:tc>
        <w:tc>
          <w:tcPr>
            <w:tcW w:w="12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71" w:type="dxa"/>
            <w:vMerge w:val="restart"/>
            <w:tcBorders>
              <w:top w:val="single" w:sz="4" w:space="0" w:color="000000"/>
              <w:left w:val="single" w:sz="4" w:space="0" w:color="000000"/>
              <w:right w:val="single" w:sz="4" w:space="0" w:color="000000"/>
            </w:tcBorders>
            <w:shd w:val="clear" w:color="auto" w:fill="D2D2D2"/>
          </w:tcPr>
          <w:p>
            <w:pPr/>
          </w:p>
        </w:tc>
        <w:tc>
          <w:tcPr>
            <w:tcW w:w="437" w:type="dxa"/>
            <w:tcBorders>
              <w:top w:val="single" w:sz="4" w:space="0" w:color="000000"/>
              <w:left w:val="single" w:sz="4" w:space="0" w:color="000000"/>
              <w:bottom w:val="nil" w:sz="6" w:space="0" w:color="auto"/>
              <w:right w:val="single" w:sz="4" w:space="0" w:color="000000"/>
            </w:tcBorders>
            <w:shd w:val="clear" w:color="auto" w:fill="D2D2D2"/>
          </w:tcPr>
          <w:p>
            <w:pPr/>
          </w:p>
        </w:tc>
        <w:tc>
          <w:tcPr>
            <w:tcW w:w="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518" w:type="dxa"/>
            <w:vMerge w:val="restart"/>
            <w:tcBorders>
              <w:top w:val="single" w:sz="4" w:space="0" w:color="000000"/>
              <w:left w:val="single" w:sz="4" w:space="0" w:color="000000"/>
              <w:right w:val="single" w:sz="4" w:space="0" w:color="000000"/>
            </w:tcBorders>
            <w:shd w:val="clear" w:color="auto" w:fill="D2D2D2"/>
          </w:tcPr>
          <w:p>
            <w:pPr/>
          </w:p>
        </w:tc>
        <w:tc>
          <w:tcPr>
            <w:tcW w:w="1130" w:type="dxa"/>
            <w:vMerge w:val="restart"/>
            <w:tcBorders>
              <w:top w:val="single" w:sz="4" w:space="0" w:color="000000"/>
              <w:left w:val="single" w:sz="4" w:space="0" w:color="000000"/>
              <w:right w:val="single" w:sz="4" w:space="0" w:color="000000"/>
            </w:tcBorders>
            <w:shd w:val="clear" w:color="auto" w:fill="D2D2D2"/>
          </w:tcPr>
          <w:p>
            <w:pPr/>
          </w:p>
        </w:tc>
        <w:tc>
          <w:tcPr>
            <w:tcW w:w="1215" w:type="dxa"/>
            <w:vMerge w:val="restart"/>
            <w:tcBorders>
              <w:top w:val="single" w:sz="4" w:space="0" w:color="000000"/>
              <w:left w:val="single" w:sz="4" w:space="0" w:color="000000"/>
              <w:right w:val="single" w:sz="4" w:space="0" w:color="000000"/>
            </w:tcBorders>
            <w:shd w:val="clear" w:color="auto" w:fill="D2D2D2"/>
          </w:tcPr>
          <w:p>
            <w:pPr/>
          </w:p>
        </w:tc>
        <w:tc>
          <w:tcPr>
            <w:tcW w:w="1484" w:type="dxa"/>
            <w:vMerge w:val="restart"/>
            <w:tcBorders>
              <w:top w:val="single" w:sz="4" w:space="0" w:color="000000"/>
              <w:left w:val="single" w:sz="4" w:space="0" w:color="000000"/>
              <w:right w:val="single" w:sz="4" w:space="0" w:color="000000"/>
            </w:tcBorders>
            <w:shd w:val="clear" w:color="auto" w:fill="D2D2D2"/>
          </w:tcPr>
          <w:p>
            <w:pPr/>
          </w:p>
        </w:tc>
      </w:tr>
      <w:tr>
        <w:trPr>
          <w:trHeight w:val="134" w:hRule="exact"/>
        </w:trPr>
        <w:tc>
          <w:tcPr>
            <w:tcW w:w="1472" w:type="dxa"/>
            <w:vMerge/>
            <w:tcBorders>
              <w:left w:val="single" w:sz="4" w:space="0" w:color="000000"/>
              <w:bottom w:val="nil" w:sz="6" w:space="0" w:color="auto"/>
              <w:right w:val="single" w:sz="4" w:space="0" w:color="000000"/>
            </w:tcBorders>
            <w:shd w:val="clear" w:color="auto" w:fill="D2D2D2"/>
          </w:tcPr>
          <w:p>
            <w:pPr/>
          </w:p>
        </w:tc>
        <w:tc>
          <w:tcPr>
            <w:tcW w:w="1295" w:type="dxa"/>
            <w:vMerge/>
            <w:tcBorders>
              <w:left w:val="single" w:sz="4" w:space="0" w:color="000000"/>
              <w:right w:val="single" w:sz="4" w:space="0" w:color="000000"/>
            </w:tcBorders>
            <w:shd w:val="clear" w:color="auto" w:fill="D2D2D2"/>
          </w:tcPr>
          <w:p>
            <w:pPr/>
          </w:p>
        </w:tc>
        <w:tc>
          <w:tcPr>
            <w:tcW w:w="1241" w:type="dxa"/>
            <w:gridSpan w:val="3"/>
            <w:vMerge/>
            <w:tcBorders>
              <w:left w:val="single" w:sz="4" w:space="0" w:color="000000"/>
              <w:bottom w:val="single" w:sz="4" w:space="0" w:color="000000"/>
              <w:right w:val="single" w:sz="4" w:space="0" w:color="000000"/>
            </w:tcBorders>
            <w:shd w:val="clear" w:color="auto" w:fill="D2D2D2"/>
          </w:tcPr>
          <w:p>
            <w:pPr/>
          </w:p>
        </w:tc>
        <w:tc>
          <w:tcPr>
            <w:tcW w:w="1171" w:type="dxa"/>
            <w:vMerge/>
            <w:tcBorders>
              <w:left w:val="single" w:sz="4" w:space="0" w:color="000000"/>
              <w:right w:val="single" w:sz="4" w:space="0" w:color="000000"/>
            </w:tcBorders>
            <w:shd w:val="clear" w:color="auto" w:fill="D2D2D2"/>
          </w:tcPr>
          <w:p>
            <w:pPr/>
          </w:p>
        </w:tc>
        <w:tc>
          <w:tcPr>
            <w:tcW w:w="4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6" w:right="29"/>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4" w:right="72"/>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18" w:type="dxa"/>
            <w:vMerge/>
            <w:tcBorders>
              <w:left w:val="single" w:sz="4" w:space="0" w:color="000000"/>
              <w:bottom w:val="nil" w:sz="6" w:space="0" w:color="auto"/>
              <w:right w:val="single" w:sz="4" w:space="0" w:color="000000"/>
            </w:tcBorders>
            <w:shd w:val="clear" w:color="auto" w:fill="D2D2D2"/>
          </w:tcPr>
          <w:p>
            <w:pPr/>
          </w:p>
        </w:tc>
        <w:tc>
          <w:tcPr>
            <w:tcW w:w="1130"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484" w:type="dxa"/>
            <w:vMerge/>
            <w:tcBorders>
              <w:left w:val="single" w:sz="4" w:space="0" w:color="000000"/>
              <w:right w:val="single" w:sz="4" w:space="0" w:color="000000"/>
            </w:tcBorders>
            <w:shd w:val="clear" w:color="auto" w:fill="D2D2D2"/>
          </w:tcPr>
          <w:p>
            <w:pPr/>
          </w:p>
        </w:tc>
      </w:tr>
      <w:tr>
        <w:trPr>
          <w:trHeight w:val="149" w:hRule="exact"/>
        </w:trPr>
        <w:tc>
          <w:tcPr>
            <w:tcW w:w="1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5" w:type="dxa"/>
            <w:vMerge/>
            <w:tcBorders>
              <w:left w:val="single" w:sz="4" w:space="0" w:color="000000"/>
              <w:bottom w:val="nil" w:sz="6" w:space="0" w:color="auto"/>
              <w:right w:val="single" w:sz="4" w:space="0" w:color="000000"/>
            </w:tcBorders>
            <w:shd w:val="clear" w:color="auto" w:fill="D2D2D2"/>
          </w:tcPr>
          <w:p>
            <w:pPr/>
          </w:p>
        </w:tc>
        <w:tc>
          <w:tcPr>
            <w:tcW w:w="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2"/>
              <w:ind w:left="88" w:right="8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1" w:type="dxa"/>
            <w:vMerge/>
            <w:tcBorders>
              <w:left w:val="single" w:sz="4" w:space="0" w:color="000000"/>
              <w:bottom w:val="nil" w:sz="6" w:space="0" w:color="auto"/>
              <w:right w:val="single" w:sz="4" w:space="0" w:color="000000"/>
            </w:tcBorders>
            <w:shd w:val="clear" w:color="auto" w:fill="D2D2D2"/>
          </w:tcPr>
          <w:p>
            <w:pPr/>
          </w:p>
        </w:tc>
        <w:tc>
          <w:tcPr>
            <w:tcW w:w="437"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1"/>
              <w:ind w:left="74" w:right="7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0" w:type="dxa"/>
            <w:vMerge/>
            <w:tcBorders>
              <w:left w:val="single" w:sz="4" w:space="0" w:color="000000"/>
              <w:bottom w:val="nil" w:sz="6" w:space="0" w:color="auto"/>
              <w:right w:val="single" w:sz="4" w:space="0" w:color="000000"/>
            </w:tcBorders>
            <w:shd w:val="clear" w:color="auto" w:fill="D2D2D2"/>
          </w:tcPr>
          <w:p>
            <w:pPr/>
          </w:p>
        </w:tc>
        <w:tc>
          <w:tcPr>
            <w:tcW w:w="1215" w:type="dxa"/>
            <w:vMerge/>
            <w:tcBorders>
              <w:left w:val="single" w:sz="4" w:space="0" w:color="000000"/>
              <w:bottom w:val="nil" w:sz="6" w:space="0" w:color="auto"/>
              <w:right w:val="single" w:sz="4" w:space="0" w:color="000000"/>
            </w:tcBorders>
            <w:shd w:val="clear" w:color="auto" w:fill="D2D2D2"/>
          </w:tcPr>
          <w:p>
            <w:pPr/>
          </w:p>
        </w:tc>
        <w:tc>
          <w:tcPr>
            <w:tcW w:w="1484"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472" w:type="dxa"/>
            <w:vMerge/>
            <w:tcBorders>
              <w:left w:val="single" w:sz="4" w:space="0" w:color="000000"/>
              <w:bottom w:val="nil" w:sz="6" w:space="0" w:color="auto"/>
              <w:right w:val="single" w:sz="4" w:space="0" w:color="000000"/>
            </w:tcBorders>
            <w:shd w:val="clear" w:color="auto" w:fill="D2D2D2"/>
          </w:tcPr>
          <w:p>
            <w:pPr/>
          </w:p>
        </w:tc>
        <w:tc>
          <w:tcPr>
            <w:tcW w:w="12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0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4"/>
              <w:ind w:left="158" w:right="65"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367" w:type="dxa"/>
            <w:vMerge/>
            <w:tcBorders>
              <w:left w:val="single" w:sz="4" w:space="0" w:color="000000"/>
              <w:right w:val="single" w:sz="4" w:space="0" w:color="000000"/>
            </w:tcBorders>
            <w:shd w:val="clear" w:color="auto" w:fill="D2D2D2"/>
          </w:tcPr>
          <w:p>
            <w:pPr/>
          </w:p>
        </w:tc>
        <w:tc>
          <w:tcPr>
            <w:tcW w:w="3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4"/>
              <w:ind w:left="88" w:right="89"/>
              <w:jc w:val="left"/>
              <w:rPr>
                <w:rFonts w:ascii="宋体" w:hAnsi="宋体" w:cs="宋体" w:eastAsia="宋体" w:hint="default"/>
                <w:sz w:val="18"/>
                <w:szCs w:val="18"/>
              </w:rPr>
            </w:pPr>
            <w:r>
              <w:rPr>
                <w:rFonts w:ascii="宋体" w:hAnsi="宋体" w:cs="宋体" w:eastAsia="宋体" w:hint="default"/>
                <w:sz w:val="18"/>
                <w:szCs w:val="18"/>
              </w:rPr>
              <w:t>其 他</w:t>
            </w:r>
          </w:p>
        </w:tc>
        <w:tc>
          <w:tcPr>
            <w:tcW w:w="11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37"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11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1472" w:type="dxa"/>
            <w:vMerge w:val="restart"/>
            <w:tcBorders>
              <w:top w:val="nil" w:sz="6" w:space="0" w:color="auto"/>
              <w:left w:val="single" w:sz="4" w:space="0" w:color="000000"/>
              <w:right w:val="single" w:sz="4" w:space="0" w:color="000000"/>
            </w:tcBorders>
            <w:shd w:val="clear" w:color="auto" w:fill="D2D2D2"/>
          </w:tcPr>
          <w:p>
            <w:pPr/>
          </w:p>
        </w:tc>
        <w:tc>
          <w:tcPr>
            <w:tcW w:w="1295" w:type="dxa"/>
            <w:vMerge/>
            <w:tcBorders>
              <w:left w:val="single" w:sz="4" w:space="0" w:color="000000"/>
              <w:bottom w:val="nil" w:sz="6" w:space="0" w:color="auto"/>
              <w:right w:val="single" w:sz="4" w:space="0" w:color="000000"/>
            </w:tcBorders>
            <w:shd w:val="clear" w:color="auto" w:fill="D2D2D2"/>
          </w:tcPr>
          <w:p>
            <w:pPr/>
          </w:p>
        </w:tc>
        <w:tc>
          <w:tcPr>
            <w:tcW w:w="505" w:type="dxa"/>
            <w:vMerge/>
            <w:tcBorders>
              <w:left w:val="single" w:sz="4" w:space="0" w:color="000000"/>
              <w:right w:val="single" w:sz="4" w:space="0" w:color="000000"/>
            </w:tcBorders>
            <w:shd w:val="clear" w:color="auto" w:fill="D2D2D2"/>
          </w:tcPr>
          <w:p>
            <w:pPr/>
          </w:p>
        </w:tc>
        <w:tc>
          <w:tcPr>
            <w:tcW w:w="367" w:type="dxa"/>
            <w:vMerge/>
            <w:tcBorders>
              <w:left w:val="single" w:sz="4" w:space="0" w:color="000000"/>
              <w:right w:val="single" w:sz="4" w:space="0" w:color="000000"/>
            </w:tcBorders>
            <w:shd w:val="clear" w:color="auto" w:fill="D2D2D2"/>
          </w:tcPr>
          <w:p>
            <w:pPr/>
          </w:p>
        </w:tc>
        <w:tc>
          <w:tcPr>
            <w:tcW w:w="370" w:type="dxa"/>
            <w:vMerge/>
            <w:tcBorders>
              <w:left w:val="single" w:sz="4" w:space="0" w:color="000000"/>
              <w:right w:val="single" w:sz="4" w:space="0" w:color="000000"/>
            </w:tcBorders>
            <w:shd w:val="clear" w:color="auto" w:fill="D2D2D2"/>
          </w:tcPr>
          <w:p>
            <w:pPr/>
          </w:p>
        </w:tc>
        <w:tc>
          <w:tcPr>
            <w:tcW w:w="1171" w:type="dxa"/>
            <w:vMerge/>
            <w:tcBorders>
              <w:left w:val="single" w:sz="4" w:space="0" w:color="000000"/>
              <w:bottom w:val="nil" w:sz="6" w:space="0" w:color="auto"/>
              <w:right w:val="single" w:sz="4" w:space="0" w:color="000000"/>
            </w:tcBorders>
            <w:shd w:val="clear" w:color="auto" w:fill="D2D2D2"/>
          </w:tcPr>
          <w:p>
            <w:pPr/>
          </w:p>
        </w:tc>
        <w:tc>
          <w:tcPr>
            <w:tcW w:w="437"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1130" w:type="dxa"/>
            <w:vMerge/>
            <w:tcBorders>
              <w:left w:val="single" w:sz="4" w:space="0" w:color="000000"/>
              <w:bottom w:val="nil" w:sz="6" w:space="0" w:color="auto"/>
              <w:right w:val="single" w:sz="4" w:space="0" w:color="000000"/>
            </w:tcBorders>
            <w:shd w:val="clear" w:color="auto" w:fill="D2D2D2"/>
          </w:tcPr>
          <w:p>
            <w:pPr/>
          </w:p>
        </w:tc>
        <w:tc>
          <w:tcPr>
            <w:tcW w:w="1215" w:type="dxa"/>
            <w:vMerge/>
            <w:tcBorders>
              <w:left w:val="single" w:sz="4" w:space="0" w:color="000000"/>
              <w:bottom w:val="nil" w:sz="6" w:space="0" w:color="auto"/>
              <w:right w:val="single" w:sz="4" w:space="0" w:color="000000"/>
            </w:tcBorders>
            <w:shd w:val="clear" w:color="auto" w:fill="D2D2D2"/>
          </w:tcPr>
          <w:p>
            <w:pPr/>
          </w:p>
        </w:tc>
        <w:tc>
          <w:tcPr>
            <w:tcW w:w="1484"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472" w:type="dxa"/>
            <w:vMerge/>
            <w:tcBorders>
              <w:left w:val="single" w:sz="4" w:space="0" w:color="000000"/>
              <w:right w:val="single" w:sz="4" w:space="0" w:color="000000"/>
            </w:tcBorders>
            <w:shd w:val="clear" w:color="auto" w:fill="D2D2D2"/>
          </w:tcPr>
          <w:p>
            <w:pPr/>
          </w:p>
        </w:tc>
        <w:tc>
          <w:tcPr>
            <w:tcW w:w="1295" w:type="dxa"/>
            <w:vMerge w:val="restart"/>
            <w:tcBorders>
              <w:top w:val="nil" w:sz="6" w:space="0" w:color="auto"/>
              <w:left w:val="single" w:sz="4" w:space="0" w:color="000000"/>
              <w:right w:val="single" w:sz="4" w:space="0" w:color="000000"/>
            </w:tcBorders>
            <w:shd w:val="clear" w:color="auto" w:fill="D2D2D2"/>
          </w:tcPr>
          <w:p>
            <w:pPr/>
          </w:p>
        </w:tc>
        <w:tc>
          <w:tcPr>
            <w:tcW w:w="505" w:type="dxa"/>
            <w:vMerge/>
            <w:tcBorders>
              <w:left w:val="single" w:sz="4" w:space="0" w:color="000000"/>
              <w:right w:val="single" w:sz="4" w:space="0" w:color="000000"/>
            </w:tcBorders>
            <w:shd w:val="clear" w:color="auto" w:fill="D2D2D2"/>
          </w:tcPr>
          <w:p>
            <w:pPr/>
          </w:p>
        </w:tc>
        <w:tc>
          <w:tcPr>
            <w:tcW w:w="367" w:type="dxa"/>
            <w:vMerge/>
            <w:tcBorders>
              <w:left w:val="single" w:sz="4" w:space="0" w:color="000000"/>
              <w:right w:val="single" w:sz="4" w:space="0" w:color="000000"/>
            </w:tcBorders>
            <w:shd w:val="clear" w:color="auto" w:fill="D2D2D2"/>
          </w:tcPr>
          <w:p>
            <w:pPr/>
          </w:p>
        </w:tc>
        <w:tc>
          <w:tcPr>
            <w:tcW w:w="370" w:type="dxa"/>
            <w:vMerge/>
            <w:tcBorders>
              <w:left w:val="single" w:sz="4" w:space="0" w:color="000000"/>
              <w:right w:val="single" w:sz="4" w:space="0" w:color="000000"/>
            </w:tcBorders>
            <w:shd w:val="clear" w:color="auto" w:fill="D2D2D2"/>
          </w:tcPr>
          <w:p>
            <w:pPr/>
          </w:p>
        </w:tc>
        <w:tc>
          <w:tcPr>
            <w:tcW w:w="1171" w:type="dxa"/>
            <w:vMerge w:val="restart"/>
            <w:tcBorders>
              <w:top w:val="nil" w:sz="6" w:space="0" w:color="auto"/>
              <w:left w:val="single" w:sz="4" w:space="0" w:color="000000"/>
              <w:right w:val="single" w:sz="4" w:space="0" w:color="000000"/>
            </w:tcBorders>
            <w:shd w:val="clear" w:color="auto" w:fill="D2D2D2"/>
          </w:tcPr>
          <w:p>
            <w:pPr/>
          </w:p>
        </w:tc>
        <w:tc>
          <w:tcPr>
            <w:tcW w:w="437"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18" w:type="dxa"/>
            <w:vMerge/>
            <w:tcBorders>
              <w:left w:val="single" w:sz="4" w:space="0" w:color="000000"/>
              <w:bottom w:val="nil" w:sz="6" w:space="0" w:color="auto"/>
              <w:right w:val="single" w:sz="4" w:space="0" w:color="000000"/>
            </w:tcBorders>
            <w:shd w:val="clear" w:color="auto" w:fill="D2D2D2"/>
          </w:tcPr>
          <w:p>
            <w:pPr/>
          </w:p>
        </w:tc>
        <w:tc>
          <w:tcPr>
            <w:tcW w:w="1130" w:type="dxa"/>
            <w:vMerge w:val="restart"/>
            <w:tcBorders>
              <w:top w:val="nil" w:sz="6" w:space="0" w:color="auto"/>
              <w:left w:val="single" w:sz="4" w:space="0" w:color="000000"/>
              <w:right w:val="single" w:sz="4" w:space="0" w:color="000000"/>
            </w:tcBorders>
            <w:shd w:val="clear" w:color="auto" w:fill="D2D2D2"/>
          </w:tcPr>
          <w:p>
            <w:pPr/>
          </w:p>
        </w:tc>
        <w:tc>
          <w:tcPr>
            <w:tcW w:w="1215" w:type="dxa"/>
            <w:vMerge w:val="restart"/>
            <w:tcBorders>
              <w:top w:val="nil" w:sz="6" w:space="0" w:color="auto"/>
              <w:left w:val="single" w:sz="4" w:space="0" w:color="000000"/>
              <w:right w:val="single" w:sz="4" w:space="0" w:color="000000"/>
            </w:tcBorders>
            <w:shd w:val="clear" w:color="auto" w:fill="D2D2D2"/>
          </w:tcPr>
          <w:p>
            <w:pPr/>
          </w:p>
        </w:tc>
        <w:tc>
          <w:tcPr>
            <w:tcW w:w="1484"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472" w:type="dxa"/>
            <w:vMerge/>
            <w:tcBorders>
              <w:left w:val="single" w:sz="4" w:space="0" w:color="000000"/>
              <w:right w:val="single" w:sz="4" w:space="0" w:color="000000"/>
            </w:tcBorders>
            <w:shd w:val="clear" w:color="auto" w:fill="D2D2D2"/>
          </w:tcPr>
          <w:p>
            <w:pPr/>
          </w:p>
        </w:tc>
        <w:tc>
          <w:tcPr>
            <w:tcW w:w="1295" w:type="dxa"/>
            <w:vMerge/>
            <w:tcBorders>
              <w:left w:val="single" w:sz="4" w:space="0" w:color="000000"/>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367" w:type="dxa"/>
            <w:vMerge/>
            <w:tcBorders>
              <w:left w:val="single" w:sz="4" w:space="0" w:color="000000"/>
              <w:right w:val="single" w:sz="4" w:space="0" w:color="000000"/>
            </w:tcBorders>
            <w:shd w:val="clear" w:color="auto" w:fill="D2D2D2"/>
          </w:tcPr>
          <w:p>
            <w:pPr/>
          </w:p>
        </w:tc>
        <w:tc>
          <w:tcPr>
            <w:tcW w:w="370" w:type="dxa"/>
            <w:vMerge/>
            <w:tcBorders>
              <w:left w:val="single" w:sz="4" w:space="0" w:color="000000"/>
              <w:bottom w:val="nil" w:sz="6" w:space="0" w:color="auto"/>
              <w:right w:val="single" w:sz="4" w:space="0" w:color="000000"/>
            </w:tcBorders>
            <w:shd w:val="clear" w:color="auto" w:fill="D2D2D2"/>
          </w:tcPr>
          <w:p>
            <w:pPr/>
          </w:p>
        </w:tc>
        <w:tc>
          <w:tcPr>
            <w:tcW w:w="1171" w:type="dxa"/>
            <w:vMerge/>
            <w:tcBorders>
              <w:left w:val="single" w:sz="4" w:space="0" w:color="000000"/>
              <w:right w:val="single" w:sz="4" w:space="0" w:color="000000"/>
            </w:tcBorders>
            <w:shd w:val="clear" w:color="auto" w:fill="D2D2D2"/>
          </w:tcPr>
          <w:p>
            <w:pPr/>
          </w:p>
        </w:tc>
        <w:tc>
          <w:tcPr>
            <w:tcW w:w="437" w:type="dxa"/>
            <w:vMerge/>
            <w:tcBorders>
              <w:left w:val="single" w:sz="4" w:space="0" w:color="000000"/>
              <w:bottom w:val="nil" w:sz="6" w:space="0" w:color="auto"/>
              <w:right w:val="single" w:sz="4" w:space="0" w:color="000000"/>
            </w:tcBorders>
            <w:shd w:val="clear" w:color="auto" w:fill="D2D2D2"/>
          </w:tcPr>
          <w:p>
            <w:pPr/>
          </w:p>
        </w:tc>
        <w:tc>
          <w:tcPr>
            <w:tcW w:w="518" w:type="dxa"/>
            <w:vMerge/>
            <w:tcBorders>
              <w:left w:val="single" w:sz="4" w:space="0" w:color="000000"/>
              <w:bottom w:val="nil" w:sz="6" w:space="0" w:color="auto"/>
              <w:right w:val="single" w:sz="4" w:space="0" w:color="000000"/>
            </w:tcBorders>
            <w:shd w:val="clear" w:color="auto" w:fill="D2D2D2"/>
          </w:tcPr>
          <w:p>
            <w:pPr/>
          </w:p>
        </w:tc>
        <w:tc>
          <w:tcPr>
            <w:tcW w:w="518" w:type="dxa"/>
            <w:vMerge w:val="restart"/>
            <w:tcBorders>
              <w:top w:val="nil" w:sz="6" w:space="0" w:color="auto"/>
              <w:left w:val="single" w:sz="4" w:space="0" w:color="000000"/>
              <w:right w:val="single" w:sz="4" w:space="0" w:color="000000"/>
            </w:tcBorders>
            <w:shd w:val="clear" w:color="auto" w:fill="D2D2D2"/>
          </w:tcPr>
          <w:p>
            <w:pPr/>
          </w:p>
        </w:tc>
        <w:tc>
          <w:tcPr>
            <w:tcW w:w="1130"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484" w:type="dxa"/>
            <w:vMerge/>
            <w:tcBorders>
              <w:left w:val="single" w:sz="4" w:space="0" w:color="000000"/>
              <w:right w:val="single" w:sz="4" w:space="0" w:color="000000"/>
            </w:tcBorders>
            <w:shd w:val="clear" w:color="auto" w:fill="D2D2D2"/>
          </w:tcPr>
          <w:p>
            <w:pPr/>
          </w:p>
        </w:tc>
      </w:tr>
      <w:tr>
        <w:trPr>
          <w:trHeight w:val="172" w:hRule="exact"/>
        </w:trPr>
        <w:tc>
          <w:tcPr>
            <w:tcW w:w="1472" w:type="dxa"/>
            <w:vMerge/>
            <w:tcBorders>
              <w:left w:val="single" w:sz="4" w:space="0" w:color="000000"/>
              <w:bottom w:val="single" w:sz="4" w:space="0" w:color="000000"/>
              <w:right w:val="single" w:sz="4" w:space="0" w:color="000000"/>
            </w:tcBorders>
            <w:shd w:val="clear" w:color="auto" w:fill="D2D2D2"/>
          </w:tcPr>
          <w:p>
            <w:pPr/>
          </w:p>
        </w:tc>
        <w:tc>
          <w:tcPr>
            <w:tcW w:w="1295" w:type="dxa"/>
            <w:vMerge/>
            <w:tcBorders>
              <w:left w:val="single" w:sz="4" w:space="0" w:color="000000"/>
              <w:bottom w:val="single" w:sz="4" w:space="0" w:color="000000"/>
              <w:right w:val="single" w:sz="4" w:space="0" w:color="000000"/>
            </w:tcBorders>
            <w:shd w:val="clear" w:color="auto" w:fill="D2D2D2"/>
          </w:tcPr>
          <w:p>
            <w:pPr/>
          </w:p>
        </w:tc>
        <w:tc>
          <w:tcPr>
            <w:tcW w:w="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367" w:type="dxa"/>
            <w:vMerge/>
            <w:tcBorders>
              <w:left w:val="single" w:sz="4" w:space="0" w:color="000000"/>
              <w:bottom w:val="single" w:sz="4" w:space="0" w:color="000000"/>
              <w:right w:val="single" w:sz="4" w:space="0" w:color="000000"/>
            </w:tcBorders>
            <w:shd w:val="clear" w:color="auto" w:fill="D2D2D2"/>
          </w:tcPr>
          <w:p>
            <w:pPr/>
          </w:p>
        </w:tc>
        <w:tc>
          <w:tcPr>
            <w:tcW w:w="3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1" w:type="dxa"/>
            <w:vMerge/>
            <w:tcBorders>
              <w:left w:val="single" w:sz="4" w:space="0" w:color="000000"/>
              <w:bottom w:val="single" w:sz="4" w:space="0" w:color="000000"/>
              <w:right w:val="single" w:sz="4" w:space="0" w:color="000000"/>
            </w:tcBorders>
            <w:shd w:val="clear" w:color="auto" w:fill="D2D2D2"/>
          </w:tcPr>
          <w:p>
            <w:pPr/>
          </w:p>
        </w:tc>
        <w:tc>
          <w:tcPr>
            <w:tcW w:w="437" w:type="dxa"/>
            <w:tcBorders>
              <w:top w:val="nil" w:sz="6" w:space="0" w:color="auto"/>
              <w:left w:val="single" w:sz="4" w:space="0" w:color="000000"/>
              <w:bottom w:val="single" w:sz="4" w:space="0" w:color="000000"/>
              <w:right w:val="single" w:sz="4" w:space="0" w:color="000000"/>
            </w:tcBorders>
            <w:shd w:val="clear" w:color="auto" w:fill="D2D2D2"/>
          </w:tcPr>
          <w:p>
            <w:pPr/>
          </w:p>
        </w:tc>
        <w:tc>
          <w:tcPr>
            <w:tcW w:w="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518" w:type="dxa"/>
            <w:vMerge/>
            <w:tcBorders>
              <w:left w:val="single" w:sz="4" w:space="0" w:color="000000"/>
              <w:bottom w:val="single" w:sz="4" w:space="0" w:color="000000"/>
              <w:right w:val="single" w:sz="4" w:space="0" w:color="000000"/>
            </w:tcBorders>
            <w:shd w:val="clear" w:color="auto" w:fill="D2D2D2"/>
          </w:tcPr>
          <w:p>
            <w:pPr/>
          </w:p>
        </w:tc>
        <w:tc>
          <w:tcPr>
            <w:tcW w:w="1130"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c>
          <w:tcPr>
            <w:tcW w:w="14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761,191,294.00</w:t>
            </w: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29,679,547.28</w:t>
            </w: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41,988,458.22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257,440,500.97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1,090,299,800.47</w:t>
            </w:r>
          </w:p>
        </w:tc>
      </w:tr>
      <w:tr>
        <w:trPr>
          <w:trHeight w:val="716"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6" w:firstLine="360"/>
              <w:jc w:val="left"/>
              <w:rPr>
                <w:rFonts w:ascii="宋体" w:hAnsi="宋体" w:cs="宋体" w:eastAsia="宋体" w:hint="default"/>
                <w:sz w:val="18"/>
                <w:szCs w:val="18"/>
              </w:rPr>
            </w:pPr>
            <w:r>
              <w:rPr>
                <w:rFonts w:ascii="宋体" w:hAnsi="宋体" w:cs="宋体" w:eastAsia="宋体" w:hint="default"/>
                <w:sz w:val="18"/>
                <w:szCs w:val="18"/>
              </w:rPr>
              <w:t>加：会计政策 变更</w:t>
            </w:r>
          </w:p>
        </w:tc>
        <w:tc>
          <w:tcPr>
            <w:tcW w:w="1295" w:type="dxa"/>
            <w:tcBorders>
              <w:top w:val="single" w:sz="4" w:space="0" w:color="000000"/>
              <w:left w:val="single" w:sz="10" w:space="0" w:color="D2D2D2"/>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295" w:type="dxa"/>
            <w:tcBorders>
              <w:top w:val="single" w:sz="4" w:space="0" w:color="000000"/>
              <w:left w:val="single" w:sz="10" w:space="0" w:color="D2D2D2"/>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5" w:type="dxa"/>
            <w:tcBorders>
              <w:top w:val="single" w:sz="4" w:space="0" w:color="000000"/>
              <w:left w:val="single" w:sz="10" w:space="0" w:color="D2D2D2"/>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761,191,294.00</w:t>
            </w: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29,679,547.28</w:t>
            </w: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41,988,458.22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257,440,500.97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1,090,299,800.47</w:t>
            </w:r>
          </w:p>
        </w:tc>
      </w:tr>
      <w:tr>
        <w:trPr>
          <w:trHeight w:val="1027"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3" w:right="6"/>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295" w:type="dxa"/>
            <w:tcBorders>
              <w:top w:val="single" w:sz="4" w:space="0" w:color="000000"/>
              <w:left w:val="single" w:sz="10" w:space="0" w:color="D2D2D2"/>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6,274,195.64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31,348,448.10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37,622,643.74</w:t>
            </w:r>
          </w:p>
        </w:tc>
      </w:tr>
      <w:tr>
        <w:trPr>
          <w:trHeight w:val="713"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 w:right="6"/>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295" w:type="dxa"/>
            <w:tcBorders>
              <w:top w:val="single" w:sz="4" w:space="0" w:color="000000"/>
              <w:left w:val="single" w:sz="10" w:space="0" w:color="D2D2D2"/>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62,741,956.44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62,741,956.44</w:t>
            </w:r>
          </w:p>
        </w:tc>
      </w:tr>
      <w:tr>
        <w:trPr>
          <w:trHeight w:val="715"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6"/>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295" w:type="dxa"/>
            <w:tcBorders>
              <w:top w:val="single" w:sz="4" w:space="0" w:color="000000"/>
              <w:left w:val="single" w:sz="10" w:space="0" w:color="D2D2D2"/>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3"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1295" w:type="dxa"/>
            <w:tcBorders>
              <w:top w:val="single" w:sz="4" w:space="0" w:color="000000"/>
              <w:left w:val="single" w:sz="10" w:space="0" w:color="D2D2D2"/>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3"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295" w:type="dxa"/>
            <w:tcBorders>
              <w:top w:val="single" w:sz="4" w:space="0" w:color="000000"/>
              <w:left w:val="single" w:sz="10" w:space="0" w:color="D2D2D2"/>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1" w:top="1100" w:bottom="1220" w:left="600" w:right="580"/>
        </w:sectPr>
      </w:pPr>
    </w:p>
    <w:p>
      <w:pPr>
        <w:spacing w:line="240" w:lineRule="auto" w:before="5"/>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1494"/>
        <w:gridCol w:w="1284"/>
        <w:gridCol w:w="505"/>
        <w:gridCol w:w="367"/>
        <w:gridCol w:w="370"/>
        <w:gridCol w:w="1171"/>
        <w:gridCol w:w="437"/>
        <w:gridCol w:w="518"/>
        <w:gridCol w:w="518"/>
        <w:gridCol w:w="1130"/>
        <w:gridCol w:w="1215"/>
        <w:gridCol w:w="1484"/>
      </w:tblGrid>
      <w:tr>
        <w:trPr>
          <w:trHeight w:val="1025"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5"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6,274,195.64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-31,393,508.34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-25,119,312.70</w:t>
            </w:r>
          </w:p>
        </w:tc>
      </w:tr>
      <w:tr>
        <w:trPr>
          <w:trHeight w:val="40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6,274,195.64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-6,274,195.64</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128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-25,119,312.70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-25,119,312.70</w:t>
            </w:r>
          </w:p>
        </w:tc>
      </w:tr>
      <w:tr>
        <w:trPr>
          <w:trHeight w:val="40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17"/>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28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5"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8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8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5"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8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761,191,294.00</w:t>
            </w:r>
          </w:p>
        </w:tc>
        <w:tc>
          <w:tcPr>
            <w:tcW w:w="505"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29,679,547.28</w:t>
            </w:r>
          </w:p>
        </w:tc>
        <w:tc>
          <w:tcPr>
            <w:tcW w:w="43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48,262,653.86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288,788,949.07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1,127,922,444.21</w:t>
            </w:r>
          </w:p>
        </w:tc>
      </w:tr>
    </w:tbl>
    <w:p>
      <w:pPr>
        <w:pStyle w:val="BodyText"/>
        <w:spacing w:line="240" w:lineRule="auto" w:before="49"/>
        <w:ind w:left="532" w:right="7834"/>
        <w:jc w:val="left"/>
      </w:pPr>
      <w:r>
        <w:rPr/>
        <w:t>上期金额</w:t>
      </w:r>
    </w:p>
    <w:p>
      <w:pPr>
        <w:pStyle w:val="BodyText"/>
        <w:spacing w:line="240" w:lineRule="auto" w:before="115"/>
        <w:ind w:left="0" w:right="551"/>
        <w:jc w:val="right"/>
      </w:pPr>
      <w:r>
        <w:rPr/>
        <w:t>单位：元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460"/>
        <w:gridCol w:w="1292"/>
        <w:gridCol w:w="545"/>
        <w:gridCol w:w="341"/>
        <w:gridCol w:w="370"/>
        <w:gridCol w:w="1145"/>
        <w:gridCol w:w="464"/>
        <w:gridCol w:w="518"/>
        <w:gridCol w:w="518"/>
        <w:gridCol w:w="1130"/>
        <w:gridCol w:w="1229"/>
        <w:gridCol w:w="1469"/>
      </w:tblGrid>
      <w:tr>
        <w:trPr>
          <w:trHeight w:val="398" w:hRule="exact"/>
        </w:trPr>
        <w:tc>
          <w:tcPr>
            <w:tcW w:w="1460" w:type="dxa"/>
            <w:vMerge w:val="restart"/>
            <w:tcBorders>
              <w:top w:val="single" w:sz="4" w:space="0" w:color="000000"/>
              <w:left w:val="single" w:sz="4" w:space="0" w:color="000000"/>
              <w:right w:val="single" w:sz="4" w:space="0" w:color="000000"/>
            </w:tcBorders>
            <w:shd w:val="clear" w:color="auto" w:fill="D2D2D2"/>
          </w:tcPr>
          <w:p>
            <w:pPr/>
          </w:p>
        </w:tc>
        <w:tc>
          <w:tcPr>
            <w:tcW w:w="90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60" w:type="dxa"/>
            <w:vMerge/>
            <w:tcBorders>
              <w:left w:val="single" w:sz="4" w:space="0" w:color="000000"/>
              <w:right w:val="single" w:sz="4" w:space="0" w:color="000000"/>
            </w:tcBorders>
            <w:shd w:val="clear" w:color="auto" w:fill="D2D2D2"/>
          </w:tcPr>
          <w:p>
            <w:pPr/>
          </w:p>
        </w:tc>
        <w:tc>
          <w:tcPr>
            <w:tcW w:w="1292" w:type="dxa"/>
            <w:vMerge w:val="restart"/>
            <w:tcBorders>
              <w:top w:val="single" w:sz="4" w:space="0" w:color="000000"/>
              <w:left w:val="single" w:sz="4" w:space="0" w:color="000000"/>
              <w:right w:val="single" w:sz="4" w:space="0" w:color="000000"/>
            </w:tcBorders>
            <w:shd w:val="clear" w:color="auto" w:fill="D2D2D2"/>
          </w:tcPr>
          <w:p>
            <w:pPr/>
          </w:p>
        </w:tc>
        <w:tc>
          <w:tcPr>
            <w:tcW w:w="125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45" w:type="dxa"/>
            <w:vMerge w:val="restart"/>
            <w:tcBorders>
              <w:top w:val="single" w:sz="4" w:space="0" w:color="000000"/>
              <w:left w:val="single" w:sz="4" w:space="0" w:color="000000"/>
              <w:right w:val="single" w:sz="4" w:space="0" w:color="000000"/>
            </w:tcBorders>
            <w:shd w:val="clear" w:color="auto" w:fill="D2D2D2"/>
          </w:tcPr>
          <w:p>
            <w:pPr/>
          </w:p>
        </w:tc>
        <w:tc>
          <w:tcPr>
            <w:tcW w:w="464" w:type="dxa"/>
            <w:tcBorders>
              <w:top w:val="single" w:sz="4" w:space="0" w:color="000000"/>
              <w:left w:val="single" w:sz="4" w:space="0" w:color="000000"/>
              <w:bottom w:val="nil" w:sz="6" w:space="0" w:color="auto"/>
              <w:right w:val="single" w:sz="4" w:space="0" w:color="000000"/>
            </w:tcBorders>
            <w:shd w:val="clear" w:color="auto" w:fill="D2D2D2"/>
          </w:tcPr>
          <w:p>
            <w:pPr/>
          </w:p>
        </w:tc>
        <w:tc>
          <w:tcPr>
            <w:tcW w:w="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518" w:type="dxa"/>
            <w:vMerge w:val="restart"/>
            <w:tcBorders>
              <w:top w:val="single" w:sz="4" w:space="0" w:color="000000"/>
              <w:left w:val="single" w:sz="4" w:space="0" w:color="000000"/>
              <w:right w:val="single" w:sz="4" w:space="0" w:color="000000"/>
            </w:tcBorders>
            <w:shd w:val="clear" w:color="auto" w:fill="D2D2D2"/>
          </w:tcPr>
          <w:p>
            <w:pPr/>
          </w:p>
        </w:tc>
        <w:tc>
          <w:tcPr>
            <w:tcW w:w="1130" w:type="dxa"/>
            <w:vMerge w:val="restart"/>
            <w:tcBorders>
              <w:top w:val="single" w:sz="4" w:space="0" w:color="000000"/>
              <w:left w:val="single" w:sz="4" w:space="0" w:color="000000"/>
              <w:right w:val="single" w:sz="4" w:space="0" w:color="000000"/>
            </w:tcBorders>
            <w:shd w:val="clear" w:color="auto" w:fill="D2D2D2"/>
          </w:tcPr>
          <w:p>
            <w:pPr/>
          </w:p>
        </w:tc>
        <w:tc>
          <w:tcPr>
            <w:tcW w:w="1229" w:type="dxa"/>
            <w:vMerge w:val="restart"/>
            <w:tcBorders>
              <w:top w:val="single" w:sz="4" w:space="0" w:color="000000"/>
              <w:left w:val="single" w:sz="4" w:space="0" w:color="000000"/>
              <w:right w:val="single" w:sz="4" w:space="0" w:color="000000"/>
            </w:tcBorders>
            <w:shd w:val="clear" w:color="auto" w:fill="D2D2D2"/>
          </w:tcPr>
          <w:p>
            <w:pPr/>
          </w:p>
        </w:tc>
        <w:tc>
          <w:tcPr>
            <w:tcW w:w="1469" w:type="dxa"/>
            <w:vMerge w:val="restart"/>
            <w:tcBorders>
              <w:top w:val="single" w:sz="4" w:space="0" w:color="000000"/>
              <w:left w:val="single" w:sz="4" w:space="0" w:color="000000"/>
              <w:right w:val="single" w:sz="4" w:space="0" w:color="000000"/>
            </w:tcBorders>
            <w:shd w:val="clear" w:color="auto" w:fill="D2D2D2"/>
          </w:tcPr>
          <w:p>
            <w:pPr/>
          </w:p>
        </w:tc>
      </w:tr>
      <w:tr>
        <w:trPr>
          <w:trHeight w:val="133" w:hRule="exact"/>
        </w:trPr>
        <w:tc>
          <w:tcPr>
            <w:tcW w:w="1460" w:type="dxa"/>
            <w:vMerge/>
            <w:tcBorders>
              <w:left w:val="single" w:sz="4" w:space="0" w:color="000000"/>
              <w:bottom w:val="nil" w:sz="6" w:space="0" w:color="auto"/>
              <w:right w:val="single" w:sz="4" w:space="0" w:color="000000"/>
            </w:tcBorders>
            <w:shd w:val="clear" w:color="auto" w:fill="D2D2D2"/>
          </w:tcPr>
          <w:p>
            <w:pPr/>
          </w:p>
        </w:tc>
        <w:tc>
          <w:tcPr>
            <w:tcW w:w="1292" w:type="dxa"/>
            <w:vMerge/>
            <w:tcBorders>
              <w:left w:val="single" w:sz="4" w:space="0" w:color="000000"/>
              <w:right w:val="single" w:sz="4" w:space="0" w:color="000000"/>
            </w:tcBorders>
            <w:shd w:val="clear" w:color="auto" w:fill="D2D2D2"/>
          </w:tcPr>
          <w:p>
            <w:pPr/>
          </w:p>
        </w:tc>
        <w:tc>
          <w:tcPr>
            <w:tcW w:w="1256" w:type="dxa"/>
            <w:gridSpan w:val="3"/>
            <w:vMerge/>
            <w:tcBorders>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right w:val="single" w:sz="4" w:space="0" w:color="000000"/>
            </w:tcBorders>
            <w:shd w:val="clear" w:color="auto" w:fill="D2D2D2"/>
          </w:tcPr>
          <w:p>
            <w:pPr/>
          </w:p>
        </w:tc>
        <w:tc>
          <w:tcPr>
            <w:tcW w:w="4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7" w:right="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4" w:right="72"/>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18" w:type="dxa"/>
            <w:vMerge/>
            <w:tcBorders>
              <w:left w:val="single" w:sz="4" w:space="0" w:color="000000"/>
              <w:bottom w:val="nil" w:sz="6" w:space="0" w:color="auto"/>
              <w:right w:val="single" w:sz="4" w:space="0" w:color="000000"/>
            </w:tcBorders>
            <w:shd w:val="clear" w:color="auto" w:fill="D2D2D2"/>
          </w:tcPr>
          <w:p>
            <w:pPr/>
          </w:p>
        </w:tc>
        <w:tc>
          <w:tcPr>
            <w:tcW w:w="1130" w:type="dxa"/>
            <w:vMerge/>
            <w:tcBorders>
              <w:left w:val="single" w:sz="4" w:space="0" w:color="000000"/>
              <w:right w:val="single" w:sz="4" w:space="0" w:color="000000"/>
            </w:tcBorders>
            <w:shd w:val="clear" w:color="auto" w:fill="D2D2D2"/>
          </w:tcPr>
          <w:p>
            <w:pPr/>
          </w:p>
        </w:tc>
        <w:tc>
          <w:tcPr>
            <w:tcW w:w="1229" w:type="dxa"/>
            <w:vMerge/>
            <w:tcBorders>
              <w:left w:val="single" w:sz="4" w:space="0" w:color="000000"/>
              <w:right w:val="single" w:sz="4" w:space="0" w:color="000000"/>
            </w:tcBorders>
            <w:shd w:val="clear" w:color="auto" w:fill="D2D2D2"/>
          </w:tcPr>
          <w:p>
            <w:pPr/>
          </w:p>
        </w:tc>
        <w:tc>
          <w:tcPr>
            <w:tcW w:w="1469" w:type="dxa"/>
            <w:vMerge/>
            <w:tcBorders>
              <w:left w:val="single" w:sz="4" w:space="0" w:color="000000"/>
              <w:right w:val="single" w:sz="4" w:space="0" w:color="000000"/>
            </w:tcBorders>
            <w:shd w:val="clear" w:color="auto" w:fill="D2D2D2"/>
          </w:tcPr>
          <w:p>
            <w:pPr/>
          </w:p>
        </w:tc>
      </w:tr>
      <w:tr>
        <w:trPr>
          <w:trHeight w:val="151" w:hRule="exact"/>
        </w:trPr>
        <w:tc>
          <w:tcPr>
            <w:tcW w:w="14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2" w:type="dxa"/>
            <w:vMerge/>
            <w:tcBorders>
              <w:left w:val="single" w:sz="4" w:space="0" w:color="000000"/>
              <w:bottom w:val="nil" w:sz="6" w:space="0" w:color="auto"/>
              <w:right w:val="single" w:sz="4" w:space="0" w:color="000000"/>
            </w:tcBorders>
            <w:shd w:val="clear" w:color="auto" w:fill="D2D2D2"/>
          </w:tcPr>
          <w:p>
            <w:pP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3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2"/>
              <w:ind w:left="76" w:right="7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464"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1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3"/>
              <w:ind w:left="74" w:right="7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0" w:type="dxa"/>
            <w:vMerge/>
            <w:tcBorders>
              <w:left w:val="single" w:sz="4" w:space="0" w:color="000000"/>
              <w:bottom w:val="nil" w:sz="6" w:space="0" w:color="auto"/>
              <w:right w:val="single" w:sz="4" w:space="0" w:color="000000"/>
            </w:tcBorders>
            <w:shd w:val="clear" w:color="auto" w:fill="D2D2D2"/>
          </w:tcPr>
          <w:p>
            <w:pPr/>
          </w:p>
        </w:tc>
        <w:tc>
          <w:tcPr>
            <w:tcW w:w="1229" w:type="dxa"/>
            <w:vMerge/>
            <w:tcBorders>
              <w:left w:val="single" w:sz="4" w:space="0" w:color="000000"/>
              <w:bottom w:val="nil" w:sz="6" w:space="0" w:color="auto"/>
              <w:right w:val="single" w:sz="4" w:space="0" w:color="000000"/>
            </w:tcBorders>
            <w:shd w:val="clear" w:color="auto" w:fill="D2D2D2"/>
          </w:tcPr>
          <w:p>
            <w:pPr/>
          </w:p>
        </w:tc>
        <w:tc>
          <w:tcPr>
            <w:tcW w:w="1469"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1460" w:type="dxa"/>
            <w:vMerge/>
            <w:tcBorders>
              <w:left w:val="single" w:sz="4" w:space="0" w:color="000000"/>
              <w:bottom w:val="nil" w:sz="6" w:space="0" w:color="auto"/>
              <w:right w:val="single" w:sz="4" w:space="0" w:color="000000"/>
            </w:tcBorders>
            <w:shd w:val="clear" w:color="auto" w:fill="D2D2D2"/>
          </w:tcPr>
          <w:p>
            <w:pPr/>
          </w:p>
        </w:tc>
        <w:tc>
          <w:tcPr>
            <w:tcW w:w="12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2"/>
              <w:ind w:left="177" w:right="8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341" w:type="dxa"/>
            <w:vMerge/>
            <w:tcBorders>
              <w:left w:val="single" w:sz="4" w:space="0" w:color="000000"/>
              <w:right w:val="single" w:sz="4" w:space="0" w:color="000000"/>
            </w:tcBorders>
            <w:shd w:val="clear" w:color="auto" w:fill="D2D2D2"/>
          </w:tcPr>
          <w:p>
            <w:pPr/>
          </w:p>
        </w:tc>
        <w:tc>
          <w:tcPr>
            <w:tcW w:w="3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2"/>
              <w:ind w:left="88" w:right="89"/>
              <w:jc w:val="left"/>
              <w:rPr>
                <w:rFonts w:ascii="宋体" w:hAnsi="宋体" w:cs="宋体" w:eastAsia="宋体" w:hint="default"/>
                <w:sz w:val="18"/>
                <w:szCs w:val="18"/>
              </w:rPr>
            </w:pPr>
            <w:r>
              <w:rPr>
                <w:rFonts w:ascii="宋体" w:hAnsi="宋体" w:cs="宋体" w:eastAsia="宋体" w:hint="default"/>
                <w:sz w:val="18"/>
                <w:szCs w:val="18"/>
              </w:rPr>
              <w:t>其 他</w:t>
            </w: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64"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11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1460" w:type="dxa"/>
            <w:vMerge w:val="restart"/>
            <w:tcBorders>
              <w:top w:val="nil" w:sz="6" w:space="0" w:color="auto"/>
              <w:left w:val="single" w:sz="4" w:space="0" w:color="000000"/>
              <w:right w:val="single" w:sz="4" w:space="0" w:color="000000"/>
            </w:tcBorders>
            <w:shd w:val="clear" w:color="auto" w:fill="D2D2D2"/>
          </w:tcPr>
          <w:p>
            <w:pPr/>
          </w:p>
        </w:tc>
        <w:tc>
          <w:tcPr>
            <w:tcW w:w="1292" w:type="dxa"/>
            <w:vMerge/>
            <w:tcBorders>
              <w:left w:val="single" w:sz="4" w:space="0" w:color="000000"/>
              <w:bottom w:val="nil" w:sz="6" w:space="0" w:color="auto"/>
              <w:right w:val="single" w:sz="4" w:space="0" w:color="000000"/>
            </w:tcBorders>
            <w:shd w:val="clear" w:color="auto" w:fill="D2D2D2"/>
          </w:tcPr>
          <w:p>
            <w:pPr/>
          </w:p>
        </w:tc>
        <w:tc>
          <w:tcPr>
            <w:tcW w:w="545" w:type="dxa"/>
            <w:vMerge/>
            <w:tcBorders>
              <w:left w:val="single" w:sz="4" w:space="0" w:color="000000"/>
              <w:right w:val="single" w:sz="4" w:space="0" w:color="000000"/>
            </w:tcBorders>
            <w:shd w:val="clear" w:color="auto" w:fill="D2D2D2"/>
          </w:tcPr>
          <w:p>
            <w:pPr/>
          </w:p>
        </w:tc>
        <w:tc>
          <w:tcPr>
            <w:tcW w:w="341" w:type="dxa"/>
            <w:vMerge/>
            <w:tcBorders>
              <w:left w:val="single" w:sz="4" w:space="0" w:color="000000"/>
              <w:right w:val="single" w:sz="4" w:space="0" w:color="000000"/>
            </w:tcBorders>
            <w:shd w:val="clear" w:color="auto" w:fill="D2D2D2"/>
          </w:tcPr>
          <w:p>
            <w:pPr/>
          </w:p>
        </w:tc>
        <w:tc>
          <w:tcPr>
            <w:tcW w:w="370"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464"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1130" w:type="dxa"/>
            <w:vMerge/>
            <w:tcBorders>
              <w:left w:val="single" w:sz="4" w:space="0" w:color="000000"/>
              <w:bottom w:val="nil" w:sz="6" w:space="0" w:color="auto"/>
              <w:right w:val="single" w:sz="4" w:space="0" w:color="000000"/>
            </w:tcBorders>
            <w:shd w:val="clear" w:color="auto" w:fill="D2D2D2"/>
          </w:tcPr>
          <w:p>
            <w:pPr/>
          </w:p>
        </w:tc>
        <w:tc>
          <w:tcPr>
            <w:tcW w:w="1229" w:type="dxa"/>
            <w:vMerge/>
            <w:tcBorders>
              <w:left w:val="single" w:sz="4" w:space="0" w:color="000000"/>
              <w:bottom w:val="nil" w:sz="6" w:space="0" w:color="auto"/>
              <w:right w:val="single" w:sz="4" w:space="0" w:color="000000"/>
            </w:tcBorders>
            <w:shd w:val="clear" w:color="auto" w:fill="D2D2D2"/>
          </w:tcPr>
          <w:p>
            <w:pPr/>
          </w:p>
        </w:tc>
        <w:tc>
          <w:tcPr>
            <w:tcW w:w="1469"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460" w:type="dxa"/>
            <w:vMerge/>
            <w:tcBorders>
              <w:left w:val="single" w:sz="4" w:space="0" w:color="000000"/>
              <w:right w:val="single" w:sz="4" w:space="0" w:color="000000"/>
            </w:tcBorders>
            <w:shd w:val="clear" w:color="auto" w:fill="D2D2D2"/>
          </w:tcPr>
          <w:p>
            <w:pPr/>
          </w:p>
        </w:tc>
        <w:tc>
          <w:tcPr>
            <w:tcW w:w="1292" w:type="dxa"/>
            <w:vMerge w:val="restart"/>
            <w:tcBorders>
              <w:top w:val="nil" w:sz="6" w:space="0" w:color="auto"/>
              <w:left w:val="single" w:sz="4" w:space="0" w:color="000000"/>
              <w:right w:val="single" w:sz="4" w:space="0" w:color="000000"/>
            </w:tcBorders>
            <w:shd w:val="clear" w:color="auto" w:fill="D2D2D2"/>
          </w:tcPr>
          <w:p>
            <w:pPr/>
          </w:p>
        </w:tc>
        <w:tc>
          <w:tcPr>
            <w:tcW w:w="545" w:type="dxa"/>
            <w:vMerge/>
            <w:tcBorders>
              <w:left w:val="single" w:sz="4" w:space="0" w:color="000000"/>
              <w:right w:val="single" w:sz="4" w:space="0" w:color="000000"/>
            </w:tcBorders>
            <w:shd w:val="clear" w:color="auto" w:fill="D2D2D2"/>
          </w:tcPr>
          <w:p>
            <w:pPr/>
          </w:p>
        </w:tc>
        <w:tc>
          <w:tcPr>
            <w:tcW w:w="341" w:type="dxa"/>
            <w:vMerge/>
            <w:tcBorders>
              <w:left w:val="single" w:sz="4" w:space="0" w:color="000000"/>
              <w:right w:val="single" w:sz="4" w:space="0" w:color="000000"/>
            </w:tcBorders>
            <w:shd w:val="clear" w:color="auto" w:fill="D2D2D2"/>
          </w:tcPr>
          <w:p>
            <w:pPr/>
          </w:p>
        </w:tc>
        <w:tc>
          <w:tcPr>
            <w:tcW w:w="370" w:type="dxa"/>
            <w:vMerge/>
            <w:tcBorders>
              <w:left w:val="single" w:sz="4" w:space="0" w:color="000000"/>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
        </w:tc>
        <w:tc>
          <w:tcPr>
            <w:tcW w:w="464"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18" w:type="dxa"/>
            <w:vMerge/>
            <w:tcBorders>
              <w:left w:val="single" w:sz="4" w:space="0" w:color="000000"/>
              <w:bottom w:val="nil" w:sz="6" w:space="0" w:color="auto"/>
              <w:right w:val="single" w:sz="4" w:space="0" w:color="000000"/>
            </w:tcBorders>
            <w:shd w:val="clear" w:color="auto" w:fill="D2D2D2"/>
          </w:tcPr>
          <w:p>
            <w:pPr/>
          </w:p>
        </w:tc>
        <w:tc>
          <w:tcPr>
            <w:tcW w:w="1130" w:type="dxa"/>
            <w:vMerge w:val="restart"/>
            <w:tcBorders>
              <w:top w:val="nil" w:sz="6" w:space="0" w:color="auto"/>
              <w:left w:val="single" w:sz="4" w:space="0" w:color="000000"/>
              <w:right w:val="single" w:sz="4" w:space="0" w:color="000000"/>
            </w:tcBorders>
            <w:shd w:val="clear" w:color="auto" w:fill="D2D2D2"/>
          </w:tcPr>
          <w:p>
            <w:pPr/>
          </w:p>
        </w:tc>
        <w:tc>
          <w:tcPr>
            <w:tcW w:w="1229" w:type="dxa"/>
            <w:vMerge w:val="restart"/>
            <w:tcBorders>
              <w:top w:val="nil" w:sz="6" w:space="0" w:color="auto"/>
              <w:left w:val="single" w:sz="4" w:space="0" w:color="000000"/>
              <w:right w:val="single" w:sz="4" w:space="0" w:color="000000"/>
            </w:tcBorders>
            <w:shd w:val="clear" w:color="auto" w:fill="D2D2D2"/>
          </w:tcPr>
          <w:p>
            <w:pPr/>
          </w:p>
        </w:tc>
        <w:tc>
          <w:tcPr>
            <w:tcW w:w="1469"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460" w:type="dxa"/>
            <w:vMerge/>
            <w:tcBorders>
              <w:left w:val="single" w:sz="4" w:space="0" w:color="000000"/>
              <w:right w:val="single" w:sz="4" w:space="0" w:color="000000"/>
            </w:tcBorders>
            <w:shd w:val="clear" w:color="auto" w:fill="D2D2D2"/>
          </w:tcPr>
          <w:p>
            <w:pPr/>
          </w:p>
        </w:tc>
        <w:tc>
          <w:tcPr>
            <w:tcW w:w="1292" w:type="dxa"/>
            <w:vMerge/>
            <w:tcBorders>
              <w:left w:val="single" w:sz="4" w:space="0" w:color="000000"/>
              <w:right w:val="single" w:sz="4" w:space="0" w:color="000000"/>
            </w:tcBorders>
            <w:shd w:val="clear" w:color="auto" w:fill="D2D2D2"/>
          </w:tcPr>
          <w:p>
            <w:pPr/>
          </w:p>
        </w:tc>
        <w:tc>
          <w:tcPr>
            <w:tcW w:w="545" w:type="dxa"/>
            <w:vMerge/>
            <w:tcBorders>
              <w:left w:val="single" w:sz="4" w:space="0" w:color="000000"/>
              <w:bottom w:val="nil" w:sz="6" w:space="0" w:color="auto"/>
              <w:right w:val="single" w:sz="4" w:space="0" w:color="000000"/>
            </w:tcBorders>
            <w:shd w:val="clear" w:color="auto" w:fill="D2D2D2"/>
          </w:tcPr>
          <w:p>
            <w:pPr/>
          </w:p>
        </w:tc>
        <w:tc>
          <w:tcPr>
            <w:tcW w:w="341" w:type="dxa"/>
            <w:vMerge/>
            <w:tcBorders>
              <w:left w:val="single" w:sz="4" w:space="0" w:color="000000"/>
              <w:right w:val="single" w:sz="4" w:space="0" w:color="000000"/>
            </w:tcBorders>
            <w:shd w:val="clear" w:color="auto" w:fill="D2D2D2"/>
          </w:tcPr>
          <w:p>
            <w:pPr/>
          </w:p>
        </w:tc>
        <w:tc>
          <w:tcPr>
            <w:tcW w:w="370" w:type="dxa"/>
            <w:vMerge/>
            <w:tcBorders>
              <w:left w:val="single" w:sz="4" w:space="0" w:color="000000"/>
              <w:bottom w:val="nil" w:sz="6" w:space="0" w:color="auto"/>
              <w:right w:val="single" w:sz="4" w:space="0" w:color="000000"/>
            </w:tcBorders>
            <w:shd w:val="clear" w:color="auto" w:fill="D2D2D2"/>
          </w:tcPr>
          <w:p>
            <w:pPr/>
          </w:p>
        </w:tc>
        <w:tc>
          <w:tcPr>
            <w:tcW w:w="1145" w:type="dxa"/>
            <w:vMerge/>
            <w:tcBorders>
              <w:left w:val="single" w:sz="4" w:space="0" w:color="000000"/>
              <w:right w:val="single" w:sz="4" w:space="0" w:color="000000"/>
            </w:tcBorders>
            <w:shd w:val="clear" w:color="auto" w:fill="D2D2D2"/>
          </w:tcPr>
          <w:p>
            <w:pPr/>
          </w:p>
        </w:tc>
        <w:tc>
          <w:tcPr>
            <w:tcW w:w="464" w:type="dxa"/>
            <w:vMerge/>
            <w:tcBorders>
              <w:left w:val="single" w:sz="4" w:space="0" w:color="000000"/>
              <w:bottom w:val="nil" w:sz="6" w:space="0" w:color="auto"/>
              <w:right w:val="single" w:sz="4" w:space="0" w:color="000000"/>
            </w:tcBorders>
            <w:shd w:val="clear" w:color="auto" w:fill="D2D2D2"/>
          </w:tcPr>
          <w:p>
            <w:pPr/>
          </w:p>
        </w:tc>
        <w:tc>
          <w:tcPr>
            <w:tcW w:w="518" w:type="dxa"/>
            <w:vMerge/>
            <w:tcBorders>
              <w:left w:val="single" w:sz="4" w:space="0" w:color="000000"/>
              <w:bottom w:val="nil" w:sz="6" w:space="0" w:color="auto"/>
              <w:right w:val="single" w:sz="4" w:space="0" w:color="000000"/>
            </w:tcBorders>
            <w:shd w:val="clear" w:color="auto" w:fill="D2D2D2"/>
          </w:tcPr>
          <w:p>
            <w:pPr/>
          </w:p>
        </w:tc>
        <w:tc>
          <w:tcPr>
            <w:tcW w:w="518" w:type="dxa"/>
            <w:vMerge w:val="restart"/>
            <w:tcBorders>
              <w:top w:val="nil" w:sz="6" w:space="0" w:color="auto"/>
              <w:left w:val="single" w:sz="4" w:space="0" w:color="000000"/>
              <w:right w:val="single" w:sz="4" w:space="0" w:color="000000"/>
            </w:tcBorders>
            <w:shd w:val="clear" w:color="auto" w:fill="D2D2D2"/>
          </w:tcPr>
          <w:p>
            <w:pPr/>
          </w:p>
        </w:tc>
        <w:tc>
          <w:tcPr>
            <w:tcW w:w="1130" w:type="dxa"/>
            <w:vMerge/>
            <w:tcBorders>
              <w:left w:val="single" w:sz="4" w:space="0" w:color="000000"/>
              <w:right w:val="single" w:sz="4" w:space="0" w:color="000000"/>
            </w:tcBorders>
            <w:shd w:val="clear" w:color="auto" w:fill="D2D2D2"/>
          </w:tcPr>
          <w:p>
            <w:pPr/>
          </w:p>
        </w:tc>
        <w:tc>
          <w:tcPr>
            <w:tcW w:w="1229" w:type="dxa"/>
            <w:vMerge/>
            <w:tcBorders>
              <w:left w:val="single" w:sz="4" w:space="0" w:color="000000"/>
              <w:right w:val="single" w:sz="4" w:space="0" w:color="000000"/>
            </w:tcBorders>
            <w:shd w:val="clear" w:color="auto" w:fill="D2D2D2"/>
          </w:tcPr>
          <w:p>
            <w:pPr/>
          </w:p>
        </w:tc>
        <w:tc>
          <w:tcPr>
            <w:tcW w:w="1469" w:type="dxa"/>
            <w:vMerge/>
            <w:tcBorders>
              <w:left w:val="single" w:sz="4" w:space="0" w:color="000000"/>
              <w:right w:val="single" w:sz="4" w:space="0" w:color="000000"/>
            </w:tcBorders>
            <w:shd w:val="clear" w:color="auto" w:fill="D2D2D2"/>
          </w:tcPr>
          <w:p>
            <w:pPr/>
          </w:p>
        </w:tc>
      </w:tr>
      <w:tr>
        <w:trPr>
          <w:trHeight w:val="172" w:hRule="exact"/>
        </w:trPr>
        <w:tc>
          <w:tcPr>
            <w:tcW w:w="1460" w:type="dxa"/>
            <w:vMerge/>
            <w:tcBorders>
              <w:left w:val="single" w:sz="4" w:space="0" w:color="000000"/>
              <w:bottom w:val="single" w:sz="4" w:space="0" w:color="000000"/>
              <w:right w:val="single" w:sz="4" w:space="0" w:color="000000"/>
            </w:tcBorders>
            <w:shd w:val="clear" w:color="auto" w:fill="D2D2D2"/>
          </w:tcPr>
          <w:p>
            <w:pPr/>
          </w:p>
        </w:tc>
        <w:tc>
          <w:tcPr>
            <w:tcW w:w="1292" w:type="dxa"/>
            <w:vMerge/>
            <w:tcBorders>
              <w:left w:val="single" w:sz="4" w:space="0" w:color="000000"/>
              <w:bottom w:val="single" w:sz="4" w:space="0" w:color="000000"/>
              <w:right w:val="single" w:sz="4" w:space="0" w:color="000000"/>
            </w:tcBorders>
            <w:shd w:val="clear" w:color="auto" w:fill="D2D2D2"/>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341" w:type="dxa"/>
            <w:vMerge/>
            <w:tcBorders>
              <w:left w:val="single" w:sz="4" w:space="0" w:color="000000"/>
              <w:bottom w:val="single" w:sz="4" w:space="0" w:color="000000"/>
              <w:right w:val="single" w:sz="4" w:space="0" w:color="000000"/>
            </w:tcBorders>
            <w:shd w:val="clear" w:color="auto" w:fill="D2D2D2"/>
          </w:tcPr>
          <w:p>
            <w:pPr/>
          </w:p>
        </w:tc>
        <w:tc>
          <w:tcPr>
            <w:tcW w:w="3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464" w:type="dxa"/>
            <w:tcBorders>
              <w:top w:val="nil" w:sz="6" w:space="0" w:color="auto"/>
              <w:left w:val="single" w:sz="4" w:space="0" w:color="000000"/>
              <w:bottom w:val="single" w:sz="4" w:space="0" w:color="000000"/>
              <w:right w:val="single" w:sz="4" w:space="0" w:color="000000"/>
            </w:tcBorders>
            <w:shd w:val="clear" w:color="auto" w:fill="D2D2D2"/>
          </w:tcPr>
          <w:p>
            <w:pPr/>
          </w:p>
        </w:tc>
        <w:tc>
          <w:tcPr>
            <w:tcW w:w="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518" w:type="dxa"/>
            <w:vMerge/>
            <w:tcBorders>
              <w:left w:val="single" w:sz="4" w:space="0" w:color="000000"/>
              <w:bottom w:val="single" w:sz="4" w:space="0" w:color="000000"/>
              <w:right w:val="single" w:sz="4" w:space="0" w:color="000000"/>
            </w:tcBorders>
            <w:shd w:val="clear" w:color="auto" w:fill="D2D2D2"/>
          </w:tcPr>
          <w:p>
            <w:pPr/>
          </w:p>
        </w:tc>
        <w:tc>
          <w:tcPr>
            <w:tcW w:w="1130" w:type="dxa"/>
            <w:vMerge/>
            <w:tcBorders>
              <w:left w:val="single" w:sz="4" w:space="0" w:color="000000"/>
              <w:bottom w:val="single" w:sz="4" w:space="0" w:color="000000"/>
              <w:right w:val="single" w:sz="4" w:space="0" w:color="000000"/>
            </w:tcBorders>
            <w:shd w:val="clear" w:color="auto" w:fill="D2D2D2"/>
          </w:tcPr>
          <w:p>
            <w:pPr/>
          </w:p>
        </w:tc>
        <w:tc>
          <w:tcPr>
            <w:tcW w:w="1229" w:type="dxa"/>
            <w:vMerge/>
            <w:tcBorders>
              <w:left w:val="single" w:sz="4" w:space="0" w:color="000000"/>
              <w:bottom w:val="single" w:sz="4" w:space="0" w:color="000000"/>
              <w:right w:val="single" w:sz="4" w:space="0" w:color="000000"/>
            </w:tcBorders>
            <w:shd w:val="clear" w:color="auto" w:fill="D2D2D2"/>
          </w:tcPr>
          <w:p>
            <w:pPr/>
          </w:p>
        </w:tc>
        <w:tc>
          <w:tcPr>
            <w:tcW w:w="14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pacing w:val="-2"/>
                <w:sz w:val="18"/>
                <w:szCs w:val="18"/>
              </w:rPr>
              <w:t>一、上年期末余额</w:t>
            </w:r>
          </w:p>
        </w:tc>
        <w:tc>
          <w:tcPr>
            <w:tcW w:w="12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761,191,294.00</w:t>
            </w: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28,651,129.28</w:t>
            </w: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38,360,216.89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232,398,241.98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1,060,600,882.15</w:t>
            </w:r>
          </w:p>
        </w:tc>
      </w:tr>
      <w:tr>
        <w:trPr>
          <w:trHeight w:val="715" w:hRule="exact"/>
        </w:trPr>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9" w:firstLine="360"/>
              <w:jc w:val="left"/>
              <w:rPr>
                <w:rFonts w:ascii="宋体" w:hAnsi="宋体" w:cs="宋体" w:eastAsia="宋体" w:hint="default"/>
                <w:sz w:val="18"/>
                <w:szCs w:val="18"/>
              </w:rPr>
            </w:pPr>
            <w:r>
              <w:rPr>
                <w:rFonts w:ascii="宋体" w:hAnsi="宋体" w:cs="宋体" w:eastAsia="宋体" w:hint="default"/>
                <w:spacing w:val="-3"/>
                <w:sz w:val="18"/>
                <w:szCs w:val="18"/>
              </w:rPr>
              <w:t>加：会计政策</w:t>
            </w:r>
            <w:r>
              <w:rPr>
                <w:rFonts w:ascii="宋体" w:hAnsi="宋体" w:cs="宋体" w:eastAsia="宋体" w:hint="default"/>
                <w:sz w:val="18"/>
                <w:szCs w:val="18"/>
              </w:rPr>
              <w:t> 变更</w:t>
            </w:r>
          </w:p>
        </w:tc>
        <w:tc>
          <w:tcPr>
            <w:tcW w:w="1292" w:type="dxa"/>
            <w:tcBorders>
              <w:top w:val="single" w:sz="4" w:space="0" w:color="000000"/>
              <w:left w:val="single" w:sz="12" w:space="0" w:color="D2D2D2"/>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292" w:type="dxa"/>
            <w:tcBorders>
              <w:top w:val="single" w:sz="4" w:space="0" w:color="000000"/>
              <w:left w:val="single" w:sz="12" w:space="0" w:color="D2D2D2"/>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2" w:type="dxa"/>
            <w:tcBorders>
              <w:top w:val="single" w:sz="4" w:space="0" w:color="000000"/>
              <w:left w:val="single" w:sz="12" w:space="0" w:color="D2D2D2"/>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pacing w:val="-2"/>
                <w:sz w:val="18"/>
                <w:szCs w:val="18"/>
              </w:rPr>
              <w:t>二、本年期初余额</w:t>
            </w:r>
          </w:p>
        </w:tc>
        <w:tc>
          <w:tcPr>
            <w:tcW w:w="12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761,191,294.00</w:t>
            </w: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28,651,129.28</w:t>
            </w: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38,360,216.89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232,398,241.98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1,060,600,882.15</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600" w:right="580"/>
        </w:sectPr>
      </w:pPr>
    </w:p>
    <w:p>
      <w:pPr>
        <w:spacing w:line="240" w:lineRule="auto" w:before="10"/>
        <w:rPr>
          <w:rFonts w:ascii="Times New Roman" w:hAnsi="Times New Roman" w:cs="Times New Roman" w:eastAsia="Times New Roman"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482"/>
        <w:gridCol w:w="1282"/>
        <w:gridCol w:w="545"/>
        <w:gridCol w:w="341"/>
        <w:gridCol w:w="370"/>
        <w:gridCol w:w="1145"/>
        <w:gridCol w:w="464"/>
        <w:gridCol w:w="518"/>
        <w:gridCol w:w="518"/>
        <w:gridCol w:w="1130"/>
        <w:gridCol w:w="1229"/>
        <w:gridCol w:w="1469"/>
      </w:tblGrid>
      <w:tr>
        <w:trPr>
          <w:trHeight w:val="1025"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5" w:right="21"/>
              <w:jc w:val="both"/>
              <w:rPr>
                <w:rFonts w:ascii="宋体" w:hAnsi="宋体" w:cs="宋体" w:eastAsia="宋体" w:hint="default"/>
                <w:sz w:val="18"/>
                <w:szCs w:val="18"/>
              </w:rPr>
            </w:pPr>
            <w:r>
              <w:rPr>
                <w:rFonts w:ascii="宋体" w:hAnsi="宋体" w:cs="宋体" w:eastAsia="宋体" w:hint="default"/>
                <w:spacing w:val="-2"/>
                <w:sz w:val="18"/>
                <w:szCs w:val="18"/>
              </w:rPr>
              <w:t>三、本期增减变动</w:t>
            </w:r>
            <w:r>
              <w:rPr>
                <w:rFonts w:ascii="宋体" w:hAnsi="宋体" w:cs="宋体" w:eastAsia="宋体" w:hint="default"/>
                <w:sz w:val="18"/>
                <w:szCs w:val="18"/>
              </w:rPr>
              <w:t>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1,028,418.00</w:t>
            </w: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3,628,241.33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25,042,258.99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29,698,918.32</w:t>
            </w:r>
          </w:p>
        </w:tc>
      </w:tr>
      <w:tr>
        <w:trPr>
          <w:trHeight w:val="715"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 w:right="21"/>
              <w:jc w:val="left"/>
              <w:rPr>
                <w:rFonts w:ascii="宋体" w:hAnsi="宋体" w:cs="宋体" w:eastAsia="宋体" w:hint="default"/>
                <w:sz w:val="18"/>
                <w:szCs w:val="18"/>
              </w:rPr>
            </w:pPr>
            <w:r>
              <w:rPr>
                <w:rFonts w:ascii="宋体" w:hAnsi="宋体" w:cs="宋体" w:eastAsia="宋体" w:hint="default"/>
                <w:spacing w:val="-2"/>
                <w:sz w:val="18"/>
                <w:szCs w:val="18"/>
              </w:rPr>
              <w:t>（一）综合收益总</w:t>
            </w:r>
            <w:r>
              <w:rPr>
                <w:rFonts w:ascii="宋体" w:hAnsi="宋体" w:cs="宋体" w:eastAsia="宋体" w:hint="default"/>
                <w:sz w:val="18"/>
                <w:szCs w:val="18"/>
              </w:rPr>
              <w:t> 额</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36,282,413.26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36,282,413.26</w:t>
            </w:r>
          </w:p>
        </w:tc>
      </w:tr>
      <w:tr>
        <w:trPr>
          <w:trHeight w:val="713"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21"/>
              <w:jc w:val="left"/>
              <w:rPr>
                <w:rFonts w:ascii="宋体" w:hAnsi="宋体" w:cs="宋体" w:eastAsia="宋体" w:hint="default"/>
                <w:sz w:val="18"/>
                <w:szCs w:val="18"/>
              </w:rPr>
            </w:pPr>
            <w:r>
              <w:rPr>
                <w:rFonts w:ascii="宋体" w:hAnsi="宋体" w:cs="宋体" w:eastAsia="宋体" w:hint="default"/>
                <w:spacing w:val="-2"/>
                <w:sz w:val="18"/>
                <w:szCs w:val="18"/>
              </w:rPr>
              <w:t>（二）所有者投入</w:t>
            </w:r>
            <w:r>
              <w:rPr>
                <w:rFonts w:ascii="宋体" w:hAnsi="宋体" w:cs="宋体" w:eastAsia="宋体" w:hint="default"/>
                <w:sz w:val="18"/>
                <w:szCs w:val="18"/>
              </w:rPr>
              <w:t> 和减少资本</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1,028,418.00</w:t>
            </w: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1,028,418.00</w:t>
            </w:r>
          </w:p>
        </w:tc>
      </w:tr>
      <w:tr>
        <w:trPr>
          <w:trHeight w:val="715"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5"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5"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1,028,418.00</w:t>
            </w: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1,028,418.00</w:t>
            </w:r>
          </w:p>
        </w:tc>
      </w:tr>
      <w:tr>
        <w:trPr>
          <w:trHeight w:val="401"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3,628,241.33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-11,240,154.27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-7,611,912.94</w:t>
            </w:r>
          </w:p>
        </w:tc>
      </w:tr>
      <w:tr>
        <w:trPr>
          <w:trHeight w:val="401"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3,628,241.33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-3,628,241.33</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5"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-7,611,912.94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-7,611,912.94</w:t>
            </w:r>
          </w:p>
        </w:tc>
      </w:tr>
      <w:tr>
        <w:trPr>
          <w:trHeight w:val="401"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 w:right="21"/>
              <w:jc w:val="left"/>
              <w:rPr>
                <w:rFonts w:ascii="宋体" w:hAnsi="宋体" w:cs="宋体" w:eastAsia="宋体" w:hint="default"/>
                <w:sz w:val="18"/>
                <w:szCs w:val="18"/>
              </w:rPr>
            </w:pPr>
            <w:r>
              <w:rPr>
                <w:rFonts w:ascii="宋体" w:hAnsi="宋体" w:cs="宋体" w:eastAsia="宋体" w:hint="default"/>
                <w:spacing w:val="-2"/>
                <w:sz w:val="18"/>
                <w:szCs w:val="18"/>
              </w:rPr>
              <w:t>（四）所有者权益</w:t>
            </w:r>
            <w:r>
              <w:rPr>
                <w:rFonts w:ascii="宋体" w:hAnsi="宋体" w:cs="宋体" w:eastAsia="宋体" w:hint="default"/>
                <w:sz w:val="18"/>
                <w:szCs w:val="18"/>
              </w:rPr>
              <w:t> 内部结转</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5"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761,191,294.00</w:t>
            </w:r>
          </w:p>
        </w:tc>
        <w:tc>
          <w:tcPr>
            <w:tcW w:w="54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29,679,547.28</w:t>
            </w:r>
          </w:p>
        </w:tc>
        <w:tc>
          <w:tcPr>
            <w:tcW w:w="46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41,988,458.22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257,440,500.97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1,090,299,800.47</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600" w:right="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60"/>
        <w:ind w:left="513" w:right="94" w:hanging="361"/>
        <w:jc w:val="left"/>
        <w:rPr>
          <w:b w:val="0"/>
          <w:bCs w:val="0"/>
        </w:rPr>
      </w:pPr>
      <w:r>
        <w:rPr/>
        <w:t>三、公司基本情况</w:t>
      </w:r>
      <w:r>
        <w:rPr>
          <w:b w:val="0"/>
          <w:bCs w:val="0"/>
        </w:rPr>
      </w:r>
    </w:p>
    <w:p>
      <w:pPr>
        <w:spacing w:line="240" w:lineRule="auto" w:before="5"/>
        <w:rPr>
          <w:rFonts w:ascii="宋体" w:hAnsi="宋体" w:cs="宋体" w:eastAsia="宋体" w:hint="default"/>
          <w:b/>
          <w:bCs/>
          <w:sz w:val="27"/>
          <w:szCs w:val="27"/>
        </w:rPr>
      </w:pPr>
    </w:p>
    <w:p>
      <w:pPr>
        <w:pStyle w:val="BodyText"/>
        <w:spacing w:line="300" w:lineRule="auto"/>
        <w:ind w:left="513" w:right="94"/>
        <w:jc w:val="left"/>
      </w:pPr>
      <w:r>
        <w:rPr>
          <w:rFonts w:ascii="Times New Roman" w:hAnsi="Times New Roman" w:cs="Times New Roman" w:eastAsia="Times New Roman" w:hint="default"/>
        </w:rPr>
        <w:t>1</w:t>
      </w:r>
      <w:r>
        <w:rPr/>
        <w:t>、公司概况 </w:t>
      </w:r>
      <w:r>
        <w:rPr>
          <w:spacing w:val="-2"/>
        </w:rPr>
        <w:t>广州御银科技股份有限公司（以下简称“公司”或“本公司”）前身广州御银科技有限责任公司由杨文江、增城市御银</w:t>
      </w:r>
    </w:p>
    <w:p>
      <w:pPr>
        <w:pStyle w:val="BodyText"/>
        <w:spacing w:line="300" w:lineRule="auto" w:before="31"/>
        <w:ind w:right="229"/>
        <w:jc w:val="left"/>
      </w:pPr>
      <w:r>
        <w:rPr/>
        <w:t>实业有限公司共同出资组建，注册资本人民币</w:t>
      </w:r>
      <w:r>
        <w:rPr>
          <w:rFonts w:ascii="Times New Roman" w:hAnsi="Times New Roman" w:cs="Times New Roman" w:eastAsia="Times New Roman" w:hint="default"/>
        </w:rPr>
        <w:t>15,000,000.00</w:t>
      </w:r>
      <w:r>
        <w:rPr/>
        <w:t>元，于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日取得广州市工商行政管理局核发的企业法 人营业执照（注册号为：</w:t>
      </w:r>
      <w:r>
        <w:rPr>
          <w:rFonts w:ascii="Times New Roman" w:hAnsi="Times New Roman" w:cs="Times New Roman" w:eastAsia="Times New Roman" w:hint="default"/>
        </w:rPr>
        <w:t>4401011108228</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日工商变更登记，注册号变更为</w:t>
      </w:r>
      <w:r>
        <w:rPr>
          <w:rFonts w:ascii="Times New Roman" w:hAnsi="Times New Roman" w:cs="Times New Roman" w:eastAsia="Times New Roman" w:hint="default"/>
        </w:rPr>
        <w:t>440101000034373</w:t>
      </w:r>
      <w:r>
        <w:rPr/>
        <w:t>。</w:t>
      </w:r>
    </w:p>
    <w:p>
      <w:pPr>
        <w:pStyle w:val="BodyText"/>
        <w:spacing w:line="240" w:lineRule="auto" w:before="13"/>
        <w:ind w:left="513" w:right="94"/>
        <w:jc w:val="left"/>
      </w:pPr>
      <w:r>
        <w:rPr/>
        <w:t>公司经广州市经济委员会穗经</w:t>
      </w:r>
      <w:r>
        <w:rPr>
          <w:rFonts w:ascii="Times New Roman" w:hAnsi="Times New Roman" w:cs="Times New Roman" w:eastAsia="Times New Roman" w:hint="default"/>
        </w:rPr>
        <w:t>[2003]88</w:t>
      </w:r>
      <w:r>
        <w:rPr/>
        <w:t>号《关于同意设立广州御银科技股份有限公司的批复》批准，以公司截至</w:t>
      </w:r>
      <w:r>
        <w:rPr>
          <w:rFonts w:ascii="Times New Roman" w:hAnsi="Times New Roman" w:cs="Times New Roman" w:eastAsia="Times New Roman" w:hint="default"/>
        </w:rPr>
        <w:t>2003</w:t>
      </w:r>
      <w:r>
        <w:rPr/>
        <w:t>年</w:t>
      </w:r>
    </w:p>
    <w:p>
      <w:pPr>
        <w:pStyle w:val="BodyText"/>
        <w:spacing w:line="240" w:lineRule="auto" w:before="63"/>
        <w:ind w:right="0"/>
        <w:jc w:val="left"/>
      </w:pP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日经审计净资产</w:t>
      </w:r>
      <w:r>
        <w:rPr>
          <w:rFonts w:ascii="Times New Roman" w:hAnsi="Times New Roman" w:cs="Times New Roman" w:eastAsia="Times New Roman" w:hint="default"/>
        </w:rPr>
        <w:t>30,200,000.00</w:t>
      </w:r>
      <w:r>
        <w:rPr/>
        <w:t>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比例折股，整体变更为股份公司。改制后，公司的股本总额为</w:t>
      </w:r>
      <w:r>
        <w:rPr>
          <w:rFonts w:ascii="Times New Roman" w:hAnsi="Times New Roman" w:cs="Times New Roman" w:eastAsia="Times New Roman" w:hint="default"/>
        </w:rPr>
        <w:t>30,200,000.00</w:t>
      </w:r>
      <w:r>
        <w:rPr/>
        <w:t>元。</w:t>
      </w:r>
    </w:p>
    <w:p>
      <w:pPr>
        <w:pStyle w:val="BodyText"/>
        <w:spacing w:line="300" w:lineRule="auto" w:before="63"/>
        <w:ind w:right="193" w:firstLine="36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日，发行人召开</w:t>
      </w:r>
      <w:r>
        <w:rPr>
          <w:rFonts w:ascii="Times New Roman" w:hAnsi="Times New Roman" w:cs="Times New Roman" w:eastAsia="Times New Roman" w:hint="default"/>
        </w:rPr>
        <w:t>2005</w:t>
      </w:r>
      <w:r>
        <w:rPr/>
        <w:t>年度股东大会，审议通过了</w:t>
      </w:r>
      <w:r>
        <w:rPr>
          <w:rFonts w:ascii="Times New Roman" w:hAnsi="Times New Roman" w:cs="Times New Roman" w:eastAsia="Times New Roman" w:hint="default"/>
        </w:rPr>
        <w:t>2005</w:t>
      </w:r>
      <w:r>
        <w:rPr/>
        <w:t>年度利润分配方案，决定以</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日股份公司 总股本</w:t>
      </w:r>
      <w:r>
        <w:rPr>
          <w:rFonts w:ascii="Times New Roman" w:hAnsi="Times New Roman" w:cs="Times New Roman" w:eastAsia="Times New Roman" w:hint="default"/>
        </w:rPr>
        <w:t>30,200,000.00</w:t>
      </w:r>
      <w:r>
        <w:rPr/>
        <w:t>股为基数，向全体股东每</w:t>
      </w:r>
      <w:r>
        <w:rPr>
          <w:rFonts w:ascii="Times New Roman" w:hAnsi="Times New Roman" w:cs="Times New Roman" w:eastAsia="Times New Roman" w:hint="default"/>
        </w:rPr>
        <w:t>10</w:t>
      </w:r>
      <w:r>
        <w:rPr/>
        <w:t>股送股票红利</w:t>
      </w:r>
      <w:r>
        <w:rPr>
          <w:rFonts w:ascii="Times New Roman" w:hAnsi="Times New Roman" w:cs="Times New Roman" w:eastAsia="Times New Roman" w:hint="default"/>
        </w:rPr>
        <w:t>6.56</w:t>
      </w:r>
      <w:r>
        <w:rPr/>
        <w:t>股，共向股东派送股票股利</w:t>
      </w:r>
      <w:r>
        <w:rPr>
          <w:rFonts w:ascii="Times New Roman" w:hAnsi="Times New Roman" w:cs="Times New Roman" w:eastAsia="Times New Roman" w:hint="default"/>
        </w:rPr>
        <w:t>19,811,200.00</w:t>
      </w:r>
      <w:r>
        <w:rPr/>
        <w:t>股，本次利润分 配完成后，公司的股本总额为</w:t>
      </w:r>
      <w:r>
        <w:rPr>
          <w:rFonts w:ascii="Times New Roman" w:hAnsi="Times New Roman" w:cs="Times New Roman" w:eastAsia="Times New Roman" w:hint="default"/>
        </w:rPr>
        <w:t>50,011,200.00</w:t>
      </w:r>
      <w:r>
        <w:rPr/>
        <w:t>元。</w:t>
      </w:r>
    </w:p>
    <w:p>
      <w:pPr>
        <w:pStyle w:val="BodyText"/>
        <w:spacing w:line="300" w:lineRule="auto" w:before="13"/>
        <w:ind w:right="191" w:firstLine="36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日，发行人召开</w:t>
      </w:r>
      <w:r>
        <w:rPr>
          <w:rFonts w:ascii="Times New Roman" w:hAnsi="Times New Roman" w:cs="Times New Roman" w:eastAsia="Times New Roman" w:hint="default"/>
        </w:rPr>
        <w:t>2006</w:t>
      </w:r>
      <w:r>
        <w:rPr/>
        <w:t>年第二次临时股东大会，审议通过了《关于增资扩股议案》，同意公司以每股</w:t>
      </w:r>
      <w:r>
        <w:rPr>
          <w:rFonts w:ascii="Times New Roman" w:hAnsi="Times New Roman" w:cs="Times New Roman" w:eastAsia="Times New Roman" w:hint="default"/>
        </w:rPr>
        <w:t>2.88</w:t>
      </w:r>
      <w:r>
        <w:rPr>
          <w:rFonts w:ascii="Times New Roman" w:hAnsi="Times New Roman" w:cs="Times New Roman" w:eastAsia="Times New Roman" w:hint="default"/>
          <w:spacing w:val="6"/>
        </w:rPr>
        <w:t> </w:t>
      </w:r>
      <w:r>
        <w:rPr/>
        <w:t>元 的发行价格，增发</w:t>
      </w:r>
      <w:r>
        <w:rPr>
          <w:rFonts w:ascii="Times New Roman" w:hAnsi="Times New Roman" w:cs="Times New Roman" w:eastAsia="Times New Roman" w:hint="default"/>
        </w:rPr>
        <w:t>5,556,800.00</w:t>
      </w:r>
      <w:r>
        <w:rPr/>
        <w:t>股新股。本次增资扩股后股本总额为</w:t>
      </w:r>
      <w:r>
        <w:rPr>
          <w:rFonts w:ascii="Times New Roman" w:hAnsi="Times New Roman" w:cs="Times New Roman" w:eastAsia="Times New Roman" w:hint="default"/>
        </w:rPr>
        <w:t>55,568,000.00</w:t>
      </w:r>
      <w:r>
        <w:rPr/>
        <w:t>元。</w:t>
      </w:r>
    </w:p>
    <w:p>
      <w:pPr>
        <w:pStyle w:val="BodyText"/>
        <w:spacing w:line="300" w:lineRule="auto" w:before="13"/>
        <w:ind w:right="246" w:firstLine="36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日，经中国证券监督管理委员会以证监发行字</w:t>
      </w:r>
      <w:r>
        <w:rPr>
          <w:rFonts w:ascii="Times New Roman" w:hAnsi="Times New Roman" w:cs="Times New Roman" w:eastAsia="Times New Roman" w:hint="default"/>
        </w:rPr>
        <w:t>[2007]</w:t>
      </w:r>
      <w:r>
        <w:rPr/>
        <w:t>号</w:t>
      </w:r>
      <w:r>
        <w:rPr>
          <w:rFonts w:ascii="Times New Roman" w:hAnsi="Times New Roman" w:cs="Times New Roman" w:eastAsia="Times New Roman" w:hint="default"/>
        </w:rPr>
        <w:t>350</w:t>
      </w:r>
      <w:r>
        <w:rPr/>
        <w:t>文核准，同意公司向社会公众公开发行人民币 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19,000,000.00</w:t>
      </w:r>
      <w:r>
        <w:rPr/>
        <w:t>股，本公司于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日向社会公众投资者定价发行</w:t>
      </w:r>
      <w:r>
        <w:rPr>
          <w:rFonts w:ascii="Times New Roman" w:hAnsi="Times New Roman" w:cs="Times New Roman" w:eastAsia="Times New Roman" w:hint="default"/>
        </w:rPr>
        <w:t>19,000,000.00</w:t>
      </w:r>
      <w:r>
        <w:rPr/>
        <w:t>股，并于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月在 深圳证券交易所上市。经此发行，公司的股本总额为</w:t>
      </w:r>
      <w:r>
        <w:rPr>
          <w:rFonts w:ascii="Times New Roman" w:hAnsi="Times New Roman" w:cs="Times New Roman" w:eastAsia="Times New Roman" w:hint="default"/>
        </w:rPr>
        <w:t>74,568,000.00</w:t>
      </w:r>
      <w:r>
        <w:rPr/>
        <w:t>元。</w:t>
      </w:r>
    </w:p>
    <w:p>
      <w:pPr>
        <w:pStyle w:val="BodyText"/>
        <w:spacing w:line="240" w:lineRule="auto" w:before="13"/>
        <w:ind w:left="513" w:right="94"/>
        <w:jc w:val="left"/>
        <w:rPr>
          <w:rFonts w:ascii="Times New Roman" w:hAnsi="Times New Roman" w:cs="Times New Roman" w:eastAsia="Times New Roman" w:hint="default"/>
        </w:rPr>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日，公司股东大会决议通过资本公积转增股本方案，以</w:t>
      </w:r>
      <w:r>
        <w:rPr>
          <w:rFonts w:ascii="Times New Roman" w:hAnsi="Times New Roman" w:cs="Times New Roman" w:eastAsia="Times New Roman" w:hint="default"/>
        </w:rPr>
        <w:t>2007</w:t>
      </w:r>
      <w:r>
        <w:rPr/>
        <w:t>年末公司总股本</w:t>
      </w:r>
      <w:r>
        <w:rPr>
          <w:rFonts w:ascii="Times New Roman" w:hAnsi="Times New Roman" w:cs="Times New Roman" w:eastAsia="Times New Roman" w:hint="default"/>
        </w:rPr>
        <w:t>74,568,000.00</w:t>
      </w:r>
      <w:r>
        <w:rPr/>
        <w:t>股为基数，每</w:t>
      </w:r>
      <w:r>
        <w:rPr>
          <w:rFonts w:ascii="Times New Roman" w:hAnsi="Times New Roman" w:cs="Times New Roman" w:eastAsia="Times New Roman" w:hint="default"/>
        </w:rPr>
        <w:t>10</w:t>
      </w:r>
    </w:p>
    <w:p>
      <w:pPr>
        <w:pStyle w:val="BodyText"/>
        <w:spacing w:line="300" w:lineRule="auto" w:before="63"/>
        <w:ind w:left="513" w:right="94" w:hanging="361"/>
        <w:jc w:val="left"/>
      </w:pPr>
      <w:r>
        <w:rPr/>
        <w:t>股转增</w:t>
      </w:r>
      <w:r>
        <w:rPr>
          <w:rFonts w:ascii="Times New Roman" w:hAnsi="Times New Roman" w:cs="Times New Roman" w:eastAsia="Times New Roman" w:hint="default"/>
        </w:rPr>
        <w:t>10</w:t>
      </w:r>
      <w:r>
        <w:rPr/>
        <w:t>股。本次转增股本后，公司的股本总额为</w:t>
      </w:r>
      <w:r>
        <w:rPr>
          <w:rFonts w:ascii="Times New Roman" w:hAnsi="Times New Roman" w:cs="Times New Roman" w:eastAsia="Times New Roman" w:hint="default"/>
        </w:rPr>
        <w:t>149,136,000.00</w:t>
      </w:r>
      <w:r>
        <w:rPr/>
        <w:t>元。 </w:t>
      </w:r>
      <w:r>
        <w:rPr>
          <w:spacing w:val="-1"/>
        </w:rPr>
        <w:t>经公司</w:t>
      </w:r>
      <w:r>
        <w:rPr>
          <w:rFonts w:ascii="Times New Roman" w:hAnsi="Times New Roman" w:cs="Times New Roman" w:eastAsia="Times New Roman" w:hint="default"/>
          <w:spacing w:val="-1"/>
        </w:rPr>
        <w:t>2008</w:t>
      </w:r>
      <w:r>
        <w:rPr>
          <w:spacing w:val="-1"/>
        </w:rPr>
        <w:t>年度股东大会审议通过，以</w:t>
      </w:r>
      <w:r>
        <w:rPr>
          <w:rFonts w:ascii="Times New Roman" w:hAnsi="Times New Roman" w:cs="Times New Roman" w:eastAsia="Times New Roman" w:hint="default"/>
          <w:spacing w:val="-1"/>
        </w:rPr>
        <w:t>2008</w:t>
      </w:r>
      <w:r>
        <w:rPr>
          <w:spacing w:val="-1"/>
        </w:rPr>
        <w:t>年年末总股本</w:t>
      </w:r>
      <w:r>
        <w:rPr>
          <w:rFonts w:ascii="Times New Roman" w:hAnsi="Times New Roman" w:cs="Times New Roman" w:eastAsia="Times New Roman" w:hint="default"/>
          <w:spacing w:val="-1"/>
        </w:rPr>
        <w:t>149,136,000.00</w:t>
      </w:r>
      <w:r>
        <w:rPr>
          <w:spacing w:val="-1"/>
        </w:rPr>
        <w:t>股为基数向全体股东按每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股的比例转</w:t>
      </w:r>
    </w:p>
    <w:p>
      <w:pPr>
        <w:pStyle w:val="BodyText"/>
        <w:spacing w:line="240" w:lineRule="auto" w:before="13"/>
        <w:ind w:right="94"/>
        <w:jc w:val="left"/>
      </w:pPr>
      <w:r>
        <w:rPr/>
        <w:t>增股本，送转完成后公司总股本增至</w:t>
      </w:r>
      <w:r>
        <w:rPr>
          <w:rFonts w:ascii="Times New Roman" w:hAnsi="Times New Roman" w:cs="Times New Roman" w:eastAsia="Times New Roman" w:hint="default"/>
        </w:rPr>
        <w:t>223,704,000.00</w:t>
      </w:r>
      <w:r>
        <w:rPr/>
        <w:t>股。资本公积金转增股本的方案已于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日实施。</w:t>
      </w:r>
    </w:p>
    <w:p>
      <w:pPr>
        <w:pStyle w:val="BodyText"/>
        <w:spacing w:line="300" w:lineRule="auto" w:before="63"/>
        <w:ind w:right="186" w:firstLine="36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21</w:t>
      </w:r>
      <w:r>
        <w:rPr>
          <w:spacing w:val="-1"/>
        </w:rPr>
        <w:t>日，经中国证券监督管理委员会证监许可</w:t>
      </w:r>
      <w:r>
        <w:rPr>
          <w:rFonts w:ascii="Times New Roman" w:hAnsi="Times New Roman" w:cs="Times New Roman" w:eastAsia="Times New Roman" w:hint="default"/>
          <w:spacing w:val="-1"/>
        </w:rPr>
        <w:t>[2009]962</w:t>
      </w:r>
      <w:r>
        <w:rPr>
          <w:spacing w:val="-1"/>
        </w:rPr>
        <w:t>号文核准，公司于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13</w:t>
      </w:r>
      <w:r>
        <w:rPr>
          <w:spacing w:val="-1"/>
        </w:rPr>
        <w:t>日以非公开发行股票的</w:t>
      </w:r>
      <w:r>
        <w:rPr/>
        <w:t> 方式向</w:t>
      </w:r>
      <w:r>
        <w:rPr>
          <w:rFonts w:ascii="Times New Roman" w:hAnsi="Times New Roman" w:cs="Times New Roman" w:eastAsia="Times New Roman" w:hint="default"/>
        </w:rPr>
        <w:t>7</w:t>
      </w:r>
      <w:r>
        <w:rPr/>
        <w:t>家特定投资者发行了</w:t>
      </w:r>
      <w:r>
        <w:rPr>
          <w:rFonts w:ascii="Times New Roman" w:hAnsi="Times New Roman" w:cs="Times New Roman" w:eastAsia="Times New Roman" w:hint="default"/>
        </w:rPr>
        <w:t>41,242,500.00</w:t>
      </w:r>
      <w:r>
        <w:rPr/>
        <w:t>股人民币普通股（</w:t>
      </w:r>
      <w:r>
        <w:rPr>
          <w:rFonts w:ascii="Times New Roman" w:hAnsi="Times New Roman" w:cs="Times New Roman" w:eastAsia="Times New Roman" w:hint="default"/>
        </w:rPr>
        <w:t>A</w:t>
      </w:r>
      <w:r>
        <w:rPr/>
        <w:t>股），发行价为人民币</w:t>
      </w:r>
      <w:r>
        <w:rPr>
          <w:rFonts w:ascii="Times New Roman" w:hAnsi="Times New Roman" w:cs="Times New Roman" w:eastAsia="Times New Roman" w:hint="default"/>
        </w:rPr>
        <w:t>12.00</w:t>
      </w:r>
      <w:r>
        <w:rPr/>
        <w:t>元</w:t>
      </w:r>
      <w:r>
        <w:rPr>
          <w:rFonts w:ascii="Times New Roman" w:hAnsi="Times New Roman" w:cs="Times New Roman" w:eastAsia="Times New Roman" w:hint="default"/>
        </w:rPr>
        <w:t>/</w:t>
      </w:r>
      <w:r>
        <w:rPr/>
        <w:t>股。经深圳证券交易所同意， 公司非公开发行的股票于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日在深圳证券交易所挂牌上市。非公开发行后公司总股本增至</w:t>
      </w:r>
      <w:r>
        <w:rPr>
          <w:rFonts w:ascii="Times New Roman" w:hAnsi="Times New Roman" w:cs="Times New Roman" w:eastAsia="Times New Roman" w:hint="default"/>
        </w:rPr>
        <w:t>264,946,500.00</w:t>
      </w:r>
      <w:r>
        <w:rPr/>
        <w:t>股。</w:t>
      </w:r>
    </w:p>
    <w:p>
      <w:pPr>
        <w:pStyle w:val="BodyText"/>
        <w:spacing w:line="300" w:lineRule="auto" w:before="13"/>
        <w:ind w:right="191" w:firstLine="360"/>
        <w:jc w:val="both"/>
      </w:pPr>
      <w:r>
        <w:rPr/>
        <w:t>经公司</w:t>
      </w:r>
      <w:r>
        <w:rPr>
          <w:rFonts w:ascii="Times New Roman" w:hAnsi="Times New Roman" w:cs="Times New Roman" w:eastAsia="Times New Roman" w:hint="default"/>
        </w:rPr>
        <w:t>2010</w:t>
      </w:r>
      <w:r>
        <w:rPr/>
        <w:t>年度股东大会审议通过，以</w:t>
      </w:r>
      <w:r>
        <w:rPr>
          <w:rFonts w:ascii="Times New Roman" w:hAnsi="Times New Roman" w:cs="Times New Roman" w:eastAsia="Times New Roman" w:hint="default"/>
        </w:rPr>
        <w:t>2010</w:t>
      </w:r>
      <w:r>
        <w:rPr/>
        <w:t>年年末总股本</w:t>
      </w:r>
      <w:r>
        <w:rPr>
          <w:rFonts w:ascii="Times New Roman" w:hAnsi="Times New Roman" w:cs="Times New Roman" w:eastAsia="Times New Roman" w:hint="default"/>
        </w:rPr>
        <w:t>264,946,500.00</w:t>
      </w:r>
      <w:r>
        <w:rPr/>
        <w:t>股为基数，向全体股东以资本公积金按每</w:t>
      </w:r>
      <w:r>
        <w:rPr>
          <w:rFonts w:ascii="Times New Roman" w:hAnsi="Times New Roman" w:cs="Times New Roman" w:eastAsia="Times New Roman" w:hint="default"/>
        </w:rPr>
        <w:t>10</w:t>
      </w:r>
      <w:r>
        <w:rPr/>
        <w:t>股 </w:t>
      </w:r>
      <w:r>
        <w:rPr>
          <w:spacing w:val="-1"/>
        </w:rPr>
        <w:t>转增</w:t>
      </w:r>
      <w:r>
        <w:rPr>
          <w:rFonts w:ascii="Times New Roman" w:hAnsi="Times New Roman" w:cs="Times New Roman" w:eastAsia="Times New Roman" w:hint="default"/>
          <w:spacing w:val="-1"/>
        </w:rPr>
        <w:t>3</w:t>
      </w:r>
      <w:r>
        <w:rPr>
          <w:spacing w:val="-1"/>
        </w:rPr>
        <w:t>股的比例转增股本，送转完成后，公司总股本增至</w:t>
      </w:r>
      <w:r>
        <w:rPr>
          <w:rFonts w:ascii="Times New Roman" w:hAnsi="Times New Roman" w:cs="Times New Roman" w:eastAsia="Times New Roman" w:hint="default"/>
          <w:spacing w:val="-1"/>
        </w:rPr>
        <w:t>344,430,450.00</w:t>
      </w:r>
      <w:r>
        <w:rPr>
          <w:spacing w:val="-1"/>
        </w:rPr>
        <w:t>股。资本公积金转增股本的方案已于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7</w:t>
      </w:r>
      <w:r>
        <w:rPr>
          <w:spacing w:val="-1"/>
        </w:rPr>
        <w:t>日实</w:t>
      </w:r>
      <w:r>
        <w:rPr>
          <w:spacing w:val="-73"/>
        </w:rPr>
        <w:t> </w:t>
      </w:r>
      <w:r>
        <w:rPr>
          <w:spacing w:val="-73"/>
        </w:rPr>
      </w:r>
      <w:r>
        <w:rPr/>
        <w:t>施。</w:t>
      </w:r>
    </w:p>
    <w:p>
      <w:pPr>
        <w:pStyle w:val="BodyText"/>
        <w:spacing w:line="300" w:lineRule="auto" w:before="31"/>
        <w:ind w:right="193" w:firstLine="360"/>
        <w:jc w:val="both"/>
      </w:pPr>
      <w:r>
        <w:rPr/>
        <w:t>经公司</w:t>
      </w:r>
      <w:r>
        <w:rPr>
          <w:rFonts w:ascii="Times New Roman" w:hAnsi="Times New Roman" w:cs="Times New Roman" w:eastAsia="Times New Roman" w:hint="default"/>
        </w:rPr>
        <w:t>2011</w:t>
      </w:r>
      <w:r>
        <w:rPr/>
        <w:t>年度股东大会审议通过，以</w:t>
      </w:r>
      <w:r>
        <w:rPr>
          <w:rFonts w:ascii="Times New Roman" w:hAnsi="Times New Roman" w:cs="Times New Roman" w:eastAsia="Times New Roman" w:hint="default"/>
        </w:rPr>
        <w:t>2011</w:t>
      </w:r>
      <w:r>
        <w:rPr/>
        <w:t>年年末总股本</w:t>
      </w:r>
      <w:r>
        <w:rPr>
          <w:rFonts w:ascii="Times New Roman" w:hAnsi="Times New Roman" w:cs="Times New Roman" w:eastAsia="Times New Roman" w:hint="default"/>
        </w:rPr>
        <w:t>344,430,450.00</w:t>
      </w:r>
      <w:r>
        <w:rPr/>
        <w:t>股为基数，向全体股东以资本公积金按每</w:t>
      </w:r>
      <w:r>
        <w:rPr>
          <w:rFonts w:ascii="Times New Roman" w:hAnsi="Times New Roman" w:cs="Times New Roman" w:eastAsia="Times New Roman" w:hint="default"/>
        </w:rPr>
        <w:t>10</w:t>
      </w:r>
      <w:r>
        <w:rPr/>
        <w:t>股 </w:t>
      </w:r>
      <w:r>
        <w:rPr>
          <w:spacing w:val="-1"/>
        </w:rPr>
        <w:t>转增</w:t>
      </w:r>
      <w:r>
        <w:rPr>
          <w:rFonts w:ascii="Times New Roman" w:hAnsi="Times New Roman" w:cs="Times New Roman" w:eastAsia="Times New Roman" w:hint="default"/>
          <w:spacing w:val="-1"/>
        </w:rPr>
        <w:t>7</w:t>
      </w:r>
      <w:r>
        <w:rPr>
          <w:spacing w:val="-1"/>
        </w:rPr>
        <w:t>股的比例转增股本，送转完成后，公司总股本增至</w:t>
      </w:r>
      <w:r>
        <w:rPr>
          <w:rFonts w:ascii="Times New Roman" w:hAnsi="Times New Roman" w:cs="Times New Roman" w:eastAsia="Times New Roman" w:hint="default"/>
          <w:spacing w:val="-1"/>
        </w:rPr>
        <w:t>585,531,765.00</w:t>
      </w:r>
      <w:r>
        <w:rPr>
          <w:spacing w:val="-1"/>
        </w:rPr>
        <w:t>股。资本公积金转增股本的方案已于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9</w:t>
      </w:r>
      <w:r>
        <w:rPr>
          <w:spacing w:val="-1"/>
        </w:rPr>
        <w:t>日实</w:t>
      </w:r>
      <w:r>
        <w:rPr>
          <w:spacing w:val="-76"/>
        </w:rPr>
        <w:t> </w:t>
      </w:r>
      <w:r>
        <w:rPr/>
        <w:t>施。</w:t>
      </w:r>
    </w:p>
    <w:p>
      <w:pPr>
        <w:pStyle w:val="BodyText"/>
        <w:spacing w:line="300" w:lineRule="auto" w:before="31"/>
        <w:ind w:right="239" w:firstLine="360"/>
        <w:jc w:val="both"/>
      </w:pPr>
      <w:r>
        <w:rPr/>
        <w:t>经公司</w:t>
      </w:r>
      <w:r>
        <w:rPr>
          <w:rFonts w:ascii="Times New Roman" w:hAnsi="Times New Roman" w:cs="Times New Roman" w:eastAsia="Times New Roman" w:hint="default"/>
        </w:rPr>
        <w:t>2012</w:t>
      </w:r>
      <w:r>
        <w:rPr/>
        <w:t>年度股东大会审议通过，以</w:t>
      </w:r>
      <w:r>
        <w:rPr>
          <w:rFonts w:ascii="Times New Roman" w:hAnsi="Times New Roman" w:cs="Times New Roman" w:eastAsia="Times New Roman" w:hint="default"/>
        </w:rPr>
        <w:t>2012</w:t>
      </w:r>
      <w:r>
        <w:rPr/>
        <w:t>年年末总股本</w:t>
      </w:r>
      <w:r>
        <w:rPr>
          <w:rFonts w:ascii="Times New Roman" w:hAnsi="Times New Roman" w:cs="Times New Roman" w:eastAsia="Times New Roman" w:hint="default"/>
        </w:rPr>
        <w:t>585,531,765.00</w:t>
      </w:r>
      <w:r>
        <w:rPr/>
        <w:t>股为基数，向全体股东以资本公积金按每</w:t>
      </w:r>
      <w:r>
        <w:rPr>
          <w:rFonts w:ascii="Times New Roman" w:hAnsi="Times New Roman" w:cs="Times New Roman" w:eastAsia="Times New Roman" w:hint="default"/>
        </w:rPr>
        <w:t>10</w:t>
      </w:r>
      <w:r>
        <w:rPr/>
        <w:t>股 转增</w:t>
      </w:r>
      <w:r>
        <w:rPr>
          <w:rFonts w:ascii="Times New Roman" w:hAnsi="Times New Roman" w:cs="Times New Roman" w:eastAsia="Times New Roman" w:hint="default"/>
        </w:rPr>
        <w:t>3</w:t>
      </w:r>
      <w:r>
        <w:rPr/>
        <w:t>股的比例转增股本，送转完成后，公司总股本增至</w:t>
      </w:r>
      <w:r>
        <w:rPr>
          <w:rFonts w:ascii="Times New Roman" w:hAnsi="Times New Roman" w:cs="Times New Roman" w:eastAsia="Times New Roman" w:hint="default"/>
        </w:rPr>
        <w:t>761,191,294.00</w:t>
      </w:r>
      <w:r>
        <w:rPr/>
        <w:t>股。资本公积金转增股本的方案已于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 实施。</w:t>
      </w:r>
    </w:p>
    <w:p>
      <w:pPr>
        <w:pStyle w:val="BodyText"/>
        <w:spacing w:line="300" w:lineRule="auto" w:before="31"/>
        <w:ind w:left="513" w:right="94"/>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日止，本公司累计发行股本总数为</w:t>
      </w:r>
      <w:r>
        <w:rPr>
          <w:rFonts w:ascii="Times New Roman" w:hAnsi="Times New Roman" w:cs="Times New Roman" w:eastAsia="Times New Roman" w:hint="default"/>
        </w:rPr>
        <w:t>761,191,294.00</w:t>
      </w:r>
      <w:r>
        <w:rPr/>
        <w:t>股，注册资本为</w:t>
      </w:r>
      <w:r>
        <w:rPr>
          <w:rFonts w:ascii="Times New Roman" w:hAnsi="Times New Roman" w:cs="Times New Roman" w:eastAsia="Times New Roman" w:hint="default"/>
        </w:rPr>
        <w:t>761,191,294.00</w:t>
      </w:r>
      <w:r>
        <w:rPr/>
        <w:t>元。 注册地：广州市天河区五山路</w:t>
      </w:r>
      <w:r>
        <w:rPr>
          <w:rFonts w:ascii="Times New Roman" w:hAnsi="Times New Roman" w:cs="Times New Roman" w:eastAsia="Times New Roman" w:hint="default"/>
        </w:rPr>
        <w:t>246</w:t>
      </w:r>
      <w:r>
        <w:rPr/>
        <w:t>、</w:t>
      </w:r>
      <w:r>
        <w:rPr>
          <w:rFonts w:ascii="Times New Roman" w:hAnsi="Times New Roman" w:cs="Times New Roman" w:eastAsia="Times New Roman" w:hint="default"/>
        </w:rPr>
        <w:t>248</w:t>
      </w:r>
      <w:r>
        <w:rPr/>
        <w:t>、</w:t>
      </w:r>
      <w:r>
        <w:rPr>
          <w:rFonts w:ascii="Times New Roman" w:hAnsi="Times New Roman" w:cs="Times New Roman" w:eastAsia="Times New Roman" w:hint="default"/>
        </w:rPr>
        <w:t>250</w:t>
      </w:r>
      <w:r>
        <w:rPr/>
        <w:t>号</w:t>
      </w:r>
      <w:r>
        <w:rPr>
          <w:rFonts w:ascii="Times New Roman" w:hAnsi="Times New Roman" w:cs="Times New Roman" w:eastAsia="Times New Roman" w:hint="default"/>
        </w:rPr>
        <w:t>2602</w:t>
      </w:r>
      <w:r>
        <w:rPr/>
        <w:t>房自编</w:t>
      </w:r>
      <w:r>
        <w:rPr>
          <w:rFonts w:ascii="Times New Roman" w:hAnsi="Times New Roman" w:cs="Times New Roman" w:eastAsia="Times New Roman" w:hint="default"/>
        </w:rPr>
        <w:t>04</w:t>
      </w:r>
      <w:r>
        <w:rPr/>
        <w:t>、</w:t>
      </w:r>
      <w:r>
        <w:rPr>
          <w:rFonts w:ascii="Times New Roman" w:hAnsi="Times New Roman" w:cs="Times New Roman" w:eastAsia="Times New Roman" w:hint="default"/>
        </w:rPr>
        <w:t>05</w:t>
      </w:r>
      <w:r>
        <w:rPr/>
        <w:t>。 </w:t>
      </w:r>
      <w:r>
        <w:rPr>
          <w:spacing w:val="-4"/>
        </w:rPr>
        <w:t>本公司主要经营活动为：自动售货机、售票机、柜员机及零配件的批发；自动售货机、售票机、柜员机及零配件的零售；</w:t>
      </w:r>
    </w:p>
    <w:p>
      <w:pPr>
        <w:pStyle w:val="BodyText"/>
        <w:spacing w:line="319" w:lineRule="auto" w:before="31"/>
        <w:ind w:right="94"/>
        <w:jc w:val="left"/>
      </w:pPr>
      <w:r>
        <w:rPr>
          <w:spacing w:val="-2"/>
        </w:rPr>
        <w:t>信息系统集成服务；集成电路设计；密钥管理类设备和系统制造；安全系统监控服务；安全技术防范产品制造；安全技术防</w:t>
      </w:r>
      <w:r>
        <w:rPr>
          <w:spacing w:val="-67"/>
        </w:rPr>
        <w:t> </w:t>
      </w:r>
      <w:r>
        <w:rPr>
          <w:spacing w:val="-67"/>
        </w:rPr>
      </w:r>
      <w:r>
        <w:rPr>
          <w:spacing w:val="-2"/>
        </w:rPr>
        <w:t>范系统设计、施工、维修；安全技术防范产品批发；安全技术防范产品零售；安全智能卡类设备和系统制造；受金融企业委</w:t>
      </w:r>
      <w:r>
        <w:rPr>
          <w:spacing w:val="-69"/>
        </w:rPr>
        <w:t> </w:t>
      </w:r>
      <w:r>
        <w:rPr>
          <w:spacing w:val="-69"/>
        </w:rPr>
      </w:r>
      <w:r>
        <w:rPr>
          <w:spacing w:val="-4"/>
        </w:rPr>
        <w:t>托提供非金融业务服务；电子、通信与自动控制技术研究、开发；计算器及货币专用设备制造；计算机技术开发、技术服务；</w:t>
      </w:r>
      <w:r>
        <w:rPr>
          <w:spacing w:val="-44"/>
        </w:rPr>
        <w:t> </w:t>
      </w:r>
      <w:r>
        <w:rPr>
          <w:spacing w:val="-44"/>
        </w:rPr>
      </w:r>
      <w:r>
        <w:rPr>
          <w:spacing w:val="-2"/>
        </w:rPr>
        <w:t>计算机应用电子设备制造；计算机信息安全设备制造；信息电子技术服务；软件开发；软件批发；软件零售；软件服务；软</w:t>
      </w:r>
      <w:r>
        <w:rPr>
          <w:spacing w:val="-73"/>
        </w:rPr>
        <w:t> </w:t>
      </w:r>
      <w:r>
        <w:rPr>
          <w:spacing w:val="-73"/>
        </w:rPr>
      </w:r>
      <w:r>
        <w:rPr>
          <w:spacing w:val="-2"/>
        </w:rPr>
        <w:t>件测试服务；电子产品批发；电子产品零售；电子设备工程安装服务；电子产品设计服务；机械设备租赁；工程技术咨询服</w:t>
      </w:r>
      <w:r>
        <w:rPr>
          <w:spacing w:val="-68"/>
        </w:rPr>
        <w:t> </w:t>
      </w:r>
      <w:r>
        <w:rPr>
          <w:spacing w:val="-68"/>
        </w:rPr>
      </w:r>
      <w:r>
        <w:rPr>
          <w:spacing w:val="-2"/>
        </w:rPr>
        <w:t>务；技术进出口；货物进出口（专营专控商品除外）；自有房地产经营活动；房地产开发经营；房地产咨询服务；房地产中</w:t>
      </w:r>
      <w:r>
        <w:rPr>
          <w:spacing w:val="-65"/>
        </w:rPr>
        <w:t> </w:t>
      </w:r>
      <w:r>
        <w:rPr>
          <w:spacing w:val="-65"/>
        </w:rPr>
      </w:r>
      <w:r>
        <w:rPr/>
        <w:t>介服务；房屋租赁；场地租赁（不含仓储）；物业管理；汽车租赁；汽车援救服务；代驾服务。</w:t>
      </w:r>
    </w:p>
    <w:p>
      <w:pPr>
        <w:pStyle w:val="BodyText"/>
        <w:spacing w:line="240" w:lineRule="auto" w:before="17"/>
        <w:ind w:left="513" w:right="94"/>
        <w:jc w:val="left"/>
      </w:pPr>
      <w:r>
        <w:rPr/>
        <w:t>公司的实际控制人为杨文江。</w:t>
      </w:r>
    </w:p>
    <w:p>
      <w:pPr>
        <w:spacing w:after="0" w:line="240" w:lineRule="auto"/>
        <w:jc w:val="left"/>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300" w:lineRule="auto" w:before="44"/>
        <w:ind w:left="513" w:right="4193"/>
        <w:jc w:val="left"/>
      </w:pPr>
      <w:r>
        <w:rPr/>
        <w:t>本财务报表业经公司董事会于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日批准报出。</w:t>
      </w:r>
      <w:r>
        <w:rPr>
          <w:spacing w:val="-87"/>
        </w:rPr>
        <w:t> </w:t>
      </w:r>
      <w:r>
        <w:rPr>
          <w:rFonts w:ascii="Times New Roman" w:hAnsi="Times New Roman" w:cs="Times New Roman" w:eastAsia="Times New Roman" w:hint="default"/>
        </w:rPr>
        <w:t>2</w:t>
      </w:r>
      <w:r>
        <w:rPr/>
        <w:t>、合并财务报表范围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tbl>
      <w:tblPr>
        <w:tblW w:w="0" w:type="auto"/>
        <w:jc w:val="left"/>
        <w:tblInd w:w="570" w:type="dxa"/>
        <w:tblLayout w:type="fixed"/>
        <w:tblCellMar>
          <w:top w:w="0" w:type="dxa"/>
          <w:left w:w="0" w:type="dxa"/>
          <w:bottom w:w="0" w:type="dxa"/>
          <w:right w:w="0" w:type="dxa"/>
        </w:tblCellMar>
        <w:tblLook w:val="01E0"/>
      </w:tblPr>
      <w:tblGrid>
        <w:gridCol w:w="7960"/>
      </w:tblGrid>
      <w:tr>
        <w:trPr>
          <w:trHeight w:val="353" w:hRule="exact"/>
        </w:trPr>
        <w:tc>
          <w:tcPr>
            <w:tcW w:w="7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0" w:hRule="exact"/>
        </w:trPr>
        <w:tc>
          <w:tcPr>
            <w:tcW w:w="7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r>
      <w:tr>
        <w:trPr>
          <w:trHeight w:val="353" w:hRule="exact"/>
        </w:trPr>
        <w:tc>
          <w:tcPr>
            <w:tcW w:w="7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r>
      <w:tr>
        <w:trPr>
          <w:trHeight w:val="353" w:hRule="exact"/>
        </w:trPr>
        <w:tc>
          <w:tcPr>
            <w:tcW w:w="7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r>
      <w:tr>
        <w:trPr>
          <w:trHeight w:val="350" w:hRule="exact"/>
        </w:trPr>
        <w:tc>
          <w:tcPr>
            <w:tcW w:w="7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r>
      <w:tr>
        <w:trPr>
          <w:trHeight w:val="353" w:hRule="exact"/>
        </w:trPr>
        <w:tc>
          <w:tcPr>
            <w:tcW w:w="7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r>
      <w:tr>
        <w:trPr>
          <w:trHeight w:val="353" w:hRule="exact"/>
        </w:trPr>
        <w:tc>
          <w:tcPr>
            <w:tcW w:w="7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r>
      <w:tr>
        <w:trPr>
          <w:trHeight w:val="350" w:hRule="exact"/>
        </w:trPr>
        <w:tc>
          <w:tcPr>
            <w:tcW w:w="7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r>
      <w:tr>
        <w:trPr>
          <w:trHeight w:val="353" w:hRule="exact"/>
        </w:trPr>
        <w:tc>
          <w:tcPr>
            <w:tcW w:w="7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北京青年御银科技有限责任公司</w:t>
            </w:r>
          </w:p>
        </w:tc>
      </w:tr>
      <w:tr>
        <w:trPr>
          <w:trHeight w:val="353" w:hRule="exact"/>
        </w:trPr>
        <w:tc>
          <w:tcPr>
            <w:tcW w:w="7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r>
    </w:tbl>
    <w:p>
      <w:pPr>
        <w:pStyle w:val="BodyText"/>
        <w:spacing w:line="240" w:lineRule="auto" w:before="13"/>
        <w:ind w:left="513" w:right="153"/>
        <w:jc w:val="left"/>
      </w:pPr>
      <w:r>
        <w:rPr/>
        <w:t>本期合并财务报表范围及其变化情况详见本财务报告“八、合并范围的变更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51"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计准则、企业会计准则应用指南、企业会计准则解释及其他相关规定（以下合称“企业会计准则”），以及中国证券监督管</w:t>
      </w:r>
      <w:r>
        <w:rPr>
          <w:spacing w:val="-70"/>
        </w:rPr>
        <w:t> </w:t>
      </w:r>
      <w:r>
        <w:rPr>
          <w:spacing w:val="-70"/>
        </w:rPr>
      </w:r>
      <w:r>
        <w:rPr/>
        <w:t>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0"/>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公司自报告期末起</w:t>
      </w:r>
      <w:r>
        <w:rPr>
          <w:rFonts w:ascii="Times New Roman" w:hAnsi="Times New Roman" w:cs="Times New Roman" w:eastAsia="Times New Roman" w:hint="default"/>
        </w:rPr>
        <w:t>12</w:t>
      </w:r>
      <w:r>
        <w:rPr/>
        <w:t>个月内不存在影响持续经营能力的重大因素。</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2934"/>
        <w:jc w:val="left"/>
      </w:pPr>
      <w:r>
        <w:rPr/>
        <w:t>具体会计政策和会计估计提示： 以下披露内容已涵盖了本公司根据实际生产经营特点制定的具体会计政策和会计估计。</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49"/>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11"/>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after="0" w:line="240" w:lineRule="auto"/>
        <w:jc w:val="left"/>
        <w:sectPr>
          <w:pgSz w:w="11910" w:h="16840"/>
          <w:pgMar w:header="786" w:footer="1021" w:top="1100" w:bottom="1220" w:left="980" w:right="980"/>
        </w:sectPr>
      </w:pPr>
    </w:p>
    <w:p>
      <w:pPr>
        <w:spacing w:line="240" w:lineRule="auto" w:before="9"/>
        <w:rPr>
          <w:rFonts w:ascii="宋体" w:hAnsi="宋体" w:cs="宋体" w:eastAsia="宋体" w:hint="default"/>
          <w:sz w:val="21"/>
          <w:szCs w:val="21"/>
        </w:rPr>
      </w:pPr>
    </w:p>
    <w:p>
      <w:pPr>
        <w:spacing w:line="547" w:lineRule="auto" w:before="36"/>
        <w:ind w:left="152" w:right="67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04"/>
          <w:sz w:val="21"/>
          <w:szCs w:val="21"/>
        </w:rPr>
        <w:t> </w:t>
      </w: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44"/>
        <w:ind w:right="94"/>
        <w:jc w:val="left"/>
      </w:pPr>
      <w:r>
        <w:rPr/>
        <w:t>本公司采用人民币为记账本位币。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93" w:firstLine="360"/>
        <w:jc w:val="both"/>
      </w:pPr>
      <w:r>
        <w:rPr>
          <w:spacing w:val="-2"/>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r>
        <w:rPr>
          <w:spacing w:val="-67"/>
        </w:rPr>
        <w:t> </w:t>
      </w:r>
      <w:r>
        <w:rPr>
          <w:spacing w:val="-67"/>
        </w:rPr>
      </w:r>
      <w:r>
        <w:rPr/>
        <w:t>益。</w:t>
      </w:r>
    </w:p>
    <w:p>
      <w:pPr>
        <w:pStyle w:val="BodyText"/>
        <w:spacing w:line="316" w:lineRule="auto" w:before="17"/>
        <w:ind w:right="94"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2"/>
        </w:rPr>
        <w:t> </w:t>
      </w:r>
      <w:r>
        <w:rPr>
          <w:spacing w:val="-42"/>
        </w:rPr>
      </w:r>
      <w:r>
        <w:rPr/>
        <w:t>确认为商誉；合并成本小于合并中取得的被购买方可辨认净资产公允价值份额的差额，经复核后，计入当期损益。</w:t>
      </w:r>
    </w:p>
    <w:p>
      <w:pPr>
        <w:pStyle w:val="BodyText"/>
        <w:spacing w:line="316" w:lineRule="auto" w:before="19"/>
        <w:ind w:right="94"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94"/>
        <w:jc w:val="left"/>
      </w:pPr>
      <w:r>
        <w:rPr/>
        <w:t>（</w:t>
      </w:r>
      <w:r>
        <w:rPr>
          <w:rFonts w:ascii="Times New Roman" w:hAnsi="Times New Roman" w:cs="Times New Roman" w:eastAsia="Times New Roman" w:hint="default"/>
        </w:rPr>
        <w:t>1</w:t>
      </w:r>
      <w:r>
        <w:rPr/>
        <w:t>）合并范围 </w:t>
      </w:r>
      <w:r>
        <w:rPr>
          <w:spacing w:val="-2"/>
        </w:rPr>
        <w:t>本公司合并财务报表的合并范围以控制为基础确定，所有子公司（包括本公司所控制的被投资方可分割的部分）均纳入</w:t>
      </w:r>
    </w:p>
    <w:p>
      <w:pPr>
        <w:pStyle w:val="BodyText"/>
        <w:spacing w:line="240" w:lineRule="auto" w:before="31"/>
        <w:ind w:right="94"/>
        <w:jc w:val="left"/>
      </w:pPr>
      <w:r>
        <w:rPr/>
        <w:t>合并财务报表。</w:t>
      </w:r>
    </w:p>
    <w:p>
      <w:pPr>
        <w:pStyle w:val="BodyText"/>
        <w:spacing w:line="300" w:lineRule="auto" w:before="77"/>
        <w:ind w:left="513" w:right="94"/>
        <w:jc w:val="left"/>
      </w:pPr>
      <w:r>
        <w:rPr/>
        <w:t>（</w:t>
      </w:r>
      <w:r>
        <w:rPr>
          <w:rFonts w:ascii="Times New Roman" w:hAnsi="Times New Roman" w:cs="Times New Roman" w:eastAsia="Times New Roman" w:hint="default"/>
        </w:rPr>
        <w:t>2</w:t>
      </w:r>
      <w:r>
        <w:rPr/>
        <w:t>）合并程序 </w:t>
      </w:r>
      <w:r>
        <w:rPr>
          <w:spacing w:val="-2"/>
        </w:rPr>
        <w:t>本公司以自身和各子公司的财务报表为基础，根据其他有关资料，编制合并财务报表。本公司编制合并财务报表，将整</w:t>
      </w:r>
    </w:p>
    <w:p>
      <w:pPr>
        <w:pStyle w:val="BodyText"/>
        <w:spacing w:line="316" w:lineRule="auto" w:before="31"/>
        <w:ind w:right="94"/>
        <w:jc w:val="left"/>
      </w:pP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316" w:lineRule="auto" w:before="19"/>
        <w:ind w:right="94"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9"/>
        <w:ind w:right="19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left="513" w:right="94"/>
        <w:jc w:val="left"/>
      </w:pPr>
      <w:r>
        <w:rPr/>
        <w:t>①增加子公司或业务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19"/>
        <w:ind w:right="94"/>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9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spacing w:after="0" w:line="316" w:lineRule="auto"/>
        <w:jc w:val="both"/>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319" w:lineRule="auto" w:before="44"/>
        <w:ind w:right="19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7"/>
        <w:ind w:right="19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3"/>
        </w:rPr>
        <w:t> </w:t>
      </w:r>
      <w:r>
        <w:rPr>
          <w:spacing w:val="-63"/>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9"/>
        <w:ind w:left="513" w:right="94"/>
        <w:jc w:val="left"/>
      </w:pPr>
      <w:r>
        <w:rPr/>
        <w:t>②处置子公司或业务</w:t>
      </w:r>
    </w:p>
    <w:p>
      <w:pPr>
        <w:pStyle w:val="BodyText"/>
        <w:spacing w:line="300" w:lineRule="auto" w:before="76"/>
        <w:ind w:left="513" w:right="94"/>
        <w:jc w:val="left"/>
      </w:pPr>
      <w:r>
        <w:rPr>
          <w:rFonts w:ascii="Times New Roman" w:hAnsi="Times New Roman" w:cs="Times New Roman" w:eastAsia="Times New Roman" w:hint="default"/>
        </w:rPr>
        <w:t>a.</w:t>
      </w:r>
      <w:r>
        <w:rPr/>
        <w:t>一般处理方法 </w:t>
      </w:r>
      <w:r>
        <w:rPr>
          <w:spacing w:val="-2"/>
        </w:rPr>
        <w:t>在报告期内，本公司处置子公司或业务，则该子公司或业务期初至处置日的收入、费用、利润纳入合并利润表；该子公</w:t>
      </w:r>
    </w:p>
    <w:p>
      <w:pPr>
        <w:pStyle w:val="BodyText"/>
        <w:spacing w:line="316" w:lineRule="auto" w:before="31"/>
        <w:ind w:left="513" w:right="94"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right="94"/>
        <w:jc w:val="left"/>
      </w:pPr>
      <w:r>
        <w:rPr>
          <w:spacing w:val="-2"/>
        </w:rPr>
        <w:t>日的公允价值进行重新计量。处置股权取得的对价与剩余股权公允价值之和，减去按原持股比例计算应享有原有子公司自购</w:t>
      </w:r>
      <w:r>
        <w:rPr>
          <w:spacing w:val="-63"/>
        </w:rPr>
        <w:t> </w:t>
      </w:r>
      <w:r>
        <w:rPr>
          <w:spacing w:val="-63"/>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00" w:lineRule="auto" w:before="19"/>
        <w:ind w:left="513" w:right="94"/>
        <w:jc w:val="left"/>
      </w:pPr>
      <w:r>
        <w:rPr>
          <w:rFonts w:ascii="Times New Roman" w:hAnsi="Times New Roman" w:cs="Times New Roman" w:eastAsia="Times New Roman" w:hint="default"/>
        </w:rPr>
        <w:t>b.</w:t>
      </w:r>
      <w:r>
        <w:rPr/>
        <w:t>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31"/>
        <w:ind w:left="513" w:right="2614" w:hanging="361"/>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9" w:lineRule="auto" w:before="19"/>
        <w:ind w:right="19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6" w:lineRule="auto" w:before="17"/>
        <w:ind w:right="19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16" w:lineRule="auto" w:before="19"/>
        <w:ind w:left="513" w:right="94"/>
        <w:jc w:val="left"/>
      </w:pPr>
      <w:r>
        <w:rPr/>
        <w:t>③购买子公司少数股权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19"/>
        <w:ind w:right="94"/>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16" w:lineRule="auto" w:before="19"/>
        <w:ind w:left="513" w:right="273"/>
        <w:jc w:val="left"/>
      </w:pPr>
      <w:r>
        <w:rPr/>
        <w:t>④不丧失控制权的情况下部分处置对子公司的股权投资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19"/>
        <w:ind w:right="94"/>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11"/>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360"/>
        <w:jc w:val="both"/>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after="0" w:line="316" w:lineRule="auto"/>
        <w:jc w:val="both"/>
        <w:sectPr>
          <w:pgSz w:w="11910" w:h="16840"/>
          <w:pgMar w:header="786" w:footer="1021" w:top="1100" w:bottom="1220" w:left="980" w:right="940"/>
        </w:sectPr>
      </w:pPr>
    </w:p>
    <w:p>
      <w:pPr>
        <w:spacing w:line="240" w:lineRule="auto" w:before="9"/>
        <w:rPr>
          <w:rFonts w:ascii="宋体" w:hAnsi="宋体" w:cs="宋体" w:eastAsia="宋体" w:hint="default"/>
          <w:sz w:val="21"/>
          <w:szCs w:val="21"/>
        </w:rPr>
      </w:pPr>
    </w:p>
    <w:p>
      <w:pPr>
        <w:pStyle w:val="Heading3"/>
        <w:spacing w:line="240" w:lineRule="auto" w:before="36"/>
        <w:ind w:right="94"/>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3" w:right="2973"/>
        <w:jc w:val="left"/>
      </w:pPr>
      <w:r>
        <w:rPr/>
        <w:t>（</w:t>
      </w: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6" w:lineRule="auto" w:before="31"/>
        <w:ind w:right="94"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00" w:lineRule="auto" w:before="19"/>
        <w:ind w:left="513" w:right="94"/>
        <w:jc w:val="left"/>
      </w:pPr>
      <w:r>
        <w:rPr/>
        <w:t>（</w:t>
      </w: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资产负债表中的资产和负债项目，采用资产负债表日的即期汇率折算；所有者权益项目除“未分配利润”项目外，其他</w:t>
      </w:r>
    </w:p>
    <w:p>
      <w:pPr>
        <w:pStyle w:val="BodyText"/>
        <w:spacing w:line="316" w:lineRule="auto" w:before="31"/>
        <w:ind w:left="513" w:right="1173" w:hanging="361"/>
        <w:jc w:val="left"/>
      </w:pPr>
      <w:r>
        <w:rPr/>
        <w:t>项目采用发生时的即期汇率折算。利润表中的收入和费用项目，采用交易发生日的即期汇率折算。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pPr>
      <w:r>
        <w:rPr/>
        <w:t>金融工具包括金融资产、金融负债和权益工具。</w:t>
      </w:r>
    </w:p>
    <w:p>
      <w:pPr>
        <w:pStyle w:val="BodyText"/>
        <w:spacing w:line="300" w:lineRule="auto" w:before="76"/>
        <w:ind w:left="513" w:right="94"/>
        <w:jc w:val="left"/>
      </w:pPr>
      <w:r>
        <w:rPr/>
        <w:t>（</w:t>
      </w:r>
      <w:r>
        <w:rPr>
          <w:rFonts w:ascii="Times New Roman" w:hAnsi="Times New Roman" w:cs="Times New Roman" w:eastAsia="Times New Roman" w:hint="default"/>
        </w:rPr>
        <w:t>1</w:t>
      </w:r>
      <w:r>
        <w:rPr/>
        <w:t>）金融工具的分类 </w:t>
      </w:r>
      <w:r>
        <w:rPr>
          <w:spacing w:val="-2"/>
        </w:rPr>
        <w:t>金融资产和金融负债于初始确认时分类为：以公允价值计量且其变动计入当期损益的金融资产或金融负债，包括交易性</w:t>
      </w:r>
    </w:p>
    <w:p>
      <w:pPr>
        <w:pStyle w:val="BodyText"/>
        <w:spacing w:line="316" w:lineRule="auto" w:before="31"/>
        <w:ind w:right="94"/>
        <w:jc w:val="left"/>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pStyle w:val="BodyText"/>
        <w:spacing w:line="240" w:lineRule="auto" w:before="19"/>
        <w:ind w:left="513" w:right="94"/>
        <w:jc w:val="left"/>
      </w:pPr>
      <w:r>
        <w:rPr/>
        <w:t>（</w:t>
      </w:r>
      <w:r>
        <w:rPr>
          <w:rFonts w:ascii="Times New Roman" w:hAnsi="Times New Roman" w:cs="Times New Roman" w:eastAsia="Times New Roman" w:hint="default"/>
        </w:rPr>
        <w:t>2</w:t>
      </w:r>
      <w:r>
        <w:rPr/>
        <w:t>）金融工具的确认依据和计量方法</w:t>
      </w:r>
    </w:p>
    <w:p>
      <w:pPr>
        <w:pStyle w:val="BodyText"/>
        <w:spacing w:line="316" w:lineRule="auto" w:before="63"/>
        <w:ind w:left="513" w:right="94"/>
        <w:jc w:val="left"/>
      </w:pPr>
      <w:r>
        <w:rPr/>
        <w:t>①以公允价值计量且其变动计入当期损益的金融资产（金融负债）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6" w:lineRule="auto" w:before="19"/>
        <w:ind w:left="513" w:right="1893" w:hanging="361"/>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9" w:lineRule="auto" w:before="19"/>
        <w:ind w:left="513" w:right="94"/>
        <w:jc w:val="left"/>
      </w:pPr>
      <w:r>
        <w:rPr/>
        <w:t>②持有至到期投资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16" w:lineRule="auto" w:before="17"/>
        <w:ind w:left="513" w:right="4053" w:hanging="361"/>
        <w:jc w:val="left"/>
      </w:pPr>
      <w:r>
        <w:rPr/>
        <w:t>用的更短期间内保持不变。 处置时，将所取得价款与该投资账面价值之间的差额计入投资收益。</w:t>
      </w:r>
    </w:p>
    <w:p>
      <w:pPr>
        <w:pStyle w:val="BodyText"/>
        <w:spacing w:line="316" w:lineRule="auto" w:before="19"/>
        <w:ind w:left="513" w:right="94"/>
        <w:jc w:val="left"/>
      </w:pPr>
      <w:r>
        <w:rPr/>
        <w:t>③应收款项 </w:t>
      </w:r>
      <w:r>
        <w:rPr>
          <w:spacing w:val="-2"/>
        </w:rPr>
        <w:t>公司对外销售商品或提供劳务形成的应收债权，以及公司持有的其他企业的不包括在活跃市场上有报价的债务工具的债</w:t>
      </w:r>
    </w:p>
    <w:p>
      <w:pPr>
        <w:pStyle w:val="BodyText"/>
        <w:spacing w:line="316" w:lineRule="auto" w:before="19"/>
        <w:ind w:right="94"/>
        <w:jc w:val="left"/>
      </w:pPr>
      <w:r>
        <w:rPr>
          <w:spacing w:val="-2"/>
        </w:rPr>
        <w:t>权，包括应收账款、其他应收款等，以向购货方应收的合同或协议价款作为初始确认金额；具有融资性质的，按其现值进行</w:t>
      </w:r>
      <w:r>
        <w:rPr>
          <w:spacing w:val="-67"/>
        </w:rPr>
        <w:t> </w:t>
      </w:r>
      <w:r>
        <w:rPr>
          <w:spacing w:val="-67"/>
        </w:rPr>
      </w:r>
      <w:r>
        <w:rPr/>
        <w:t>初始确认。</w:t>
      </w:r>
    </w:p>
    <w:p>
      <w:pPr>
        <w:pStyle w:val="BodyText"/>
        <w:spacing w:line="240" w:lineRule="auto" w:before="19"/>
        <w:ind w:left="513" w:right="94"/>
        <w:jc w:val="left"/>
      </w:pPr>
      <w:r>
        <w:rPr/>
        <w:t>收回或处置时，将取得的价款与该应收款项账面价值之间的差额计入当期损益。</w:t>
      </w:r>
    </w:p>
    <w:p>
      <w:pPr>
        <w:pStyle w:val="BodyText"/>
        <w:spacing w:line="316" w:lineRule="auto" w:before="76"/>
        <w:ind w:left="513" w:right="94"/>
        <w:jc w:val="left"/>
      </w:pPr>
      <w:r>
        <w:rPr/>
        <w:t>④可供出售金融资产 </w:t>
      </w:r>
      <w:r>
        <w:rPr>
          <w:spacing w:val="-2"/>
        </w:rPr>
        <w:t>取得时按公允价值（扣除已宣告但尚未发放的现金股利或已到付息期但尚未领取的债券利息）和相关交易费用之和作为</w:t>
      </w:r>
    </w:p>
    <w:p>
      <w:pPr>
        <w:pStyle w:val="BodyText"/>
        <w:spacing w:line="319" w:lineRule="auto" w:before="19"/>
        <w:ind w:left="513" w:right="93" w:hanging="361"/>
        <w:jc w:val="left"/>
      </w:pPr>
      <w:r>
        <w:rPr/>
        <w:t>初始确认金额。 持有期间将取得的利息或现金股利确认为投资收益。期末以公允价值计量且将公允价值变动计入其他综合收益。但是，</w:t>
      </w:r>
    </w:p>
    <w:p>
      <w:pPr>
        <w:pStyle w:val="BodyText"/>
        <w:spacing w:line="316" w:lineRule="auto" w:before="17"/>
        <w:ind w:right="94"/>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9"/>
        <w:ind w:right="94"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16" w:lineRule="auto" w:before="19"/>
        <w:ind w:left="513" w:right="2793"/>
        <w:jc w:val="left"/>
      </w:pPr>
      <w:r>
        <w:rPr/>
        <w:t>⑤其他金融负债 按其公允价值和相关交易费用之和作为初始确认金额。采用摊余成本进行后续计量。</w:t>
      </w:r>
    </w:p>
    <w:p>
      <w:pPr>
        <w:spacing w:after="0" w:line="316" w:lineRule="auto"/>
        <w:jc w:val="left"/>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300" w:lineRule="auto" w:before="44"/>
        <w:ind w:left="513" w:right="94"/>
        <w:jc w:val="left"/>
      </w:pPr>
      <w:r>
        <w:rPr/>
        <w:t>（</w:t>
      </w:r>
      <w:r>
        <w:rPr>
          <w:rFonts w:ascii="Times New Roman" w:hAnsi="Times New Roman" w:cs="Times New Roman" w:eastAsia="Times New Roman" w:hint="default"/>
        </w:rPr>
        <w:t>3</w:t>
      </w:r>
      <w:r>
        <w:rPr/>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316" w:lineRule="auto" w:before="31"/>
        <w:ind w:left="513" w:right="94" w:hanging="361"/>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240" w:lineRule="auto" w:before="19"/>
        <w:ind w:right="94"/>
        <w:jc w:val="left"/>
      </w:pPr>
      <w:r>
        <w:rPr/>
        <w:t>融资产整体转移和部分转移。金融资产整体转移满足终止确认条件的，将下列两项金额的差额计入当期损益：</w:t>
      </w:r>
    </w:p>
    <w:p>
      <w:pPr>
        <w:pStyle w:val="BodyText"/>
        <w:spacing w:line="240" w:lineRule="auto" w:before="76"/>
        <w:ind w:left="513" w:right="94"/>
        <w:jc w:val="left"/>
      </w:pPr>
      <w:r>
        <w:rPr/>
        <w:t>①所转移金融资产的账面价值；</w:t>
      </w:r>
    </w:p>
    <w:p>
      <w:pPr>
        <w:pStyle w:val="BodyText"/>
        <w:spacing w:line="316" w:lineRule="auto" w:before="76"/>
        <w:ind w:right="94" w:firstLine="360"/>
        <w:jc w:val="left"/>
      </w:pPr>
      <w:r>
        <w:rPr>
          <w:spacing w:val="-2"/>
        </w:rPr>
        <w:t>②因转移而收到的对价，与原直接计入所有者权益的公允价值变动累计额（涉及转移的金融资产为可供出售金融资产的</w:t>
      </w:r>
      <w:r>
        <w:rPr/>
        <w:t> 情形）之和。</w:t>
      </w:r>
    </w:p>
    <w:p>
      <w:pPr>
        <w:pStyle w:val="BodyText"/>
        <w:spacing w:line="316" w:lineRule="auto" w:before="19"/>
        <w:ind w:right="9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3" w:right="94"/>
        <w:jc w:val="left"/>
      </w:pPr>
      <w:r>
        <w:rPr/>
        <w:t>①终止确认部分的账面价值；</w:t>
      </w:r>
    </w:p>
    <w:p>
      <w:pPr>
        <w:pStyle w:val="BodyText"/>
        <w:spacing w:line="316" w:lineRule="auto" w:before="76"/>
        <w:ind w:right="94" w:firstLine="360"/>
        <w:jc w:val="left"/>
      </w:pPr>
      <w:r>
        <w:rPr>
          <w:spacing w:val="-2"/>
        </w:rPr>
        <w:t>②终止确认部分的对价，与原直接计入所有者权益的公允价值变动累计额中对应终止确认部分的金额（涉及转移的金融</w:t>
      </w:r>
      <w:r>
        <w:rPr/>
        <w:t> 资产为可供出售金融资产的情形）之和。</w:t>
      </w:r>
    </w:p>
    <w:p>
      <w:pPr>
        <w:pStyle w:val="BodyText"/>
        <w:spacing w:line="240" w:lineRule="auto" w:before="19"/>
        <w:ind w:left="513" w:right="94"/>
        <w:jc w:val="left"/>
      </w:pPr>
      <w:r>
        <w:rPr/>
        <w:t>金融资产转移不满足终止确认条件的，继续确认该金融资产，所收到的对价确认为一项金融负债。</w:t>
      </w:r>
    </w:p>
    <w:p>
      <w:pPr>
        <w:pStyle w:val="BodyText"/>
        <w:spacing w:line="300" w:lineRule="auto" w:before="76"/>
        <w:ind w:left="513" w:right="94"/>
        <w:jc w:val="left"/>
      </w:pPr>
      <w:r>
        <w:rPr/>
        <w:t>（</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before="31"/>
        <w:ind w:right="190"/>
        <w:jc w:val="both"/>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19"/>
        <w:ind w:right="94"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94"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9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pStyle w:val="BodyText"/>
        <w:spacing w:line="300" w:lineRule="auto" w:before="19"/>
        <w:ind w:left="513" w:right="94"/>
        <w:jc w:val="left"/>
      </w:pPr>
      <w:r>
        <w:rPr/>
        <w:t>（</w:t>
      </w:r>
      <w:r>
        <w:rPr>
          <w:rFonts w:ascii="Times New Roman" w:hAnsi="Times New Roman" w:cs="Times New Roman" w:eastAsia="Times New Roman" w:hint="default"/>
        </w:rPr>
        <w:t>5</w:t>
      </w:r>
      <w:r>
        <w:rPr/>
        <w:t>）金融资产和金融负债的公允价值的确定方法 </w:t>
      </w:r>
      <w:r>
        <w:rPr>
          <w:spacing w:val="-2"/>
        </w:rPr>
        <w:t>存在活跃市场的金融工具，以活跃市场中的报价确定其公允价值。不存在活跃市场的金融工具，采用估值技术确定其公</w:t>
      </w:r>
    </w:p>
    <w:p>
      <w:pPr>
        <w:pStyle w:val="BodyText"/>
        <w:spacing w:line="316" w:lineRule="auto" w:before="31"/>
        <w:ind w:right="191"/>
        <w:jc w:val="both"/>
      </w:pPr>
      <w:r>
        <w:rPr>
          <w:spacing w:val="-2"/>
        </w:rPr>
        <w:t>允价值。在估值时，本公司采用在当前情况下适用并且有足够可利用数据和其他信息支持的估值技术，选择与市场参与者在</w:t>
      </w:r>
      <w:r>
        <w:rPr>
          <w:spacing w:val="-64"/>
        </w:rPr>
        <w:t> </w:t>
      </w:r>
      <w:r>
        <w:rPr>
          <w:spacing w:val="-64"/>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pStyle w:val="BodyText"/>
        <w:spacing w:line="300" w:lineRule="auto" w:before="19"/>
        <w:ind w:left="513" w:right="94"/>
        <w:jc w:val="left"/>
      </w:pPr>
      <w:r>
        <w:rPr/>
        <w:t>（</w:t>
      </w:r>
      <w:r>
        <w:rPr>
          <w:rFonts w:ascii="Times New Roman" w:hAnsi="Times New Roman" w:cs="Times New Roman" w:eastAsia="Times New Roman" w:hint="default"/>
        </w:rPr>
        <w:t>6</w:t>
      </w:r>
      <w:r>
        <w:rPr/>
        <w:t>）金融资产（不含应收款项）减值的测试方法及会计处理方法 </w:t>
      </w:r>
      <w:r>
        <w:rPr>
          <w:spacing w:val="-2"/>
        </w:rPr>
        <w:t>除以公允价值计量且其变动计入当期损益的金融资产外，本公司于资产负债表日对金融资产的账面价值进行检查，如果</w:t>
      </w:r>
    </w:p>
    <w:p>
      <w:pPr>
        <w:pStyle w:val="BodyText"/>
        <w:spacing w:line="240" w:lineRule="auto" w:before="31"/>
        <w:ind w:right="94"/>
        <w:jc w:val="left"/>
      </w:pPr>
      <w:r>
        <w:rPr/>
        <w:t>有客观证据表明某项金融资产发生减值的，计提减值准备。</w:t>
      </w:r>
    </w:p>
    <w:p>
      <w:pPr>
        <w:pStyle w:val="BodyText"/>
        <w:spacing w:line="316" w:lineRule="auto" w:before="76"/>
        <w:ind w:left="513" w:right="94"/>
        <w:jc w:val="left"/>
      </w:pPr>
      <w:r>
        <w:rPr/>
        <w:t>①可供出售金融资产的减值准备： </w:t>
      </w:r>
      <w:r>
        <w:rPr>
          <w:spacing w:val="-2"/>
        </w:rPr>
        <w:t>期末如果可供出售金融资产的公允价值发生严重下降，或在综合考虑各种相关因素后，预期这种下降趋势属于非暂时性</w:t>
      </w:r>
    </w:p>
    <w:p>
      <w:pPr>
        <w:pStyle w:val="BodyText"/>
        <w:spacing w:line="316" w:lineRule="auto" w:before="19"/>
        <w:ind w:left="513" w:right="94" w:hanging="361"/>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9"/>
        <w:ind w:left="513" w:right="4773" w:hanging="361"/>
        <w:jc w:val="left"/>
      </w:pPr>
      <w:r>
        <w:rPr/>
        <w:t>事项有关的，原确认的减值损失予以转回，计入当期损益。 可供出售权益工具投资发生的减值损失，不通过损益转回。</w:t>
      </w:r>
    </w:p>
    <w:p>
      <w:pPr>
        <w:pStyle w:val="BodyText"/>
        <w:spacing w:line="316" w:lineRule="auto" w:before="19"/>
        <w:ind w:right="94" w:firstLine="360"/>
        <w:jc w:val="left"/>
      </w:pPr>
      <w:r>
        <w:rPr>
          <w:spacing w:val="-4"/>
        </w:rPr>
        <w:t>本公司对可供出售权益工具投资的公允价值下跌“严重”的标准为：对于在流动性良好的市场上交易活跃的权益性投资，</w:t>
      </w:r>
      <w:r>
        <w:rPr/>
        <w:t> 超过</w:t>
      </w:r>
      <w:r>
        <w:rPr>
          <w:rFonts w:ascii="Times New Roman" w:hAnsi="Times New Roman" w:cs="Times New Roman" w:eastAsia="Times New Roman" w:hint="default"/>
        </w:rPr>
        <w:t>50%</w:t>
      </w:r>
      <w:r>
        <w:rPr/>
        <w:t>的跌幅则认为属于严重下跌。</w:t>
      </w:r>
    </w:p>
    <w:p>
      <w:pPr>
        <w:pStyle w:val="BodyText"/>
        <w:spacing w:line="300" w:lineRule="auto"/>
        <w:ind w:right="184" w:firstLine="360"/>
        <w:jc w:val="left"/>
      </w:pPr>
      <w:r>
        <w:rPr>
          <w:spacing w:val="-5"/>
        </w:rPr>
        <w:t>本公司对可供出售权益工具投资的公允价值下跌“非暂时性”的标准为：如果连续下跌时间超过</w:t>
      </w:r>
      <w:r>
        <w:rPr>
          <w:rFonts w:ascii="Times New Roman" w:hAnsi="Times New Roman" w:cs="Times New Roman" w:eastAsia="Times New Roman" w:hint="default"/>
          <w:spacing w:val="-5"/>
        </w:rPr>
        <w:t>12</w:t>
      </w:r>
      <w:r>
        <w:rPr>
          <w:spacing w:val="-5"/>
        </w:rPr>
        <w:t>个月，则认为属于“非</w:t>
      </w:r>
      <w:r>
        <w:rPr/>
        <w:t> 暂时性下跌”。</w:t>
      </w:r>
    </w:p>
    <w:p>
      <w:pPr>
        <w:pStyle w:val="BodyText"/>
        <w:spacing w:line="240" w:lineRule="auto" w:before="31"/>
        <w:ind w:left="513" w:right="94"/>
        <w:jc w:val="left"/>
      </w:pPr>
      <w:r>
        <w:rPr/>
        <w:t>②持有至到期投资的减值准备：</w:t>
      </w:r>
    </w:p>
    <w:p>
      <w:pPr>
        <w:spacing w:after="0" w:line="240" w:lineRule="auto"/>
        <w:jc w:val="left"/>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240" w:lineRule="auto" w:before="44"/>
        <w:ind w:left="513" w:right="153"/>
        <w:jc w:val="left"/>
      </w:pPr>
      <w:r>
        <w:rPr/>
        <w:t>持有至到期投资减值损失的计量比照应收款项减值损失计量方法处理。</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6"/>
        <w:gridCol w:w="5883"/>
      </w:tblGrid>
      <w:tr>
        <w:trPr>
          <w:trHeight w:val="715"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单项应收款占应收款项余额的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以上或应收款项前五名为单项金额重大 的应收款项。</w:t>
            </w:r>
          </w:p>
        </w:tc>
      </w:tr>
      <w:tr>
        <w:trPr>
          <w:trHeight w:val="1025"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6"/>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单独进行减值测试，如有客观证据表明其已发生减值，按预计未来现金流 量现值低于其账面价值的差额计提坏账准备，计入当期损益。单独测试未 发生减值的应收款项，将其归入相应组合计提坏账准备。</w:t>
            </w:r>
          </w:p>
        </w:tc>
      </w:tr>
    </w:tbl>
    <w:p>
      <w:pPr>
        <w:spacing w:line="240" w:lineRule="auto" w:before="3"/>
        <w:rPr>
          <w:rFonts w:ascii="宋体" w:hAnsi="宋体" w:cs="宋体" w:eastAsia="宋体" w:hint="default"/>
          <w:b/>
          <w:bCs/>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余额百分比法</w:t>
            </w:r>
          </w:p>
        </w:tc>
      </w:tr>
    </w:tbl>
    <w:p>
      <w:pPr>
        <w:pStyle w:val="BodyText"/>
        <w:spacing w:line="240" w:lineRule="auto" w:before="49"/>
        <w:ind w:right="153"/>
        <w:jc w:val="left"/>
      </w:pPr>
      <w:r>
        <w:rPr/>
        <w:t>组合中，采用账龄分析法计提坏账准备的：</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90.00%</w:t>
            </w:r>
          </w:p>
        </w:tc>
      </w:tr>
    </w:tbl>
    <w:p>
      <w:pPr>
        <w:pStyle w:val="BodyText"/>
        <w:spacing w:line="240" w:lineRule="auto" w:before="49"/>
        <w:ind w:right="153"/>
        <w:jc w:val="left"/>
      </w:pPr>
      <w:r>
        <w:rPr/>
        <w:t>组合中，采用余额百分比法计提坏账准备的：</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pPr>
      <w:r>
        <w:rPr/>
        <w:t>组合中，采用其他方法计提坏账准备的：</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26"/>
        <w:gridCol w:w="7444"/>
      </w:tblGrid>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8"/>
              <w:jc w:val="left"/>
              <w:rPr>
                <w:rFonts w:ascii="宋体" w:hAnsi="宋体" w:cs="宋体" w:eastAsia="宋体" w:hint="default"/>
                <w:sz w:val="18"/>
                <w:szCs w:val="18"/>
              </w:rPr>
            </w:pPr>
            <w:r>
              <w:rPr>
                <w:rFonts w:ascii="宋体" w:hAnsi="宋体" w:cs="宋体" w:eastAsia="宋体" w:hint="default"/>
                <w:sz w:val="18"/>
                <w:szCs w:val="18"/>
              </w:rPr>
              <w:t>对单项金额虽不重大，但已有客观证据表明其发生了减值的应收款项，按账龄分析法计提的坏 账准备不能反映实际情况</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本公司单独进行减值测试，结合现时情况分析法确定坏账准备计提的比例。</w:t>
            </w:r>
          </w:p>
        </w:tc>
      </w:tr>
    </w:tbl>
    <w:p>
      <w:pPr>
        <w:spacing w:after="0" w:line="240" w:lineRule="auto"/>
        <w:jc w:val="left"/>
        <w:rPr>
          <w:rFonts w:ascii="宋体" w:hAnsi="宋体" w:cs="宋体" w:eastAsia="宋体" w:hint="default"/>
          <w:sz w:val="18"/>
          <w:szCs w:val="18"/>
        </w:rPr>
        <w:sectPr>
          <w:pgSz w:w="11910" w:h="16840"/>
          <w:pgMar w:header="786" w:footer="1021" w:top="1100" w:bottom="1220" w:left="980" w:right="980"/>
        </w:sectPr>
      </w:pPr>
    </w:p>
    <w:p>
      <w:pPr>
        <w:spacing w:line="240" w:lineRule="auto" w:before="9"/>
        <w:rPr>
          <w:rFonts w:ascii="宋体" w:hAnsi="宋体" w:cs="宋体" w:eastAsia="宋体" w:hint="default"/>
          <w:b/>
          <w:bCs/>
          <w:sz w:val="21"/>
          <w:szCs w:val="21"/>
        </w:rPr>
      </w:pPr>
    </w:p>
    <w:p>
      <w:pPr>
        <w:spacing w:before="36"/>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300" w:lineRule="auto"/>
        <w:ind w:left="513" w:right="4233"/>
        <w:jc w:val="left"/>
      </w:pPr>
      <w:r>
        <w:rPr/>
        <w:t>（</w:t>
      </w:r>
      <w:r>
        <w:rPr>
          <w:rFonts w:ascii="Times New Roman" w:hAnsi="Times New Roman" w:cs="Times New Roman" w:eastAsia="Times New Roman" w:hint="default"/>
        </w:rPr>
        <w:t>1</w:t>
      </w:r>
      <w:r>
        <w:rPr/>
        <w:t>）存货的分类 存货分类为：原材料、半成品、库存商品、在产品、发出商品等。</w:t>
      </w:r>
    </w:p>
    <w:p>
      <w:pPr>
        <w:pStyle w:val="BodyText"/>
        <w:spacing w:line="300" w:lineRule="auto" w:before="31"/>
        <w:ind w:left="513" w:right="6933"/>
        <w:jc w:val="left"/>
      </w:pPr>
      <w:r>
        <w:rPr/>
        <w:t>（</w:t>
      </w:r>
      <w:r>
        <w:rPr>
          <w:rFonts w:ascii="Times New Roman" w:hAnsi="Times New Roman" w:cs="Times New Roman" w:eastAsia="Times New Roman" w:hint="default"/>
        </w:rPr>
        <w:t>2</w:t>
      </w:r>
      <w:r>
        <w:rPr/>
        <w:t>）发出存货的计价方法 存货发出时按加权平均法计价。</w:t>
      </w:r>
    </w:p>
    <w:p>
      <w:pPr>
        <w:pStyle w:val="BodyText"/>
        <w:spacing w:line="300" w:lineRule="auto" w:before="31"/>
        <w:ind w:left="513" w:right="94"/>
        <w:jc w:val="left"/>
      </w:pPr>
      <w:r>
        <w:rPr/>
        <w:t>（</w:t>
      </w:r>
      <w:r>
        <w:rPr>
          <w:rFonts w:ascii="Times New Roman" w:hAnsi="Times New Roman" w:cs="Times New Roman" w:eastAsia="Times New Roman" w:hint="default"/>
        </w:rPr>
        <w:t>3</w:t>
      </w:r>
      <w:r>
        <w:rPr/>
        <w:t>）不同类别存货可变现净值的确定依据 </w:t>
      </w:r>
      <w:r>
        <w:rPr>
          <w:spacing w:val="-2"/>
        </w:rPr>
        <w:t>产成品、库存商品和用于出售的材料等直接用于出售的商品存货，在正常生产经营过程中，以该存货的估计售价减去估</w:t>
      </w:r>
    </w:p>
    <w:p>
      <w:pPr>
        <w:pStyle w:val="BodyText"/>
        <w:spacing w:line="316" w:lineRule="auto" w:before="31"/>
        <w:ind w:right="189"/>
        <w:jc w:val="both"/>
      </w:pP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2"/>
        </w:rPr>
        <w:t> </w:t>
      </w:r>
      <w:r>
        <w:rPr>
          <w:spacing w:val="-62"/>
        </w:rPr>
      </w:r>
      <w:r>
        <w:rPr/>
        <w:t>部分的存货的可变现净值以一般销售价格为基础计算。</w:t>
      </w:r>
    </w:p>
    <w:p>
      <w:pPr>
        <w:pStyle w:val="BodyText"/>
        <w:spacing w:line="319" w:lineRule="auto" w:before="19"/>
        <w:ind w:right="19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7"/>
        <w:ind w:left="513" w:right="63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00" w:lineRule="auto" w:before="19"/>
        <w:ind w:left="513" w:right="7743"/>
        <w:jc w:val="left"/>
      </w:pPr>
      <w:r>
        <w:rPr/>
        <w:t>（</w:t>
      </w:r>
      <w:r>
        <w:rPr>
          <w:rFonts w:ascii="Times New Roman" w:hAnsi="Times New Roman" w:cs="Times New Roman" w:eastAsia="Times New Roman" w:hint="default"/>
        </w:rPr>
        <w:t>4</w:t>
      </w:r>
      <w:r>
        <w:rPr/>
        <w:t>）存货的盘存制度 采用永续盘存制。</w:t>
      </w:r>
    </w:p>
    <w:p>
      <w:pPr>
        <w:pStyle w:val="BodyText"/>
        <w:spacing w:line="240" w:lineRule="auto" w:before="31"/>
        <w:ind w:left="513" w:right="94"/>
        <w:jc w:val="left"/>
      </w:pPr>
      <w:r>
        <w:rPr/>
        <w:t>（</w:t>
      </w:r>
      <w:r>
        <w:rPr>
          <w:rFonts w:ascii="Times New Roman" w:hAnsi="Times New Roman" w:cs="Times New Roman" w:eastAsia="Times New Roman" w:hint="default"/>
        </w:rPr>
        <w:t>5</w:t>
      </w:r>
      <w:r>
        <w:rPr/>
        <w:t>）低值易耗品和包装物的摊销方法</w:t>
      </w:r>
    </w:p>
    <w:p>
      <w:pPr>
        <w:pStyle w:val="BodyText"/>
        <w:spacing w:line="240" w:lineRule="auto" w:before="63"/>
        <w:ind w:left="513" w:right="94"/>
        <w:jc w:val="left"/>
      </w:pPr>
      <w:r>
        <w:rPr/>
        <w:t>①低值易耗品采用一次转销法；</w:t>
      </w:r>
    </w:p>
    <w:p>
      <w:pPr>
        <w:pStyle w:val="BodyText"/>
        <w:spacing w:line="240" w:lineRule="auto" w:before="76"/>
        <w:ind w:left="513" w:right="94"/>
        <w:jc w:val="left"/>
      </w:pPr>
      <w:r>
        <w:rPr/>
        <w:t>②包装物采用一次转销法。</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94"/>
        <w:jc w:val="left"/>
      </w:pPr>
      <w:r>
        <w:rPr/>
        <w:t>（</w:t>
      </w: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31"/>
        <w:ind w:right="94"/>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right="192"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BodyText"/>
        <w:spacing w:line="240" w:lineRule="auto" w:before="19"/>
        <w:ind w:left="513" w:right="94"/>
        <w:jc w:val="left"/>
      </w:pPr>
      <w:r>
        <w:rPr/>
        <w:t>（</w:t>
      </w:r>
      <w:r>
        <w:rPr>
          <w:rFonts w:ascii="Times New Roman" w:hAnsi="Times New Roman" w:cs="Times New Roman" w:eastAsia="Times New Roman" w:hint="default"/>
        </w:rPr>
        <w:t>2</w:t>
      </w:r>
      <w:r>
        <w:rPr/>
        <w:t>）初始投资成本的确定</w:t>
      </w:r>
    </w:p>
    <w:p>
      <w:pPr>
        <w:pStyle w:val="BodyText"/>
        <w:spacing w:line="316" w:lineRule="auto" w:before="63"/>
        <w:ind w:left="513" w:right="94"/>
        <w:jc w:val="left"/>
      </w:pPr>
      <w:r>
        <w:rPr/>
        <w:t>①企业合并形成的长期股权投资 </w:t>
      </w:r>
      <w:r>
        <w:rPr>
          <w:spacing w:val="-2"/>
        </w:rPr>
        <w:t>同一控制下的企业合并：公司以支付现金、转让非现金资产或承担债务方式以及以发行权益性证券作为合并对价的，在</w:t>
      </w:r>
    </w:p>
    <w:p>
      <w:pPr>
        <w:pStyle w:val="BodyText"/>
        <w:spacing w:line="319" w:lineRule="auto" w:before="19"/>
        <w:ind w:right="94"/>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2"/>
        </w:rPr>
        <w:t> </w:t>
      </w:r>
      <w:r>
        <w:rPr>
          <w:spacing w:val="-62"/>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7"/>
        <w:ind w:right="19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6" w:lineRule="auto" w:before="19"/>
        <w:ind w:left="513" w:right="2793"/>
        <w:jc w:val="left"/>
      </w:pPr>
      <w:r>
        <w:rPr/>
        <w:t>②其他方式取得的长期股权投资 以支付现金方式取得的长期股权投资，按照实际支付的购买价款作为初始投资成本。</w:t>
      </w:r>
    </w:p>
    <w:p>
      <w:pPr>
        <w:spacing w:after="0" w:line="316" w:lineRule="auto"/>
        <w:jc w:val="left"/>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319" w:lineRule="auto" w:before="44"/>
        <w:ind w:left="513" w:right="94"/>
        <w:jc w:val="left"/>
      </w:pPr>
      <w:r>
        <w:rPr/>
        <w:t>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17"/>
        <w:ind w:right="193"/>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513" w:right="94"/>
        <w:jc w:val="left"/>
      </w:pPr>
      <w:r>
        <w:rPr/>
        <w:t>通过债务重组取得的长期股权投资，其初始投资成本按照公允价值为基础确定。</w:t>
      </w:r>
    </w:p>
    <w:p>
      <w:pPr>
        <w:pStyle w:val="BodyText"/>
        <w:spacing w:line="240" w:lineRule="auto" w:before="76"/>
        <w:ind w:left="513" w:right="94"/>
        <w:jc w:val="left"/>
      </w:pPr>
      <w:r>
        <w:rPr/>
        <w:t>（</w:t>
      </w:r>
      <w:r>
        <w:rPr>
          <w:rFonts w:ascii="Times New Roman" w:hAnsi="Times New Roman" w:cs="Times New Roman" w:eastAsia="Times New Roman" w:hint="default"/>
        </w:rPr>
        <w:t>3</w:t>
      </w:r>
      <w:r>
        <w:rPr/>
        <w:t>）后续计量及损益确认方法</w:t>
      </w:r>
    </w:p>
    <w:p>
      <w:pPr>
        <w:pStyle w:val="BodyText"/>
        <w:spacing w:line="316" w:lineRule="auto" w:before="63"/>
        <w:ind w:left="513" w:right="94"/>
        <w:jc w:val="left"/>
      </w:pPr>
      <w:r>
        <w:rPr/>
        <w:t>①成本法核算的长期股权投资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19"/>
        <w:ind w:right="0"/>
        <w:jc w:val="both"/>
      </w:pPr>
      <w:r>
        <w:rPr/>
        <w:t>金股利或利润外，公司按照享有被投资单位宣告发放的现金股利或利润确认当期投资收益。</w:t>
      </w:r>
    </w:p>
    <w:p>
      <w:pPr>
        <w:pStyle w:val="BodyText"/>
        <w:spacing w:line="316" w:lineRule="auto" w:before="76"/>
        <w:ind w:left="513" w:right="94"/>
        <w:jc w:val="left"/>
      </w:pPr>
      <w:r>
        <w:rPr/>
        <w:t>②权益法核算的长期股权投资 </w:t>
      </w:r>
      <w:r>
        <w:rPr>
          <w:spacing w:val="-2"/>
        </w:rPr>
        <w:t>对联营企业和合营企业的长期股权投资，采用权益法核算。初始投资成本大于投资时应享有被投资单位可辨认净资产公</w:t>
      </w:r>
    </w:p>
    <w:p>
      <w:pPr>
        <w:pStyle w:val="BodyText"/>
        <w:spacing w:line="319" w:lineRule="auto" w:before="19"/>
        <w:ind w:right="193"/>
        <w:jc w:val="both"/>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7"/>
        <w:ind w:right="19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316" w:lineRule="auto" w:before="19"/>
        <w:ind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2" w:lineRule="auto" w:before="19"/>
        <w:ind w:right="190"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t>企业之间发生投出或出售资产的交易，该资产构成业务的，按照本财务报告“五、</w:t>
      </w:r>
      <w:r>
        <w:rPr>
          <w:rFonts w:ascii="Times New Roman" w:hAnsi="Times New Roman" w:cs="Times New Roman" w:eastAsia="Times New Roman" w:hint="default"/>
        </w:rPr>
        <w:t>5</w:t>
      </w:r>
      <w:r>
        <w:rPr/>
        <w:t>、同一控制下和非同一控制下企业合并 的会计处理方法”和“五、</w:t>
      </w:r>
      <w:r>
        <w:rPr>
          <w:rFonts w:ascii="Times New Roman" w:hAnsi="Times New Roman" w:cs="Times New Roman" w:eastAsia="Times New Roman" w:hint="default"/>
        </w:rPr>
        <w:t>6</w:t>
      </w:r>
      <w:r>
        <w:rPr/>
        <w:t>、合并财务报表的编制方法”中披露的相关政策进行会计处理。</w:t>
      </w:r>
    </w:p>
    <w:p>
      <w:pPr>
        <w:pStyle w:val="BodyText"/>
        <w:spacing w:line="316" w:lineRule="auto" w:before="3"/>
        <w:ind w:right="9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9"/>
        <w:ind w:left="513" w:right="3693"/>
        <w:jc w:val="left"/>
      </w:pPr>
      <w:r>
        <w:rPr/>
        <w:t>③长期股权投资的处置 处置长期股权投资，其账面价值与实际取得价款的差额，计入当期损益。</w:t>
      </w:r>
    </w:p>
    <w:p>
      <w:pPr>
        <w:pStyle w:val="BodyText"/>
        <w:spacing w:line="316" w:lineRule="auto" w:before="19"/>
        <w:ind w:right="191"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9" w:lineRule="auto" w:before="19"/>
        <w:ind w:right="94"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r>
        <w:rPr/>
        <w:t>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7"/>
        <w:ind w:right="192" w:firstLine="360"/>
        <w:jc w:val="both"/>
      </w:pPr>
      <w:r>
        <w:rPr>
          <w:spacing w:val="-2"/>
        </w:rPr>
        <w:t>因处置部分股权投资等原因丧失了对被投资单位控制权的，在编制个别财务报表时，处置后的剩余股权能够对被投资单</w:t>
      </w:r>
      <w:r>
        <w:rPr/>
        <w:t> </w:t>
      </w:r>
      <w:r>
        <w:rPr>
          <w:spacing w:val="-2"/>
        </w:rPr>
        <w:t>位实施共同控制或重大影响的，改按权益法核算，并对该剩余股权视同自取得时即采用权益法核算进行调整；处置后的剩余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t>控制之日的公允价值与账面价值间的差额计入当期损益。</w:t>
      </w:r>
    </w:p>
    <w:p>
      <w:pPr>
        <w:spacing w:after="0" w:line="316" w:lineRule="auto"/>
        <w:jc w:val="both"/>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319" w:lineRule="auto" w:before="44"/>
        <w:ind w:right="15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9"/>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7613"/>
        <w:jc w:val="left"/>
      </w:pPr>
      <w:r>
        <w:rPr/>
        <w:t>投资性房地产计量模式 成本法计量 折旧或摊销方法</w:t>
      </w:r>
    </w:p>
    <w:p>
      <w:pPr>
        <w:pStyle w:val="BodyText"/>
        <w:spacing w:line="316" w:lineRule="auto" w:before="29"/>
        <w:ind w:right="148"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319" w:lineRule="auto" w:before="19"/>
        <w:ind w:right="152" w:firstLine="360"/>
        <w:jc w:val="both"/>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line="240" w:lineRule="auto" w:before="9"/>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right="153" w:firstLine="360"/>
        <w:jc w:val="both"/>
      </w:pPr>
      <w:r>
        <w:rPr>
          <w:spacing w:val="-2"/>
        </w:rPr>
        <w:t>固定资产指为生产商品、提供劳务、出租或经营管理而持有，并且使用寿命超过一个会计年度的有形资产。固定资产在</w:t>
      </w:r>
      <w:r>
        <w:rPr/>
        <w:t> 同时满足下列条件时予以确认：①与该固定资产有关的经济利益很可能流入企业；②该固定资产的成本能够可靠地计量。</w:t>
      </w:r>
    </w:p>
    <w:p>
      <w:pPr>
        <w:spacing w:line="240" w:lineRule="auto" w:before="8"/>
        <w:rPr>
          <w:rFonts w:ascii="宋体" w:hAnsi="宋体" w:cs="宋体" w:eastAsia="宋体" w:hint="default"/>
          <w:sz w:val="22"/>
          <w:szCs w:val="22"/>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柜员机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0"/>
              <w:jc w:val="right"/>
              <w:rPr>
                <w:rFonts w:ascii="Times New Roman" w:hAnsi="Times New Roman" w:cs="Times New Roman" w:eastAsia="Times New Roman" w:hint="default"/>
                <w:sz w:val="18"/>
                <w:szCs w:val="18"/>
              </w:rPr>
            </w:pPr>
            <w:r>
              <w:rPr>
                <w:rFonts w:ascii="Times New Roman"/>
                <w:spacing w:val="-1"/>
                <w:w w:val="95"/>
                <w:sz w:val="18"/>
              </w:rPr>
              <w:t>11.875%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w:t>
            </w:r>
          </w:p>
        </w:tc>
      </w:tr>
    </w:tbl>
    <w:p>
      <w:pPr>
        <w:pStyle w:val="BodyText"/>
        <w:spacing w:line="316" w:lineRule="auto" w:before="8"/>
        <w:ind w:right="149" w:firstLine="360"/>
        <w:jc w:val="left"/>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6" w:lineRule="auto" w:before="19"/>
        <w:ind w:right="152"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11"/>
        <w:rPr>
          <w:rFonts w:ascii="宋体" w:hAnsi="宋体" w:cs="宋体" w:eastAsia="宋体" w:hint="default"/>
          <w:sz w:val="22"/>
          <w:szCs w:val="22"/>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3"/>
        <w:jc w:val="left"/>
      </w:pPr>
      <w:r>
        <w:rPr/>
        <w:t>公司与租赁方所签订的租赁协议条款中规定了下列条件之一的，确认为融资租入资产：</w:t>
      </w:r>
    </w:p>
    <w:p>
      <w:pPr>
        <w:pStyle w:val="BodyText"/>
        <w:spacing w:line="240" w:lineRule="auto" w:before="117"/>
        <w:ind w:left="513" w:right="153"/>
        <w:jc w:val="left"/>
      </w:pPr>
      <w:r>
        <w:rPr/>
        <w:t>①租赁期满后租赁资产的所有权归属于本公司；</w:t>
      </w:r>
    </w:p>
    <w:p>
      <w:pPr>
        <w:pStyle w:val="BodyText"/>
        <w:spacing w:line="240" w:lineRule="auto" w:before="115"/>
        <w:ind w:left="513" w:right="153"/>
        <w:jc w:val="left"/>
      </w:pPr>
      <w:r>
        <w:rPr/>
        <w:t>②公司具有购买资产的选择权，购买价款远低于行使选择权时该资产的公允价值；</w:t>
      </w:r>
    </w:p>
    <w:p>
      <w:pPr>
        <w:pStyle w:val="BodyText"/>
        <w:spacing w:line="240" w:lineRule="auto" w:before="117"/>
        <w:ind w:left="513" w:right="153"/>
        <w:jc w:val="left"/>
      </w:pPr>
      <w:r>
        <w:rPr/>
        <w:t>③租赁期占所租赁资产使用寿命的大部分；</w:t>
      </w:r>
    </w:p>
    <w:p>
      <w:pPr>
        <w:spacing w:after="0" w:line="240" w:lineRule="auto"/>
        <w:jc w:val="left"/>
        <w:sectPr>
          <w:pgSz w:w="11910" w:h="16840"/>
          <w:pgMar w:header="786" w:footer="1021" w:top="1100" w:bottom="1220" w:left="980" w:right="980"/>
        </w:sectPr>
      </w:pPr>
    </w:p>
    <w:p>
      <w:pPr>
        <w:spacing w:line="240" w:lineRule="auto" w:before="8"/>
        <w:rPr>
          <w:rFonts w:ascii="宋体" w:hAnsi="宋体" w:cs="宋体" w:eastAsia="宋体" w:hint="default"/>
          <w:sz w:val="22"/>
          <w:szCs w:val="22"/>
        </w:rPr>
      </w:pPr>
    </w:p>
    <w:p>
      <w:pPr>
        <w:pStyle w:val="BodyText"/>
        <w:spacing w:line="319" w:lineRule="auto" w:before="44"/>
        <w:ind w:right="190" w:firstLine="360"/>
        <w:jc w:val="both"/>
      </w:pPr>
      <w:r>
        <w:rPr>
          <w:spacing w:val="-2"/>
        </w:rPr>
        <w:t>④租赁开始日的最低租赁付款额现值，与该资产的公允价值不存在较大的差异。公司在承租开始日，将租赁资产公允价</w:t>
      </w:r>
      <w:r>
        <w:rPr/>
        <w:t> </w:t>
      </w:r>
      <w:r>
        <w:rPr>
          <w:spacing w:val="-2"/>
        </w:rPr>
        <w:t>值与最低租赁付款额现值两者中较低者作为租入资产的入账价值，将最低租赁付款额作为长期应付款的入账价值，其差额作</w:t>
      </w:r>
      <w:r>
        <w:rPr>
          <w:spacing w:val="-64"/>
        </w:rPr>
        <w:t> </w:t>
      </w:r>
      <w:r>
        <w:rPr>
          <w:spacing w:val="-64"/>
        </w:rPr>
      </w:r>
      <w:r>
        <w:rPr/>
        <w:t>为未确认的融资费。</w:t>
      </w:r>
    </w:p>
    <w:p>
      <w:pPr>
        <w:spacing w:line="240" w:lineRule="auto" w:before="9"/>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4"/>
        </w:rPr>
        <w:t> </w:t>
      </w:r>
      <w:r>
        <w:rPr>
          <w:spacing w:val="-64"/>
        </w:rPr>
      </w:r>
      <w:r>
        <w:rPr>
          <w:spacing w:val="-2"/>
        </w:rPr>
        <w:t>成本等，按估计的价值转入固定资产，并按本公司固定资产折旧政策计提固定资产的折旧，待办理竣工决算后，再按实际成</w:t>
      </w:r>
      <w:r>
        <w:rPr>
          <w:spacing w:val="-64"/>
        </w:rPr>
        <w:t> </w:t>
      </w:r>
      <w:r>
        <w:rPr>
          <w:spacing w:val="-64"/>
        </w:rPr>
      </w:r>
      <w:r>
        <w:rPr/>
        <w:t>本调整原来的暂估价值，但不调整原已计提的折旧额。</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left="513" w:right="94"/>
        <w:jc w:val="left"/>
      </w:pPr>
      <w:r>
        <w:rPr/>
        <w:t>（</w:t>
      </w: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16" w:lineRule="auto" w:before="24"/>
        <w:ind w:left="513" w:right="273" w:hanging="361"/>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3" w:right="6033" w:hanging="361"/>
        <w:jc w:val="left"/>
      </w:pPr>
      <w:r>
        <w:rPr/>
        <w:t>产、投资性房地产和存货等资产。 借款费用同时满足下列条件时开始资本化：</w:t>
      </w:r>
    </w:p>
    <w:p>
      <w:pPr>
        <w:pStyle w:val="BodyText"/>
        <w:spacing w:line="316" w:lineRule="auto" w:before="19"/>
        <w:ind w:right="192" w:firstLine="360"/>
        <w:jc w:val="both"/>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19"/>
        <w:ind w:left="513" w:right="94"/>
        <w:jc w:val="left"/>
      </w:pPr>
      <w:r>
        <w:rPr/>
        <w:t>②借款费用已经发生；</w:t>
      </w:r>
    </w:p>
    <w:p>
      <w:pPr>
        <w:pStyle w:val="BodyText"/>
        <w:spacing w:line="240" w:lineRule="auto" w:before="76"/>
        <w:ind w:left="513" w:right="94"/>
        <w:jc w:val="left"/>
      </w:pPr>
      <w:r>
        <w:rPr/>
        <w:t>③为使资产达到预定可使用或者可销售状态所必要的购建或者生产活动已经开始。</w:t>
      </w:r>
    </w:p>
    <w:p>
      <w:pPr>
        <w:pStyle w:val="BodyText"/>
        <w:spacing w:line="314" w:lineRule="auto" w:before="76"/>
        <w:ind w:left="513" w:right="94"/>
        <w:jc w:val="left"/>
      </w:pPr>
      <w:r>
        <w:rPr/>
        <w:t>（</w:t>
      </w: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94"/>
        <w:jc w:val="left"/>
      </w:pPr>
      <w:r>
        <w:rPr/>
        <w:t>款费用资本化。</w:t>
      </w:r>
    </w:p>
    <w:p>
      <w:pPr>
        <w:pStyle w:val="BodyText"/>
        <w:spacing w:line="300" w:lineRule="auto" w:before="76"/>
        <w:ind w:left="513" w:right="94"/>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暂停资本化期间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94"/>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300" w:lineRule="auto" w:before="19"/>
        <w:ind w:left="513" w:right="94"/>
        <w:jc w:val="left"/>
      </w:pPr>
      <w:r>
        <w:rPr/>
        <w:t>（</w:t>
      </w:r>
      <w:r>
        <w:rPr>
          <w:rFonts w:ascii="Times New Roman" w:hAnsi="Times New Roman" w:cs="Times New Roman" w:eastAsia="Times New Roman" w:hint="default"/>
        </w:rPr>
        <w:t>4</w:t>
      </w:r>
      <w:r>
        <w:rPr/>
        <w:t>）借款费用资本化率、资本化金额的计算方法 </w:t>
      </w:r>
      <w:r>
        <w:rPr>
          <w:spacing w:val="-2"/>
        </w:rPr>
        <w:t>对于为购建或者生产符合资本化条件的资产而借入的专门借款，以专门借款当期实际发生的借款费用，减去尚未动用的</w:t>
      </w:r>
    </w:p>
    <w:p>
      <w:pPr>
        <w:pStyle w:val="BodyText"/>
        <w:spacing w:line="319" w:lineRule="auto" w:before="31"/>
        <w:ind w:left="513" w:right="94" w:hanging="361"/>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7"/>
        <w:ind w:right="94"/>
        <w:jc w:val="left"/>
      </w:pPr>
      <w:r>
        <w:rPr>
          <w:spacing w:val="-2"/>
        </w:rPr>
        <w:t>均数乘以所占用一般借款的资本化率，计算确定一般借款应予资本化的借款费用金额。资本化率根据一般借款加权平均利率</w:t>
      </w:r>
      <w:r>
        <w:rPr>
          <w:spacing w:val="-63"/>
        </w:rPr>
        <w:t> </w:t>
      </w:r>
      <w:r>
        <w:rPr>
          <w:spacing w:val="-63"/>
        </w:rPr>
      </w:r>
      <w:r>
        <w:rPr/>
        <w:t>计算确定。</w:t>
      </w:r>
    </w:p>
    <w:p>
      <w:pPr>
        <w:spacing w:after="0" w:line="316" w:lineRule="auto"/>
        <w:jc w:val="left"/>
        <w:sectPr>
          <w:pgSz w:w="11910" w:h="16840"/>
          <w:pgMar w:header="786" w:footer="1021" w:top="1100" w:bottom="1220" w:left="980" w:right="940"/>
        </w:sectPr>
      </w:pPr>
    </w:p>
    <w:p>
      <w:pPr>
        <w:spacing w:line="240" w:lineRule="auto" w:before="9"/>
        <w:rPr>
          <w:rFonts w:ascii="宋体" w:hAnsi="宋体" w:cs="宋体" w:eastAsia="宋体"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513" w:right="153"/>
        <w:jc w:val="left"/>
      </w:pPr>
      <w:r>
        <w:rPr/>
        <w:t>①无形资产的计价方法</w:t>
      </w:r>
    </w:p>
    <w:p>
      <w:pPr>
        <w:pStyle w:val="BodyText"/>
        <w:spacing w:line="300" w:lineRule="auto" w:before="76"/>
        <w:ind w:left="513" w:right="149"/>
        <w:jc w:val="left"/>
      </w:pPr>
      <w:r>
        <w:rPr>
          <w:rFonts w:ascii="Times New Roman" w:hAnsi="Times New Roman" w:cs="Times New Roman" w:eastAsia="Times New Roman" w:hint="default"/>
        </w:rPr>
        <w:t>a.</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31"/>
        <w:ind w:left="513" w:right="149"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3" w:right="149"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149"/>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00" w:lineRule="auto" w:before="19"/>
        <w:ind w:left="513" w:right="6173"/>
        <w:jc w:val="left"/>
      </w:pPr>
      <w:r>
        <w:rPr>
          <w:rFonts w:ascii="Times New Roman" w:hAnsi="Times New Roman" w:cs="Times New Roman" w:eastAsia="Times New Roman" w:hint="default"/>
        </w:rPr>
        <w:t>b.</w:t>
      </w:r>
      <w:r>
        <w:rPr/>
        <w:t>后续计量 在取得无形资产时分析判断其使用寿命。</w:t>
      </w:r>
    </w:p>
    <w:p>
      <w:pPr>
        <w:pStyle w:val="BodyText"/>
        <w:spacing w:line="316" w:lineRule="auto" w:before="31"/>
        <w:ind w:right="149"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19"/>
        <w:ind w:left="513" w:right="153"/>
        <w:jc w:val="left"/>
      </w:pPr>
      <w:r>
        <w:rPr/>
        <w:t>②使用寿命有限的无形资产的使用寿命估计情况：</w:t>
      </w:r>
    </w:p>
    <w:p>
      <w:pPr>
        <w:spacing w:line="240" w:lineRule="auto" w:before="7"/>
        <w:rPr>
          <w:rFonts w:ascii="宋体" w:hAnsi="宋体" w:cs="宋体" w:eastAsia="宋体" w:hint="default"/>
          <w:sz w:val="14"/>
          <w:szCs w:val="14"/>
        </w:rPr>
      </w:pPr>
    </w:p>
    <w:tbl>
      <w:tblPr>
        <w:tblW w:w="0" w:type="auto"/>
        <w:jc w:val="left"/>
        <w:tblInd w:w="789" w:type="dxa"/>
        <w:tblLayout w:type="fixed"/>
        <w:tblCellMar>
          <w:top w:w="0" w:type="dxa"/>
          <w:left w:w="0" w:type="dxa"/>
          <w:bottom w:w="0" w:type="dxa"/>
          <w:right w:w="0" w:type="dxa"/>
        </w:tblCellMar>
        <w:tblLook w:val="01E0"/>
      </w:tblPr>
      <w:tblGrid>
        <w:gridCol w:w="3281"/>
        <w:gridCol w:w="2021"/>
        <w:gridCol w:w="3051"/>
      </w:tblGrid>
      <w:tr>
        <w:trPr>
          <w:trHeight w:val="346" w:hRule="exact"/>
        </w:trPr>
        <w:tc>
          <w:tcPr>
            <w:tcW w:w="3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项  目</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8" w:hRule="exact"/>
        </w:trPr>
        <w:tc>
          <w:tcPr>
            <w:tcW w:w="3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46" w:hRule="exact"/>
        </w:trPr>
        <w:tc>
          <w:tcPr>
            <w:tcW w:w="3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注册商标及专利</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48" w:hRule="exact"/>
        </w:trPr>
        <w:tc>
          <w:tcPr>
            <w:tcW w:w="3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行业情况及企业历史经验</w:t>
            </w:r>
          </w:p>
        </w:tc>
      </w:tr>
    </w:tbl>
    <w:p>
      <w:pPr>
        <w:pStyle w:val="BodyText"/>
        <w:spacing w:line="316" w:lineRule="auto" w:before="44"/>
        <w:ind w:left="513" w:right="3293"/>
        <w:jc w:val="left"/>
      </w:pPr>
      <w:r>
        <w:rPr/>
        <w:t>每年年度终了，对使用寿命有限的无形资产的使用寿命及摊销方法进行复核。 经复核，本年期末无形资产的使用寿命及摊销方法与以前估计未有不同。</w:t>
      </w:r>
    </w:p>
    <w:p>
      <w:pPr>
        <w:pStyle w:val="BodyText"/>
        <w:spacing w:line="316" w:lineRule="auto" w:before="19"/>
        <w:ind w:left="513" w:right="3473"/>
        <w:jc w:val="left"/>
      </w:pPr>
      <w:r>
        <w:rPr/>
        <w:t>③使用寿命不确定的无形资产的判断依据以及对其使用寿命进行复核的程序 每期末，对使用寿命有限的无形资产的使用寿命及摊销方法进行复核。 经复核，本年期末无形资产的使用寿命及摊销方法与以前估计未有不同。</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673"/>
        <w:jc w:val="left"/>
      </w:pPr>
      <w:r>
        <w:rPr/>
        <w:t>①划分研究阶段和开发阶段的具体标准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19"/>
        <w:ind w:right="149"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pStyle w:val="BodyText"/>
        <w:spacing w:line="312" w:lineRule="auto" w:before="19"/>
        <w:ind w:left="513" w:right="3473"/>
        <w:jc w:val="left"/>
      </w:pPr>
      <w:r>
        <w:rPr/>
        <w:t>②开发阶段支出资本化的具体条件 内部研究开发项目开发阶段的支出，同时满足下列条件时确认为无形资产：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300" w:lineRule="auto" w:before="3"/>
        <w:ind w:right="153" w:firstLine="360"/>
        <w:jc w:val="left"/>
      </w:pPr>
      <w:r>
        <w:rPr>
          <w:rFonts w:ascii="Times New Roman" w:hAnsi="Times New Roman" w:cs="Times New Roman" w:eastAsia="Times New Roman" w:hint="default"/>
          <w:spacing w:val="-1"/>
        </w:rPr>
        <w:t>c.</w:t>
      </w:r>
      <w:r>
        <w:rPr>
          <w:spacing w:val="-1"/>
        </w:rPr>
        <w:t>无形资产产生经济利益的方式，包括能够证明运用该无形资产生产的产品存在市场或无形资产自身存在市场，无形资</w:t>
      </w:r>
      <w:r>
        <w:rPr/>
        <w:t> 产将在内部使用的，能够证明其有用性；</w:t>
      </w:r>
    </w:p>
    <w:p>
      <w:pPr>
        <w:pStyle w:val="BodyText"/>
        <w:spacing w:line="300" w:lineRule="auto" w:before="31"/>
        <w:ind w:left="513" w:right="773"/>
        <w:jc w:val="left"/>
      </w:pP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 开发阶段的支出，若不满足上列条件的，于发生时计入当期损益。研究阶段的支出，在发生时计入当期损益。</w:t>
      </w:r>
    </w:p>
    <w:p>
      <w:pPr>
        <w:spacing w:after="0" w:line="300" w:lineRule="auto"/>
        <w:jc w:val="left"/>
        <w:sectPr>
          <w:pgSz w:w="11910" w:h="16840"/>
          <w:pgMar w:header="786" w:footer="1021" w:top="1100" w:bottom="1220" w:left="980" w:right="980"/>
        </w:sectPr>
      </w:pPr>
    </w:p>
    <w:p>
      <w:pPr>
        <w:spacing w:line="240" w:lineRule="auto" w:before="9"/>
        <w:rPr>
          <w:rFonts w:ascii="宋体" w:hAnsi="宋体" w:cs="宋体" w:eastAsia="宋体" w:hint="default"/>
          <w:sz w:val="21"/>
          <w:szCs w:val="21"/>
        </w:rPr>
      </w:pPr>
    </w:p>
    <w:p>
      <w:pPr>
        <w:pStyle w:val="Heading3"/>
        <w:spacing w:line="240" w:lineRule="auto" w:before="36"/>
        <w:ind w:left="575" w:right="94"/>
        <w:jc w:val="left"/>
        <w:rPr>
          <w:b w:val="0"/>
          <w:bCs w:val="0"/>
        </w:rPr>
      </w:pPr>
      <w:r>
        <w:rPr>
          <w:rFonts w:ascii="Times New Roman" w:hAnsi="Times New Roman" w:cs="Times New Roman" w:eastAsia="Times New Roman" w:hint="default"/>
        </w:rPr>
        <w:t>18</w:t>
      </w:r>
      <w:r>
        <w:rPr/>
        <w:t>、长期资产减值</w:t>
      </w:r>
      <w:r>
        <w:rPr>
          <w:b w:val="0"/>
          <w:bCs w:val="0"/>
        </w:rPr>
      </w:r>
    </w:p>
    <w:p>
      <w:pPr>
        <w:pStyle w:val="BodyText"/>
        <w:spacing w:line="316" w:lineRule="auto" w:before="44"/>
        <w:ind w:right="193" w:firstLine="360"/>
        <w:jc w:val="both"/>
      </w:pPr>
      <w:r>
        <w:rPr>
          <w:spacing w:val="-2"/>
        </w:rPr>
        <w:t>长期股权投资、采用成本模式计量的投资性房地产、固定资产、在建工程、无形资产等长期资产，于资产负债表日存在</w:t>
      </w:r>
      <w:r>
        <w:rPr/>
        <w:t> </w:t>
      </w:r>
      <w:r>
        <w:rPr>
          <w:spacing w:val="-2"/>
        </w:rPr>
        <w:t>减值迹象的，进行减值测试。减值测试结果表明资产的可收回金额低于其账面价值的，按其差额计提减值准备并计入减值损</w:t>
      </w:r>
      <w:r>
        <w:rPr>
          <w:spacing w:val="-65"/>
        </w:rPr>
        <w:t> </w:t>
      </w:r>
      <w:r>
        <w:rPr>
          <w:spacing w:val="-65"/>
        </w:rPr>
      </w:r>
      <w:r>
        <w:rPr>
          <w:spacing w:val="-2"/>
        </w:rPr>
        <w:t>失。可收回金额为资产的公允价值减去处置费用后的净额与资产预计未来现金流量的现值两者之间的较高者。资产减值准备</w:t>
      </w:r>
      <w:r>
        <w:rPr>
          <w:spacing w:val="-64"/>
        </w:rPr>
        <w:t> </w:t>
      </w:r>
      <w:r>
        <w:rPr>
          <w:spacing w:val="-64"/>
        </w:rPr>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6" w:lineRule="auto" w:before="19"/>
        <w:ind w:left="513" w:right="93"/>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94"/>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9" w:lineRule="auto" w:before="19"/>
        <w:ind w:right="94"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9"/>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pPr>
      <w:r>
        <w:rPr/>
        <w:t>长期待摊费用为已经发生但应由本期和以后各期负担的分摊期限在一年以上的各项费用。</w:t>
      </w:r>
    </w:p>
    <w:p>
      <w:pPr>
        <w:pStyle w:val="BodyText"/>
        <w:spacing w:line="300" w:lineRule="auto" w:before="76"/>
        <w:ind w:left="513" w:right="6753"/>
        <w:jc w:val="left"/>
      </w:pPr>
      <w:r>
        <w:rPr/>
        <w:t>（</w:t>
      </w:r>
      <w:r>
        <w:rPr>
          <w:rFonts w:ascii="Times New Roman" w:hAnsi="Times New Roman" w:cs="Times New Roman" w:eastAsia="Times New Roman" w:hint="default"/>
        </w:rPr>
        <w:t>1</w:t>
      </w:r>
      <w:r>
        <w:rPr/>
        <w:t>）摊销方法 长期待摊费用在受益期内平均摊销</w:t>
      </w:r>
    </w:p>
    <w:p>
      <w:pPr>
        <w:pStyle w:val="BodyText"/>
        <w:spacing w:line="309" w:lineRule="auto" w:before="31"/>
        <w:ind w:left="513" w:right="3873"/>
        <w:jc w:val="left"/>
      </w:pPr>
      <w:r>
        <w:rPr/>
        <w:t>（</w:t>
      </w:r>
      <w:r>
        <w:rPr>
          <w:rFonts w:ascii="Times New Roman" w:hAnsi="Times New Roman" w:cs="Times New Roman" w:eastAsia="Times New Roman" w:hint="default"/>
        </w:rPr>
        <w:t>2</w:t>
      </w:r>
      <w:r>
        <w:rPr/>
        <w:t>）摊销年限 长期待摊费用的摊销方法为在预计的使用年限内采用直线法进行摊销。 装修支出按</w:t>
      </w:r>
      <w:r>
        <w:rPr>
          <w:rFonts w:ascii="Times New Roman" w:hAnsi="Times New Roman" w:cs="Times New Roman" w:eastAsia="Times New Roman" w:hint="default"/>
        </w:rPr>
        <w:t>2</w:t>
      </w:r>
      <w:r>
        <w:rPr/>
        <w:t>年摊销。</w:t>
      </w:r>
    </w:p>
    <w:p>
      <w:pPr>
        <w:spacing w:line="240" w:lineRule="auto" w:before="10"/>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left="513" w:right="94"/>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513" w:right="3693" w:hanging="361"/>
        <w:jc w:val="left"/>
      </w:pPr>
      <w:r>
        <w:rPr/>
        <w:t>的会计期间，根据规定的计提基础和计提比例计算确定相应的职工薪酬金额。 职工福利费为非货币性福利的，如能够可靠计量的，按照公允价值计量。</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94"/>
        <w:jc w:val="left"/>
      </w:pPr>
      <w:r>
        <w:rPr/>
        <w:t>①设定提存计划 </w:t>
      </w:r>
      <w:r>
        <w:rPr>
          <w:spacing w:val="-2"/>
        </w:rPr>
        <w:t>本公司按当地政府的相关规定为职工缴纳基本养老保险和失业保险，在职工为本公司提供服务的会计期间，按以当地规</w:t>
      </w:r>
    </w:p>
    <w:p>
      <w:pPr>
        <w:pStyle w:val="BodyText"/>
        <w:spacing w:line="316" w:lineRule="auto" w:before="19"/>
        <w:ind w:left="513" w:right="223" w:hanging="361"/>
        <w:jc w:val="left"/>
      </w:pPr>
      <w:r>
        <w:rPr/>
        <w:t>定的缴纳基数和比例计算应缴纳金额，确认为负债，并计入当期损益或相关资产成本。 除基本养老保险外，本公司还依据国家企业年金制度的相关政策建立了企业年金缴费制度（补充养老保险）</w:t>
      </w:r>
      <w:r>
        <w:rPr>
          <w:rFonts w:ascii="Times New Roman" w:hAnsi="Times New Roman" w:cs="Times New Roman" w:eastAsia="Times New Roman" w:hint="default"/>
        </w:rPr>
        <w:t>/</w:t>
      </w:r>
      <w:r>
        <w:rPr/>
        <w:t>企业年金</w:t>
      </w:r>
    </w:p>
    <w:p>
      <w:pPr>
        <w:pStyle w:val="BodyText"/>
        <w:spacing w:line="248" w:lineRule="exact"/>
        <w:ind w:right="0"/>
        <w:jc w:val="left"/>
      </w:pPr>
      <w:r>
        <w:rPr/>
        <w:t>计划。本公司按职工工资总额的一定比例向当地社会保险机构缴费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316" w:lineRule="auto" w:before="63"/>
        <w:ind w:left="513" w:right="94"/>
        <w:jc w:val="left"/>
      </w:pPr>
      <w:r>
        <w:rPr/>
        <w:t>②设定受益计划 </w:t>
      </w:r>
      <w:r>
        <w:rPr>
          <w:spacing w:val="-2"/>
        </w:rPr>
        <w:t>本公司根据预期累计福利单位法确定的公式将设定受益计划产生的福利义务归属于职工提供服务的期间，并计入当期损</w:t>
      </w:r>
    </w:p>
    <w:p>
      <w:pPr>
        <w:pStyle w:val="BodyText"/>
        <w:spacing w:line="240" w:lineRule="auto" w:before="19"/>
        <w:ind w:right="94"/>
        <w:jc w:val="left"/>
      </w:pPr>
      <w:r>
        <w:rPr/>
        <w:t>益或相关资产成本。</w:t>
      </w:r>
    </w:p>
    <w:p>
      <w:pPr>
        <w:spacing w:after="0" w:line="240" w:lineRule="auto"/>
        <w:jc w:val="left"/>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319" w:lineRule="auto" w:before="44"/>
        <w:ind w:right="94" w:firstLine="360"/>
        <w:jc w:val="left"/>
      </w:pPr>
      <w:r>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BodyText"/>
        <w:spacing w:line="316" w:lineRule="auto" w:before="17"/>
        <w:ind w:right="94" w:firstLine="360"/>
        <w:jc w:val="left"/>
      </w:pPr>
      <w:r>
        <w:rPr>
          <w:spacing w:val="-2"/>
        </w:rPr>
        <w:t>所有设定受益计划义务，包括预期在职工提供服务的年度报告期间结束后的十二个月内支付的义务，根据资产负债表日</w:t>
      </w:r>
      <w:r>
        <w:rPr/>
        <w:t> 与设定受益计划义务期限和币种相匹配的国债或活跃市场上的高质量公司债券的市场收益率予以折现。</w:t>
      </w:r>
    </w:p>
    <w:p>
      <w:pPr>
        <w:pStyle w:val="BodyText"/>
        <w:spacing w:line="316" w:lineRule="auto" w:before="19"/>
        <w:ind w:right="94" w:firstLine="360"/>
        <w:jc w:val="left"/>
      </w:pPr>
      <w:r>
        <w:rPr>
          <w:spacing w:val="-2"/>
        </w:rPr>
        <w:t>设定受益计划产生的服务成本和设定受益计划净负债或净资产的利息净额计入当期损益或相关资产成本；重新计量设定</w:t>
      </w:r>
      <w:r>
        <w:rPr/>
        <w:t> 受益计划净负债或净资产所产生的变动计入其他综合收益，并且在后续会计期间不转回至损益。</w:t>
      </w:r>
    </w:p>
    <w:p>
      <w:pPr>
        <w:pStyle w:val="BodyText"/>
        <w:spacing w:line="316" w:lineRule="auto" w:before="19"/>
        <w:ind w:left="513" w:right="453"/>
        <w:jc w:val="left"/>
      </w:pPr>
      <w:r>
        <w:rPr/>
        <w:t>在设定受益计划结算时，按在结算日确定的设定受益计划义务现值和结算价格两者的差额，确认结算利得或损失。 详见本财务报告“七、</w:t>
      </w:r>
      <w:r>
        <w:rPr>
          <w:rFonts w:ascii="Times New Roman" w:hAnsi="Times New Roman" w:cs="Times New Roman" w:eastAsia="Times New Roman" w:hint="default"/>
        </w:rPr>
        <w:t>24</w:t>
      </w:r>
      <w:r>
        <w:rPr/>
        <w:t>、应付职工薪酬”。</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633"/>
        <w:jc w:val="left"/>
      </w:pPr>
      <w:r>
        <w:rPr/>
        <w:t>（</w:t>
      </w: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w:t>
      </w:r>
    </w:p>
    <w:p>
      <w:pPr>
        <w:pStyle w:val="BodyText"/>
        <w:spacing w:line="240" w:lineRule="auto" w:before="31"/>
        <w:ind w:left="513" w:right="94"/>
        <w:jc w:val="left"/>
      </w:pPr>
      <w:r>
        <w:rPr/>
        <w:t>①该义务是本公司承担的现时义务；</w:t>
      </w:r>
    </w:p>
    <w:p>
      <w:pPr>
        <w:pStyle w:val="BodyText"/>
        <w:spacing w:line="240" w:lineRule="auto" w:before="76"/>
        <w:ind w:left="513" w:right="94"/>
        <w:jc w:val="left"/>
      </w:pPr>
      <w:r>
        <w:rPr/>
        <w:t>②履行该义务很可能导致经济利益流出本公司；</w:t>
      </w:r>
    </w:p>
    <w:p>
      <w:pPr>
        <w:pStyle w:val="BodyText"/>
        <w:spacing w:line="240" w:lineRule="auto" w:before="76"/>
        <w:ind w:left="513" w:right="94"/>
        <w:jc w:val="left"/>
      </w:pPr>
      <w:r>
        <w:rPr/>
        <w:t>③该义务的金额能够可靠地计量。</w:t>
      </w:r>
    </w:p>
    <w:p>
      <w:pPr>
        <w:pStyle w:val="BodyText"/>
        <w:spacing w:line="300" w:lineRule="auto" w:before="76"/>
        <w:ind w:left="513" w:right="94"/>
        <w:jc w:val="left"/>
      </w:pPr>
      <w:r>
        <w:rPr/>
        <w:t>（</w:t>
      </w:r>
      <w:r>
        <w:rPr>
          <w:rFonts w:ascii="Times New Roman" w:hAnsi="Times New Roman" w:cs="Times New Roman" w:eastAsia="Times New Roman" w:hint="default"/>
        </w:rPr>
        <w:t>2</w:t>
      </w:r>
      <w:r>
        <w:rPr/>
        <w:t>）各类预计负债的计量方法 </w:t>
      </w:r>
      <w:r>
        <w:rPr>
          <w:spacing w:val="-2"/>
        </w:rPr>
        <w:t>为了与收入、成本确认期间相配比，按一定的标准将销售机器的保修期间、融资租赁机器的租赁期间所发生的维护费用</w:t>
      </w:r>
    </w:p>
    <w:p>
      <w:pPr>
        <w:pStyle w:val="BodyText"/>
        <w:spacing w:line="240" w:lineRule="auto" w:before="31"/>
        <w:ind w:right="0"/>
        <w:jc w:val="both"/>
      </w:pPr>
      <w:r>
        <w:rPr/>
        <w:t>在收入确认期间确认为预计负债，具体计算方法如下：</w:t>
      </w:r>
    </w:p>
    <w:p>
      <w:pPr>
        <w:pStyle w:val="BodyText"/>
        <w:spacing w:line="240" w:lineRule="auto" w:before="76"/>
        <w:ind w:left="513" w:right="94"/>
        <w:jc w:val="left"/>
      </w:pPr>
      <w:r>
        <w:rPr/>
        <w:t>①按历史数据确定预计维护费用每月单台标准；</w:t>
      </w:r>
    </w:p>
    <w:p>
      <w:pPr>
        <w:pStyle w:val="BodyText"/>
        <w:spacing w:line="316" w:lineRule="auto" w:before="77"/>
        <w:ind w:right="94" w:firstLine="360"/>
        <w:jc w:val="left"/>
      </w:pPr>
      <w:r>
        <w:rPr/>
        <w:t>②按合同确定销售机器保修总月份数、融资租赁机维护总月份数。考虑到新机上线前期实际不发生或少量发生维护费， 在按合同确定维护总月份数时，每台机统一扣减</w:t>
      </w:r>
      <w:r>
        <w:rPr>
          <w:rFonts w:ascii="Times New Roman" w:hAnsi="Times New Roman" w:cs="Times New Roman" w:eastAsia="Times New Roman" w:hint="default"/>
        </w:rPr>
        <w:t>6</w:t>
      </w:r>
      <w:r>
        <w:rPr/>
        <w:t>个月；</w:t>
      </w:r>
    </w:p>
    <w:p>
      <w:pPr>
        <w:pStyle w:val="BodyText"/>
        <w:spacing w:line="235" w:lineRule="exact"/>
        <w:ind w:left="513" w:right="94"/>
        <w:jc w:val="left"/>
      </w:pPr>
      <w:r>
        <w:rPr/>
        <w:t>③按销售机器数量、保修总月份数、每月单台维护标准确认保修期间销售机器的维护费用，同时确认预计负债；</w:t>
      </w:r>
    </w:p>
    <w:p>
      <w:pPr>
        <w:pStyle w:val="BodyText"/>
        <w:spacing w:line="316" w:lineRule="auto" w:before="76"/>
        <w:ind w:left="513" w:right="93"/>
        <w:jc w:val="left"/>
      </w:pPr>
      <w:r>
        <w:rPr/>
        <w:t>④按融资租赁机器数量、租赁总月份数、每月单台维护标准确认租赁期间融资租赁机的维护费用，同时确认预计负债。 详见本财务报告“七、</w:t>
      </w:r>
      <w:r>
        <w:rPr>
          <w:rFonts w:ascii="Times New Roman" w:hAnsi="Times New Roman" w:cs="Times New Roman" w:eastAsia="Times New Roman" w:hint="default"/>
        </w:rPr>
        <w:t>28</w:t>
      </w:r>
      <w:r>
        <w:rPr/>
        <w:t>、预计负债”。</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22</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54" w:firstLine="360"/>
        <w:jc w:val="left"/>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提供服务而授予权益工具或者承担以权益工具为基础确定的负债的交易。 本公司的股份支付分为以权益结算的股份支付和以现金结算的股份支付。</w:t>
      </w:r>
    </w:p>
    <w:p>
      <w:pPr>
        <w:pStyle w:val="BodyText"/>
        <w:spacing w:line="300" w:lineRule="auto" w:before="31"/>
        <w:ind w:left="513" w:right="94"/>
        <w:jc w:val="left"/>
      </w:pPr>
      <w:r>
        <w:rPr/>
        <w:t>（</w:t>
      </w:r>
      <w:r>
        <w:rPr>
          <w:rFonts w:ascii="Times New Roman" w:hAnsi="Times New Roman" w:cs="Times New Roman" w:eastAsia="Times New Roman" w:hint="default"/>
        </w:rPr>
        <w:t>1</w:t>
      </w:r>
      <w:r>
        <w:rPr/>
        <w:t>）以权益结算的股份支付及权益工具 </w:t>
      </w:r>
      <w:r>
        <w:rPr>
          <w:spacing w:val="-2"/>
        </w:rPr>
        <w:t>以权益结算的股份支付换取职工提供服务的，以授予职工权益工具的公允价值计量。授予后立即可行权的，在授予日按</w:t>
      </w:r>
    </w:p>
    <w:p>
      <w:pPr>
        <w:pStyle w:val="BodyText"/>
        <w:spacing w:line="316" w:lineRule="auto" w:before="32"/>
        <w:ind w:right="193"/>
        <w:jc w:val="both"/>
      </w:pPr>
      <w:r>
        <w:rPr>
          <w:spacing w:val="-2"/>
        </w:rPr>
        <w:t>照公允价值计入相关成本或费用，相应增加资本公积；完成等待期内的服务或达到规定业绩条件才可行权的，在等待期内每</w:t>
      </w:r>
      <w:r>
        <w:rPr>
          <w:spacing w:val="-66"/>
        </w:rPr>
        <w:t> </w:t>
      </w:r>
      <w:r>
        <w:rPr>
          <w:spacing w:val="-66"/>
        </w:rPr>
      </w:r>
      <w:r>
        <w:rPr>
          <w:spacing w:val="-2"/>
        </w:rPr>
        <w:t>个资产负债表日，本公司根据最新取得的可行权职工人数变动、是否达到规定业绩条件等后续信息对可行权权益工具数量作</w:t>
      </w:r>
      <w:r>
        <w:rPr>
          <w:spacing w:val="-64"/>
        </w:rPr>
        <w:t> </w:t>
      </w:r>
      <w:r>
        <w:rPr>
          <w:spacing w:val="-64"/>
        </w:rPr>
      </w:r>
      <w:r>
        <w:rPr>
          <w:spacing w:val="-2"/>
        </w:rPr>
        <w:t>出最佳估计，以此为基础，按照授予日的公允价值，将当期取得的服务计入相关成本或费用，相应增加资本公积。在授权日</w:t>
      </w:r>
      <w:r>
        <w:rPr>
          <w:spacing w:val="-67"/>
        </w:rPr>
        <w:t> </w:t>
      </w:r>
      <w:r>
        <w:rPr>
          <w:spacing w:val="-67"/>
        </w:rPr>
      </w:r>
      <w:r>
        <w:rPr/>
        <w:t>采用</w:t>
      </w:r>
      <w:r>
        <w:rPr>
          <w:rFonts w:ascii="Times New Roman" w:hAnsi="Times New Roman" w:cs="Times New Roman" w:eastAsia="Times New Roman" w:hint="default"/>
        </w:rPr>
        <w:t>Black-Scholes</w:t>
      </w:r>
      <w:r>
        <w:rPr/>
        <w:t>模型确定股票期权的公允价值权。</w:t>
      </w:r>
    </w:p>
    <w:p>
      <w:pPr>
        <w:pStyle w:val="BodyText"/>
        <w:spacing w:line="316" w:lineRule="auto"/>
        <w:ind w:right="190" w:firstLine="360"/>
        <w:jc w:val="both"/>
      </w:pPr>
      <w:r>
        <w:rPr>
          <w:spacing w:val="-2"/>
        </w:rPr>
        <w:t>在满足业绩条件和服务期限条件的期间，应确认以权益结算的股份支付的成本或费用，并相应增加资本公积。可行权日</w:t>
      </w:r>
      <w:r>
        <w:rPr/>
        <w:t> </w:t>
      </w:r>
      <w:r>
        <w:rPr>
          <w:spacing w:val="-2"/>
        </w:rPr>
        <w:t>之前，于每个资产负债表日为以权益结算的股份支付确认的累计金额反映了等待期已届满的部分以及本公司对最终可行权的</w:t>
      </w:r>
      <w:r>
        <w:rPr>
          <w:spacing w:val="-64"/>
        </w:rPr>
        <w:t> </w:t>
      </w:r>
      <w:r>
        <w:rPr>
          <w:spacing w:val="-64"/>
        </w:rPr>
      </w:r>
      <w:r>
        <w:rPr/>
        <w:t>权益工具数量的最佳估计。</w:t>
      </w:r>
    </w:p>
    <w:p>
      <w:pPr>
        <w:pStyle w:val="BodyText"/>
        <w:spacing w:line="240" w:lineRule="auto" w:before="19"/>
        <w:ind w:left="513" w:right="0"/>
        <w:jc w:val="left"/>
      </w:pPr>
      <w:r>
        <w:rPr/>
        <w:t>对于最终未能行权的股份支付，不确认成本或费用，除非行权条件是市场条件或非可行权条件，此时无论是否满足市场</w:t>
      </w:r>
    </w:p>
    <w:p>
      <w:pPr>
        <w:spacing w:after="0" w:line="240" w:lineRule="auto"/>
        <w:jc w:val="left"/>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319" w:lineRule="auto" w:before="44"/>
        <w:ind w:left="513" w:right="94" w:hanging="361"/>
        <w:jc w:val="left"/>
      </w:pPr>
      <w:r>
        <w:rPr/>
        <w:t>条件或非可行权条件，只要满足所有可行权条件中的非市场条件，即视为可行权。 </w:t>
      </w:r>
      <w:r>
        <w:rPr>
          <w:spacing w:val="-2"/>
        </w:rPr>
        <w:t>如果修改了以权益结算的股份支付的条款，至少按照未修改条款的情况确认取得的服务。此外，任何增加所授予权益工</w:t>
      </w:r>
    </w:p>
    <w:p>
      <w:pPr>
        <w:pStyle w:val="BodyText"/>
        <w:spacing w:line="316" w:lineRule="auto" w:before="17"/>
        <w:ind w:left="513" w:right="94" w:hanging="361"/>
        <w:jc w:val="left"/>
      </w:pPr>
      <w:r>
        <w:rPr/>
        <w:t>具公允价值的修改，或在修改日对职工有利的变更，均确认取得服务的增加。 </w:t>
      </w:r>
      <w:r>
        <w:rPr>
          <w:spacing w:val="-2"/>
        </w:rPr>
        <w:t>如果取消了以权益结算的股份支付，则于取消日作为加速行权处理，立即确认尚未确认的金额。职工或其他方能够选择</w:t>
      </w:r>
    </w:p>
    <w:p>
      <w:pPr>
        <w:pStyle w:val="BodyText"/>
        <w:spacing w:line="316" w:lineRule="auto" w:before="19"/>
        <w:ind w:right="94"/>
        <w:jc w:val="left"/>
      </w:pPr>
      <w:r>
        <w:rPr>
          <w:spacing w:val="-2"/>
        </w:rPr>
        <w:t>满足非可行权条件但在等待期内未满足的，作为取消以权益结算的股份支付处理。但是，如果授予新的权益工具，并在新权</w:t>
      </w:r>
      <w:r>
        <w:rPr>
          <w:spacing w:val="-64"/>
        </w:rPr>
        <w:t> </w:t>
      </w:r>
      <w:r>
        <w:rPr>
          <w:spacing w:val="-64"/>
        </w:rPr>
      </w:r>
      <w:r>
        <w:rPr/>
        <w:t>益工具授予日认定所授予的新权益工具是用于替代被取消的权益工具的，则以与处理原权益工具条款和条件修改相同的方 式，对所授予的替代权益工具进行处理。</w:t>
      </w:r>
    </w:p>
    <w:p>
      <w:pPr>
        <w:pStyle w:val="BodyText"/>
        <w:spacing w:line="300" w:lineRule="auto" w:before="19"/>
        <w:ind w:left="513" w:right="94"/>
        <w:jc w:val="left"/>
      </w:pPr>
      <w:r>
        <w:rPr/>
        <w:t>（</w:t>
      </w:r>
      <w:r>
        <w:rPr>
          <w:rFonts w:ascii="Times New Roman" w:hAnsi="Times New Roman" w:cs="Times New Roman" w:eastAsia="Times New Roman" w:hint="default"/>
        </w:rPr>
        <w:t>2</w:t>
      </w:r>
      <w:r>
        <w:rPr/>
        <w:t>）以现金结算的股份支付及权益工具 </w:t>
      </w:r>
      <w:r>
        <w:rPr>
          <w:spacing w:val="-2"/>
        </w:rPr>
        <w:t>以现金结算的股份支付，按照本公司承担的以股份或其他权益工具为基础计算确定的负债的公允价值计量。授予后立即</w:t>
      </w:r>
    </w:p>
    <w:p>
      <w:pPr>
        <w:pStyle w:val="BodyText"/>
        <w:spacing w:line="316" w:lineRule="auto" w:before="31"/>
        <w:ind w:right="94"/>
        <w:jc w:val="left"/>
      </w:pPr>
      <w:r>
        <w:rPr>
          <w:spacing w:val="-2"/>
        </w:rPr>
        <w:t>可行权的，在授予日以承担负债的公允价值计入成本或费用，相应增加负债；完成等待期内的服务或达到规定业绩条件才可</w:t>
      </w:r>
      <w:r>
        <w:rPr>
          <w:spacing w:val="-66"/>
        </w:rPr>
        <w:t> </w:t>
      </w:r>
      <w:r>
        <w:rPr>
          <w:spacing w:val="-66"/>
        </w:rPr>
      </w:r>
      <w:r>
        <w:rPr>
          <w:spacing w:val="-4"/>
        </w:rPr>
        <w:t>行权的，在等待期内以对可行权情况的最佳估计为基础，按照承担负债的公允价值，将当期取得的服务计入相关成本或费用，</w:t>
      </w:r>
      <w:r>
        <w:rPr>
          <w:spacing w:val="-44"/>
        </w:rPr>
        <w:t> </w:t>
      </w:r>
      <w:r>
        <w:rPr>
          <w:spacing w:val="-44"/>
        </w:rPr>
      </w:r>
      <w:r>
        <w:rPr/>
        <w:t>增加相应负债。在相关负债结算前的每个资产负债表日以及结算日，对负债的公允价值重新计量，其变动计入当期损益。</w:t>
      </w:r>
    </w:p>
    <w:p>
      <w:pPr>
        <w:pStyle w:val="BodyText"/>
        <w:spacing w:line="300" w:lineRule="auto" w:before="19"/>
        <w:ind w:left="513" w:right="94"/>
        <w:jc w:val="left"/>
      </w:pPr>
      <w:r>
        <w:rPr/>
        <w:t>（</w:t>
      </w:r>
      <w:r>
        <w:rPr>
          <w:rFonts w:ascii="Times New Roman" w:hAnsi="Times New Roman" w:cs="Times New Roman" w:eastAsia="Times New Roman" w:hint="default"/>
        </w:rPr>
        <w:t>3</w:t>
      </w:r>
      <w:r>
        <w:rPr/>
        <w:t>）确认可行权权益工具最佳估计的依据 </w:t>
      </w:r>
      <w:r>
        <w:rPr>
          <w:spacing w:val="-2"/>
        </w:rPr>
        <w:t>等待期内每个资产负债表日，本公司根据最新取得的可行权职工人数变动等后续信息作出最佳估计，修正预计可行权的</w:t>
      </w:r>
    </w:p>
    <w:p>
      <w:pPr>
        <w:pStyle w:val="BodyText"/>
        <w:spacing w:line="316" w:lineRule="auto" w:before="31"/>
        <w:ind w:left="513" w:right="94" w:hanging="361"/>
        <w:jc w:val="left"/>
      </w:pPr>
      <w:r>
        <w:rPr/>
        <w:t>权益工具数量。在可行权日，最终预计可行权权益工具的数量与实际可行权数量一致。 </w:t>
      </w:r>
      <w:r>
        <w:rPr>
          <w:spacing w:val="-2"/>
        </w:rPr>
        <w:t>根据上述权益工具的公允价值和预计可行权的权益工具数量，计算截至当期累计应确认的成本费用金额，再减去前期累</w:t>
      </w:r>
    </w:p>
    <w:p>
      <w:pPr>
        <w:pStyle w:val="BodyText"/>
        <w:spacing w:line="240" w:lineRule="auto" w:before="19"/>
        <w:ind w:right="94"/>
        <w:jc w:val="left"/>
      </w:pPr>
      <w:r>
        <w:rPr/>
        <w:t>计已确认金额，作为当期应确认的成本费用金额。</w:t>
      </w:r>
    </w:p>
    <w:p>
      <w:pPr>
        <w:pStyle w:val="BodyText"/>
        <w:spacing w:line="240" w:lineRule="auto" w:before="76"/>
        <w:ind w:left="513" w:right="94"/>
        <w:jc w:val="left"/>
      </w:pPr>
      <w:r>
        <w:rPr/>
        <w:t>（</w:t>
      </w:r>
      <w:r>
        <w:rPr>
          <w:rFonts w:ascii="Times New Roman" w:hAnsi="Times New Roman" w:cs="Times New Roman" w:eastAsia="Times New Roman" w:hint="default"/>
        </w:rPr>
        <w:t>4</w:t>
      </w:r>
      <w:r>
        <w:rPr/>
        <w:t>）实施、修改、终止股份支付计划的相关会计处理</w:t>
      </w:r>
    </w:p>
    <w:p>
      <w:pPr>
        <w:pStyle w:val="BodyText"/>
        <w:spacing w:line="240" w:lineRule="auto" w:before="63"/>
        <w:ind w:left="513" w:right="94"/>
        <w:jc w:val="left"/>
      </w:pPr>
      <w:r>
        <w:rPr/>
        <w:t>①股份支付的实施</w:t>
      </w:r>
    </w:p>
    <w:p>
      <w:pPr>
        <w:pStyle w:val="BodyText"/>
        <w:spacing w:line="300" w:lineRule="auto" w:before="76"/>
        <w:ind w:left="513" w:right="94"/>
        <w:jc w:val="left"/>
      </w:pPr>
      <w:r>
        <w:rPr>
          <w:rFonts w:ascii="Times New Roman" w:hAnsi="Times New Roman" w:cs="Times New Roman" w:eastAsia="Times New Roman" w:hint="default"/>
        </w:rPr>
        <w:t>a.</w:t>
      </w:r>
      <w:r>
        <w:rPr/>
        <w:t>以权益结算的股份支付换取职工提供服务的 </w:t>
      </w:r>
      <w:r>
        <w:rPr>
          <w:spacing w:val="-2"/>
        </w:rPr>
        <w:t>以授予职工权益工具的公允价值计量。授予后立即可行权的换取职工服务的以权益结算的股份支付，在授予日按照权益</w:t>
      </w:r>
    </w:p>
    <w:p>
      <w:pPr>
        <w:pStyle w:val="BodyText"/>
        <w:spacing w:line="316" w:lineRule="auto" w:before="31"/>
        <w:ind w:right="190"/>
        <w:jc w:val="both"/>
      </w:pPr>
      <w:r>
        <w:rPr>
          <w:spacing w:val="-2"/>
        </w:rPr>
        <w:t>工具的公允价值计入相关成本或费用，相应增加资本公积。完成等待期内的服务或达到规定业绩条件才可行权的换取职工服</w:t>
      </w:r>
      <w:r>
        <w:rPr>
          <w:spacing w:val="-64"/>
        </w:rPr>
        <w:t> </w:t>
      </w:r>
      <w:r>
        <w:rPr>
          <w:spacing w:val="-64"/>
        </w:rPr>
      </w:r>
      <w:r>
        <w:rPr>
          <w:spacing w:val="-2"/>
        </w:rPr>
        <w:t>务的以权益结算的股份支付，在等待期内的每个资产负债表日，以对可行权权益工具数量的最佳估计为基础，按照权益工具</w:t>
      </w:r>
      <w:r>
        <w:rPr>
          <w:spacing w:val="-63"/>
        </w:rPr>
        <w:t> </w:t>
      </w:r>
      <w:r>
        <w:rPr>
          <w:spacing w:val="-63"/>
        </w:rPr>
      </w:r>
      <w:r>
        <w:rPr>
          <w:spacing w:val="-2"/>
        </w:rPr>
        <w:t>授予日的公允价值，将当期取得的服务计入相关成本或费用和资本公积。在资产负债表日，后续信息表明可行权权益工具的</w:t>
      </w:r>
      <w:r>
        <w:rPr>
          <w:spacing w:val="-63"/>
        </w:rPr>
        <w:t> </w:t>
      </w:r>
      <w:r>
        <w:rPr>
          <w:spacing w:val="-63"/>
        </w:rPr>
      </w:r>
      <w:r>
        <w:rPr>
          <w:spacing w:val="-2"/>
        </w:rPr>
        <w:t>数量与以前估计不同的进行调整，并在可行权日调整至实际可行权的权益工具数量。对于可行权条件为规定服务期间的股份</w:t>
      </w:r>
      <w:r>
        <w:rPr>
          <w:spacing w:val="-64"/>
        </w:rPr>
        <w:t> </w:t>
      </w:r>
      <w:r>
        <w:rPr>
          <w:spacing w:val="-64"/>
        </w:rPr>
      </w:r>
      <w:r>
        <w:rPr>
          <w:spacing w:val="-2"/>
        </w:rPr>
        <w:t>支付，等待期为授予日至可行权日的期间；对于可行权条件为规定业绩的股份支付，在授予日根据最可能的业绩结果预计等</w:t>
      </w:r>
      <w:r>
        <w:rPr>
          <w:spacing w:val="-63"/>
        </w:rPr>
        <w:t> </w:t>
      </w:r>
      <w:r>
        <w:rPr>
          <w:spacing w:val="-63"/>
        </w:rPr>
      </w:r>
      <w:r>
        <w:rPr/>
        <w:t>待期的长度。企业在可行权日之后不再对已确认的相关成本或费用和所有者权益总额进行调整。</w:t>
      </w:r>
    </w:p>
    <w:p>
      <w:pPr>
        <w:pStyle w:val="BodyText"/>
        <w:spacing w:line="300" w:lineRule="auto" w:before="19"/>
        <w:ind w:left="513" w:right="94"/>
        <w:jc w:val="left"/>
      </w:pPr>
      <w:r>
        <w:rPr>
          <w:rFonts w:ascii="Times New Roman" w:hAnsi="Times New Roman" w:cs="Times New Roman" w:eastAsia="Times New Roman" w:hint="default"/>
        </w:rPr>
        <w:t>b.</w:t>
      </w:r>
      <w:r>
        <w:rPr/>
        <w:t>以权益结算的股份支付换取其他方服务的，分别下列情况处理： </w:t>
      </w:r>
      <w:r>
        <w:rPr>
          <w:spacing w:val="-2"/>
        </w:rPr>
        <w:t>其他方服务的公允价值能够可靠计量的，按照其他方服务在取得日的公允价值计入相关成本或费用，相应增加所有者权</w:t>
      </w:r>
    </w:p>
    <w:p>
      <w:pPr>
        <w:pStyle w:val="BodyText"/>
        <w:spacing w:line="240" w:lineRule="auto" w:before="31"/>
        <w:ind w:right="94"/>
        <w:jc w:val="left"/>
      </w:pPr>
      <w:r>
        <w:rPr/>
        <w:t>益。</w:t>
      </w:r>
    </w:p>
    <w:p>
      <w:pPr>
        <w:pStyle w:val="BodyText"/>
        <w:spacing w:line="240" w:lineRule="auto" w:before="76"/>
        <w:ind w:left="513" w:right="0"/>
        <w:jc w:val="left"/>
      </w:pPr>
      <w:r>
        <w:rPr/>
        <w:t>其他方服务的公允价值不能可靠计量但权益工具公允价值能够可靠计量的，按照权益工具在服务取得日的公允价值，计</w:t>
      </w:r>
    </w:p>
    <w:p>
      <w:pPr>
        <w:pStyle w:val="BodyText"/>
        <w:spacing w:line="312" w:lineRule="auto" w:before="76"/>
        <w:ind w:left="513" w:right="94" w:hanging="361"/>
        <w:jc w:val="left"/>
      </w:pPr>
      <w:r>
        <w:rPr/>
        <w:t>入相关成本或费用，相应增加所有者权益。 在行权日，企业根据实际行权的权益工具数量，计算确定应转入实收资本或股本的金额，将其转入实收资本或股本。 </w:t>
      </w:r>
      <w:r>
        <w:rPr>
          <w:rFonts w:ascii="Times New Roman" w:hAnsi="Times New Roman" w:cs="Times New Roman" w:eastAsia="Times New Roman" w:hint="default"/>
        </w:rPr>
        <w:t>c.</w:t>
      </w:r>
      <w:r>
        <w:rPr/>
        <w:t>以现金结算的股份支付 </w:t>
      </w:r>
      <w:r>
        <w:rPr>
          <w:spacing w:val="-2"/>
        </w:rPr>
        <w:t>按照企业承担的以股份或其他权益工具为基础计算确定的负债的公允价值计量。授予后立即可行权的以现金结算的股份</w:t>
      </w:r>
    </w:p>
    <w:p>
      <w:pPr>
        <w:pStyle w:val="BodyText"/>
        <w:spacing w:line="319" w:lineRule="auto" w:before="22"/>
        <w:ind w:right="189"/>
        <w:jc w:val="both"/>
      </w:pPr>
      <w:r>
        <w:rPr>
          <w:spacing w:val="-2"/>
        </w:rPr>
        <w:t>支付，在授予日以企业承担负债的公允价值计入相关成本或费用，相应增加负债。完成等待期内的服务或达到规定业绩条件</w:t>
      </w:r>
      <w:r>
        <w:rPr>
          <w:spacing w:val="-66"/>
        </w:rPr>
        <w:t> </w:t>
      </w:r>
      <w:r>
        <w:rPr>
          <w:spacing w:val="-66"/>
        </w:rPr>
      </w:r>
      <w:r>
        <w:rPr>
          <w:spacing w:val="-2"/>
        </w:rPr>
        <w:t>以后才可行权的以现金结算的股份支付，在等待期内的每个资产负债表日，以对可行权情况的最佳估计为基础，按照企业承</w:t>
      </w:r>
      <w:r>
        <w:rPr>
          <w:spacing w:val="-63"/>
        </w:rPr>
        <w:t> </w:t>
      </w:r>
      <w:r>
        <w:rPr>
          <w:spacing w:val="-63"/>
        </w:rPr>
      </w:r>
      <w:r>
        <w:rPr>
          <w:spacing w:val="-2"/>
        </w:rPr>
        <w:t>担负债的公允价值金额，将当期取得的服务计入成本或费用和相应的负债。在资产负债表日，后续信息表明企业当期承担债</w:t>
      </w:r>
      <w:r>
        <w:rPr>
          <w:spacing w:val="-62"/>
        </w:rPr>
        <w:t> </w:t>
      </w:r>
      <w:r>
        <w:rPr>
          <w:spacing w:val="-62"/>
        </w:rPr>
      </w:r>
      <w:r>
        <w:rPr>
          <w:spacing w:val="-2"/>
        </w:rPr>
        <w:t>务的公允价值与以前估计不同的进行调整，并在可行权日调整至实际可行权水平。企业在相关负债结算前的每个资产负债表</w:t>
      </w:r>
      <w:r>
        <w:rPr>
          <w:spacing w:val="-64"/>
        </w:rPr>
        <w:t> </w:t>
      </w:r>
      <w:r>
        <w:rPr>
          <w:spacing w:val="-64"/>
        </w:rPr>
      </w:r>
      <w:r>
        <w:rPr/>
        <w:t>日以及结算日，对负债的公允价值重新计量</w:t>
      </w:r>
      <w:r>
        <w:rPr>
          <w:rFonts w:ascii="Times New Roman" w:hAnsi="Times New Roman" w:cs="Times New Roman" w:eastAsia="Times New Roman" w:hint="default"/>
        </w:rPr>
        <w:t>,</w:t>
      </w:r>
      <w:r>
        <w:rPr/>
        <w:t>其变动计入当期损益。</w:t>
      </w:r>
    </w:p>
    <w:p>
      <w:pPr>
        <w:pStyle w:val="BodyText"/>
        <w:spacing w:line="233" w:lineRule="exact"/>
        <w:ind w:left="513" w:right="94"/>
        <w:jc w:val="left"/>
      </w:pPr>
      <w:r>
        <w:rPr/>
        <w:t>②股份支付的修改</w:t>
      </w:r>
    </w:p>
    <w:p>
      <w:pPr>
        <w:pStyle w:val="BodyText"/>
        <w:spacing w:line="309" w:lineRule="auto" w:before="76"/>
        <w:ind w:right="189" w:firstLine="360"/>
        <w:jc w:val="both"/>
      </w:pPr>
      <w:r>
        <w:rPr>
          <w:rFonts w:ascii="Times New Roman" w:hAnsi="Times New Roman" w:cs="Times New Roman" w:eastAsia="Times New Roman" w:hint="default"/>
          <w:spacing w:val="-1"/>
        </w:rPr>
        <w:t>a.</w:t>
      </w:r>
      <w:r>
        <w:rPr>
          <w:spacing w:val="-1"/>
        </w:rPr>
        <w:t>修改增加了所授予的权益工具的公允价值，按照权益工具公允价值的增加相应地确认取得服务的增加。修改发生在等</w:t>
      </w:r>
      <w:r>
        <w:rPr/>
        <w:t> </w:t>
      </w:r>
      <w:r>
        <w:rPr>
          <w:spacing w:val="-2"/>
        </w:rPr>
        <w:t>待期内，在确认修改日至修改后的可行权日之间取得服务的公允价值时，既包括在剩余原等待期内以原权益工具授予日公允</w:t>
      </w:r>
      <w:r>
        <w:rPr>
          <w:spacing w:val="-64"/>
        </w:rPr>
        <w:t> </w:t>
      </w:r>
      <w:r>
        <w:rPr>
          <w:spacing w:val="-64"/>
        </w:rPr>
      </w:r>
      <w:r>
        <w:rPr>
          <w:spacing w:val="-2"/>
        </w:rPr>
        <w:t>价值为基础确定的服务金额，也包括权益工具公允价值的增加。修改发生在可行权日之后，立即确认权益工具公允价值的增</w:t>
      </w:r>
    </w:p>
    <w:p>
      <w:pPr>
        <w:spacing w:after="0" w:line="309" w:lineRule="auto"/>
        <w:jc w:val="both"/>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319" w:lineRule="auto" w:before="44"/>
        <w:ind w:right="94"/>
        <w:jc w:val="left"/>
      </w:pPr>
      <w:r>
        <w:rPr>
          <w:spacing w:val="-2"/>
        </w:rPr>
        <w:t>加。如果股份支付协议要求职工只有先完成更长期间的服务才能取得修改后的权益工具，则在整个等待期内确认权益工具公</w:t>
      </w:r>
      <w:r>
        <w:rPr>
          <w:spacing w:val="-64"/>
        </w:rPr>
        <w:t> </w:t>
      </w:r>
      <w:r>
        <w:rPr>
          <w:spacing w:val="-64"/>
        </w:rPr>
      </w:r>
      <w:r>
        <w:rPr/>
        <w:t>允价值的增加。</w:t>
      </w:r>
    </w:p>
    <w:p>
      <w:pPr>
        <w:pStyle w:val="BodyText"/>
        <w:spacing w:line="309" w:lineRule="auto" w:before="17"/>
        <w:ind w:right="193" w:firstLine="360"/>
        <w:jc w:val="both"/>
      </w:pPr>
      <w:r>
        <w:rPr>
          <w:rFonts w:ascii="Times New Roman" w:hAnsi="Times New Roman" w:cs="Times New Roman" w:eastAsia="Times New Roman" w:hint="default"/>
          <w:spacing w:val="-1"/>
        </w:rPr>
        <w:t>b.</w:t>
      </w:r>
      <w:r>
        <w:rPr>
          <w:spacing w:val="-1"/>
        </w:rPr>
        <w:t>修改增加了所授予的权益工具的数量，将增加的权益工具的公允价值相应地确认为取得服务的增加。如果修改发生在</w:t>
      </w:r>
      <w:r>
        <w:rPr/>
        <w:t> </w:t>
      </w:r>
      <w:r>
        <w:rPr>
          <w:spacing w:val="-2"/>
        </w:rPr>
        <w:t>等待期内，在确认修改日至增加的权益工具可行权日之间取得服务的公允价值时，既包括在剩余原等待期内以原权益工具授</w:t>
      </w:r>
      <w:r>
        <w:rPr>
          <w:spacing w:val="-64"/>
        </w:rPr>
        <w:t> </w:t>
      </w:r>
      <w:r>
        <w:rPr>
          <w:spacing w:val="-64"/>
        </w:rPr>
      </w:r>
      <w:r>
        <w:rPr/>
        <w:t>予日公允价值为基础确定的服务金额，也包括权益工具公允价值的增加。</w:t>
      </w:r>
    </w:p>
    <w:p>
      <w:pPr>
        <w:pStyle w:val="BodyText"/>
        <w:spacing w:line="300" w:lineRule="auto" w:before="24"/>
        <w:ind w:right="212" w:firstLine="360"/>
        <w:jc w:val="both"/>
      </w:pPr>
      <w:r>
        <w:rPr>
          <w:rFonts w:ascii="Times New Roman" w:hAnsi="Times New Roman" w:cs="Times New Roman" w:eastAsia="Times New Roman" w:hint="default"/>
        </w:rPr>
        <w:t>c.</w:t>
      </w:r>
      <w:r>
        <w:rPr/>
        <w:t>如果按照有利于职工的方式修改可行权条件，如缩短等待期、变更或取消业绩条件（而非市场条件</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，在处理可行权 条件时，考虑修改后的可行权条件。</w:t>
      </w:r>
    </w:p>
    <w:p>
      <w:pPr>
        <w:pStyle w:val="BodyText"/>
        <w:spacing w:line="300" w:lineRule="auto" w:before="31"/>
        <w:ind w:right="192" w:firstLine="360"/>
        <w:jc w:val="both"/>
      </w:pPr>
      <w:r>
        <w:rPr>
          <w:rFonts w:ascii="Times New Roman" w:hAnsi="Times New Roman" w:cs="Times New Roman" w:eastAsia="Times New Roman" w:hint="default"/>
          <w:spacing w:val="-1"/>
        </w:rPr>
        <w:t>d.</w:t>
      </w:r>
      <w:r>
        <w:rPr>
          <w:spacing w:val="-1"/>
        </w:rPr>
        <w:t>修改减少了所授予的权益工具的公允价值，继续以权益工具在授予日的公允价值为基础，确认取得服务的金额，而不</w:t>
      </w:r>
      <w:r>
        <w:rPr/>
        <w:t> 考虑权益工具公允价值的减少。</w:t>
      </w:r>
    </w:p>
    <w:p>
      <w:pPr>
        <w:pStyle w:val="BodyText"/>
        <w:spacing w:line="300" w:lineRule="auto" w:before="31"/>
        <w:ind w:left="513" w:right="94"/>
        <w:jc w:val="left"/>
      </w:pPr>
      <w:r>
        <w:rPr>
          <w:rFonts w:ascii="Times New Roman" w:hAnsi="Times New Roman" w:cs="Times New Roman" w:eastAsia="Times New Roman" w:hint="default"/>
        </w:rPr>
        <w:t>e.</w:t>
      </w:r>
      <w:r>
        <w:rPr/>
        <w:t>修改减少了授予的权益工具的数量，将减少部分作为已授予的权益工具的取消来进行处理。 </w:t>
      </w:r>
      <w:r>
        <w:rPr>
          <w:rFonts w:ascii="Times New Roman" w:hAnsi="Times New Roman" w:cs="Times New Roman" w:eastAsia="Times New Roman" w:hint="default"/>
          <w:spacing w:val="-1"/>
        </w:rPr>
        <w:t>f.</w:t>
      </w:r>
      <w:r>
        <w:rPr>
          <w:spacing w:val="-1"/>
        </w:rPr>
        <w:t>以不利于职工的方式修改了可行权条件，如延长等待期、增加或变更业绩条件（而非市场条件），在处理可行权条件</w:t>
      </w:r>
    </w:p>
    <w:p>
      <w:pPr>
        <w:pStyle w:val="BodyText"/>
        <w:spacing w:line="240" w:lineRule="auto" w:before="13"/>
        <w:ind w:right="94"/>
        <w:jc w:val="left"/>
      </w:pPr>
      <w:r>
        <w:rPr/>
        <w:t>时，不考虑修改后的可行权条件。</w:t>
      </w:r>
    </w:p>
    <w:p>
      <w:pPr>
        <w:pStyle w:val="BodyText"/>
        <w:spacing w:line="240" w:lineRule="auto" w:before="76"/>
        <w:ind w:left="513" w:right="94"/>
        <w:jc w:val="left"/>
      </w:pPr>
      <w:r>
        <w:rPr/>
        <w:t>③股份支付的终止</w:t>
      </w:r>
    </w:p>
    <w:p>
      <w:pPr>
        <w:pStyle w:val="BodyText"/>
        <w:spacing w:line="300" w:lineRule="auto" w:before="77"/>
        <w:ind w:left="513" w:right="191"/>
        <w:jc w:val="left"/>
      </w:pPr>
      <w:r>
        <w:rPr>
          <w:rFonts w:ascii="Times New Roman" w:hAnsi="Times New Roman" w:cs="Times New Roman" w:eastAsia="Times New Roman" w:hint="default"/>
        </w:rPr>
        <w:t>a.</w:t>
      </w:r>
      <w:r>
        <w:rPr/>
        <w:t>将取消或结算作为加速可行权处理，立即确认原本应在剩余等待期内确认的金额。 </w:t>
      </w:r>
      <w:r>
        <w:rPr>
          <w:rFonts w:ascii="Times New Roman" w:hAnsi="Times New Roman" w:cs="Times New Roman" w:eastAsia="Times New Roman" w:hint="default"/>
          <w:spacing w:val="-1"/>
        </w:rPr>
        <w:t>b.</w:t>
      </w:r>
      <w:r>
        <w:rPr>
          <w:spacing w:val="-1"/>
        </w:rPr>
        <w:t>在取消或结算时支付给职工的所有款项均应作为权益的回购处理，回购支付的金额高于该权益工具在回购日公允价值</w:t>
      </w:r>
    </w:p>
    <w:p>
      <w:pPr>
        <w:pStyle w:val="BodyText"/>
        <w:spacing w:line="240" w:lineRule="auto" w:before="13"/>
        <w:ind w:right="94"/>
        <w:jc w:val="left"/>
      </w:pPr>
      <w:r>
        <w:rPr/>
        <w:t>的部分，计入当期费用。</w:t>
      </w:r>
    </w:p>
    <w:p>
      <w:pPr>
        <w:pStyle w:val="BodyText"/>
        <w:spacing w:line="309" w:lineRule="auto" w:before="76"/>
        <w:ind w:right="193" w:firstLine="360"/>
        <w:jc w:val="both"/>
      </w:pPr>
      <w:r>
        <w:rPr>
          <w:rFonts w:ascii="Times New Roman" w:hAnsi="Times New Roman" w:cs="Times New Roman" w:eastAsia="Times New Roman" w:hint="default"/>
          <w:spacing w:val="-1"/>
        </w:rPr>
        <w:t>c.</w:t>
      </w:r>
      <w:r>
        <w:rPr>
          <w:spacing w:val="-1"/>
        </w:rPr>
        <w:t>如果向职工授予新的权益工具，并在新权益工具授予日认定所授予的新权益工具是用于替代被取消的权益工具的，企</w:t>
      </w:r>
      <w:r>
        <w:rPr/>
        <w:t> </w:t>
      </w:r>
      <w:r>
        <w:rPr>
          <w:spacing w:val="-2"/>
        </w:rPr>
        <w:t>业应以处理原权益工具条款和条件修改相同的方式，对所授予的替代权益工具进行处理。企业如果回购其职工已可行权的权</w:t>
      </w:r>
      <w:r>
        <w:rPr>
          <w:spacing w:val="-64"/>
        </w:rPr>
        <w:t> </w:t>
      </w:r>
      <w:r>
        <w:rPr>
          <w:spacing w:val="-64"/>
        </w:rPr>
      </w:r>
      <w:r>
        <w:rPr/>
        <w:t>益工具，借记所有者权益，回购支付的金额高于该权益工具在回购日公允价值的部分，计入当期费用。</w:t>
      </w:r>
    </w:p>
    <w:p>
      <w:pPr>
        <w:spacing w:line="240" w:lineRule="auto" w:before="3"/>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t>（</w:t>
      </w:r>
      <w:r>
        <w:rPr>
          <w:rFonts w:ascii="Times New Roman" w:hAnsi="Times New Roman" w:cs="Times New Roman" w:eastAsia="Times New Roman" w:hint="default"/>
        </w:rPr>
        <w:t>1</w:t>
      </w:r>
      <w:r>
        <w:rPr/>
        <w:t>）销售商品收入</w:t>
      </w:r>
    </w:p>
    <w:p>
      <w:pPr>
        <w:pStyle w:val="BodyText"/>
        <w:spacing w:line="240" w:lineRule="auto" w:before="63"/>
        <w:ind w:left="513" w:right="94"/>
        <w:jc w:val="left"/>
      </w:pPr>
      <w:r>
        <w:rPr/>
        <w:t>①销售商品收入确认的一般原则</w:t>
      </w:r>
    </w:p>
    <w:p>
      <w:pPr>
        <w:pStyle w:val="BodyText"/>
        <w:spacing w:line="300" w:lineRule="auto" w:before="76"/>
        <w:ind w:left="513" w:right="1938"/>
        <w:jc w:val="left"/>
      </w:pPr>
      <w:r>
        <w:rPr>
          <w:rFonts w:ascii="Times New Roman" w:hAnsi="Times New Roman" w:cs="Times New Roman" w:eastAsia="Times New Roman" w:hint="default"/>
        </w:rPr>
        <w:t>a.</w:t>
      </w:r>
      <w:r>
        <w:rPr/>
        <w:t>本公司已将商品所有权上的主要风险和报酬转移给购货方； </w:t>
      </w:r>
      <w:r>
        <w:rPr>
          <w:rFonts w:ascii="Times New Roman" w:hAnsi="Times New Roman" w:cs="Times New Roman" w:eastAsia="Times New Roman" w:hint="default"/>
        </w:rPr>
        <w:t>b.</w:t>
      </w:r>
      <w:r>
        <w:rPr/>
        <w:t>本公司既没有保留通常与所有权相联系的继续管理权，也没有对已售出的商品实施有效控制； </w:t>
      </w:r>
      <w:r>
        <w:rPr>
          <w:rFonts w:ascii="Times New Roman" w:hAnsi="Times New Roman" w:cs="Times New Roman" w:eastAsia="Times New Roman" w:hint="default"/>
        </w:rPr>
        <w:t>c.</w:t>
      </w:r>
      <w:r>
        <w:rPr/>
        <w:t>收入的金额能够可靠地计量；</w:t>
      </w:r>
    </w:p>
    <w:p>
      <w:pPr>
        <w:pStyle w:val="BodyText"/>
        <w:spacing w:line="300" w:lineRule="auto" w:before="13"/>
        <w:ind w:left="513" w:right="5368"/>
        <w:jc w:val="left"/>
      </w:pPr>
      <w:r>
        <w:rPr>
          <w:rFonts w:ascii="Times New Roman" w:hAnsi="Times New Roman" w:cs="Times New Roman" w:eastAsia="Times New Roman" w:hint="default"/>
        </w:rPr>
        <w:t>d.</w:t>
      </w:r>
      <w:r>
        <w:rPr/>
        <w:t>相关的经济利益很可能流入本公司； </w:t>
      </w:r>
      <w:r>
        <w:rPr>
          <w:rFonts w:ascii="Times New Roman" w:hAnsi="Times New Roman" w:cs="Times New Roman" w:eastAsia="Times New Roman" w:hint="default"/>
        </w:rPr>
        <w:t>e.</w:t>
      </w:r>
      <w:r>
        <w:rPr/>
        <w:t>相关的、已发生或将发生的成本能够可靠地计量。</w:t>
      </w:r>
    </w:p>
    <w:p>
      <w:pPr>
        <w:pStyle w:val="BodyText"/>
        <w:spacing w:line="309" w:lineRule="auto" w:before="13"/>
        <w:ind w:left="513" w:right="4098"/>
        <w:jc w:val="left"/>
      </w:pPr>
      <w:r>
        <w:rPr/>
        <w:t>②销售商品收入确认时间的具体判断标准 </w:t>
      </w:r>
      <w:r>
        <w:rPr>
          <w:rFonts w:ascii="Times New Roman" w:hAnsi="Times New Roman" w:cs="Times New Roman" w:eastAsia="Times New Roman" w:hint="default"/>
        </w:rPr>
        <w:t>a.</w:t>
      </w:r>
      <w:r>
        <w:rPr/>
        <w:t>合同经双方签字盖章确认，已经生效； </w:t>
      </w:r>
      <w:r>
        <w:rPr>
          <w:rFonts w:ascii="Times New Roman" w:hAnsi="Times New Roman" w:cs="Times New Roman" w:eastAsia="Times New Roman" w:hint="default"/>
        </w:rPr>
        <w:t>b.</w:t>
      </w:r>
      <w:r>
        <w:rPr/>
        <w:t>设备已经发出，且通过物流公司或公司销售部确认客户已经收到；</w:t>
      </w:r>
    </w:p>
    <w:p>
      <w:pPr>
        <w:pStyle w:val="BodyText"/>
        <w:spacing w:line="240" w:lineRule="auto" w:before="5"/>
        <w:ind w:left="513" w:right="94"/>
        <w:jc w:val="left"/>
      </w:pPr>
      <w:r>
        <w:rPr>
          <w:rFonts w:ascii="Times New Roman" w:hAnsi="Times New Roman" w:cs="Times New Roman" w:eastAsia="Times New Roman" w:hint="default"/>
        </w:rPr>
        <w:t>c.</w:t>
      </w:r>
      <w:r>
        <w:rPr/>
        <w:t>设备按合同要求已经安装调试完毕；或经公司销售部确认设备已安装调试完毕，客户已经验收。</w:t>
      </w:r>
    </w:p>
    <w:p>
      <w:pPr>
        <w:pStyle w:val="BodyText"/>
        <w:spacing w:line="300" w:lineRule="auto" w:before="63"/>
        <w:ind w:left="513" w:right="93"/>
        <w:jc w:val="left"/>
      </w:pPr>
      <w:r>
        <w:rPr/>
        <w:t>（</w:t>
      </w:r>
      <w:r>
        <w:rPr>
          <w:rFonts w:ascii="Times New Roman" w:hAnsi="Times New Roman" w:cs="Times New Roman" w:eastAsia="Times New Roman" w:hint="default"/>
        </w:rPr>
        <w:t>2</w:t>
      </w:r>
      <w:r>
        <w:rPr/>
        <w:t>）确认让渡资产使用权收入的依据 与交易相关的经济利益很可能流入企业，收入的金额能够可靠地计量时，分别下列情况确定让渡资产使用权收入金额：</w:t>
      </w:r>
    </w:p>
    <w:p>
      <w:pPr>
        <w:pStyle w:val="BodyText"/>
        <w:spacing w:line="240" w:lineRule="auto" w:before="31"/>
        <w:ind w:left="513" w:right="94"/>
        <w:jc w:val="left"/>
      </w:pPr>
      <w:r>
        <w:rPr/>
        <w:t>①利息收入金额：按照他人使用本企业货币资金的时间和实际利率计算确定。</w:t>
      </w:r>
    </w:p>
    <w:p>
      <w:pPr>
        <w:pStyle w:val="BodyText"/>
        <w:spacing w:line="240" w:lineRule="auto" w:before="74"/>
        <w:ind w:left="513" w:right="94"/>
        <w:jc w:val="left"/>
      </w:pPr>
      <w:r>
        <w:rPr/>
        <w:t>②使用费收入金额：按照有关合同或协议约定的收费时间和方法计算确定。</w:t>
      </w:r>
    </w:p>
    <w:p>
      <w:pPr>
        <w:pStyle w:val="BodyText"/>
        <w:spacing w:line="240" w:lineRule="auto" w:before="77"/>
        <w:ind w:left="513" w:right="94"/>
        <w:jc w:val="left"/>
      </w:pPr>
      <w:r>
        <w:rPr/>
        <w:t>③</w:t>
      </w:r>
      <w:r>
        <w:rPr>
          <w:rFonts w:ascii="Times New Roman" w:hAnsi="Times New Roman" w:cs="Times New Roman" w:eastAsia="Times New Roman" w:hint="default"/>
        </w:rPr>
        <w:t>ATM</w:t>
      </w:r>
      <w:r>
        <w:rPr/>
        <w:t>服务收入：收入的金额能够可靠地计量；相关的经济利益很可能流入企业时确认收入。</w:t>
      </w:r>
    </w:p>
    <w:p>
      <w:pPr>
        <w:pStyle w:val="BodyText"/>
        <w:spacing w:line="316" w:lineRule="auto" w:before="63"/>
        <w:ind w:left="513" w:right="5673"/>
        <w:jc w:val="left"/>
      </w:pPr>
      <w:r>
        <w:rPr/>
        <w:t>④租赁资产收入： 在租赁开始日将租赁分为融资租赁和经营租赁。</w:t>
      </w:r>
    </w:p>
    <w:p>
      <w:pPr>
        <w:pStyle w:val="BodyText"/>
        <w:spacing w:line="316" w:lineRule="auto" w:before="19"/>
        <w:ind w:left="513" w:right="273"/>
        <w:jc w:val="left"/>
      </w:pPr>
      <w:r>
        <w:rPr/>
        <w:t>融资租赁，是指实质上转移了与资产所有权有关的全部风险和报酬的租赁。其所有权最终可能转移，也可能不转移。 符合下列一项或数项标准的，认定为融资租赁：</w:t>
      </w:r>
    </w:p>
    <w:p>
      <w:pPr>
        <w:pStyle w:val="BodyText"/>
        <w:spacing w:line="300" w:lineRule="auto" w:before="19"/>
        <w:ind w:left="513" w:right="191"/>
        <w:jc w:val="left"/>
      </w:pPr>
      <w:r>
        <w:rPr>
          <w:rFonts w:ascii="Times New Roman" w:hAnsi="Times New Roman" w:cs="Times New Roman" w:eastAsia="Times New Roman" w:hint="default"/>
        </w:rPr>
        <w:t>a.</w:t>
      </w:r>
      <w:r>
        <w:rPr/>
        <w:t>在租赁期届满时，租赁资产的所有权转移给承租人； </w:t>
      </w:r>
      <w:r>
        <w:rPr>
          <w:rFonts w:ascii="Times New Roman" w:hAnsi="Times New Roman" w:cs="Times New Roman" w:eastAsia="Times New Roman" w:hint="default"/>
          <w:spacing w:val="-1"/>
        </w:rPr>
        <w:t>b.</w:t>
      </w:r>
      <w:r>
        <w:rPr>
          <w:spacing w:val="-1"/>
        </w:rPr>
        <w:t>承租人有购买租赁资产的选择权，所订立的购买价款预计将远低于行使选择权时租赁资产的公允价值，因而在租赁开</w:t>
      </w:r>
    </w:p>
    <w:p>
      <w:pPr>
        <w:spacing w:after="0" w:line="300" w:lineRule="auto"/>
        <w:jc w:val="left"/>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240" w:lineRule="auto" w:before="44"/>
        <w:ind w:right="94"/>
        <w:jc w:val="left"/>
      </w:pPr>
      <w:r>
        <w:rPr/>
        <w:t>始日就可以合理确定承租人将会行使这种选择权；</w:t>
      </w:r>
    </w:p>
    <w:p>
      <w:pPr>
        <w:pStyle w:val="BodyText"/>
        <w:spacing w:line="300" w:lineRule="auto" w:before="77"/>
        <w:ind w:left="513" w:right="191"/>
        <w:jc w:val="left"/>
      </w:pPr>
      <w:r>
        <w:rPr>
          <w:rFonts w:ascii="Times New Roman" w:hAnsi="Times New Roman" w:cs="Times New Roman" w:eastAsia="Times New Roman" w:hint="default"/>
        </w:rPr>
        <w:t>c.</w:t>
      </w:r>
      <w:r>
        <w:rPr/>
        <w:t>即使资产的所有权不转移，但租赁期占租赁资产使用寿命的大部分； </w:t>
      </w:r>
      <w:r>
        <w:rPr>
          <w:rFonts w:ascii="Times New Roman" w:hAnsi="Times New Roman" w:cs="Times New Roman" w:eastAsia="Times New Roman" w:hint="default"/>
          <w:spacing w:val="-1"/>
        </w:rPr>
        <w:t>d.</w:t>
      </w:r>
      <w:r>
        <w:rPr>
          <w:spacing w:val="-1"/>
        </w:rPr>
        <w:t>承租人在租赁开始日的最低租赁付款额现值，几乎相当于租赁开始日租赁资产公允价值；出租人在租赁开始日的最低</w:t>
      </w:r>
    </w:p>
    <w:p>
      <w:pPr>
        <w:pStyle w:val="BodyText"/>
        <w:spacing w:line="312" w:lineRule="auto" w:before="13"/>
        <w:ind w:left="513" w:right="3568" w:hanging="361"/>
        <w:jc w:val="left"/>
      </w:pPr>
      <w:r>
        <w:rPr/>
        <w:t>租赁收款额现值，几乎相当于租赁开始日租赁资产公允价值； </w:t>
      </w:r>
      <w:r>
        <w:rPr>
          <w:rFonts w:ascii="Times New Roman" w:hAnsi="Times New Roman" w:cs="Times New Roman" w:eastAsia="Times New Roman" w:hint="default"/>
        </w:rPr>
        <w:t>e.</w:t>
      </w:r>
      <w:r>
        <w:rPr/>
        <w:t>租赁资产性质特殊，如果不作较大改造，只有承租人才能使用。 公司内含利率的计算公式如下： 公司内含利率</w:t>
      </w:r>
      <w:r>
        <w:rPr>
          <w:rFonts w:ascii="Times New Roman" w:hAnsi="Times New Roman" w:cs="Times New Roman" w:eastAsia="Times New Roman" w:hint="default"/>
        </w:rPr>
        <w:t>=</w:t>
      </w:r>
      <w:r>
        <w:rPr/>
        <w:t>金融机构中长期贷款基准利率</w:t>
      </w:r>
      <w:r>
        <w:rPr>
          <w:rFonts w:ascii="Times New Roman" w:hAnsi="Times New Roman" w:cs="Times New Roman" w:eastAsia="Times New Roman" w:hint="default"/>
        </w:rPr>
        <w:t>+</w:t>
      </w:r>
      <w:r>
        <w:rPr/>
        <w:t>居民消费价格指数</w:t>
      </w:r>
      <w:r>
        <w:rPr>
          <w:rFonts w:ascii="Times New Roman" w:hAnsi="Times New Roman" w:cs="Times New Roman" w:eastAsia="Times New Roman" w:hint="default"/>
        </w:rPr>
        <w:t>+</w:t>
      </w:r>
      <w:r>
        <w:rPr/>
        <w:t>其他因素 未实现融资收益在租赁期内各个期间按实际利率法分配。 或有租金在实际发生时确认为当期收入。</w:t>
      </w:r>
    </w:p>
    <w:p>
      <w:pPr>
        <w:pStyle w:val="BodyText"/>
        <w:spacing w:line="240" w:lineRule="auto" w:before="22"/>
        <w:ind w:left="513" w:right="94"/>
        <w:jc w:val="left"/>
      </w:pPr>
      <w:r>
        <w:rPr/>
        <w:t>经营租赁是指除融资租赁以外的其他租赁，经营租赁的租金在租赁期内的各个期间按直线法确认为收入。</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24</w:t>
      </w:r>
      <w:r>
        <w:rPr/>
        <w:t>、政府补助</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90" w:firstLine="360"/>
        <w:jc w:val="both"/>
      </w:pPr>
      <w:r>
        <w:rPr>
          <w:spacing w:val="-2"/>
        </w:rPr>
        <w:t>①判断依据：是指本公司取得的、用于购建或以其他方式形成长期资产的政府补助，包括购买固定资产或无形资产的财</w:t>
      </w:r>
      <w:r>
        <w:rPr/>
        <w:t> </w:t>
      </w:r>
      <w:r>
        <w:rPr>
          <w:spacing w:val="-2"/>
        </w:rPr>
        <w:t>政拨款、固定资产专门借款的财政贴息等。对于政府文件未明确规定补助对象的本公司将该政府补助划分为与资产相关的判</w:t>
      </w:r>
      <w:r>
        <w:rPr>
          <w:spacing w:val="-64"/>
        </w:rPr>
        <w:t> </w:t>
      </w:r>
      <w:r>
        <w:rPr>
          <w:spacing w:val="-64"/>
        </w:rPr>
      </w:r>
      <w:r>
        <w:rPr/>
        <w:t>断依据为：是否用于购建或以其他方式形成长期资产。</w:t>
      </w:r>
    </w:p>
    <w:p>
      <w:pPr>
        <w:pStyle w:val="BodyText"/>
        <w:spacing w:line="240" w:lineRule="auto" w:before="19"/>
        <w:ind w:left="513" w:right="0"/>
        <w:jc w:val="left"/>
      </w:pPr>
      <w:r>
        <w:rPr/>
        <w:t>②会计处理方法：与资产相关的政府补助，确认为递延收益，按照所建造或购买的资产使用年限分期计入营业外收入。</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①判断依据：是指除与资产相关的政府补助之外的政府补助。对于政府文件未明确规定补助对象的本公司将该政府补助</w:t>
      </w:r>
      <w:r>
        <w:rPr/>
        <w:t> 划分为与收益相关的判断依据为：是否用于购建或以其他方式形成长期资产。</w:t>
      </w:r>
    </w:p>
    <w:p>
      <w:pPr>
        <w:pStyle w:val="BodyText"/>
        <w:spacing w:line="319" w:lineRule="auto" w:before="19"/>
        <w:ind w:right="94" w:firstLine="360"/>
        <w:jc w:val="left"/>
      </w:pPr>
      <w:r>
        <w:rPr>
          <w:spacing w:val="-2"/>
        </w:rPr>
        <w:t>②会计处理方法：与收益相关的政府补助，用于补偿本公司以后期间的相关费用或损失的，取得时确认为递延收益，在</w:t>
      </w:r>
      <w:r>
        <w:rPr/>
        <w:t> 确认相关费用的期间计入当期营业外收入；用于补偿本公司已发生的相关费用或损失的，取得时直接计入当期营业外收入。</w:t>
      </w:r>
    </w:p>
    <w:p>
      <w:pPr>
        <w:spacing w:line="240" w:lineRule="auto" w:before="9"/>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16" w:lineRule="auto" w:before="19"/>
        <w:ind w:left="513" w:right="94"/>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9"/>
        <w:ind w:left="513" w:right="94" w:hanging="361"/>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9" w:lineRule="auto" w:before="19"/>
        <w:ind w:left="513" w:right="94" w:hanging="361"/>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7"/>
        <w:ind w:right="192"/>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after="0" w:line="316" w:lineRule="auto"/>
        <w:jc w:val="both"/>
        <w:sectPr>
          <w:pgSz w:w="11910" w:h="16840"/>
          <w:pgMar w:header="786" w:footer="1021" w:top="1100" w:bottom="1220" w:left="980" w:right="940"/>
        </w:sectPr>
      </w:pPr>
    </w:p>
    <w:p>
      <w:pPr>
        <w:spacing w:line="240" w:lineRule="auto" w:before="9"/>
        <w:rPr>
          <w:rFonts w:ascii="宋体" w:hAnsi="宋体" w:cs="宋体" w:eastAsia="宋体"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26</w:t>
      </w:r>
      <w:r>
        <w:rPr/>
        <w:t>、租赁</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53" w:firstLine="360"/>
        <w:jc w:val="both"/>
      </w:pPr>
      <w:r>
        <w:rPr>
          <w:spacing w:val="-2"/>
        </w:rPr>
        <w:t>①公司租入资产所支付的租赁费，在不扣除免租期的整个租赁期内，按直线法进行分摊，计入当期费用。公司支付的与</w:t>
      </w:r>
      <w:r>
        <w:rPr/>
        <w:t> 租赁交易相关的初始直接费用，计入当期费用。</w:t>
      </w:r>
    </w:p>
    <w:p>
      <w:pPr>
        <w:pStyle w:val="BodyText"/>
        <w:spacing w:line="316" w:lineRule="auto" w:before="19"/>
        <w:ind w:right="15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19"/>
        <w:ind w:right="152" w:firstLine="360"/>
        <w:jc w:val="both"/>
      </w:pPr>
      <w:r>
        <w:rPr>
          <w:spacing w:val="-2"/>
        </w:rPr>
        <w:t>②本公司出租资产所收取的租赁费，在不扣除免租期的整个租赁期内，按直线法进行分摊，确认为租赁相关收入。公司</w:t>
      </w:r>
      <w:r>
        <w:rPr/>
        <w:t> </w:t>
      </w:r>
      <w:r>
        <w:rPr>
          <w:spacing w:val="-2"/>
        </w:rPr>
        <w:t>支付的与租赁交易相关的初始直接费用，计入当期费用；如金额较大的，则予以资本化，在整个租赁期间内按照与租赁相关</w:t>
      </w:r>
      <w:r>
        <w:rPr>
          <w:spacing w:val="-66"/>
        </w:rPr>
        <w:t> </w:t>
      </w:r>
      <w:r>
        <w:rPr>
          <w:spacing w:val="-66"/>
        </w:rPr>
      </w:r>
      <w:r>
        <w:rPr/>
        <w:t>收入确认相同的基础分期计入当期收益。</w:t>
      </w:r>
    </w:p>
    <w:p>
      <w:pPr>
        <w:pStyle w:val="BodyText"/>
        <w:spacing w:line="316" w:lineRule="auto" w:before="19"/>
        <w:ind w:right="15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11"/>
        <w:rPr>
          <w:rFonts w:ascii="宋体" w:hAnsi="宋体" w:cs="宋体" w:eastAsia="宋体" w:hint="default"/>
          <w:sz w:val="22"/>
          <w:szCs w:val="22"/>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3"/>
        <w:jc w:val="left"/>
      </w:pPr>
      <w:r>
        <w:rPr/>
        <w:t>①本公司未发生融资租入资产事项。</w:t>
      </w:r>
    </w:p>
    <w:p>
      <w:pPr>
        <w:pStyle w:val="BodyText"/>
        <w:spacing w:line="240" w:lineRule="auto" w:before="76"/>
        <w:ind w:left="513" w:right="153"/>
        <w:jc w:val="left"/>
      </w:pPr>
      <w:r>
        <w:rPr/>
        <w:t>②融资租出资产：详见财务报告五、</w:t>
      </w:r>
      <w:r>
        <w:rPr>
          <w:rFonts w:ascii="Times New Roman" w:hAnsi="Times New Roman" w:cs="Times New Roman" w:eastAsia="Times New Roman" w:hint="default"/>
        </w:rPr>
        <w:t>23</w:t>
      </w:r>
      <w:r>
        <w:rPr/>
        <w:t>、（</w:t>
      </w:r>
      <w:r>
        <w:rPr>
          <w:rFonts w:ascii="Times New Roman" w:hAnsi="Times New Roman" w:cs="Times New Roman" w:eastAsia="Times New Roman" w:hint="default"/>
        </w:rPr>
        <w:t>2</w:t>
      </w:r>
      <w:r>
        <w:rPr/>
        <w:t>）④租赁资产收入</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27</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395"/>
        <w:gridCol w:w="1985"/>
        <w:gridCol w:w="1561"/>
        <w:gridCol w:w="1630"/>
      </w:tblGrid>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14"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开始适用的时点</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5"/>
              <w:jc w:val="both"/>
              <w:rPr>
                <w:rFonts w:ascii="宋体" w:hAnsi="宋体" w:cs="宋体" w:eastAsia="宋体" w:hint="default"/>
                <w:sz w:val="18"/>
                <w:szCs w:val="18"/>
              </w:rPr>
            </w:pPr>
            <w:r>
              <w:rPr>
                <w:rFonts w:ascii="宋体" w:hAnsi="宋体" w:cs="宋体" w:eastAsia="宋体" w:hint="default"/>
                <w:sz w:val="18"/>
                <w:szCs w:val="18"/>
              </w:rPr>
              <w:t>为了反映公司固定资产的实际运营状况，使财务报表更 加公允地反映公司的财务状况和经营成果，进一步提高 会计信息的质量和可比性，为经营决策提供更加准确的 会计信息，公司拟从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日起，对公司房屋</w:t>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建筑物的固定资产折旧年限从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年变更为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49"/>
              <w:jc w:val="both"/>
              <w:rPr>
                <w:rFonts w:ascii="宋体" w:hAnsi="宋体" w:cs="宋体" w:eastAsia="宋体" w:hint="default"/>
                <w:sz w:val="18"/>
                <w:szCs w:val="18"/>
              </w:rPr>
            </w:pPr>
            <w:r>
              <w:rPr>
                <w:rFonts w:ascii="宋体" w:hAnsi="宋体" w:cs="宋体" w:eastAsia="宋体" w:hint="default"/>
                <w:sz w:val="18"/>
                <w:szCs w:val="18"/>
              </w:rPr>
              <w:t>公司第四届董事会第二 十一次会议审议通过该 项议案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本次会计估计变更 对公司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年度归 属于上市公司股东 的净利润增加 </w:t>
            </w:r>
            <w:r>
              <w:rPr>
                <w:rFonts w:ascii="Times New Roman" w:hAnsi="Times New Roman" w:cs="Times New Roman" w:eastAsia="Times New Roman" w:hint="default"/>
                <w:sz w:val="18"/>
                <w:szCs w:val="18"/>
              </w:rPr>
              <w:t>1,858,662.09 </w:t>
            </w:r>
            <w:r>
              <w:rPr>
                <w:rFonts w:ascii="宋体" w:hAnsi="宋体" w:cs="宋体" w:eastAsia="宋体" w:hint="default"/>
                <w:sz w:val="18"/>
                <w:szCs w:val="18"/>
              </w:rPr>
              <w:t>元</w:t>
            </w:r>
          </w:p>
        </w:tc>
      </w:tr>
    </w:tbl>
    <w:p>
      <w:pPr>
        <w:pStyle w:val="BodyText"/>
        <w:spacing w:line="240" w:lineRule="auto" w:before="8"/>
        <w:ind w:right="153"/>
        <w:jc w:val="left"/>
      </w:pPr>
      <w:r>
        <w:rPr/>
        <w:t>本次会计估计变更对公司</w:t>
      </w:r>
      <w:r>
        <w:rPr>
          <w:rFonts w:ascii="Times New Roman" w:hAnsi="Times New Roman" w:cs="Times New Roman" w:eastAsia="Times New Roman" w:hint="default"/>
        </w:rPr>
        <w:t>2015</w:t>
      </w:r>
      <w:r>
        <w:rPr/>
        <w:t>年度归属于上市公司股东的净利润增加</w:t>
      </w:r>
      <w:r>
        <w:rPr>
          <w:rFonts w:ascii="Times New Roman" w:hAnsi="Times New Roman" w:cs="Times New Roman" w:eastAsia="Times New Roman" w:hint="default"/>
        </w:rPr>
        <w:t>1,858,662.09</w:t>
      </w:r>
      <w:r>
        <w:rPr/>
        <w:t>元</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34"/>
        <w:gridCol w:w="5389"/>
        <w:gridCol w:w="1346"/>
      </w:tblGrid>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税种</w:t>
            </w:r>
          </w:p>
        </w:tc>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86" w:footer="1021" w:top="1100" w:bottom="1220" w:left="980" w:right="980"/>
        </w:sectPr>
      </w:pPr>
    </w:p>
    <w:p>
      <w:pPr>
        <w:spacing w:line="240" w:lineRule="auto" w:before="5"/>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23"/>
        <w:gridCol w:w="5400"/>
        <w:gridCol w:w="1346"/>
      </w:tblGrid>
      <w:tr>
        <w:trPr>
          <w:trHeight w:val="71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34" w:right="23"/>
              <w:jc w:val="left"/>
              <w:rPr>
                <w:rFonts w:ascii="宋体" w:hAnsi="宋体" w:cs="宋体" w:eastAsia="宋体" w:hint="default"/>
                <w:sz w:val="18"/>
                <w:szCs w:val="18"/>
              </w:rPr>
            </w:pPr>
            <w:r>
              <w:rPr>
                <w:rFonts w:ascii="宋体" w:hAnsi="宋体" w:cs="宋体" w:eastAsia="宋体" w:hint="default"/>
                <w:spacing w:val="-3"/>
                <w:sz w:val="18"/>
                <w:szCs w:val="18"/>
              </w:rPr>
              <w:t>按税法规定计算的销售货物和应税劳务收入为基础计算销项税额，在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扣除当期允许抵扣的进项税额后，差额部分为应交增值税</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其中：本公司</w:t>
            </w:r>
          </w:p>
        </w:tc>
        <w:tc>
          <w:tcPr>
            <w:tcW w:w="5400" w:type="dxa"/>
            <w:tcBorders>
              <w:top w:val="single" w:sz="4" w:space="0" w:color="000000"/>
              <w:left w:val="single" w:sz="10" w:space="0" w:color="D9D9D9"/>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400" w:type="dxa"/>
            <w:tcBorders>
              <w:top w:val="single" w:sz="4" w:space="0" w:color="000000"/>
              <w:left w:val="single" w:sz="10" w:space="0" w:color="D9D9D9"/>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540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540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540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540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540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540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c>
          <w:tcPr>
            <w:tcW w:w="540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北京青年御银科技有限责任公司</w:t>
            </w:r>
          </w:p>
        </w:tc>
        <w:tc>
          <w:tcPr>
            <w:tcW w:w="540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540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b/>
          <w:bCs/>
          <w:sz w:val="19"/>
          <w:szCs w:val="19"/>
        </w:rPr>
      </w:pPr>
    </w:p>
    <w:p>
      <w:pPr>
        <w:spacing w:before="36"/>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00" w:lineRule="auto"/>
        <w:ind w:left="513" w:right="183"/>
        <w:jc w:val="left"/>
      </w:pPr>
      <w:r>
        <w:rPr/>
        <w:t>（</w:t>
      </w:r>
      <w:r>
        <w:rPr>
          <w:rFonts w:ascii="Times New Roman" w:hAnsi="Times New Roman" w:cs="Times New Roman" w:eastAsia="Times New Roman" w:hint="default"/>
        </w:rPr>
        <w:t>1</w:t>
      </w:r>
      <w:r>
        <w:rPr/>
        <w:t>）增值税 根据财税【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92</w:t>
      </w:r>
      <w:r>
        <w:rPr/>
        <w:t>号《财政部、国家税务总局关于嵌入式软件增值税政策的通知》、财税【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号《财政部、</w:t>
      </w:r>
    </w:p>
    <w:p>
      <w:pPr>
        <w:pStyle w:val="BodyText"/>
        <w:spacing w:line="309" w:lineRule="auto" w:before="13"/>
        <w:ind w:right="94"/>
        <w:jc w:val="left"/>
      </w:pPr>
      <w:r>
        <w:rPr>
          <w:spacing w:val="-2"/>
        </w:rPr>
        <w:t>国家税务总局关于软件产品增值税政策的通知》的有关规定：增值税一般纳税人随同计算机网络、计算机硬件和机器设备等</w:t>
      </w:r>
      <w:r>
        <w:rPr>
          <w:spacing w:val="-63"/>
        </w:rPr>
        <w:t> </w:t>
      </w:r>
      <w:r>
        <w:rPr>
          <w:spacing w:val="-63"/>
        </w:rPr>
      </w:r>
      <w:r>
        <w:rPr>
          <w:spacing w:val="-2"/>
        </w:rPr>
        <w:t>一并销售其自行开发生产的嵌入式软件，如果能够按照《财政部、国家税务总局关于贯彻落实〈中共中央、国务院关于加强</w:t>
      </w:r>
      <w:r>
        <w:rPr>
          <w:spacing w:val="-67"/>
        </w:rPr>
        <w:t> </w:t>
      </w:r>
      <w:r>
        <w:rPr>
          <w:spacing w:val="-67"/>
        </w:rPr>
      </w:r>
      <w:r>
        <w:rPr/>
        <w:t>技术创新，发展高科技，实现产业化的决定〉有关税收问题的通知》（财税字【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t>号）第一条第三款之规定，分别 </w:t>
      </w:r>
      <w:r>
        <w:rPr>
          <w:spacing w:val="-9"/>
        </w:rPr>
        <w:t>核算嵌入式软件与计算机硬件、机器设备等的销售额，可以享受软件产品增值税优惠政策。公司符合财税【</w:t>
      </w:r>
      <w:r>
        <w:rPr>
          <w:rFonts w:ascii="Times New Roman" w:hAnsi="Times New Roman" w:cs="Times New Roman" w:eastAsia="Times New Roman" w:hint="default"/>
          <w:spacing w:val="-9"/>
        </w:rPr>
        <w:t>2008</w:t>
      </w:r>
      <w:r>
        <w:rPr>
          <w:spacing w:val="-9"/>
        </w:rPr>
        <w:t>】</w:t>
      </w:r>
      <w:r>
        <w:rPr>
          <w:rFonts w:ascii="Times New Roman" w:hAnsi="Times New Roman" w:cs="Times New Roman" w:eastAsia="Times New Roman" w:hint="default"/>
          <w:spacing w:val="-9"/>
        </w:rPr>
        <w:t>92</w:t>
      </w:r>
      <w:r>
        <w:rPr>
          <w:spacing w:val="-9"/>
        </w:rPr>
        <w:t>号、【</w:t>
      </w:r>
      <w:r>
        <w:rPr>
          <w:rFonts w:ascii="Times New Roman" w:hAnsi="Times New Roman" w:cs="Times New Roman" w:eastAsia="Times New Roman" w:hint="default"/>
          <w:spacing w:val="-9"/>
        </w:rPr>
        <w:t>2011</w:t>
      </w:r>
      <w:r>
        <w:rPr>
          <w:spacing w:val="-9"/>
        </w:rPr>
        <w:t>】</w:t>
      </w:r>
      <w:r>
        <w:rPr>
          <w:spacing w:val="-70"/>
        </w:rPr>
        <w:t> </w:t>
      </w:r>
      <w:r>
        <w:rPr>
          <w:rFonts w:ascii="Times New Roman" w:hAnsi="Times New Roman" w:cs="Times New Roman" w:eastAsia="Times New Roman" w:hint="default"/>
        </w:rPr>
        <w:t>100</w:t>
      </w:r>
      <w:r>
        <w:rPr/>
        <w:t>号之规定，嵌入式软件销售收入享受增值税即征即退优惠政策。</w:t>
      </w:r>
    </w:p>
    <w:p>
      <w:pPr>
        <w:pStyle w:val="BodyText"/>
        <w:spacing w:line="300" w:lineRule="auto" w:before="5"/>
        <w:ind w:right="190" w:firstLine="360"/>
        <w:jc w:val="both"/>
      </w:pPr>
      <w:r>
        <w:rPr>
          <w:spacing w:val="-4"/>
        </w:rPr>
        <w:t>根据《国家税务总局关于北京等</w:t>
      </w:r>
      <w:r>
        <w:rPr>
          <w:rFonts w:ascii="Times New Roman" w:hAnsi="Times New Roman" w:cs="Times New Roman" w:eastAsia="Times New Roman" w:hint="default"/>
          <w:spacing w:val="-4"/>
        </w:rPr>
        <w:t>8</w:t>
      </w:r>
      <w:r>
        <w:rPr>
          <w:spacing w:val="-4"/>
        </w:rPr>
        <w:t>省市营业税改征增值税试点增值税纳税申报有关事项的公告》（国家税务总局公告</w:t>
      </w:r>
      <w:r>
        <w:rPr>
          <w:rFonts w:ascii="Times New Roman" w:hAnsi="Times New Roman" w:cs="Times New Roman" w:eastAsia="Times New Roman" w:hint="default"/>
          <w:spacing w:val="-4"/>
        </w:rPr>
        <w:t>2012</w:t>
      </w:r>
      <w:r>
        <w:rPr>
          <w:rFonts w:ascii="Times New Roman" w:hAnsi="Times New Roman" w:cs="Times New Roman" w:eastAsia="Times New Roman" w:hint="default"/>
        </w:rPr>
        <w:t> </w:t>
      </w:r>
      <w:r>
        <w:rPr/>
        <w:t>年第</w:t>
      </w:r>
      <w:r>
        <w:rPr>
          <w:rFonts w:ascii="Times New Roman" w:hAnsi="Times New Roman" w:cs="Times New Roman" w:eastAsia="Times New Roman" w:hint="default"/>
        </w:rPr>
        <w:t>43</w:t>
      </w:r>
      <w:r>
        <w:rPr/>
        <w:t>号）的规定，广东省于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日开始在全省范围内实施营业税改增值税试点工作。</w:t>
      </w:r>
    </w:p>
    <w:p>
      <w:pPr>
        <w:pStyle w:val="BodyText"/>
        <w:spacing w:line="300" w:lineRule="auto" w:before="13"/>
        <w:ind w:right="192" w:firstLine="360"/>
        <w:jc w:val="both"/>
      </w:pPr>
      <w:r>
        <w:rPr>
          <w:spacing w:val="-1"/>
        </w:rPr>
        <w:t>本公司按所属地国税机关要求，自</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w:t>
      </w:r>
      <w:r>
        <w:rPr>
          <w:spacing w:val="-1"/>
        </w:rPr>
        <w:t>日起对</w:t>
      </w:r>
      <w:r>
        <w:rPr>
          <w:rFonts w:ascii="Times New Roman" w:hAnsi="Times New Roman" w:cs="Times New Roman" w:eastAsia="Times New Roman" w:hint="default"/>
          <w:spacing w:val="-1"/>
        </w:rPr>
        <w:t>ATM</w:t>
      </w:r>
      <w:r>
        <w:rPr>
          <w:spacing w:val="-1"/>
        </w:rPr>
        <w:t>融资租赁和合作经营手续费收入实行增值税申报和缴纳，并</w:t>
      </w:r>
      <w:r>
        <w:rPr/>
        <w:t> 按照有关规定，对提供有形动产租赁服务收入和合作经营手续费收入采用</w:t>
      </w:r>
      <w:r>
        <w:rPr>
          <w:rFonts w:ascii="Times New Roman" w:hAnsi="Times New Roman" w:cs="Times New Roman" w:eastAsia="Times New Roman" w:hint="default"/>
        </w:rPr>
        <w:t>17%</w:t>
      </w:r>
      <w:r>
        <w:rPr/>
        <w:t>税率。</w:t>
      </w:r>
    </w:p>
    <w:p>
      <w:pPr>
        <w:pStyle w:val="BodyText"/>
        <w:spacing w:line="304" w:lineRule="auto" w:before="13"/>
        <w:ind w:right="191" w:firstLine="360"/>
        <w:jc w:val="both"/>
      </w:pPr>
      <w:r>
        <w:rPr>
          <w:spacing w:val="-2"/>
        </w:rPr>
        <w:t>在新旧税制转换期间，本公司依照《财政部国家税务总局关于交通运输业和部分现代服务业营业税改增值税试点若干税</w:t>
      </w:r>
      <w:r>
        <w:rPr/>
        <w:t> </w:t>
      </w:r>
      <w:r>
        <w:rPr>
          <w:spacing w:val="-2"/>
        </w:rPr>
        <w:t>收政策的补充通知》（财税【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53</w:t>
      </w:r>
      <w:r>
        <w:rPr>
          <w:spacing w:val="-2"/>
        </w:rPr>
        <w:t>号）“第四点、试点纳税人中的一般纳税人，以试点实施之前购进或者自制的有形动</w:t>
      </w:r>
      <w:r>
        <w:rPr>
          <w:spacing w:val="-64"/>
        </w:rPr>
        <w:t> </w:t>
      </w:r>
      <w:r>
        <w:rPr>
          <w:spacing w:val="-64"/>
        </w:rPr>
      </w:r>
      <w:r>
        <w:rPr/>
        <w:t>产为标的物提供的经营租赁服务，试点期间可以选择使用简易计税方法计算缴纳增值税。”的规定，对于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日前</w:t>
      </w:r>
      <w:r>
        <w:rPr>
          <w:spacing w:val="-3"/>
        </w:rPr>
        <w:t> </w:t>
      </w:r>
      <w:r>
        <w:rPr/>
        <w:t>发出的融资机和合作机（发机时已做进项税额转出）所产生的租金收入和手续费收入选择使用</w:t>
      </w:r>
      <w:r>
        <w:rPr>
          <w:rFonts w:ascii="Times New Roman" w:hAnsi="Times New Roman" w:cs="Times New Roman" w:eastAsia="Times New Roman" w:hint="default"/>
        </w:rPr>
        <w:t>3%</w:t>
      </w:r>
      <w:r>
        <w:rPr/>
        <w:t>的简易征收率计算并缴纳 增值税。</w:t>
      </w:r>
    </w:p>
    <w:p>
      <w:pPr>
        <w:pStyle w:val="BodyText"/>
        <w:spacing w:line="240" w:lineRule="auto" w:before="28"/>
        <w:ind w:left="513" w:right="94"/>
        <w:jc w:val="left"/>
      </w:pPr>
      <w:r>
        <w:rPr/>
        <w:t>本年度按</w:t>
      </w:r>
      <w:r>
        <w:rPr>
          <w:rFonts w:ascii="Times New Roman" w:hAnsi="Times New Roman" w:cs="Times New Roman" w:eastAsia="Times New Roman" w:hint="default"/>
        </w:rPr>
        <w:t>3%</w:t>
      </w:r>
      <w:r>
        <w:rPr/>
        <w:t>简易征收率计算并缴纳增值税的租金收入和手续费收入为</w:t>
      </w:r>
      <w:r>
        <w:rPr>
          <w:rFonts w:ascii="Times New Roman" w:hAnsi="Times New Roman" w:cs="Times New Roman" w:eastAsia="Times New Roman" w:hint="default"/>
        </w:rPr>
        <w:t>200,028,944.28</w:t>
      </w:r>
      <w:r>
        <w:rPr/>
        <w:t>元。</w:t>
      </w:r>
    </w:p>
    <w:p>
      <w:pPr>
        <w:pStyle w:val="BodyText"/>
        <w:spacing w:line="240" w:lineRule="auto" w:before="63"/>
        <w:ind w:left="513" w:right="94"/>
        <w:jc w:val="left"/>
      </w:pPr>
      <w:r>
        <w:rPr/>
        <w:t>（</w:t>
      </w:r>
      <w:r>
        <w:rPr>
          <w:rFonts w:ascii="Times New Roman" w:hAnsi="Times New Roman" w:cs="Times New Roman" w:eastAsia="Times New Roman" w:hint="default"/>
        </w:rPr>
        <w:t>2</w:t>
      </w:r>
      <w:r>
        <w:rPr/>
        <w:t>）企业所得税</w:t>
      </w:r>
    </w:p>
    <w:p>
      <w:pPr>
        <w:pStyle w:val="BodyText"/>
        <w:spacing w:line="316" w:lineRule="auto" w:before="63"/>
        <w:ind w:left="513" w:right="94"/>
        <w:jc w:val="left"/>
      </w:pPr>
      <w:r>
        <w:rPr/>
        <w:t>①本公司 </w:t>
      </w:r>
      <w:r>
        <w:rPr>
          <w:spacing w:val="-2"/>
        </w:rPr>
        <w:t>根据广东省科学技术厅、广东省财政厅、广东省国家税务局和广东省地方税务局联合下发的《关于公布广东省</w:t>
      </w:r>
      <w:r>
        <w:rPr>
          <w:rFonts w:ascii="Times New Roman" w:hAnsi="Times New Roman" w:cs="Times New Roman" w:eastAsia="Times New Roman" w:hint="default"/>
          <w:spacing w:val="-2"/>
        </w:rPr>
        <w:t>2014</w:t>
      </w:r>
      <w:r>
        <w:rPr>
          <w:spacing w:val="-2"/>
        </w:rPr>
        <w:t>年第</w:t>
      </w:r>
    </w:p>
    <w:p>
      <w:pPr>
        <w:pStyle w:val="BodyText"/>
        <w:spacing w:line="300" w:lineRule="auto"/>
        <w:ind w:right="94"/>
        <w:jc w:val="left"/>
      </w:pPr>
      <w:r>
        <w:rPr>
          <w:spacing w:val="-7"/>
          <w:w w:val="99"/>
        </w:rPr>
        <w:t>一、二批高新技术企业名单的通知》（粤科高字【</w:t>
      </w:r>
      <w:r>
        <w:rPr>
          <w:rFonts w:ascii="Times New Roman" w:hAnsi="Times New Roman" w:cs="Times New Roman" w:eastAsia="Times New Roman" w:hint="default"/>
          <w:spacing w:val="-7"/>
          <w:w w:val="99"/>
        </w:rPr>
        <w:t>2015</w:t>
      </w:r>
      <w:r>
        <w:rPr>
          <w:spacing w:val="-7"/>
          <w:w w:val="99"/>
        </w:rPr>
        <w:t>】</w:t>
      </w:r>
      <w:r>
        <w:rPr>
          <w:rFonts w:ascii="Times New Roman" w:hAnsi="Times New Roman" w:cs="Times New Roman" w:eastAsia="Times New Roman" w:hint="default"/>
          <w:spacing w:val="-7"/>
          <w:w w:val="99"/>
        </w:rPr>
        <w:t>30</w:t>
      </w:r>
      <w:r>
        <w:rPr>
          <w:spacing w:val="-7"/>
          <w:w w:val="99"/>
        </w:rPr>
        <w:t>号），并获发《高新技术企业证书》（证书编号：</w:t>
      </w:r>
      <w:r>
        <w:rPr>
          <w:rFonts w:ascii="Times New Roman" w:hAnsi="Times New Roman" w:cs="Times New Roman" w:eastAsia="Times New Roman" w:hint="default"/>
          <w:spacing w:val="-7"/>
          <w:w w:val="99"/>
        </w:rPr>
        <w:t>GR201444001233</w:t>
      </w:r>
      <w:r>
        <w:rPr>
          <w:spacing w:val="-7"/>
          <w:w w:val="99"/>
        </w:rPr>
        <w:t>，</w:t>
      </w:r>
      <w:r>
        <w:rPr>
          <w:spacing w:val="-60"/>
          <w:w w:val="99"/>
        </w:rPr>
        <w:t> </w:t>
      </w:r>
      <w:r>
        <w:rPr/>
        <w:t>有效期</w:t>
      </w:r>
      <w:r>
        <w:rPr>
          <w:rFonts w:ascii="Times New Roman" w:hAnsi="Times New Roman" w:cs="Times New Roman" w:eastAsia="Times New Roman" w:hint="default"/>
        </w:rPr>
        <w:t>3</w:t>
      </w:r>
      <w:r>
        <w:rPr/>
        <w:t>年）。按照《企业所得税法》等相关法规规定，本公司自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日三年内享受国家高新技术</w:t>
      </w:r>
    </w:p>
    <w:p>
      <w:pPr>
        <w:spacing w:after="0" w:line="300" w:lineRule="auto"/>
        <w:jc w:val="left"/>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240" w:lineRule="auto" w:before="44"/>
        <w:ind w:right="0"/>
        <w:jc w:val="both"/>
      </w:pPr>
      <w:r>
        <w:rPr/>
        <w:t>企业</w:t>
      </w:r>
      <w:r>
        <w:rPr>
          <w:rFonts w:ascii="Times New Roman" w:hAnsi="Times New Roman" w:cs="Times New Roman" w:eastAsia="Times New Roman" w:hint="default"/>
        </w:rPr>
        <w:t>15%</w:t>
      </w:r>
      <w:r>
        <w:rPr/>
        <w:t>的所得税税率。</w:t>
      </w:r>
    </w:p>
    <w:p>
      <w:pPr>
        <w:pStyle w:val="BodyText"/>
        <w:spacing w:line="316" w:lineRule="auto" w:before="63"/>
        <w:ind w:left="513" w:right="0"/>
        <w:jc w:val="left"/>
      </w:pPr>
      <w:r>
        <w:rPr/>
        <w:t>②广州御新软件有限公司 </w:t>
      </w:r>
      <w:r>
        <w:rPr>
          <w:spacing w:val="-2"/>
        </w:rPr>
        <w:t>根据广东省科学技术厅、广东省财政厅、广东省国家税务局和广东省地方税务局联合下发的《关于公布广东省</w:t>
      </w:r>
      <w:r>
        <w:rPr>
          <w:rFonts w:ascii="Times New Roman" w:hAnsi="Times New Roman" w:cs="Times New Roman" w:eastAsia="Times New Roman" w:hint="default"/>
          <w:spacing w:val="-2"/>
        </w:rPr>
        <w:t>2014</w:t>
      </w:r>
      <w:r>
        <w:rPr>
          <w:spacing w:val="-2"/>
        </w:rPr>
        <w:t>年第</w:t>
      </w:r>
    </w:p>
    <w:p>
      <w:pPr>
        <w:pStyle w:val="BodyText"/>
        <w:spacing w:line="300" w:lineRule="auto"/>
        <w:ind w:right="150"/>
        <w:jc w:val="both"/>
      </w:pPr>
      <w:r>
        <w:rPr>
          <w:spacing w:val="-6"/>
        </w:rPr>
        <w:t>一、二批高新技术企业名单的通知》（粤科高字【</w:t>
      </w:r>
      <w:r>
        <w:rPr>
          <w:rFonts w:ascii="Times New Roman" w:hAnsi="Times New Roman" w:cs="Times New Roman" w:eastAsia="Times New Roman" w:hint="default"/>
          <w:spacing w:val="-6"/>
        </w:rPr>
        <w:t>2015</w:t>
      </w:r>
      <w:r>
        <w:rPr>
          <w:spacing w:val="-6"/>
        </w:rPr>
        <w:t>】</w:t>
      </w:r>
      <w:r>
        <w:rPr>
          <w:rFonts w:ascii="Times New Roman" w:hAnsi="Times New Roman" w:cs="Times New Roman" w:eastAsia="Times New Roman" w:hint="default"/>
          <w:spacing w:val="-6"/>
        </w:rPr>
        <w:t>30</w:t>
      </w:r>
      <w:r>
        <w:rPr>
          <w:spacing w:val="-6"/>
        </w:rPr>
        <w:t>号），并获发《高新技术企业证书》（证书编号：</w:t>
      </w:r>
      <w:r>
        <w:rPr>
          <w:rFonts w:ascii="Times New Roman" w:hAnsi="Times New Roman" w:cs="Times New Roman" w:eastAsia="Times New Roman" w:hint="default"/>
          <w:spacing w:val="-6"/>
        </w:rPr>
        <w:t>GR201444000188,</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有效期</w:t>
      </w:r>
      <w:r>
        <w:rPr>
          <w:rFonts w:ascii="Times New Roman" w:hAnsi="Times New Roman" w:cs="Times New Roman" w:eastAsia="Times New Roman" w:hint="default"/>
        </w:rPr>
        <w:t>3</w:t>
      </w:r>
      <w:r>
        <w:rPr/>
        <w:t>年）。按照《企业所得税法》等相关法规规定，公司全资子公司广州御新软件有限公司自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31</w:t>
      </w:r>
      <w:r>
        <w:rPr/>
        <w:t>日三年内享受国家高新技术企业</w:t>
      </w:r>
      <w:r>
        <w:rPr>
          <w:rFonts w:ascii="Times New Roman" w:hAnsi="Times New Roman" w:cs="Times New Roman" w:eastAsia="Times New Roman" w:hint="default"/>
        </w:rPr>
        <w:t>15%</w:t>
      </w:r>
      <w:r>
        <w:rPr/>
        <w:t>的所得税税率。</w:t>
      </w:r>
    </w:p>
    <w:p>
      <w:pPr>
        <w:pStyle w:val="BodyText"/>
        <w:spacing w:line="316" w:lineRule="auto" w:before="13"/>
        <w:ind w:left="513" w:right="0"/>
        <w:jc w:val="left"/>
      </w:pPr>
      <w:r>
        <w:rPr/>
        <w:t>③广州御银自动柜员机技术有限公司 </w:t>
      </w:r>
      <w:r>
        <w:rPr>
          <w:spacing w:val="-2"/>
        </w:rPr>
        <w:t>根据广东省科学技术厅、广东省财政厅、广东省国家税务局和广东省地方税务局联合下发的《关于公布广东省</w:t>
      </w:r>
      <w:r>
        <w:rPr>
          <w:rFonts w:ascii="Times New Roman" w:hAnsi="Times New Roman" w:cs="Times New Roman" w:eastAsia="Times New Roman" w:hint="default"/>
          <w:spacing w:val="-2"/>
        </w:rPr>
        <w:t>2014</w:t>
      </w:r>
      <w:r>
        <w:rPr>
          <w:spacing w:val="-2"/>
        </w:rPr>
        <w:t>年第</w:t>
      </w:r>
    </w:p>
    <w:p>
      <w:pPr>
        <w:pStyle w:val="BodyText"/>
        <w:spacing w:line="300" w:lineRule="auto"/>
        <w:ind w:right="150"/>
        <w:jc w:val="both"/>
      </w:pPr>
      <w:r>
        <w:rPr>
          <w:spacing w:val="-6"/>
        </w:rPr>
        <w:t>一、二批高新技术企业名单的通知》（粤科高字【</w:t>
      </w:r>
      <w:r>
        <w:rPr>
          <w:rFonts w:ascii="Times New Roman" w:hAnsi="Times New Roman" w:cs="Times New Roman" w:eastAsia="Times New Roman" w:hint="default"/>
          <w:spacing w:val="-6"/>
        </w:rPr>
        <w:t>2015</w:t>
      </w:r>
      <w:r>
        <w:rPr>
          <w:spacing w:val="-6"/>
        </w:rPr>
        <w:t>】</w:t>
      </w:r>
      <w:r>
        <w:rPr>
          <w:rFonts w:ascii="Times New Roman" w:hAnsi="Times New Roman" w:cs="Times New Roman" w:eastAsia="Times New Roman" w:hint="default"/>
          <w:spacing w:val="-6"/>
        </w:rPr>
        <w:t>30</w:t>
      </w:r>
      <w:r>
        <w:rPr>
          <w:spacing w:val="-6"/>
        </w:rPr>
        <w:t>号），并获发《高新技术企业证书》（证书编号：</w:t>
      </w:r>
      <w:r>
        <w:rPr>
          <w:rFonts w:ascii="Times New Roman" w:hAnsi="Times New Roman" w:cs="Times New Roman" w:eastAsia="Times New Roman" w:hint="default"/>
          <w:spacing w:val="-6"/>
        </w:rPr>
        <w:t>GR201444001479,</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有效期</w:t>
      </w:r>
      <w:r>
        <w:rPr>
          <w:rFonts w:ascii="Times New Roman" w:hAnsi="Times New Roman" w:cs="Times New Roman" w:eastAsia="Times New Roman" w:hint="default"/>
        </w:rPr>
        <w:t>3</w:t>
      </w:r>
      <w:r>
        <w:rPr/>
        <w:t>年）。按照《企业所得税法》等相关法规规定，公司全资子公司广州御银自动柜员机技术有限公司自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 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日三年内享受国家高新技术企业</w:t>
      </w:r>
      <w:r>
        <w:rPr>
          <w:rFonts w:ascii="Times New Roman" w:hAnsi="Times New Roman" w:cs="Times New Roman" w:eastAsia="Times New Roman" w:hint="default"/>
        </w:rPr>
        <w:t>15%</w:t>
      </w:r>
      <w:r>
        <w:rPr/>
        <w:t>的所得税税率。</w:t>
      </w:r>
    </w:p>
    <w:p>
      <w:pPr>
        <w:pStyle w:val="BodyText"/>
        <w:spacing w:line="316" w:lineRule="auto" w:before="13"/>
        <w:ind w:left="513" w:right="140"/>
        <w:jc w:val="left"/>
      </w:pPr>
      <w:r>
        <w:rPr/>
        <w:t>④广州御银自动柜员机科技有限公司 </w:t>
      </w:r>
      <w:r>
        <w:rPr>
          <w:spacing w:val="-1"/>
        </w:rPr>
        <w:t>根据财政部和国家税务总局《关于企业所得税若干优惠政策的通知》</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[2008]1</w:t>
      </w:r>
      <w:r>
        <w:rPr>
          <w:spacing w:val="-1"/>
        </w:rPr>
        <w:t>号</w:t>
      </w:r>
      <w:r>
        <w:rPr>
          <w:rFonts w:ascii="Times New Roman" w:hAnsi="Times New Roman" w:cs="Times New Roman" w:eastAsia="Times New Roman" w:hint="default"/>
          <w:spacing w:val="-1"/>
        </w:rPr>
        <w:t>)</w:t>
      </w:r>
      <w:r>
        <w:rPr>
          <w:spacing w:val="-1"/>
        </w:rPr>
        <w:t>规定，对我国境内新办软件生产企</w:t>
      </w:r>
    </w:p>
    <w:p>
      <w:pPr>
        <w:pStyle w:val="BodyText"/>
        <w:spacing w:line="309" w:lineRule="auto"/>
        <w:ind w:right="150"/>
        <w:jc w:val="both"/>
      </w:pPr>
      <w:r>
        <w:rPr>
          <w:spacing w:val="-2"/>
        </w:rPr>
        <w:t>业经认定后，自获利年度起，第一年和第二年免征企业所得税，第三年至第五年减半征收企业所得税。公司全资子公司广州</w:t>
      </w:r>
      <w:r>
        <w:rPr>
          <w:spacing w:val="-63"/>
        </w:rPr>
        <w:t> </w:t>
      </w:r>
      <w:r>
        <w:rPr>
          <w:spacing w:val="-63"/>
        </w:rPr>
      </w:r>
      <w:r>
        <w:rPr/>
        <w:t>御银自动柜员机科技有限公司已取得软件企业认定证书（证书编号：粤</w:t>
      </w:r>
      <w:r>
        <w:rPr>
          <w:rFonts w:ascii="Times New Roman" w:hAnsi="Times New Roman" w:cs="Times New Roman" w:eastAsia="Times New Roman" w:hint="default"/>
        </w:rPr>
        <w:t>R-2014-0175</w:t>
      </w:r>
      <w:r>
        <w:rPr/>
        <w:t>），根据相关规定，公司</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2016 </w:t>
      </w:r>
      <w:r>
        <w:rPr/>
        <w:t>年免征企业所得税，</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年减半征收企业所得税。</w:t>
      </w:r>
    </w:p>
    <w:p>
      <w:pPr>
        <w:spacing w:line="240" w:lineRule="auto" w:before="10"/>
        <w:rPr>
          <w:rFonts w:ascii="宋体" w:hAnsi="宋体" w:cs="宋体" w:eastAsia="宋体" w:hint="default"/>
          <w:sz w:val="19"/>
          <w:szCs w:val="19"/>
        </w:rPr>
      </w:pPr>
    </w:p>
    <w:p>
      <w:pPr>
        <w:pStyle w:val="Heading2"/>
        <w:spacing w:line="240" w:lineRule="auto"/>
        <w:ind w:right="0"/>
        <w:jc w:val="both"/>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1,449,898.03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199,084.52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421,066,417.61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268,040,821.38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30,849,929.62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21,983,413.50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453,366,245.26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290,223,319.40</w:t>
            </w:r>
          </w:p>
        </w:tc>
      </w:tr>
    </w:tbl>
    <w:p>
      <w:pPr>
        <w:pStyle w:val="BodyText"/>
        <w:spacing w:line="360" w:lineRule="auto" w:before="49"/>
        <w:ind w:right="1854"/>
        <w:jc w:val="left"/>
      </w:pPr>
      <w:r>
        <w:rPr/>
        <w:t>其他说明 其中因抵押、质押或冻结等对使用有限制，以及放在境外且资金汇回受到限制的货币资金明细如下：</w:t>
      </w:r>
    </w:p>
    <w:tbl>
      <w:tblPr>
        <w:tblW w:w="0" w:type="auto"/>
        <w:jc w:val="left"/>
        <w:tblInd w:w="145" w:type="dxa"/>
        <w:tblLayout w:type="fixed"/>
        <w:tblCellMar>
          <w:top w:w="0" w:type="dxa"/>
          <w:left w:w="0" w:type="dxa"/>
          <w:bottom w:w="0" w:type="dxa"/>
          <w:right w:w="0" w:type="dxa"/>
        </w:tblCellMar>
        <w:tblLook w:val="01E0"/>
      </w:tblPr>
      <w:tblGrid>
        <w:gridCol w:w="3543"/>
        <w:gridCol w:w="2844"/>
        <w:gridCol w:w="3193"/>
      </w:tblGrid>
      <w:tr>
        <w:trPr>
          <w:trHeight w:val="341" w:hRule="exact"/>
        </w:trPr>
        <w:tc>
          <w:tcPr>
            <w:tcW w:w="3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3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18"/>
                <w:szCs w:val="18"/>
              </w:rPr>
            </w:pPr>
            <w:r>
              <w:rPr>
                <w:rFonts w:ascii="Times New Roman"/>
                <w:spacing w:val="-1"/>
                <w:sz w:val="18"/>
              </w:rPr>
              <w:t>1,004,888.86</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18"/>
                <w:szCs w:val="18"/>
              </w:rPr>
            </w:pPr>
            <w:r>
              <w:rPr>
                <w:rFonts w:ascii="Times New Roman"/>
                <w:spacing w:val="-1"/>
                <w:sz w:val="18"/>
              </w:rPr>
              <w:t>1,513,500.00</w:t>
            </w:r>
          </w:p>
        </w:tc>
      </w:tr>
      <w:tr>
        <w:trPr>
          <w:trHeight w:val="346" w:hRule="exact"/>
        </w:trPr>
        <w:tc>
          <w:tcPr>
            <w:tcW w:w="3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pacing w:val="-1"/>
                <w:sz w:val="18"/>
              </w:rPr>
              <w:t>29,845,040.76</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19,569,835.94</w:t>
            </w:r>
          </w:p>
        </w:tc>
      </w:tr>
      <w:tr>
        <w:trPr>
          <w:trHeight w:val="348" w:hRule="exact"/>
        </w:trPr>
        <w:tc>
          <w:tcPr>
            <w:tcW w:w="3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844"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348" w:hRule="exact"/>
        </w:trPr>
        <w:tc>
          <w:tcPr>
            <w:tcW w:w="3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pacing w:val="-1"/>
                <w:sz w:val="18"/>
              </w:rPr>
              <w:t>30,849,929.62</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21,983,335.94</w:t>
            </w:r>
          </w:p>
        </w:tc>
      </w:tr>
    </w:tbl>
    <w:p>
      <w:pPr>
        <w:spacing w:line="240" w:lineRule="auto" w:before="13"/>
        <w:rPr>
          <w:rFonts w:ascii="宋体" w:hAnsi="宋体" w:cs="宋体" w:eastAsia="宋体" w:hint="default"/>
          <w:sz w:val="17"/>
          <w:szCs w:val="17"/>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、衍生金融资产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021" w:top="1100" w:bottom="1220" w:left="980" w:right="980"/>
        </w:sectPr>
      </w:pPr>
    </w:p>
    <w:p>
      <w:pPr>
        <w:spacing w:line="240" w:lineRule="auto" w:before="9"/>
        <w:rPr>
          <w:rFonts w:ascii="宋体" w:hAnsi="宋体" w:cs="宋体" w:eastAsia="宋体" w:hint="default"/>
          <w:sz w:val="21"/>
          <w:szCs w:val="21"/>
        </w:rPr>
      </w:pPr>
    </w:p>
    <w:p>
      <w:pPr>
        <w:pStyle w:val="Heading3"/>
        <w:spacing w:line="240" w:lineRule="auto" w:before="36"/>
        <w:ind w:left="772" w:right="2544"/>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spacing w:before="0"/>
        <w:ind w:left="772" w:right="25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7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864"/>
        <w:gridCol w:w="1224"/>
        <w:gridCol w:w="874"/>
        <w:gridCol w:w="1093"/>
        <w:gridCol w:w="586"/>
        <w:gridCol w:w="1335"/>
        <w:gridCol w:w="1214"/>
        <w:gridCol w:w="751"/>
        <w:gridCol w:w="1160"/>
        <w:gridCol w:w="574"/>
        <w:gridCol w:w="1268"/>
      </w:tblGrid>
      <w:tr>
        <w:trPr>
          <w:trHeight w:val="401" w:hRule="exact"/>
        </w:trPr>
        <w:tc>
          <w:tcPr>
            <w:tcW w:w="864" w:type="dxa"/>
            <w:vMerge w:val="restart"/>
            <w:tcBorders>
              <w:top w:val="single" w:sz="4" w:space="0" w:color="000000"/>
              <w:left w:val="single" w:sz="4" w:space="0" w:color="000000"/>
              <w:right w:val="single" w:sz="4" w:space="0" w:color="000000"/>
            </w:tcBorders>
            <w:shd w:val="clear" w:color="auto" w:fill="D2D2D2"/>
          </w:tcPr>
          <w:p>
            <w:pPr/>
          </w:p>
        </w:tc>
        <w:tc>
          <w:tcPr>
            <w:tcW w:w="5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6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70" w:hRule="exact"/>
        </w:trPr>
        <w:tc>
          <w:tcPr>
            <w:tcW w:w="864" w:type="dxa"/>
            <w:vMerge/>
            <w:tcBorders>
              <w:left w:val="single" w:sz="4" w:space="0" w:color="000000"/>
              <w:bottom w:val="nil" w:sz="6" w:space="0" w:color="auto"/>
              <w:right w:val="single" w:sz="4" w:space="0" w:color="000000"/>
            </w:tcBorders>
            <w:shd w:val="clear" w:color="auto" w:fill="D2D2D2"/>
          </w:tcPr>
          <w:p>
            <w:pPr/>
          </w:p>
        </w:tc>
        <w:tc>
          <w:tcPr>
            <w:tcW w:w="20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6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35" w:type="dxa"/>
            <w:vMerge w:val="restart"/>
            <w:tcBorders>
              <w:top w:val="single" w:sz="4" w:space="0" w:color="000000"/>
              <w:left w:val="single" w:sz="4" w:space="0" w:color="000000"/>
              <w:right w:val="single" w:sz="4" w:space="0" w:color="000000"/>
            </w:tcBorders>
            <w:shd w:val="clear" w:color="auto" w:fill="D2D2D2"/>
          </w:tcPr>
          <w:p>
            <w:pPr/>
          </w:p>
        </w:tc>
        <w:tc>
          <w:tcPr>
            <w:tcW w:w="19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8" w:type="dxa"/>
            <w:vMerge w:val="restart"/>
            <w:tcBorders>
              <w:top w:val="single" w:sz="4" w:space="0" w:color="000000"/>
              <w:left w:val="single" w:sz="4" w:space="0" w:color="000000"/>
              <w:right w:val="single" w:sz="4" w:space="0" w:color="000000"/>
            </w:tcBorders>
            <w:shd w:val="clear" w:color="auto" w:fill="D2D2D2"/>
          </w:tcPr>
          <w:p>
            <w:pPr/>
          </w:p>
        </w:tc>
      </w:tr>
      <w:tr>
        <w:trPr>
          <w:trHeight w:val="245" w:hRule="exact"/>
        </w:trPr>
        <w:tc>
          <w:tcPr>
            <w:tcW w:w="8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098" w:type="dxa"/>
            <w:gridSpan w:val="2"/>
            <w:vMerge/>
            <w:tcBorders>
              <w:left w:val="single" w:sz="4" w:space="0" w:color="000000"/>
              <w:bottom w:val="single" w:sz="4" w:space="0" w:color="000000"/>
              <w:right w:val="single" w:sz="4" w:space="0" w:color="000000"/>
            </w:tcBorders>
            <w:shd w:val="clear" w:color="auto" w:fill="D2D2D2"/>
          </w:tcPr>
          <w:p>
            <w:pPr/>
          </w:p>
        </w:tc>
        <w:tc>
          <w:tcPr>
            <w:tcW w:w="1678" w:type="dxa"/>
            <w:gridSpan w:val="2"/>
            <w:vMerge/>
            <w:tcBorders>
              <w:left w:val="single" w:sz="4" w:space="0" w:color="000000"/>
              <w:bottom w:val="single" w:sz="4" w:space="0" w:color="000000"/>
              <w:right w:val="single" w:sz="4" w:space="0" w:color="000000"/>
            </w:tcBorders>
            <w:shd w:val="clear" w:color="auto" w:fill="D2D2D2"/>
          </w:tcPr>
          <w:p>
            <w:pPr/>
          </w:p>
        </w:tc>
        <w:tc>
          <w:tcPr>
            <w:tcW w:w="1335" w:type="dxa"/>
            <w:vMerge/>
            <w:tcBorders>
              <w:left w:val="single" w:sz="4" w:space="0" w:color="000000"/>
              <w:bottom w:val="nil" w:sz="6" w:space="0" w:color="auto"/>
              <w:right w:val="single" w:sz="4" w:space="0" w:color="000000"/>
            </w:tcBorders>
            <w:shd w:val="clear" w:color="auto" w:fill="D2D2D2"/>
          </w:tcPr>
          <w:p>
            <w:pPr/>
          </w:p>
        </w:tc>
        <w:tc>
          <w:tcPr>
            <w:tcW w:w="1966" w:type="dxa"/>
            <w:gridSpan w:val="2"/>
            <w:vMerge/>
            <w:tcBorders>
              <w:left w:val="single" w:sz="4" w:space="0" w:color="000000"/>
              <w:bottom w:val="single" w:sz="4" w:space="0" w:color="000000"/>
              <w:right w:val="single" w:sz="4" w:space="0" w:color="000000"/>
            </w:tcBorders>
            <w:shd w:val="clear" w:color="auto" w:fill="D2D2D2"/>
          </w:tcPr>
          <w:p>
            <w:pPr/>
          </w:p>
        </w:tc>
        <w:tc>
          <w:tcPr>
            <w:tcW w:w="1733" w:type="dxa"/>
            <w:gridSpan w:val="2"/>
            <w:vMerge/>
            <w:tcBorders>
              <w:left w:val="single" w:sz="4" w:space="0" w:color="000000"/>
              <w:bottom w:val="single" w:sz="4" w:space="0" w:color="000000"/>
              <w:right w:val="single" w:sz="4" w:space="0" w:color="000000"/>
            </w:tcBorders>
            <w:shd w:val="clear" w:color="auto" w:fill="D2D2D2"/>
          </w:tcPr>
          <w:p>
            <w:pPr/>
          </w:p>
        </w:tc>
        <w:tc>
          <w:tcPr>
            <w:tcW w:w="1268"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864" w:type="dxa"/>
            <w:vMerge/>
            <w:tcBorders>
              <w:left w:val="single" w:sz="4" w:space="0" w:color="000000"/>
              <w:bottom w:val="nil" w:sz="6" w:space="0" w:color="auto"/>
              <w:right w:val="single" w:sz="4" w:space="0" w:color="000000"/>
            </w:tcBorders>
            <w:shd w:val="clear" w:color="auto" w:fill="D2D2D2"/>
          </w:tcPr>
          <w:p>
            <w:pPr/>
          </w:p>
        </w:tc>
        <w:tc>
          <w:tcPr>
            <w:tcW w:w="12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8" w:right="10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3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1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0" w:right="10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26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2" w:hRule="exact"/>
        </w:trPr>
        <w:tc>
          <w:tcPr>
            <w:tcW w:w="864" w:type="dxa"/>
            <w:vMerge w:val="restart"/>
            <w:tcBorders>
              <w:top w:val="nil" w:sz="6" w:space="0" w:color="auto"/>
              <w:left w:val="single" w:sz="4" w:space="0" w:color="000000"/>
              <w:right w:val="single" w:sz="4" w:space="0" w:color="000000"/>
            </w:tcBorders>
            <w:shd w:val="clear" w:color="auto" w:fill="D2D2D2"/>
          </w:tcPr>
          <w:p>
            <w:pPr/>
          </w:p>
        </w:tc>
        <w:tc>
          <w:tcPr>
            <w:tcW w:w="12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86" w:type="dxa"/>
            <w:vMerge/>
            <w:tcBorders>
              <w:left w:val="single" w:sz="4" w:space="0" w:color="000000"/>
              <w:right w:val="single" w:sz="4" w:space="0" w:color="000000"/>
            </w:tcBorders>
            <w:shd w:val="clear" w:color="auto" w:fill="D2D2D2"/>
          </w:tcPr>
          <w:p>
            <w:pPr/>
          </w:p>
        </w:tc>
        <w:tc>
          <w:tcPr>
            <w:tcW w:w="1335" w:type="dxa"/>
            <w:vMerge/>
            <w:tcBorders>
              <w:left w:val="single" w:sz="4" w:space="0" w:color="000000"/>
              <w:bottom w:val="nil" w:sz="6" w:space="0" w:color="auto"/>
              <w:right w:val="single" w:sz="4" w:space="0" w:color="000000"/>
            </w:tcBorders>
            <w:shd w:val="clear" w:color="auto" w:fill="D2D2D2"/>
          </w:tcPr>
          <w:p>
            <w:pPr/>
          </w:p>
        </w:tc>
        <w:tc>
          <w:tcPr>
            <w:tcW w:w="12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74" w:type="dxa"/>
            <w:vMerge/>
            <w:tcBorders>
              <w:left w:val="single" w:sz="4" w:space="0" w:color="000000"/>
              <w:right w:val="single" w:sz="4" w:space="0" w:color="000000"/>
            </w:tcBorders>
            <w:shd w:val="clear" w:color="auto" w:fill="D2D2D2"/>
          </w:tcPr>
          <w:p>
            <w:pPr/>
          </w:p>
        </w:tc>
        <w:tc>
          <w:tcPr>
            <w:tcW w:w="1268" w:type="dxa"/>
            <w:vMerge/>
            <w:tcBorders>
              <w:left w:val="single" w:sz="4" w:space="0" w:color="000000"/>
              <w:bottom w:val="nil" w:sz="6" w:space="0" w:color="auto"/>
              <w:right w:val="single" w:sz="4" w:space="0" w:color="000000"/>
            </w:tcBorders>
            <w:shd w:val="clear" w:color="auto" w:fill="D2D2D2"/>
          </w:tcPr>
          <w:p>
            <w:pPr/>
          </w:p>
        </w:tc>
      </w:tr>
      <w:tr>
        <w:trPr>
          <w:trHeight w:val="209" w:hRule="exact"/>
        </w:trPr>
        <w:tc>
          <w:tcPr>
            <w:tcW w:w="864" w:type="dxa"/>
            <w:vMerge/>
            <w:tcBorders>
              <w:left w:val="single" w:sz="4" w:space="0" w:color="000000"/>
              <w:right w:val="single" w:sz="4" w:space="0" w:color="000000"/>
            </w:tcBorders>
            <w:shd w:val="clear" w:color="auto" w:fill="D2D2D2"/>
          </w:tcPr>
          <w:p>
            <w:pPr/>
          </w:p>
        </w:tc>
        <w:tc>
          <w:tcPr>
            <w:tcW w:w="1224" w:type="dxa"/>
            <w:vMerge/>
            <w:tcBorders>
              <w:left w:val="single" w:sz="4" w:space="0" w:color="000000"/>
              <w:bottom w:val="nil" w:sz="6" w:space="0" w:color="auto"/>
              <w:right w:val="single" w:sz="4" w:space="0" w:color="000000"/>
            </w:tcBorders>
            <w:shd w:val="clear" w:color="auto" w:fill="D2D2D2"/>
          </w:tcPr>
          <w:p>
            <w:pPr/>
          </w:p>
        </w:tc>
        <w:tc>
          <w:tcPr>
            <w:tcW w:w="874"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1335" w:type="dxa"/>
            <w:vMerge w:val="restart"/>
            <w:tcBorders>
              <w:top w:val="nil" w:sz="6" w:space="0" w:color="auto"/>
              <w:left w:val="single" w:sz="4" w:space="0" w:color="000000"/>
              <w:right w:val="single" w:sz="4" w:space="0" w:color="000000"/>
            </w:tcBorders>
            <w:shd w:val="clear" w:color="auto" w:fill="D2D2D2"/>
          </w:tcPr>
          <w:p>
            <w:pPr/>
          </w:p>
        </w:tc>
        <w:tc>
          <w:tcPr>
            <w:tcW w:w="1214"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bottom w:val="nil" w:sz="6" w:space="0" w:color="auto"/>
              <w:right w:val="single" w:sz="4" w:space="0" w:color="000000"/>
            </w:tcBorders>
            <w:shd w:val="clear" w:color="auto" w:fill="D2D2D2"/>
          </w:tcPr>
          <w:p>
            <w:pPr/>
          </w:p>
        </w:tc>
        <w:tc>
          <w:tcPr>
            <w:tcW w:w="1160"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126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12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1335" w:type="dxa"/>
            <w:vMerge/>
            <w:tcBorders>
              <w:left w:val="single" w:sz="4" w:space="0" w:color="000000"/>
              <w:bottom w:val="single" w:sz="4" w:space="0" w:color="000000"/>
              <w:right w:val="single" w:sz="4" w:space="0" w:color="000000"/>
            </w:tcBorders>
            <w:shd w:val="clear" w:color="auto" w:fill="D2D2D2"/>
          </w:tcPr>
          <w:p>
            <w:pPr/>
          </w:p>
        </w:tc>
        <w:tc>
          <w:tcPr>
            <w:tcW w:w="121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1268" w:type="dxa"/>
            <w:vMerge/>
            <w:tcBorders>
              <w:left w:val="single" w:sz="4" w:space="0" w:color="000000"/>
              <w:bottom w:val="single" w:sz="4" w:space="0" w:color="000000"/>
              <w:right w:val="single" w:sz="4" w:space="0" w:color="000000"/>
            </w:tcBorders>
            <w:shd w:val="clear" w:color="auto" w:fill="D2D2D2"/>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120"/>
              <w:jc w:val="both"/>
              <w:rPr>
                <w:rFonts w:ascii="宋体" w:hAnsi="宋体" w:cs="宋体" w:eastAsia="宋体" w:hint="default"/>
                <w:sz w:val="18"/>
                <w:szCs w:val="18"/>
              </w:rPr>
            </w:pPr>
            <w:r>
              <w:rPr>
                <w:rFonts w:ascii="宋体" w:hAnsi="宋体" w:cs="宋体" w:eastAsia="宋体" w:hint="default"/>
                <w:sz w:val="18"/>
                <w:szCs w:val="18"/>
              </w:rPr>
              <w:t>按信用风 险特征组 合计提坏 账准备的 应收账款</w:t>
            </w:r>
          </w:p>
        </w:tc>
        <w:tc>
          <w:tcPr>
            <w:tcW w:w="12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351,508,041.35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24,518,773.60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326,989,267.75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345,329,569.41</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24,627,871.78</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7.13%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320,701,697.63</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351,508,041.35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24,518,773.60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326,989,267.75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345,329,569.41</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24,627,871.78</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7.13%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320,701,697.63</w:t>
            </w:r>
          </w:p>
        </w:tc>
      </w:tr>
    </w:tbl>
    <w:p>
      <w:pPr>
        <w:spacing w:after="0" w:line="240" w:lineRule="auto"/>
        <w:jc w:val="center"/>
        <w:rPr>
          <w:rFonts w:ascii="Times New Roman" w:hAnsi="Times New Roman" w:cs="Times New Roman" w:eastAsia="Times New Roman" w:hint="default"/>
          <w:sz w:val="18"/>
          <w:szCs w:val="18"/>
        </w:rPr>
        <w:sectPr>
          <w:pgSz w:w="11910" w:h="16840"/>
          <w:pgMar w:header="786" w:footer="1021" w:top="1100" w:bottom="1220" w:left="360" w:right="380"/>
        </w:sectPr>
      </w:pPr>
    </w:p>
    <w:p>
      <w:pPr>
        <w:pStyle w:val="BodyText"/>
        <w:spacing w:line="240" w:lineRule="auto" w:before="49"/>
        <w:ind w:left="772" w:right="-20"/>
        <w:jc w:val="left"/>
      </w:pPr>
      <w:r>
        <w:rPr/>
        <w:t>期末单项金额重大并单项计提坏账准备的应收账款：</w:t>
      </w:r>
    </w:p>
    <w:p>
      <w:pPr>
        <w:pStyle w:val="BodyText"/>
        <w:spacing w:line="338" w:lineRule="auto" w:before="117"/>
        <w:ind w:left="77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left="77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772" w:right="0"/>
        <w:jc w:val="left"/>
      </w:pPr>
      <w:r>
        <w:rPr/>
        <w:t>单位：</w:t>
      </w:r>
      <w:r>
        <w:rPr>
          <w:spacing w:val="1"/>
        </w:rPr>
        <w:t> </w:t>
      </w:r>
      <w:r>
        <w:rPr/>
        <w:t>元</w:t>
      </w:r>
    </w:p>
    <w:p>
      <w:pPr>
        <w:spacing w:after="0" w:line="240" w:lineRule="auto"/>
        <w:jc w:val="left"/>
        <w:sectPr>
          <w:type w:val="continuous"/>
          <w:pgSz w:w="11910" w:h="16840"/>
          <w:pgMar w:top="1100" w:bottom="1220" w:left="360" w:right="380"/>
          <w:cols w:num="2" w:equalWidth="0">
            <w:col w:w="4913" w:space="3916"/>
            <w:col w:w="2341"/>
          </w:cols>
        </w:sectPr>
      </w:pPr>
    </w:p>
    <w:p>
      <w:pPr>
        <w:spacing w:line="240" w:lineRule="auto" w:before="3"/>
        <w:rPr>
          <w:rFonts w:ascii="宋体" w:hAnsi="宋体" w:cs="宋体" w:eastAsia="宋体" w:hint="default"/>
          <w:sz w:val="8"/>
          <w:szCs w:val="8"/>
        </w:rPr>
      </w:pPr>
    </w:p>
    <w:tbl>
      <w:tblPr>
        <w:tblW w:w="0" w:type="auto"/>
        <w:jc w:val="left"/>
        <w:tblInd w:w="768" w:type="dxa"/>
        <w:tblLayout w:type="fixed"/>
        <w:tblCellMar>
          <w:top w:w="0" w:type="dxa"/>
          <w:left w:w="0" w:type="dxa"/>
          <w:bottom w:w="0" w:type="dxa"/>
          <w:right w:w="0" w:type="dxa"/>
        </w:tblCellMar>
        <w:tblLook w:val="01E0"/>
      </w:tblPr>
      <w:tblGrid>
        <w:gridCol w:w="2393"/>
        <w:gridCol w:w="2876"/>
        <w:gridCol w:w="2605"/>
        <w:gridCol w:w="1951"/>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4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8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338,875,830.40</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16,943,791.52</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338,875,830.40</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16,943,791.52</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3,112,187.15</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311,218.72</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3,260,645.15</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1,630,322.58</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6,259,378.65</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5,633,440.78</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351,508,041.35</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24,518,773.60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6.98%</w:t>
            </w:r>
          </w:p>
        </w:tc>
      </w:tr>
    </w:tbl>
    <w:p>
      <w:pPr>
        <w:pStyle w:val="BodyText"/>
        <w:spacing w:line="348" w:lineRule="auto" w:before="49"/>
        <w:ind w:left="772" w:right="2544"/>
        <w:jc w:val="left"/>
      </w:pPr>
      <w:r>
        <w:rPr/>
        <w:t>确定该组合依据的说明： 确定该组合依据的说明：详见财务报告五、</w:t>
      </w:r>
      <w:r>
        <w:rPr>
          <w:rFonts w:ascii="Times New Roman" w:hAnsi="Times New Roman" w:cs="Times New Roman" w:eastAsia="Times New Roman" w:hint="default"/>
        </w:rPr>
        <w:t>10</w:t>
      </w:r>
      <w:r>
        <w:rPr/>
        <w:t>、</w:t>
      </w:r>
      <w:r>
        <w:rPr>
          <w:rFonts w:ascii="Times New Roman" w:hAnsi="Times New Roman" w:cs="Times New Roman" w:eastAsia="Times New Roman" w:hint="default"/>
        </w:rPr>
        <w:t>2</w:t>
      </w:r>
      <w:r>
        <w:rPr/>
        <w:t>、按信用风险特征组合计提坏账准备的应收账款。 组合中，采用余额百分比法计提坏账准备的应收账款：</w:t>
      </w:r>
    </w:p>
    <w:p>
      <w:pPr>
        <w:pStyle w:val="BodyText"/>
        <w:spacing w:line="338" w:lineRule="auto" w:before="36"/>
        <w:ind w:left="772" w:right="6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43"/>
        <w:ind w:left="772" w:right="25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100" w:bottom="1220" w:left="360" w:right="380"/>
        </w:sectPr>
      </w:pPr>
    </w:p>
    <w:p>
      <w:pPr>
        <w:spacing w:line="240" w:lineRule="auto" w:before="9"/>
        <w:rPr>
          <w:rFonts w:ascii="宋体" w:hAnsi="宋体" w:cs="宋体" w:eastAsia="宋体" w:hint="default"/>
          <w:sz w:val="21"/>
          <w:szCs w:val="21"/>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）本期计提坏账准备金额</w:t>
      </w:r>
      <w:r>
        <w:rPr>
          <w:spacing w:val="-53"/>
        </w:rPr>
        <w:t> </w:t>
      </w:r>
      <w:r>
        <w:rPr>
          <w:rFonts w:ascii="Times New Roman" w:hAnsi="Times New Roman" w:cs="Times New Roman" w:eastAsia="Times New Roman" w:hint="default"/>
        </w:rPr>
        <w:t>89,687.82</w:t>
      </w:r>
      <w:r>
        <w:rPr>
          <w:rFonts w:ascii="Times New Roman" w:hAnsi="Times New Roman" w:cs="Times New Roman" w:eastAsia="Times New Roman" w:hint="default"/>
          <w:spacing w:val="-3"/>
        </w:rPr>
        <w:t> </w:t>
      </w:r>
      <w:r>
        <w:rPr/>
        <w:t>元，本期无转回或收回的坏账准备。</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198,786.00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588"/>
        <w:gridCol w:w="2091"/>
        <w:gridCol w:w="2554"/>
        <w:gridCol w:w="1558"/>
      </w:tblGrid>
      <w:tr>
        <w:trPr>
          <w:trHeight w:val="348" w:hRule="exact"/>
        </w:trPr>
        <w:tc>
          <w:tcPr>
            <w:tcW w:w="258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20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588" w:type="dxa"/>
            <w:vMerge/>
            <w:tcBorders>
              <w:left w:val="single" w:sz="6" w:space="0" w:color="000000"/>
              <w:bottom w:val="single" w:sz="6" w:space="0" w:color="000000"/>
              <w:right w:val="single" w:sz="6" w:space="0" w:color="000000"/>
            </w:tcBorders>
          </w:tcPr>
          <w:p>
            <w:pP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7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226,593,750.38</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64.46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11,329,687.52</w:t>
            </w:r>
          </w:p>
        </w:tc>
      </w:tr>
      <w:tr>
        <w:trPr>
          <w:trHeight w:val="34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12,045,252.00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3.43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602,262.60</w:t>
            </w:r>
          </w:p>
        </w:tc>
      </w:tr>
      <w:tr>
        <w:trPr>
          <w:trHeight w:val="34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11,779,650.00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3.35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588,982.50</w:t>
            </w:r>
          </w:p>
        </w:tc>
      </w:tr>
      <w:tr>
        <w:trPr>
          <w:trHeight w:val="34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8,525,652.20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2.43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426,282.61</w:t>
            </w:r>
          </w:p>
        </w:tc>
      </w:tr>
      <w:tr>
        <w:trPr>
          <w:trHeight w:val="34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6,549,172.61</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1.86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327,458.63</w:t>
            </w:r>
          </w:p>
        </w:tc>
      </w:tr>
      <w:tr>
        <w:trPr>
          <w:trHeight w:val="34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265,493,477.19</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75.53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13,274,673.86</w:t>
            </w:r>
          </w:p>
        </w:tc>
      </w:tr>
    </w:tbl>
    <w:p>
      <w:pPr>
        <w:spacing w:line="240" w:lineRule="auto" w:before="3"/>
        <w:rPr>
          <w:rFonts w:ascii="宋体" w:hAnsi="宋体" w:cs="宋体" w:eastAsia="宋体" w:hint="default"/>
          <w:b/>
          <w:bCs/>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）本期无因金融资产转移而终止确认的应收账款。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）本期无转移应收账款且继续涉入形成的资产、负债金额。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9,759,277.09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8,648,340.23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80.40%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693,738.47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1,363,664.75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923,335.92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520,139.78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702,277.80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11,896,491.26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10,756,532.78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末按预付对象归集的期末余额前五名的预付款情况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85"/>
        <w:gridCol w:w="2410"/>
        <w:gridCol w:w="5171"/>
      </w:tblGrid>
      <w:tr>
        <w:trPr>
          <w:trHeight w:val="348" w:hRule="exact"/>
        </w:trPr>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626" w:right="0"/>
              <w:jc w:val="left"/>
              <w:rPr>
                <w:rFonts w:ascii="宋体" w:hAnsi="宋体" w:cs="宋体" w:eastAsia="宋体" w:hint="default"/>
                <w:sz w:val="18"/>
                <w:szCs w:val="18"/>
              </w:rPr>
            </w:pPr>
            <w:r>
              <w:rPr>
                <w:rFonts w:ascii="宋体" w:hAnsi="宋体" w:cs="宋体" w:eastAsia="宋体" w:hint="default"/>
                <w:sz w:val="18"/>
                <w:szCs w:val="18"/>
              </w:rPr>
              <w:t>预付对象</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065" w:right="0"/>
              <w:jc w:val="left"/>
              <w:rPr>
                <w:rFonts w:ascii="宋体" w:hAnsi="宋体" w:cs="宋体" w:eastAsia="宋体" w:hint="default"/>
                <w:sz w:val="18"/>
                <w:szCs w:val="18"/>
              </w:rPr>
            </w:pPr>
            <w:r>
              <w:rPr>
                <w:rFonts w:ascii="宋体" w:hAnsi="宋体" w:cs="宋体" w:eastAsia="宋体" w:hint="default"/>
                <w:sz w:val="18"/>
                <w:szCs w:val="18"/>
              </w:rPr>
              <w:t>占预付款期末余额合计数的比例（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footerReference w:type="default" r:id="rId20"/>
          <w:pgSz w:w="11910" w:h="16840"/>
          <w:pgMar w:footer="1021" w:header="786" w:top="1100" w:bottom="1220" w:left="980" w:right="980"/>
        </w:sectPr>
      </w:pPr>
    </w:p>
    <w:p>
      <w:pPr>
        <w:spacing w:line="240" w:lineRule="auto" w:before="5"/>
        <w:rPr>
          <w:rFonts w:ascii="宋体" w:hAnsi="宋体" w:cs="宋体" w:eastAsia="宋体" w:hint="default"/>
          <w:sz w:val="25"/>
          <w:szCs w:val="25"/>
        </w:rPr>
      </w:pPr>
    </w:p>
    <w:tbl>
      <w:tblPr>
        <w:tblW w:w="0" w:type="auto"/>
        <w:jc w:val="left"/>
        <w:tblInd w:w="725" w:type="dxa"/>
        <w:tblLayout w:type="fixed"/>
        <w:tblCellMar>
          <w:top w:w="0" w:type="dxa"/>
          <w:left w:w="0" w:type="dxa"/>
          <w:bottom w:w="0" w:type="dxa"/>
          <w:right w:w="0" w:type="dxa"/>
        </w:tblCellMar>
        <w:tblLook w:val="01E0"/>
      </w:tblPr>
      <w:tblGrid>
        <w:gridCol w:w="1985"/>
        <w:gridCol w:w="2410"/>
        <w:gridCol w:w="5171"/>
      </w:tblGrid>
      <w:tr>
        <w:trPr>
          <w:trHeight w:val="348" w:hRule="exact"/>
        </w:trPr>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2,775,427.41</w:t>
            </w:r>
          </w:p>
        </w:tc>
        <w:tc>
          <w:tcPr>
            <w:tcW w:w="5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76" w:right="0"/>
              <w:jc w:val="left"/>
              <w:rPr>
                <w:rFonts w:ascii="Times New Roman" w:hAnsi="Times New Roman" w:cs="Times New Roman" w:eastAsia="Times New Roman" w:hint="default"/>
                <w:sz w:val="18"/>
                <w:szCs w:val="18"/>
              </w:rPr>
            </w:pPr>
            <w:r>
              <w:rPr>
                <w:rFonts w:ascii="Times New Roman"/>
                <w:sz w:val="18"/>
              </w:rPr>
              <w:t>23.33</w:t>
            </w: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2,564,365.40</w:t>
            </w:r>
          </w:p>
        </w:tc>
        <w:tc>
          <w:tcPr>
            <w:tcW w:w="5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76" w:right="0"/>
              <w:jc w:val="left"/>
              <w:rPr>
                <w:rFonts w:ascii="Times New Roman" w:hAnsi="Times New Roman" w:cs="Times New Roman" w:eastAsia="Times New Roman" w:hint="default"/>
                <w:sz w:val="18"/>
                <w:szCs w:val="18"/>
              </w:rPr>
            </w:pPr>
            <w:r>
              <w:rPr>
                <w:rFonts w:ascii="Times New Roman"/>
                <w:sz w:val="18"/>
              </w:rPr>
              <w:t>21.56</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1,500,000.00</w:t>
            </w:r>
          </w:p>
        </w:tc>
        <w:tc>
          <w:tcPr>
            <w:tcW w:w="5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76" w:right="0"/>
              <w:jc w:val="left"/>
              <w:rPr>
                <w:rFonts w:ascii="Times New Roman" w:hAnsi="Times New Roman" w:cs="Times New Roman" w:eastAsia="Times New Roman" w:hint="default"/>
                <w:sz w:val="18"/>
                <w:szCs w:val="18"/>
              </w:rPr>
            </w:pPr>
            <w:r>
              <w:rPr>
                <w:rFonts w:ascii="Times New Roman"/>
                <w:sz w:val="18"/>
              </w:rPr>
              <w:t>12.61</w:t>
            </w: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985,575.09</w:t>
            </w:r>
          </w:p>
        </w:tc>
        <w:tc>
          <w:tcPr>
            <w:tcW w:w="5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421" w:right="0"/>
              <w:jc w:val="left"/>
              <w:rPr>
                <w:rFonts w:ascii="Times New Roman" w:hAnsi="Times New Roman" w:cs="Times New Roman" w:eastAsia="Times New Roman" w:hint="default"/>
                <w:sz w:val="18"/>
                <w:szCs w:val="18"/>
              </w:rPr>
            </w:pPr>
            <w:r>
              <w:rPr>
                <w:rFonts w:ascii="Times New Roman"/>
                <w:sz w:val="18"/>
              </w:rPr>
              <w:t>8.28</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800,000.00</w:t>
            </w:r>
          </w:p>
        </w:tc>
        <w:tc>
          <w:tcPr>
            <w:tcW w:w="5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421" w:right="0"/>
              <w:jc w:val="left"/>
              <w:rPr>
                <w:rFonts w:ascii="Times New Roman" w:hAnsi="Times New Roman" w:cs="Times New Roman" w:eastAsia="Times New Roman" w:hint="default"/>
                <w:sz w:val="18"/>
                <w:szCs w:val="18"/>
              </w:rPr>
            </w:pPr>
            <w:r>
              <w:rPr>
                <w:rFonts w:ascii="Times New Roman"/>
                <w:sz w:val="18"/>
              </w:rPr>
              <w:t>6.72</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3"/>
                <w:sz w:val="18"/>
                <w:szCs w:val="18"/>
              </w:rPr>
              <w:t> </w:t>
            </w:r>
            <w:r>
              <w:rPr>
                <w:rFonts w:ascii="宋体" w:hAnsi="宋体" w:cs="宋体" w:eastAsia="宋体" w:hint="default"/>
                <w:sz w:val="18"/>
                <w:szCs w:val="18"/>
              </w:rPr>
              <w:t>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8,625,367,90</w:t>
            </w:r>
          </w:p>
        </w:tc>
        <w:tc>
          <w:tcPr>
            <w:tcW w:w="5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76" w:right="0"/>
              <w:jc w:val="left"/>
              <w:rPr>
                <w:rFonts w:ascii="Times New Roman" w:hAnsi="Times New Roman" w:cs="Times New Roman" w:eastAsia="Times New Roman" w:hint="default"/>
                <w:sz w:val="18"/>
                <w:szCs w:val="18"/>
              </w:rPr>
            </w:pPr>
            <w:r>
              <w:rPr>
                <w:rFonts w:ascii="Times New Roman"/>
                <w:sz w:val="18"/>
              </w:rPr>
              <w:t>72.50</w:t>
            </w:r>
          </w:p>
        </w:tc>
      </w:tr>
    </w:tbl>
    <w:p>
      <w:pPr>
        <w:spacing w:line="240" w:lineRule="auto" w:before="3"/>
        <w:rPr>
          <w:rFonts w:ascii="宋体" w:hAnsi="宋体" w:cs="宋体" w:eastAsia="宋体" w:hint="default"/>
          <w:sz w:val="19"/>
          <w:szCs w:val="19"/>
        </w:rPr>
      </w:pPr>
    </w:p>
    <w:p>
      <w:pPr>
        <w:pStyle w:val="Heading3"/>
        <w:spacing w:line="240" w:lineRule="auto" w:before="36"/>
        <w:ind w:left="732" w:right="4304"/>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7"/>
        <w:rPr>
          <w:rFonts w:ascii="宋体" w:hAnsi="宋体" w:cs="宋体" w:eastAsia="宋体" w:hint="default"/>
          <w:b/>
          <w:bCs/>
          <w:sz w:val="24"/>
          <w:szCs w:val="24"/>
        </w:rPr>
      </w:pPr>
    </w:p>
    <w:p>
      <w:pPr>
        <w:spacing w:before="0"/>
        <w:ind w:left="732" w:right="43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7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407"/>
        <w:gridCol w:w="1172"/>
        <w:gridCol w:w="805"/>
        <w:gridCol w:w="1068"/>
        <w:gridCol w:w="706"/>
        <w:gridCol w:w="1104"/>
        <w:gridCol w:w="1186"/>
        <w:gridCol w:w="778"/>
        <w:gridCol w:w="900"/>
        <w:gridCol w:w="629"/>
        <w:gridCol w:w="1104"/>
      </w:tblGrid>
      <w:tr>
        <w:trPr>
          <w:trHeight w:val="399" w:hRule="exact"/>
        </w:trPr>
        <w:tc>
          <w:tcPr>
            <w:tcW w:w="1407" w:type="dxa"/>
            <w:vMerge w:val="restart"/>
            <w:tcBorders>
              <w:top w:val="single" w:sz="4" w:space="0" w:color="000000"/>
              <w:left w:val="single" w:sz="4" w:space="0" w:color="000000"/>
              <w:right w:val="single" w:sz="4" w:space="0" w:color="000000"/>
            </w:tcBorders>
            <w:shd w:val="clear" w:color="auto" w:fill="D2D2D2"/>
          </w:tcPr>
          <w:p>
            <w:pPr/>
          </w:p>
        </w:tc>
        <w:tc>
          <w:tcPr>
            <w:tcW w:w="48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9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407" w:type="dxa"/>
            <w:vMerge/>
            <w:tcBorders>
              <w:left w:val="single" w:sz="4" w:space="0" w:color="000000"/>
              <w:bottom w:val="nil" w:sz="6" w:space="0" w:color="auto"/>
              <w:right w:val="single" w:sz="4" w:space="0" w:color="000000"/>
            </w:tcBorders>
            <w:shd w:val="clear" w:color="auto" w:fill="D2D2D2"/>
          </w:tcPr>
          <w:p>
            <w:pPr/>
          </w:p>
        </w:tc>
        <w:tc>
          <w:tcPr>
            <w:tcW w:w="19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04" w:type="dxa"/>
            <w:vMerge w:val="restart"/>
            <w:tcBorders>
              <w:top w:val="single" w:sz="4" w:space="0" w:color="000000"/>
              <w:left w:val="single" w:sz="4" w:space="0" w:color="000000"/>
              <w:right w:val="single" w:sz="4" w:space="0" w:color="000000"/>
            </w:tcBorders>
            <w:shd w:val="clear" w:color="auto" w:fill="D2D2D2"/>
          </w:tcPr>
          <w:p>
            <w:pPr/>
          </w:p>
        </w:tc>
        <w:tc>
          <w:tcPr>
            <w:tcW w:w="19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04"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4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1977" w:type="dxa"/>
            <w:gridSpan w:val="2"/>
            <w:vMerge/>
            <w:tcBorders>
              <w:left w:val="single" w:sz="4" w:space="0" w:color="000000"/>
              <w:bottom w:val="single" w:sz="4" w:space="0" w:color="000000"/>
              <w:right w:val="single" w:sz="4" w:space="0" w:color="000000"/>
            </w:tcBorders>
            <w:shd w:val="clear" w:color="auto" w:fill="D2D2D2"/>
          </w:tcPr>
          <w:p>
            <w:pPr/>
          </w:p>
        </w:tc>
        <w:tc>
          <w:tcPr>
            <w:tcW w:w="1774" w:type="dxa"/>
            <w:gridSpan w:val="2"/>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nil" w:sz="6" w:space="0" w:color="auto"/>
              <w:right w:val="single" w:sz="4" w:space="0" w:color="000000"/>
            </w:tcBorders>
            <w:shd w:val="clear" w:color="auto" w:fill="D2D2D2"/>
          </w:tcPr>
          <w:p>
            <w:pPr/>
          </w:p>
        </w:tc>
        <w:tc>
          <w:tcPr>
            <w:tcW w:w="1964" w:type="dxa"/>
            <w:gridSpan w:val="2"/>
            <w:vMerge/>
            <w:tcBorders>
              <w:left w:val="single" w:sz="4" w:space="0" w:color="000000"/>
              <w:bottom w:val="single" w:sz="4" w:space="0" w:color="000000"/>
              <w:right w:val="single" w:sz="4" w:space="0" w:color="000000"/>
            </w:tcBorders>
            <w:shd w:val="clear" w:color="auto" w:fill="D2D2D2"/>
          </w:tcPr>
          <w:p>
            <w:pPr/>
          </w:p>
        </w:tc>
        <w:tc>
          <w:tcPr>
            <w:tcW w:w="1529" w:type="dxa"/>
            <w:gridSpan w:val="2"/>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407" w:type="dxa"/>
            <w:vMerge/>
            <w:tcBorders>
              <w:left w:val="single" w:sz="4" w:space="0" w:color="000000"/>
              <w:bottom w:val="nil" w:sz="6" w:space="0" w:color="auto"/>
              <w:right w:val="single" w:sz="4" w:space="0" w:color="000000"/>
            </w:tcBorders>
            <w:shd w:val="clear" w:color="auto" w:fill="D2D2D2"/>
          </w:tcPr>
          <w:p>
            <w:pPr/>
          </w:p>
        </w:tc>
        <w:tc>
          <w:tcPr>
            <w:tcW w:w="11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56" w:right="7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8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18" w:right="3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8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407" w:type="dxa"/>
            <w:vMerge w:val="restart"/>
            <w:tcBorders>
              <w:top w:val="nil" w:sz="6" w:space="0" w:color="auto"/>
              <w:left w:val="single" w:sz="4" w:space="0" w:color="000000"/>
              <w:right w:val="single" w:sz="4" w:space="0" w:color="000000"/>
            </w:tcBorders>
            <w:shd w:val="clear" w:color="auto" w:fill="D2D2D2"/>
          </w:tcPr>
          <w:p>
            <w:pPr/>
          </w:p>
        </w:tc>
        <w:tc>
          <w:tcPr>
            <w:tcW w:w="11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6" w:type="dxa"/>
            <w:vMerge/>
            <w:tcBorders>
              <w:left w:val="single" w:sz="4" w:space="0" w:color="000000"/>
              <w:right w:val="single" w:sz="4" w:space="0" w:color="000000"/>
            </w:tcBorders>
            <w:shd w:val="clear" w:color="auto" w:fill="D2D2D2"/>
          </w:tcPr>
          <w:p>
            <w:pPr/>
          </w:p>
        </w:tc>
        <w:tc>
          <w:tcPr>
            <w:tcW w:w="1104" w:type="dxa"/>
            <w:vMerge/>
            <w:tcBorders>
              <w:left w:val="single" w:sz="4" w:space="0" w:color="000000"/>
              <w:bottom w:val="nil" w:sz="6" w:space="0" w:color="auto"/>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29" w:type="dxa"/>
            <w:vMerge/>
            <w:tcBorders>
              <w:left w:val="single" w:sz="4" w:space="0" w:color="000000"/>
              <w:right w:val="single" w:sz="4" w:space="0" w:color="000000"/>
            </w:tcBorders>
            <w:shd w:val="clear" w:color="auto" w:fill="D2D2D2"/>
          </w:tcPr>
          <w:p>
            <w:pPr/>
          </w:p>
        </w:tc>
        <w:tc>
          <w:tcPr>
            <w:tcW w:w="110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407"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bottom w:val="nil" w:sz="6" w:space="0" w:color="auto"/>
              <w:right w:val="single" w:sz="4" w:space="0" w:color="000000"/>
            </w:tcBorders>
            <w:shd w:val="clear" w:color="auto" w:fill="D2D2D2"/>
          </w:tcPr>
          <w:p>
            <w:pPr/>
          </w:p>
        </w:tc>
        <w:tc>
          <w:tcPr>
            <w:tcW w:w="805"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1104" w:type="dxa"/>
            <w:vMerge w:val="restart"/>
            <w:tcBorders>
              <w:top w:val="nil" w:sz="6" w:space="0" w:color="auto"/>
              <w:left w:val="single" w:sz="4" w:space="0" w:color="000000"/>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bottom w:val="nil" w:sz="6" w:space="0" w:color="auto"/>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10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07" w:type="dxa"/>
            <w:vMerge/>
            <w:tcBorders>
              <w:left w:val="single" w:sz="4" w:space="0" w:color="000000"/>
              <w:bottom w:val="single" w:sz="4" w:space="0" w:color="000000"/>
              <w:right w:val="single" w:sz="4" w:space="0" w:color="000000"/>
            </w:tcBorders>
            <w:shd w:val="clear" w:color="auto" w:fill="D2D2D2"/>
          </w:tcPr>
          <w:p>
            <w:pPr/>
          </w:p>
        </w:tc>
        <w:tc>
          <w:tcPr>
            <w:tcW w:w="11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c>
          <w:tcPr>
            <w:tcW w:w="11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122"/>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1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23,577,302.77</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1,711,892.46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21,865,410.31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17,497,810.11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952,900.34</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16,544,909.77</w:t>
            </w:r>
          </w:p>
        </w:tc>
      </w:tr>
      <w:tr>
        <w:trPr>
          <w:trHeight w:val="403"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23,577,302.77</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100.00%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1,711,892.46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7.26%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21,865,410.31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17,497,810.11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952,900.34</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16,544,909.77</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1021" w:header="786" w:top="1100" w:bottom="1220" w:left="400" w:right="420"/>
          <w:pgNumType w:start="101"/>
        </w:sectPr>
      </w:pPr>
    </w:p>
    <w:p>
      <w:pPr>
        <w:pStyle w:val="BodyText"/>
        <w:spacing w:line="240" w:lineRule="auto" w:before="49"/>
        <w:ind w:left="732" w:right="-20"/>
        <w:jc w:val="left"/>
      </w:pPr>
      <w:r>
        <w:rPr/>
        <w:t>期末单项金额重大并单项计提坏账准备的其他应收款：</w:t>
      </w:r>
    </w:p>
    <w:p>
      <w:pPr>
        <w:pStyle w:val="BodyText"/>
        <w:spacing w:line="340" w:lineRule="auto" w:before="115"/>
        <w:ind w:left="73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left="73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732" w:right="0"/>
        <w:jc w:val="left"/>
      </w:pPr>
      <w:r>
        <w:rPr/>
        <w:t>单位：</w:t>
      </w:r>
      <w:r>
        <w:rPr>
          <w:spacing w:val="1"/>
        </w:rPr>
        <w:t> </w:t>
      </w:r>
      <w:r>
        <w:rPr/>
        <w:t>元</w:t>
      </w:r>
    </w:p>
    <w:p>
      <w:pPr>
        <w:spacing w:after="0" w:line="240" w:lineRule="auto"/>
        <w:jc w:val="left"/>
        <w:sectPr>
          <w:type w:val="continuous"/>
          <w:pgSz w:w="11910" w:h="16840"/>
          <w:pgMar w:top="1100" w:bottom="1220" w:left="400" w:right="420"/>
          <w:cols w:num="2" w:equalWidth="0">
            <w:col w:w="5053" w:space="3776"/>
            <w:col w:w="2261"/>
          </w:cols>
        </w:sectPr>
      </w:pPr>
    </w:p>
    <w:p>
      <w:pPr>
        <w:spacing w:line="240" w:lineRule="auto" w:before="4"/>
        <w:rPr>
          <w:rFonts w:ascii="宋体" w:hAnsi="宋体" w:cs="宋体" w:eastAsia="宋体" w:hint="default"/>
          <w:sz w:val="8"/>
          <w:szCs w:val="8"/>
        </w:rPr>
      </w:pPr>
    </w:p>
    <w:tbl>
      <w:tblPr>
        <w:tblW w:w="0" w:type="auto"/>
        <w:jc w:val="left"/>
        <w:tblInd w:w="72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5,434,230.46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271,711.52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5,434,230.46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271,711.52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1,081,586.41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108,158.64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1,713,601.94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856,800.97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528,023.70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475,221.33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8,757,442.51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1,711,892.46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19.55%</w:t>
            </w:r>
          </w:p>
        </w:tc>
      </w:tr>
    </w:tbl>
    <w:p>
      <w:pPr>
        <w:pStyle w:val="BodyText"/>
        <w:spacing w:line="348" w:lineRule="auto" w:before="49"/>
        <w:ind w:left="732" w:right="4304"/>
        <w:jc w:val="left"/>
      </w:pPr>
      <w:r>
        <w:rPr/>
        <w:t>确定该组合依据的说明： 详见财务报告五、</w:t>
      </w:r>
      <w:r>
        <w:rPr>
          <w:rFonts w:ascii="Times New Roman" w:hAnsi="Times New Roman" w:cs="Times New Roman" w:eastAsia="Times New Roman" w:hint="default"/>
        </w:rPr>
        <w:t>10</w:t>
      </w:r>
      <w:r>
        <w:rPr/>
        <w:t>、（</w:t>
      </w:r>
      <w:r>
        <w:rPr>
          <w:rFonts w:ascii="Times New Roman" w:hAnsi="Times New Roman" w:cs="Times New Roman" w:eastAsia="Times New Roman" w:hint="default"/>
        </w:rPr>
        <w:t>2</w:t>
      </w:r>
      <w:r>
        <w:rPr/>
        <w:t>）按信用风险计特征组合计提坏账准备的应收款项 组合中，采用余额百分比法计提坏账准备的其他应收款：</w:t>
      </w:r>
    </w:p>
    <w:p>
      <w:pPr>
        <w:pStyle w:val="BodyText"/>
        <w:spacing w:line="240" w:lineRule="auto" w:before="33"/>
        <w:ind w:left="732" w:right="43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type w:val="continuous"/>
          <w:pgSz w:w="11910" w:h="16840"/>
          <w:pgMar w:top="1100" w:bottom="1220" w:left="400" w:right="420"/>
        </w:sectPr>
      </w:pPr>
    </w:p>
    <w:p>
      <w:pPr>
        <w:spacing w:line="240" w:lineRule="auto" w:before="8"/>
        <w:rPr>
          <w:rFonts w:ascii="宋体" w:hAnsi="宋体" w:cs="宋体" w:eastAsia="宋体" w:hint="default"/>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14,819,860.26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14,819,860.26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49"/>
        <w:ind w:left="392" w:right="3744"/>
        <w:jc w:val="left"/>
      </w:pPr>
      <w:r>
        <w:rPr/>
        <w:t>确定该组合依据的说明： 详见财务报告五、</w:t>
      </w:r>
      <w:r>
        <w:rPr>
          <w:rFonts w:ascii="Times New Roman" w:hAnsi="Times New Roman" w:cs="Times New Roman" w:eastAsia="Times New Roman" w:hint="default"/>
        </w:rPr>
        <w:t>11</w:t>
      </w:r>
      <w:r>
        <w:rPr/>
        <w:t>、（</w:t>
      </w:r>
      <w:r>
        <w:rPr>
          <w:rFonts w:ascii="Times New Roman" w:hAnsi="Times New Roman" w:cs="Times New Roman" w:eastAsia="Times New Roman" w:hint="default"/>
        </w:rPr>
        <w:t>2</w:t>
      </w:r>
      <w:r>
        <w:rPr/>
        <w:t>）按信用风险计特征组合计提坏账准备的应收款项</w:t>
      </w:r>
    </w:p>
    <w:p>
      <w:pPr>
        <w:spacing w:line="240" w:lineRule="auto" w:before="4"/>
        <w:rPr>
          <w:rFonts w:ascii="宋体" w:hAnsi="宋体" w:cs="宋体" w:eastAsia="宋体" w:hint="default"/>
          <w:sz w:val="24"/>
          <w:szCs w:val="24"/>
        </w:rPr>
      </w:pPr>
    </w:p>
    <w:p>
      <w:pPr>
        <w:pStyle w:val="BodyText"/>
        <w:spacing w:line="240" w:lineRule="auto"/>
        <w:ind w:left="392" w:right="0"/>
        <w:jc w:val="left"/>
      </w:pPr>
      <w:r>
        <w:rPr/>
        <w:t>组合中，采用其他方法计提坏账准备的其他应收款：</w:t>
      </w:r>
    </w:p>
    <w:p>
      <w:pPr>
        <w:pStyle w:val="BodyText"/>
        <w:spacing w:line="240" w:lineRule="auto" w:before="115"/>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left="392" w:right="0"/>
        <w:jc w:val="left"/>
        <w:rPr>
          <w:b w:val="0"/>
          <w:bCs w:val="0"/>
        </w:rPr>
      </w:pPr>
      <w:r>
        <w:rPr/>
        <w:t>（</w:t>
      </w:r>
      <w:r>
        <w:rPr>
          <w:rFonts w:ascii="Times New Roman" w:hAnsi="Times New Roman" w:cs="Times New Roman" w:eastAsia="Times New Roman" w:hint="default"/>
        </w:rPr>
        <w:t>2</w:t>
      </w:r>
      <w:r>
        <w:rPr/>
        <w:t>）本期计提坏账准备金额</w:t>
      </w:r>
      <w:r>
        <w:rPr>
          <w:spacing w:val="-53"/>
        </w:rPr>
        <w:t> </w:t>
      </w:r>
      <w:r>
        <w:rPr>
          <w:rFonts w:ascii="Times New Roman" w:hAnsi="Times New Roman" w:cs="Times New Roman" w:eastAsia="Times New Roman" w:hint="default"/>
        </w:rPr>
        <w:t>758,992.12</w:t>
      </w:r>
      <w:r>
        <w:rPr>
          <w:rFonts w:ascii="Times New Roman" w:hAnsi="Times New Roman" w:cs="Times New Roman" w:eastAsia="Times New Roman" w:hint="default"/>
          <w:spacing w:val="-3"/>
        </w:rPr>
        <w:t> </w:t>
      </w:r>
      <w:r>
        <w:rPr/>
        <w:t>元；本期无收回或转回坏账准备。</w:t>
      </w:r>
      <w:r>
        <w:rPr>
          <w:b w:val="0"/>
          <w:bCs w:val="0"/>
        </w:rPr>
      </w:r>
    </w:p>
    <w:p>
      <w:pPr>
        <w:spacing w:line="240" w:lineRule="auto" w:before="10"/>
        <w:rPr>
          <w:rFonts w:ascii="宋体" w:hAnsi="宋体" w:cs="宋体" w:eastAsia="宋体" w:hint="default"/>
          <w:b/>
          <w:bCs/>
          <w:sz w:val="24"/>
          <w:szCs w:val="24"/>
        </w:rPr>
      </w:pPr>
    </w:p>
    <w:p>
      <w:pPr>
        <w:spacing w:before="0"/>
        <w:ind w:left="39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）本期无实际核销的其他应收款。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39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应收补贴款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14,819,860.26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6,150,266.74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1,110,045.75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3,049,179.48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6,176,543.40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6,110,800.59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459,710.21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557,563.30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招标保证金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1,011,143.15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23,577,302.77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17,497,810.11</w:t>
            </w:r>
          </w:p>
        </w:tc>
      </w:tr>
    </w:tbl>
    <w:p>
      <w:pPr>
        <w:spacing w:line="240" w:lineRule="auto" w:before="3"/>
        <w:rPr>
          <w:rFonts w:ascii="宋体" w:hAnsi="宋体" w:cs="宋体" w:eastAsia="宋体" w:hint="default"/>
          <w:sz w:val="19"/>
          <w:szCs w:val="19"/>
        </w:rPr>
      </w:pPr>
    </w:p>
    <w:p>
      <w:pPr>
        <w:pStyle w:val="Heading3"/>
        <w:spacing w:line="240" w:lineRule="auto" w:before="36"/>
        <w:ind w:left="392"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850"/>
        <w:gridCol w:w="1277"/>
        <w:gridCol w:w="1133"/>
        <w:gridCol w:w="3262"/>
        <w:gridCol w:w="1733"/>
        <w:gridCol w:w="1596"/>
      </w:tblGrid>
      <w:tr>
        <w:trPr>
          <w:trHeight w:val="71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增值税退税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14,819,860.26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1,866,979.91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93,349.00</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招标保证金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991,143.15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年以内为</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5</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56,057.16</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326,607.78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65000.00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261607.78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29,410.78</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18,504,591.10</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203,816.94</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740" w:right="980"/>
        </w:sectPr>
      </w:pPr>
    </w:p>
    <w:p>
      <w:pPr>
        <w:spacing w:line="240" w:lineRule="auto" w:before="9"/>
        <w:rPr>
          <w:rFonts w:ascii="宋体" w:hAnsi="宋体" w:cs="宋体" w:eastAsia="宋体" w:hint="default"/>
          <w:sz w:val="21"/>
          <w:szCs w:val="21"/>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）本期无涉及政府补助的应收款项。</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）本期无因金融资产转移而终止确认的其他应收款。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）本期无转移其他应收款且继续涉入形成的资产、负债金额。</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162,832,181.86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259,317.22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162,572,864.64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138,832,348.82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102,329.97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138,730,018.85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27,239,638.86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27,239,638.86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16,753,832.11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16,753,832.11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9,404,022.73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470,607.83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8,933,414.90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17,351,994.65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4,008,888.66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13,343,105.99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510,744.33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509,770.28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460,281.90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460,240.32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4,668,258.14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2,247.45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4,666,010.69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5,601,539.26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5,600,532.27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167,026,559.85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167,026,559.85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97,191,904.67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97,191,904.67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371,681,405.77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733,146.55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370,948,259.22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276,191,901.41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4,112,267.20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272,079,634.21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102,329.97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259,317.22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102,329.97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259,317.22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4,008,888.66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344,296.91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3,882,577.74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470,607.83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2,247.45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1,006.99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2,247.45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4,112,267.20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606,835.63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3,985,956.28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733,146.55</w:t>
            </w:r>
          </w:p>
        </w:tc>
      </w:tr>
    </w:tbl>
    <w:p>
      <w:pPr>
        <w:pStyle w:val="BodyText"/>
        <w:spacing w:line="319" w:lineRule="auto" w:before="8"/>
        <w:ind w:right="149"/>
        <w:jc w:val="left"/>
      </w:pPr>
      <w:r>
        <w:rPr>
          <w:spacing w:val="-2"/>
        </w:rPr>
        <w:t>计提存货跌价准备的依据：超库龄存货计提跌价准备，周转超过一年的存货按账面价值与市场公允价值孰低的原则计提跌价</w:t>
      </w:r>
      <w:r>
        <w:rPr>
          <w:spacing w:val="-64"/>
        </w:rPr>
        <w:t> </w:t>
      </w:r>
      <w:r>
        <w:rPr>
          <w:spacing w:val="-64"/>
        </w:rPr>
      </w:r>
      <w:r>
        <w:rPr/>
        <w:t>准备；产成品的成本明显高于可变现净值，按账面价值与市场公允价值孰低的原则计提跌价准备。</w:t>
      </w:r>
    </w:p>
    <w:p>
      <w:pPr>
        <w:spacing w:after="0" w:line="319" w:lineRule="auto"/>
        <w:jc w:val="left"/>
        <w:sectPr>
          <w:pgSz w:w="11910" w:h="16840"/>
          <w:pgMar w:header="786" w:footer="1021" w:top="1100" w:bottom="1220" w:left="980" w:right="980"/>
        </w:sectPr>
      </w:pPr>
    </w:p>
    <w:p>
      <w:pPr>
        <w:spacing w:line="240" w:lineRule="auto" w:before="9"/>
        <w:rPr>
          <w:rFonts w:ascii="宋体" w:hAnsi="宋体" w:cs="宋体" w:eastAsia="宋体" w:hint="default"/>
          <w:sz w:val="21"/>
          <w:szCs w:val="21"/>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）本期无存货期末余额含有借款费用资本化金额的说明。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）期末无建造合同形成的已完工未结算资产情况。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96,534,006.72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65,155,184.11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96,534,006.72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65,155,184.11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11,601,783.76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2,607,681.29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预缴关税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8,429.84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8,029,577.02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19,639,790.62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2,607,681.29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8"/>
        <w:gridCol w:w="1196"/>
        <w:gridCol w:w="1248"/>
        <w:gridCol w:w="1369"/>
        <w:gridCol w:w="1366"/>
      </w:tblGrid>
      <w:tr>
        <w:trPr>
          <w:trHeight w:val="204"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222,791,000.00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222,791,000.00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33,851,000.00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33,851,000.00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222,791,000.00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222,791,000.00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33,851,000.00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33,851,000.00</w:t>
            </w: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222,791,000.00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222,791,000.00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33,851,000.00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33,851,000.00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）期末无按公允价值计量的可供出售金融资产</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1"/>
        <w:gridCol w:w="850"/>
        <w:gridCol w:w="853"/>
        <w:gridCol w:w="850"/>
        <w:gridCol w:w="850"/>
        <w:gridCol w:w="427"/>
        <w:gridCol w:w="850"/>
        <w:gridCol w:w="852"/>
        <w:gridCol w:w="425"/>
        <w:gridCol w:w="1037"/>
        <w:gridCol w:w="871"/>
      </w:tblGrid>
      <w:tr>
        <w:trPr>
          <w:trHeight w:val="402"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0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64" w:right="60"/>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02"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0"/>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9"/>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037"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广州农村商业银行股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60,000.00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4" w:right="0"/>
              <w:jc w:val="left"/>
              <w:rPr>
                <w:rFonts w:ascii="Times New Roman" w:hAnsi="Times New Roman" w:cs="Times New Roman" w:eastAsia="Times New Roman" w:hint="default"/>
                <w:sz w:val="18"/>
                <w:szCs w:val="18"/>
              </w:rPr>
            </w:pPr>
            <w:r>
              <w:rPr>
                <w:rFonts w:ascii="Times New Roman"/>
                <w:sz w:val="18"/>
              </w:rPr>
              <w:t>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9"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17,052.00</w:t>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702"/>
        <w:gridCol w:w="850"/>
        <w:gridCol w:w="853"/>
        <w:gridCol w:w="850"/>
        <w:gridCol w:w="850"/>
        <w:gridCol w:w="427"/>
        <w:gridCol w:w="850"/>
        <w:gridCol w:w="852"/>
        <w:gridCol w:w="425"/>
        <w:gridCol w:w="1037"/>
        <w:gridCol w:w="871"/>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上海博科资讯股份有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8,791,000.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8,791,000.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广州花都稠州村镇银 行股份有限公司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前海股权交易中心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（深圳）有限公司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189,000,0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189,000,0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33,851,00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189,000,0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222,791,0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17,052.00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）本期无可供出售金融资产减值的变动情况。</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）本期无可供出售权益工具期末公允价值严重下跌或非暂时性下跌但未计提减值准备的相关说明。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56"/>
        <w:gridCol w:w="1189"/>
        <w:gridCol w:w="893"/>
        <w:gridCol w:w="1301"/>
        <w:gridCol w:w="1186"/>
        <w:gridCol w:w="1159"/>
        <w:gridCol w:w="1189"/>
        <w:gridCol w:w="998"/>
      </w:tblGrid>
      <w:tr>
        <w:trPr>
          <w:trHeight w:val="206" w:hRule="exact"/>
        </w:trPr>
        <w:tc>
          <w:tcPr>
            <w:tcW w:w="1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33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3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82" w:type="dxa"/>
            <w:gridSpan w:val="3"/>
            <w:vMerge/>
            <w:tcBorders>
              <w:left w:val="single" w:sz="4" w:space="0" w:color="000000"/>
              <w:bottom w:val="single" w:sz="4" w:space="0" w:color="000000"/>
              <w:right w:val="single" w:sz="4" w:space="0" w:color="000000"/>
            </w:tcBorders>
            <w:shd w:val="clear" w:color="auto" w:fill="D2D2D2"/>
          </w:tcPr>
          <w:p>
            <w:pPr/>
          </w:p>
        </w:tc>
        <w:tc>
          <w:tcPr>
            <w:tcW w:w="3534" w:type="dxa"/>
            <w:gridSpan w:val="3"/>
            <w:vMerge/>
            <w:tcBorders>
              <w:left w:val="single" w:sz="4" w:space="0" w:color="000000"/>
              <w:bottom w:val="single" w:sz="4" w:space="0" w:color="000000"/>
              <w:right w:val="single" w:sz="4" w:space="0" w:color="000000"/>
            </w:tcBorders>
            <w:shd w:val="clear" w:color="auto" w:fill="D2D2D2"/>
          </w:tcPr>
          <w:p>
            <w:pPr/>
          </w:p>
        </w:tc>
        <w:tc>
          <w:tcPr>
            <w:tcW w:w="9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2" w:hRule="exact"/>
        </w:trPr>
        <w:tc>
          <w:tcPr>
            <w:tcW w:w="1656"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159" w:type="dxa"/>
            <w:vMerge/>
            <w:tcBorders>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217,307,623.19</w:t>
            </w:r>
          </w:p>
        </w:tc>
        <w:tc>
          <w:tcPr>
            <w:tcW w:w="8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217,307,623.19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270,637,959.45</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270,637,959.45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716" w:hRule="exact"/>
        </w:trPr>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pacing w:val="-3"/>
                <w:sz w:val="18"/>
                <w:szCs w:val="18"/>
              </w:rPr>
              <w:t>其中：未实现融资收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w:t>
            </w:r>
          </w:p>
        </w:tc>
        <w:tc>
          <w:tcPr>
            <w:tcW w:w="11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89,230,463.42</w:t>
            </w:r>
          </w:p>
        </w:tc>
        <w:tc>
          <w:tcPr>
            <w:tcW w:w="8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89,230,463.42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105,518,488.69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105,518,488.69</w:t>
            </w:r>
          </w:p>
        </w:tc>
        <w:tc>
          <w:tcPr>
            <w:tcW w:w="9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重分类至一年内到 期的非流动资产</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-96,534,006.72</w:t>
            </w:r>
          </w:p>
        </w:tc>
        <w:tc>
          <w:tcPr>
            <w:tcW w:w="8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-96,534,006.72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-65,155,184.11</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-65,155,184.11</w:t>
            </w:r>
          </w:p>
        </w:tc>
        <w:tc>
          <w:tcPr>
            <w:tcW w:w="9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120,773,616.47</w:t>
            </w:r>
          </w:p>
        </w:tc>
        <w:tc>
          <w:tcPr>
            <w:tcW w:w="8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120,773,616.47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205,482,775.34</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205,482,775.34</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）本期无因金融资产转移而终止确认的长期应收款。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）本期无转移长期应收款且继续涉入形成的资产、负债金额的情况。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1" w:top="1100" w:bottom="1220" w:left="980" w:right="98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4,808,879.13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4,808,879.13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4,808,879.13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4,808,879.13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4,808,879.13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4,808,879.13</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144,300.00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）本期新增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96,200.00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144,300.00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4,664,579.13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4,664,579.13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）本期无未办妥产权证书的投资性房地产情况。</w:t>
      </w:r>
      <w:r>
        <w:rPr>
          <w:b w:val="0"/>
          <w:bCs w:val="0"/>
        </w:rPr>
      </w:r>
    </w:p>
    <w:p>
      <w:pPr>
        <w:spacing w:after="0" w:line="240" w:lineRule="auto"/>
        <w:jc w:val="left"/>
        <w:sectPr>
          <w:pgSz w:w="11910" w:h="16840"/>
          <w:pgMar w:header="786" w:footer="1021" w:top="1100" w:bottom="1220" w:left="980" w:right="980"/>
        </w:sectPr>
      </w:pPr>
    </w:p>
    <w:p>
      <w:pPr>
        <w:spacing w:line="240" w:lineRule="auto" w:before="9"/>
        <w:rPr>
          <w:rFonts w:ascii="宋体" w:hAnsi="宋体" w:cs="宋体" w:eastAsia="宋体" w:hint="default"/>
          <w:b/>
          <w:bCs/>
          <w:sz w:val="21"/>
          <w:szCs w:val="21"/>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419"/>
        <w:gridCol w:w="1133"/>
        <w:gridCol w:w="1277"/>
        <w:gridCol w:w="1133"/>
        <w:gridCol w:w="1117"/>
        <w:gridCol w:w="1366"/>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pacing w:val="-8"/>
                <w:sz w:val="18"/>
              </w:rPr>
              <w:t>ATM</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6"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131,423,674.83</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14,007,316.50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452,667,786.66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23,831,067.24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4,576,082.61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626,505,927.84</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31,835,200.87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1,566,539.55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13,565,873.14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4,346,562.87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1,522,666.22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52,836,842.65</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27,489,138.91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1,566,539.55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4,346,562.87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1,522,666.22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34,924,907.55</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4,346,061.96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13,565,873.14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17,911,935.10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4,808,879.13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32,272,416.47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711,591.00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37,849,637.60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32,272,416.47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711,591.00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33,040,758.47</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9"/>
                <w:sz w:val="18"/>
                <w:szCs w:val="18"/>
              </w:rPr>
              <w:t>）</w:t>
            </w:r>
            <w:r>
              <w:rPr>
                <w:rFonts w:ascii="宋体" w:hAnsi="宋体" w:cs="宋体" w:eastAsia="宋体" w:hint="default"/>
                <w:sz w:val="18"/>
                <w:szCs w:val="18"/>
              </w:rPr>
              <w:t>转投资性房地产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4,808,879.13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4,808,879.13</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158,449,996.57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15,573,856.05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433,961,243.33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27,466,039.11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6,041,997.83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641,493,132.89</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8,711,061.37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10,340,245.49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254,773,784.15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14,325,202.52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3,315,681.17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291,465,974.70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4,231,000.43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387,779.84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50,623,369.38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3,478,028.52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1,172,797.93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59,892,976.10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4,231,000.43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387,779.84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50,623,369.38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3,478,028.52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1,172,797.93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59,892,976.10</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24,755,616.16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612,159.58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53,913.45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25,517,889.19</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24,755,616.16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612,159.58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53,913.45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25,421,689.19</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转投资性房地产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96,200.00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12,845,861.80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10,728,025.33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280,641,537.37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17,191,071.46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4,434,565.65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325,841,061.61</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145,604,134.77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4,845,830.72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153,319,705.96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10,274,967.65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1,607,432.18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315,652,071.28</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122,712,613.46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3,667,071.01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197,894,002.51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9,505,864.72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1,260,401.44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335,039,953.14</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9"/>
        <w:rPr>
          <w:rFonts w:ascii="宋体" w:hAnsi="宋体" w:cs="宋体" w:eastAsia="宋体" w:hint="default"/>
          <w:sz w:val="21"/>
          <w:szCs w:val="21"/>
        </w:rPr>
      </w:pPr>
    </w:p>
    <w:p>
      <w:pPr>
        <w:pStyle w:val="Heading3"/>
        <w:spacing w:line="240" w:lineRule="auto" w:before="36"/>
        <w:ind w:left="972" w:right="0"/>
        <w:jc w:val="left"/>
        <w:rPr>
          <w:b w:val="0"/>
          <w:bCs w:val="0"/>
        </w:rPr>
      </w:pPr>
      <w:r>
        <w:rPr/>
        <w:t>（</w:t>
      </w:r>
      <w:r>
        <w:rPr>
          <w:rFonts w:ascii="Times New Roman" w:hAnsi="Times New Roman" w:cs="Times New Roman" w:eastAsia="Times New Roman" w:hint="default"/>
        </w:rPr>
        <w:t>2</w:t>
      </w:r>
      <w:r>
        <w:rPr/>
        <w:t>）本期无暂时闲置的固定资产情况。</w:t>
      </w:r>
      <w:r>
        <w:rPr>
          <w:b w:val="0"/>
          <w:bCs w:val="0"/>
        </w:rPr>
      </w:r>
    </w:p>
    <w:p>
      <w:pPr>
        <w:spacing w:line="240" w:lineRule="auto" w:before="10"/>
        <w:rPr>
          <w:rFonts w:ascii="宋体" w:hAnsi="宋体" w:cs="宋体" w:eastAsia="宋体" w:hint="default"/>
          <w:b/>
          <w:bCs/>
          <w:sz w:val="24"/>
          <w:szCs w:val="24"/>
        </w:rPr>
      </w:pPr>
    </w:p>
    <w:p>
      <w:pPr>
        <w:spacing w:before="0"/>
        <w:ind w:left="97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）本期无通过融资租赁租入的固定资产情况。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97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）本期无通过经营租赁租出的固定资产。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97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）本期无未办妥产权证书的固定资产情况。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97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97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8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968" w:type="dxa"/>
        <w:tblLayout w:type="fixed"/>
        <w:tblCellMar>
          <w:top w:w="0" w:type="dxa"/>
          <w:left w:w="0" w:type="dxa"/>
          <w:bottom w:w="0" w:type="dxa"/>
          <w:right w:w="0" w:type="dxa"/>
        </w:tblCellMar>
        <w:tblLook w:val="01E0"/>
      </w:tblPr>
      <w:tblGrid>
        <w:gridCol w:w="1985"/>
        <w:gridCol w:w="1985"/>
        <w:gridCol w:w="994"/>
        <w:gridCol w:w="1275"/>
        <w:gridCol w:w="1274"/>
        <w:gridCol w:w="853"/>
        <w:gridCol w:w="1207"/>
      </w:tblGrid>
      <w:tr>
        <w:trPr>
          <w:trHeight w:val="403"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安装</w:t>
            </w:r>
            <w:r>
              <w:rPr>
                <w:rFonts w:ascii="Times New Roman" w:hAnsi="Times New Roman" w:cs="Times New Roman" w:eastAsia="Times New Roman" w:hint="default"/>
                <w:sz w:val="18"/>
                <w:szCs w:val="18"/>
              </w:rPr>
              <w:t>/</w:t>
            </w:r>
            <w:r>
              <w:rPr>
                <w:rFonts w:ascii="宋体" w:hAnsi="宋体" w:cs="宋体" w:eastAsia="宋体" w:hint="default"/>
                <w:sz w:val="18"/>
                <w:szCs w:val="18"/>
              </w:rPr>
              <w:t>调试的自产</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ATM</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12,826,893.01</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12,826,893.01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48,743,858.14</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48,743,858.14</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御银科技园区投资项目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（原名：高塘办公楼）</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240,370,644.68</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240,370,644.68</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161,296,170.96</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161,296,170.96</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253,197,537.69</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253,197,537.69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210,040,029.10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210,040,029.10</w:t>
            </w:r>
          </w:p>
        </w:tc>
      </w:tr>
    </w:tbl>
    <w:p>
      <w:pPr>
        <w:spacing w:line="240" w:lineRule="auto" w:before="3"/>
        <w:rPr>
          <w:rFonts w:ascii="宋体" w:hAnsi="宋体" w:cs="宋体" w:eastAsia="宋体" w:hint="default"/>
          <w:sz w:val="19"/>
          <w:szCs w:val="19"/>
        </w:rPr>
      </w:pPr>
    </w:p>
    <w:p>
      <w:pPr>
        <w:pStyle w:val="Heading3"/>
        <w:spacing w:line="240" w:lineRule="auto" w:before="36"/>
        <w:ind w:left="972"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8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614"/>
        <w:gridCol w:w="1212"/>
        <w:gridCol w:w="1159"/>
        <w:gridCol w:w="1145"/>
        <w:gridCol w:w="451"/>
        <w:gridCol w:w="463"/>
        <w:gridCol w:w="1200"/>
        <w:gridCol w:w="682"/>
        <w:gridCol w:w="684"/>
        <w:gridCol w:w="1021"/>
        <w:gridCol w:w="1010"/>
        <w:gridCol w:w="586"/>
        <w:gridCol w:w="984"/>
      </w:tblGrid>
      <w:tr>
        <w:trPr>
          <w:trHeight w:val="1649" w:hRule="exact"/>
        </w:trPr>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1" w:right="3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本期增加金额</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36"/>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8" w:right="43"/>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46" w:right="51" w:hanging="89"/>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 w:right="47"/>
              <w:jc w:val="center"/>
              <w:rPr>
                <w:rFonts w:ascii="宋体" w:hAnsi="宋体" w:cs="宋体" w:eastAsia="宋体" w:hint="default"/>
                <w:sz w:val="18"/>
                <w:szCs w:val="18"/>
              </w:rPr>
            </w:pPr>
            <w:r>
              <w:rPr>
                <w:rFonts w:ascii="宋体" w:hAnsi="宋体" w:cs="宋体" w:eastAsia="宋体" w:hint="default"/>
                <w:sz w:val="18"/>
                <w:szCs w:val="18"/>
              </w:rPr>
              <w:t>其中：本期 利息资本化 金额</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07"/>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2276" w:hRule="exact"/>
        </w:trPr>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8"/>
              <w:jc w:val="both"/>
              <w:rPr>
                <w:rFonts w:ascii="宋体" w:hAnsi="宋体" w:cs="宋体" w:eastAsia="宋体" w:hint="default"/>
                <w:sz w:val="18"/>
                <w:szCs w:val="18"/>
              </w:rPr>
            </w:pPr>
            <w:r>
              <w:rPr>
                <w:rFonts w:ascii="宋体" w:hAnsi="宋体" w:cs="宋体" w:eastAsia="宋体" w:hint="default"/>
                <w:sz w:val="18"/>
                <w:szCs w:val="18"/>
              </w:rPr>
              <w:t>御银科 技园区 投资项 目（原 名：高 塘办公 楼）</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299,750,000.00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161,296,170.9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79,074,473.72</w:t>
            </w:r>
          </w:p>
        </w:tc>
        <w:tc>
          <w:tcPr>
            <w:tcW w:w="45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240,370,644.68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80.91%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62"/>
              <w:jc w:val="center"/>
              <w:rPr>
                <w:rFonts w:ascii="Times New Roman" w:hAnsi="Times New Roman" w:cs="Times New Roman" w:eastAsia="Times New Roman" w:hint="default"/>
                <w:sz w:val="18"/>
                <w:szCs w:val="18"/>
              </w:rPr>
            </w:pPr>
            <w:r>
              <w:rPr>
                <w:rFonts w:ascii="Times New Roman"/>
                <w:sz w:val="18"/>
              </w:rPr>
              <w:t>80.91%</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4,465,141.80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4,151,919.55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6" w:right="46"/>
              <w:jc w:val="left"/>
              <w:rPr>
                <w:rFonts w:ascii="宋体" w:hAnsi="宋体" w:cs="宋体" w:eastAsia="宋体" w:hint="default"/>
                <w:sz w:val="18"/>
                <w:szCs w:val="18"/>
              </w:rPr>
            </w:pPr>
            <w:r>
              <w:rPr>
                <w:rFonts w:ascii="宋体" w:hAnsi="宋体" w:cs="宋体" w:eastAsia="宋体" w:hint="default"/>
                <w:sz w:val="18"/>
                <w:szCs w:val="18"/>
              </w:rPr>
              <w:t>金融机构贷 款</w:t>
            </w:r>
          </w:p>
        </w:tc>
      </w:tr>
      <w:tr>
        <w:trPr>
          <w:trHeight w:val="713" w:hRule="exact"/>
        </w:trPr>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299,750,000.00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161,296,170.9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79,074,473.72</w:t>
            </w:r>
          </w:p>
        </w:tc>
        <w:tc>
          <w:tcPr>
            <w:tcW w:w="45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240,370,644.68</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4,465,141.80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4,151,919.55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972" w:right="0"/>
        <w:jc w:val="left"/>
        <w:rPr>
          <w:b w:val="0"/>
          <w:bCs w:val="0"/>
        </w:rPr>
      </w:pPr>
      <w:r>
        <w:rPr/>
        <w:t>（</w:t>
      </w:r>
      <w:r>
        <w:rPr>
          <w:rFonts w:ascii="Times New Roman" w:hAnsi="Times New Roman" w:cs="Times New Roman" w:eastAsia="Times New Roman" w:hint="default"/>
        </w:rPr>
        <w:t>3</w:t>
      </w:r>
      <w:r>
        <w:rPr/>
        <w:t>）本期无计提在建工程减值准备情况。</w:t>
      </w:r>
      <w:r>
        <w:rPr>
          <w:b w:val="0"/>
          <w:bCs w:val="0"/>
        </w:rPr>
      </w:r>
    </w:p>
    <w:p>
      <w:pPr>
        <w:spacing w:after="0" w:line="240" w:lineRule="auto"/>
        <w:jc w:val="left"/>
        <w:sectPr>
          <w:pgSz w:w="11910" w:h="16840"/>
          <w:pgMar w:header="786" w:footer="1021" w:top="1100" w:bottom="1220" w:left="160" w:right="300"/>
        </w:sectPr>
      </w:pPr>
    </w:p>
    <w:p>
      <w:pPr>
        <w:spacing w:line="240" w:lineRule="auto" w:before="9"/>
        <w:rPr>
          <w:rFonts w:ascii="宋体" w:hAnsi="宋体" w:cs="宋体" w:eastAsia="宋体" w:hint="default"/>
          <w:b/>
          <w:bCs/>
          <w:sz w:val="21"/>
          <w:szCs w:val="21"/>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2138"/>
        <w:gridCol w:w="1136"/>
        <w:gridCol w:w="1133"/>
        <w:gridCol w:w="1167"/>
        <w:gridCol w:w="1594"/>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33"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67" w:type="dxa"/>
            <w:tcBorders>
              <w:top w:val="single" w:sz="4" w:space="0" w:color="000000"/>
              <w:left w:val="single" w:sz="12" w:space="0" w:color="D2D2D2"/>
              <w:bottom w:val="single" w:sz="4" w:space="0" w:color="000000"/>
              <w:right w:val="single" w:sz="4" w:space="0" w:color="000000"/>
            </w:tcBorders>
            <w:shd w:val="clear" w:color="auto" w:fill="D9D9D9"/>
          </w:tcPr>
          <w:p>
            <w:pPr>
              <w:pStyle w:val="TableParagraph"/>
              <w:spacing w:line="240" w:lineRule="auto" w:before="49"/>
              <w:ind w:right="38"/>
              <w:jc w:val="right"/>
              <w:rPr>
                <w:rFonts w:ascii="宋体" w:hAnsi="宋体" w:cs="宋体" w:eastAsia="宋体" w:hint="default"/>
                <w:sz w:val="18"/>
                <w:szCs w:val="18"/>
              </w:rPr>
            </w:pPr>
            <w:r>
              <w:rPr>
                <w:rFonts w:ascii="宋体" w:hAnsi="宋体" w:cs="宋体" w:eastAsia="宋体" w:hint="default"/>
                <w:sz w:val="18"/>
                <w:szCs w:val="18"/>
              </w:rPr>
              <w:t>高尔夫球会籍</w:t>
            </w:r>
          </w:p>
        </w:tc>
        <w:tc>
          <w:tcPr>
            <w:tcW w:w="1594" w:type="dxa"/>
            <w:tcBorders>
              <w:top w:val="single" w:sz="4" w:space="0" w:color="000000"/>
              <w:left w:val="single" w:sz="12" w:space="0" w:color="D9D9D9"/>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39,171,342.00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39,898,723.22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83,946,065.22</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34,529.91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34,529.91</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34,529.91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34,529.91</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39,171,342.00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39,933,253.13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83,980,595.13</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2,865,593.93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8,406,872.84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11,272,466.77</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783,426.84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4,204,671.59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4,988,098.43</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783,426.84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4,204,671.59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4,988,098.43</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3,649,020.77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12,611,544.43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16,260,565.20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284,000.00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284,000.00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284,000.00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35,522,321.23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27,321,708.70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67,436,029.93</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36,305,748.07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31,491,850.38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72,673,598.45</w:t>
            </w:r>
          </w:p>
        </w:tc>
      </w:tr>
    </w:tbl>
    <w:p>
      <w:pPr>
        <w:spacing w:line="240" w:lineRule="auto" w:before="1"/>
        <w:rPr>
          <w:rFonts w:ascii="宋体" w:hAnsi="宋体" w:cs="宋体" w:eastAsia="宋体" w:hint="default"/>
          <w:sz w:val="10"/>
          <w:szCs w:val="10"/>
        </w:rPr>
      </w:pPr>
    </w:p>
    <w:p>
      <w:pPr>
        <w:pStyle w:val="BodyText"/>
        <w:spacing w:line="300" w:lineRule="auto" w:before="44"/>
        <w:ind w:left="513" w:right="2872"/>
        <w:jc w:val="left"/>
      </w:pPr>
      <w:r>
        <w:rPr/>
        <w:t>期末无形资产中通过公司内部研发形成的无形资产占无形资产余额的比例</w:t>
      </w:r>
      <w:r>
        <w:rPr>
          <w:spacing w:val="-44"/>
        </w:rPr>
        <w:t> </w:t>
      </w:r>
      <w:r>
        <w:rPr>
          <w:rFonts w:ascii="Times New Roman" w:hAnsi="Times New Roman" w:cs="Times New Roman" w:eastAsia="Times New Roman" w:hint="default"/>
        </w:rPr>
        <w:t>44.30%</w:t>
      </w:r>
      <w:r>
        <w:rPr/>
        <w:t>。 土地使用权包括科学城土地使用权以及高塘土地使用权：</w:t>
      </w:r>
    </w:p>
    <w:p>
      <w:pPr>
        <w:pStyle w:val="BodyText"/>
        <w:spacing w:line="240" w:lineRule="auto" w:before="72"/>
        <w:ind w:left="513" w:right="0"/>
        <w:jc w:val="left"/>
      </w:pPr>
      <w:r>
        <w:rPr/>
        <w:t>（</w:t>
      </w:r>
      <w:r>
        <w:rPr>
          <w:rFonts w:ascii="Times New Roman" w:hAnsi="Times New Roman" w:cs="Times New Roman" w:eastAsia="Times New Roman" w:hint="default"/>
        </w:rPr>
        <w:t>1</w:t>
      </w:r>
      <w:r>
        <w:rPr/>
        <w:t>）科学城土地使用权的权证号为穗府国用（</w:t>
      </w:r>
      <w:r>
        <w:rPr>
          <w:rFonts w:ascii="Times New Roman" w:hAnsi="Times New Roman" w:cs="Times New Roman" w:eastAsia="Times New Roman" w:hint="default"/>
        </w:rPr>
        <w:t>2011</w:t>
      </w:r>
      <w:r>
        <w:rPr/>
        <w:t>）第</w:t>
      </w:r>
      <w:r>
        <w:rPr>
          <w:spacing w:val="-48"/>
        </w:rPr>
        <w:t> </w:t>
      </w:r>
      <w:r>
        <w:rPr>
          <w:rFonts w:ascii="Times New Roman" w:hAnsi="Times New Roman" w:cs="Times New Roman" w:eastAsia="Times New Roman" w:hint="default"/>
        </w:rPr>
        <w:t>05000060</w:t>
      </w:r>
      <w:r>
        <w:rPr>
          <w:rFonts w:ascii="Times New Roman" w:hAnsi="Times New Roman" w:cs="Times New Roman" w:eastAsia="Times New Roman" w:hint="default"/>
          <w:spacing w:val="-2"/>
        </w:rPr>
        <w:t> </w:t>
      </w:r>
      <w:r>
        <w:rPr/>
        <w:t>号，使用权面积为</w:t>
      </w:r>
      <w:r>
        <w:rPr>
          <w:spacing w:val="-50"/>
        </w:rPr>
        <w:t> </w:t>
      </w:r>
      <w:r>
        <w:rPr>
          <w:rFonts w:ascii="Times New Roman" w:hAnsi="Times New Roman" w:cs="Times New Roman" w:eastAsia="Times New Roman" w:hint="default"/>
        </w:rPr>
        <w:t>15,000.00</w:t>
      </w:r>
      <w:r>
        <w:rPr>
          <w:rFonts w:ascii="Times New Roman" w:hAnsi="Times New Roman" w:cs="Times New Roman" w:eastAsia="Times New Roman" w:hint="default"/>
          <w:spacing w:val="-1"/>
        </w:rPr>
        <w:t> </w:t>
      </w:r>
      <w:r>
        <w:rPr/>
        <w:t>平方米，为工矿仓储用</w:t>
      </w:r>
    </w:p>
    <w:p>
      <w:pPr>
        <w:pStyle w:val="BodyText"/>
        <w:spacing w:line="240" w:lineRule="auto" w:before="63"/>
        <w:ind w:right="153"/>
        <w:jc w:val="left"/>
      </w:pPr>
      <w:r>
        <w:rPr/>
        <w:t>地，使用年限至</w:t>
      </w:r>
      <w:r>
        <w:rPr>
          <w:spacing w:val="-45"/>
        </w:rPr>
        <w:t> </w:t>
      </w:r>
      <w:r>
        <w:rPr>
          <w:rFonts w:ascii="Times New Roman" w:hAnsi="Times New Roman" w:cs="Times New Roman" w:eastAsia="Times New Roman" w:hint="default"/>
        </w:rPr>
        <w:t>2060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日终止，该土地使用权以出让方式取得。</w:t>
      </w:r>
    </w:p>
    <w:p>
      <w:pPr>
        <w:spacing w:after="0" w:line="240" w:lineRule="auto"/>
        <w:jc w:val="left"/>
        <w:sectPr>
          <w:pgSz w:w="11910" w:h="16840"/>
          <w:pgMar w:header="786" w:footer="1021" w:top="1100" w:bottom="1220" w:left="980" w:right="980"/>
        </w:sectPr>
      </w:pPr>
    </w:p>
    <w:p>
      <w:pPr>
        <w:spacing w:line="240" w:lineRule="auto" w:before="8"/>
        <w:rPr>
          <w:rFonts w:ascii="宋体" w:hAnsi="宋体" w:cs="宋体" w:eastAsia="宋体" w:hint="default"/>
          <w:sz w:val="22"/>
          <w:szCs w:val="22"/>
        </w:rPr>
      </w:pPr>
    </w:p>
    <w:p>
      <w:pPr>
        <w:pStyle w:val="BodyText"/>
        <w:spacing w:line="240" w:lineRule="auto" w:before="44"/>
        <w:ind w:left="0" w:right="100"/>
        <w:jc w:val="right"/>
      </w:pPr>
      <w:r>
        <w:rPr/>
        <w:t>（</w:t>
      </w:r>
      <w:r>
        <w:rPr>
          <w:rFonts w:ascii="Times New Roman" w:hAnsi="Times New Roman" w:cs="Times New Roman" w:eastAsia="Times New Roman" w:hint="default"/>
        </w:rPr>
        <w:t>2</w:t>
      </w:r>
      <w:r>
        <w:rPr/>
        <w:t>）高塘土地使用权的权证号为穗府国用（</w:t>
      </w:r>
      <w:r>
        <w:rPr>
          <w:rFonts w:ascii="Times New Roman" w:hAnsi="Times New Roman" w:cs="Times New Roman" w:eastAsia="Times New Roman" w:hint="default"/>
        </w:rPr>
        <w:t>2011</w:t>
      </w:r>
      <w:r>
        <w:rPr/>
        <w:t>）第</w:t>
      </w:r>
      <w:r>
        <w:rPr>
          <w:spacing w:val="-69"/>
        </w:rPr>
        <w:t> </w:t>
      </w:r>
      <w:r>
        <w:rPr>
          <w:rFonts w:ascii="Times New Roman" w:hAnsi="Times New Roman" w:cs="Times New Roman" w:eastAsia="Times New Roman" w:hint="default"/>
        </w:rPr>
        <w:t>01100110</w:t>
      </w:r>
      <w:r>
        <w:rPr>
          <w:rFonts w:ascii="Times New Roman" w:hAnsi="Times New Roman" w:cs="Times New Roman" w:eastAsia="Times New Roman" w:hint="default"/>
          <w:spacing w:val="-22"/>
        </w:rPr>
        <w:t> </w:t>
      </w:r>
      <w:r>
        <w:rPr/>
        <w:t>号，使用权面积为</w:t>
      </w:r>
      <w:r>
        <w:rPr>
          <w:spacing w:val="-69"/>
        </w:rPr>
        <w:t> </w:t>
      </w:r>
      <w:r>
        <w:rPr>
          <w:rFonts w:ascii="Times New Roman" w:hAnsi="Times New Roman" w:cs="Times New Roman" w:eastAsia="Times New Roman" w:hint="default"/>
        </w:rPr>
        <w:t>14,693.00</w:t>
      </w:r>
      <w:r>
        <w:rPr>
          <w:rFonts w:ascii="Times New Roman" w:hAnsi="Times New Roman" w:cs="Times New Roman" w:eastAsia="Times New Roman" w:hint="default"/>
          <w:spacing w:val="-23"/>
        </w:rPr>
        <w:t> </w:t>
      </w:r>
      <w:r>
        <w:rPr/>
        <w:t>平方米，用途为科教用地，</w:t>
      </w:r>
    </w:p>
    <w:p>
      <w:pPr>
        <w:pStyle w:val="BodyText"/>
        <w:spacing w:line="240" w:lineRule="auto" w:before="63"/>
        <w:ind w:right="94"/>
        <w:jc w:val="left"/>
      </w:pPr>
      <w:r>
        <w:rPr/>
        <w:t>该土地使用权以出让方式取得，土地出让使用年限自</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日起计算，居民份额用地</w:t>
      </w:r>
      <w:r>
        <w:rPr>
          <w:spacing w:val="-47"/>
        </w:rPr>
        <w:t> </w:t>
      </w:r>
      <w:r>
        <w:rPr>
          <w:rFonts w:ascii="Times New Roman" w:hAnsi="Times New Roman" w:cs="Times New Roman" w:eastAsia="Times New Roman" w:hint="default"/>
        </w:rPr>
        <w:t>70 </w:t>
      </w:r>
      <w:r>
        <w:rPr/>
        <w:t>年，商业、旅游、娱乐份</w:t>
      </w:r>
    </w:p>
    <w:p>
      <w:pPr>
        <w:pStyle w:val="BodyText"/>
        <w:spacing w:line="240" w:lineRule="auto" w:before="63"/>
        <w:ind w:right="94"/>
        <w:jc w:val="left"/>
      </w:pPr>
      <w:r>
        <w:rPr/>
        <w:t>额用地</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年，其他用地</w:t>
      </w:r>
      <w:r>
        <w:rPr>
          <w:spacing w:val="-47"/>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年，土地属于其他用地按</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年摊销。</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）本期无未办妥产权证书的土地使用权情况。</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8"/>
        <w:gridCol w:w="1037"/>
        <w:gridCol w:w="818"/>
        <w:gridCol w:w="1016"/>
        <w:gridCol w:w="1368"/>
        <w:gridCol w:w="1369"/>
        <w:gridCol w:w="1366"/>
      </w:tblGrid>
      <w:tr>
        <w:trPr>
          <w:trHeight w:val="403" w:hRule="exact"/>
        </w:trPr>
        <w:tc>
          <w:tcPr>
            <w:tcW w:w="25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05" w:right="32" w:hanging="1172"/>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 项</w:t>
            </w:r>
          </w:p>
        </w:tc>
        <w:tc>
          <w:tcPr>
            <w:tcW w:w="10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598" w:type="dxa"/>
            <w:vMerge/>
            <w:tcBorders>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single" w:sz="4" w:space="0" w:color="000000"/>
              <w:right w:val="single" w:sz="4" w:space="0" w:color="000000"/>
            </w:tcBorders>
            <w:shd w:val="clear" w:color="auto" w:fill="D2D2D2"/>
          </w:tcPr>
          <w:p>
            <w:pP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计提</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center"/>
              <w:rPr>
                <w:rFonts w:ascii="宋体" w:hAnsi="宋体" w:cs="宋体" w:eastAsia="宋体" w:hint="default"/>
                <w:sz w:val="18"/>
                <w:szCs w:val="18"/>
              </w:rPr>
            </w:pPr>
            <w:r>
              <w:rPr>
                <w:rFonts w:ascii="宋体" w:hAnsi="宋体" w:cs="宋体" w:eastAsia="宋体" w:hint="default"/>
                <w:sz w:val="18"/>
                <w:szCs w:val="18"/>
              </w:rPr>
              <w:t>北京青年御银科技有限责任公司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284,800.71</w:t>
            </w:r>
          </w:p>
        </w:tc>
        <w:tc>
          <w:tcPr>
            <w:tcW w:w="818"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284,800.71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284,800.71</w:t>
            </w:r>
          </w:p>
        </w:tc>
        <w:tc>
          <w:tcPr>
            <w:tcW w:w="818"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284,800.71</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4"/>
        <w:gridCol w:w="1037"/>
        <w:gridCol w:w="876"/>
        <w:gridCol w:w="932"/>
        <w:gridCol w:w="1368"/>
        <w:gridCol w:w="1369"/>
        <w:gridCol w:w="1366"/>
      </w:tblGrid>
      <w:tr>
        <w:trPr>
          <w:trHeight w:val="415" w:hRule="exact"/>
        </w:trPr>
        <w:tc>
          <w:tcPr>
            <w:tcW w:w="262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4"/>
              <w:ind w:left="1217" w:right="44" w:hanging="117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 项</w:t>
            </w:r>
          </w:p>
        </w:tc>
        <w:tc>
          <w:tcPr>
            <w:tcW w:w="10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4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2624" w:type="dxa"/>
            <w:vMerge/>
            <w:tcBorders>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single" w:sz="4" w:space="0" w:color="000000"/>
              <w:right w:val="single" w:sz="4" w:space="0" w:color="000000"/>
            </w:tcBorders>
            <w:shd w:val="clear" w:color="auto" w:fill="D2D2D2"/>
          </w:tcPr>
          <w:p>
            <w:pP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5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宋体" w:hAnsi="宋体" w:cs="宋体" w:eastAsia="宋体" w:hint="default"/>
                <w:sz w:val="18"/>
                <w:szCs w:val="18"/>
              </w:rPr>
              <w:t>北京青年御银科技有限责任公司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284,800.71</w:t>
            </w:r>
          </w:p>
        </w:tc>
        <w:tc>
          <w:tcPr>
            <w:tcW w:w="8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284,800.71</w:t>
            </w:r>
          </w:p>
        </w:tc>
      </w:tr>
      <w:tr>
        <w:trPr>
          <w:trHeight w:val="404"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284,800.71</w:t>
            </w:r>
          </w:p>
        </w:tc>
        <w:tc>
          <w:tcPr>
            <w:tcW w:w="8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284,800.71</w:t>
            </w:r>
          </w:p>
        </w:tc>
      </w:tr>
    </w:tbl>
    <w:p>
      <w:pPr>
        <w:pStyle w:val="BodyText"/>
        <w:spacing w:line="240" w:lineRule="auto" w:before="49"/>
        <w:ind w:left="513" w:right="94"/>
        <w:jc w:val="left"/>
      </w:pPr>
      <w:r>
        <w:rPr/>
        <w:t>说明商誉减值测试过程、参数及商誉减值损失的确认方法：</w:t>
      </w:r>
    </w:p>
    <w:p>
      <w:pPr>
        <w:pStyle w:val="BodyText"/>
        <w:spacing w:line="300" w:lineRule="auto" w:before="115"/>
        <w:ind w:right="94" w:firstLine="360"/>
        <w:jc w:val="left"/>
      </w:pPr>
      <w:r>
        <w:rPr/>
        <w:t>①商誉的计算过程。公司对北京青年御银科技有限责任公司从</w:t>
      </w:r>
      <w:r>
        <w:rPr>
          <w:rFonts w:ascii="Times New Roman" w:hAnsi="Times New Roman" w:cs="Times New Roman" w:eastAsia="Times New Roman" w:hint="default"/>
        </w:rPr>
        <w:t>20%</w:t>
      </w:r>
      <w:r>
        <w:rPr/>
        <w:t>的股权变更为</w:t>
      </w:r>
      <w:r>
        <w:rPr>
          <w:rFonts w:ascii="Times New Roman" w:hAnsi="Times New Roman" w:cs="Times New Roman" w:eastAsia="Times New Roman" w:hint="default"/>
        </w:rPr>
        <w:t>100%</w:t>
      </w:r>
      <w:r>
        <w:rPr/>
        <w:t>，由权益法改为成本法，从变更 </w:t>
      </w:r>
      <w:r>
        <w:rPr>
          <w:spacing w:val="-2"/>
        </w:rPr>
        <w:t>之日起纳入合并范围。以变更登记日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日为购买日，已支付给北京青年御银科技有限责任公司的实收资本</w:t>
      </w:r>
      <w:r>
        <w:rPr>
          <w:rFonts w:ascii="Times New Roman" w:hAnsi="Times New Roman" w:cs="Times New Roman" w:eastAsia="Times New Roman" w:hint="default"/>
          <w:spacing w:val="-2"/>
        </w:rPr>
        <w:t>200</w:t>
      </w:r>
      <w:r>
        <w:rPr>
          <w:spacing w:val="-2"/>
        </w:rPr>
        <w:t>万人</w:t>
      </w:r>
      <w:r>
        <w:rPr>
          <w:spacing w:val="-57"/>
        </w:rPr>
        <w:t> </w:t>
      </w:r>
      <w:r>
        <w:rPr>
          <w:spacing w:val="-1"/>
        </w:rPr>
        <w:t>民币作为合并成本，北京青年御银科技有限责任公司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31</w:t>
      </w:r>
      <w:r>
        <w:rPr>
          <w:spacing w:val="-1"/>
        </w:rPr>
        <w:t>日的账面净值</w:t>
      </w:r>
      <w:r>
        <w:rPr>
          <w:rFonts w:ascii="Times New Roman" w:hAnsi="Times New Roman" w:cs="Times New Roman" w:eastAsia="Times New Roman" w:hint="default"/>
          <w:spacing w:val="-1"/>
        </w:rPr>
        <w:t>1,715,199.29</w:t>
      </w:r>
      <w:r>
        <w:rPr>
          <w:spacing w:val="-1"/>
        </w:rPr>
        <w:t>元为在购买日的可辨认净资产公</w:t>
      </w:r>
      <w:r>
        <w:rPr>
          <w:spacing w:val="-66"/>
        </w:rPr>
        <w:t> </w:t>
      </w:r>
      <w:r>
        <w:rPr/>
        <w:t>允价值，两者的差额人民币</w:t>
      </w:r>
      <w:r>
        <w:rPr>
          <w:rFonts w:ascii="Times New Roman" w:hAnsi="Times New Roman" w:cs="Times New Roman" w:eastAsia="Times New Roman" w:hint="default"/>
        </w:rPr>
        <w:t>284,800.71</w:t>
      </w:r>
      <w:r>
        <w:rPr/>
        <w:t>元确认为与北京青年御银科技有限责任公司相关的商誉。</w:t>
      </w:r>
    </w:p>
    <w:p>
      <w:pPr>
        <w:pStyle w:val="BodyText"/>
        <w:spacing w:line="300" w:lineRule="auto" w:before="13"/>
        <w:ind w:right="94" w:firstLine="360"/>
        <w:jc w:val="left"/>
      </w:pPr>
      <w:r>
        <w:rPr>
          <w:spacing w:val="-4"/>
        </w:rPr>
        <w:t>②商誉减值测试的方法。北京青年御银有限责任公司</w:t>
      </w:r>
      <w:r>
        <w:rPr>
          <w:rFonts w:ascii="Times New Roman" w:hAnsi="Times New Roman" w:cs="Times New Roman" w:eastAsia="Times New Roman" w:hint="default"/>
          <w:spacing w:val="-4"/>
        </w:rPr>
        <w:t>2012</w:t>
      </w:r>
      <w:r>
        <w:rPr>
          <w:spacing w:val="-4"/>
        </w:rPr>
        <w:t>年末只有极少量固定资产和无形资产，没有实质性的经营活动，</w:t>
      </w:r>
      <w:r>
        <w:rPr/>
        <w:t> 不产生营业收入，明显不存在商誉，故全额计提商誉减值准备。</w:t>
      </w:r>
    </w:p>
    <w:p>
      <w:pPr>
        <w:spacing w:line="240" w:lineRule="auto" w:before="10"/>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520,452.83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520,452.83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维护费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891,025.65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641,025.72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249,999.93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1,411,478.48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1,161,478.55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249,999.93</w:t>
            </w:r>
          </w:p>
        </w:tc>
      </w:tr>
    </w:tbl>
    <w:p>
      <w:pPr>
        <w:spacing w:after="0" w:line="240" w:lineRule="auto"/>
        <w:jc w:val="right"/>
        <w:rPr>
          <w:rFonts w:ascii="Times New Roman" w:hAnsi="Times New Roman" w:cs="Times New Roman" w:eastAsia="Times New Roman" w:hint="default"/>
          <w:sz w:val="18"/>
          <w:szCs w:val="18"/>
        </w:rPr>
        <w:sectPr>
          <w:footerReference w:type="default" r:id="rId22"/>
          <w:pgSz w:w="11910" w:h="16840"/>
          <w:pgMar w:footer="1021" w:header="786" w:top="1100" w:bottom="1220" w:left="980" w:right="940"/>
          <w:pgNumType w:start="110"/>
        </w:sectPr>
      </w:pPr>
    </w:p>
    <w:p>
      <w:pPr>
        <w:spacing w:line="240" w:lineRule="auto" w:before="9"/>
        <w:rPr>
          <w:rFonts w:ascii="宋体" w:hAnsi="宋体" w:cs="宋体" w:eastAsia="宋体"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27,247,812.61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4,159,664.27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29,693,039.32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4,444,072.77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3,498,109.00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524,716.35</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56,824,800.00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8,523,720.00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39,676,419.00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5,931,332.85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84,072,612.61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12,683,384.27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72,867,567.32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10,900,121.97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融资租赁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4,822,414.47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723,362.17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4,822,414.47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723,362.17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）本期无以抵销后净额列示的递延所得税资产或负债。</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）本期未确认可抵扣亏损的递延所得税资产金额为</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247,540.10</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14,138,820.96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5,309,140.68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14,138,820.96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5,309,140.68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8"/>
        <w:rPr>
          <w:rFonts w:ascii="宋体" w:hAnsi="宋体" w:cs="宋体" w:eastAsia="宋体" w:hint="default"/>
          <w:sz w:val="22"/>
          <w:szCs w:val="22"/>
        </w:rPr>
      </w:pPr>
    </w:p>
    <w:p>
      <w:pPr>
        <w:pStyle w:val="BodyText"/>
        <w:spacing w:line="240" w:lineRule="auto" w:before="44"/>
        <w:ind w:right="94"/>
        <w:jc w:val="left"/>
      </w:pPr>
      <w:r>
        <w:rPr/>
        <w:t>短期借款分类的说明：</w:t>
      </w:r>
    </w:p>
    <w:p>
      <w:pPr>
        <w:pStyle w:val="BodyText"/>
        <w:spacing w:line="300" w:lineRule="auto" w:before="117"/>
        <w:ind w:right="94" w:firstLine="360"/>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日，公司与中国民生银行股份有限公司广州分行签订了一份短期借款合同，以保证担保方式取得人民</w:t>
      </w:r>
      <w:r>
        <w:rPr/>
        <w:t> </w:t>
      </w:r>
      <w:r>
        <w:rPr>
          <w:spacing w:val="-1"/>
        </w:rPr>
        <w:t>币为</w:t>
      </w:r>
      <w:r>
        <w:rPr>
          <w:rFonts w:ascii="Times New Roman" w:hAnsi="Times New Roman" w:cs="Times New Roman" w:eastAsia="Times New Roman" w:hint="default"/>
          <w:spacing w:val="-1"/>
        </w:rPr>
        <w:t>80,000,000.00</w:t>
      </w:r>
      <w:r>
        <w:rPr>
          <w:spacing w:val="-1"/>
        </w:rPr>
        <w:t>元的短期借款，编号为公借贷字第</w:t>
      </w:r>
      <w:r>
        <w:rPr>
          <w:rFonts w:ascii="Times New Roman" w:hAnsi="Times New Roman" w:cs="Times New Roman" w:eastAsia="Times New Roman" w:hint="default"/>
          <w:spacing w:val="-1"/>
        </w:rPr>
        <w:t>ZH1500000054021</w:t>
      </w:r>
      <w:r>
        <w:rPr>
          <w:spacing w:val="-1"/>
        </w:rPr>
        <w:t>号，期限自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17</w:t>
      </w:r>
      <w:r>
        <w:rPr>
          <w:spacing w:val="-1"/>
        </w:rPr>
        <w:t>日至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16</w:t>
      </w:r>
      <w:r>
        <w:rPr>
          <w:spacing w:val="-1"/>
        </w:rPr>
        <w:t>日止，截止</w:t>
      </w:r>
      <w:r>
        <w:rPr>
          <w:spacing w:val="-41"/>
        </w:rPr>
        <w:t> </w:t>
      </w:r>
      <w:r>
        <w:rPr>
          <w:spacing w:val="-41"/>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日，已提前还款</w:t>
      </w:r>
      <w:r>
        <w:rPr>
          <w:rFonts w:ascii="Times New Roman" w:hAnsi="Times New Roman" w:cs="Times New Roman" w:eastAsia="Times New Roman" w:hint="default"/>
        </w:rPr>
        <w:t>50,000,000.00</w:t>
      </w:r>
      <w:r>
        <w:rPr/>
        <w:t>元，本年期末余额为</w:t>
      </w:r>
      <w:r>
        <w:rPr>
          <w:rFonts w:ascii="Times New Roman" w:hAnsi="Times New Roman" w:cs="Times New Roman" w:eastAsia="Times New Roman" w:hint="default"/>
        </w:rPr>
        <w:t>30,000,000.00</w:t>
      </w:r>
      <w:r>
        <w:rPr/>
        <w:t>元。该项借款合同在编号为公授信字第 </w:t>
      </w:r>
      <w:r>
        <w:rPr>
          <w:rFonts w:ascii="Times New Roman" w:hAnsi="Times New Roman" w:cs="Times New Roman" w:eastAsia="Times New Roman" w:hint="default"/>
          <w:spacing w:val="-1"/>
        </w:rPr>
        <w:t>ZH1400000101733</w:t>
      </w:r>
      <w:r>
        <w:rPr>
          <w:spacing w:val="-1"/>
        </w:rPr>
        <w:t>号综合授信合同项下取得，以杨文江作担保，最高额担保合同编号为个高保字第</w:t>
      </w:r>
      <w:r>
        <w:rPr>
          <w:rFonts w:ascii="Times New Roman" w:hAnsi="Times New Roman" w:cs="Times New Roman" w:eastAsia="Times New Roman" w:hint="default"/>
          <w:spacing w:val="-1"/>
        </w:rPr>
        <w:t>ZH1400000101733</w:t>
      </w:r>
      <w:r>
        <w:rPr>
          <w:spacing w:val="-1"/>
        </w:rPr>
        <w:t>号，期</w:t>
      </w:r>
      <w:r>
        <w:rPr>
          <w:spacing w:val="-53"/>
        </w:rPr>
        <w:t> </w:t>
      </w:r>
      <w:r>
        <w:rPr>
          <w:spacing w:val="-53"/>
        </w:rPr>
      </w:r>
      <w:r>
        <w:rPr/>
        <w:t>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日，最高担保额度为</w:t>
      </w:r>
      <w:r>
        <w:rPr>
          <w:rFonts w:ascii="Times New Roman" w:hAnsi="Times New Roman" w:cs="Times New Roman" w:eastAsia="Times New Roman" w:hint="default"/>
        </w:rPr>
        <w:t>100,000,000.00</w:t>
      </w:r>
      <w:r>
        <w:rPr/>
        <w:t>元。</w:t>
      </w:r>
    </w:p>
    <w:p>
      <w:pPr>
        <w:pStyle w:val="BodyText"/>
        <w:spacing w:line="300" w:lineRule="auto" w:before="13"/>
        <w:ind w:right="99" w:firstLine="36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日，公司与中国工商银行股份有限公司广州工业大道支行签订了编号为工业支行</w:t>
      </w:r>
      <w:r>
        <w:rPr>
          <w:rFonts w:ascii="Times New Roman" w:hAnsi="Times New Roman" w:cs="Times New Roman" w:eastAsia="Times New Roman" w:hint="default"/>
          <w:spacing w:val="-2"/>
        </w:rPr>
        <w:t>2015</w:t>
      </w:r>
      <w:r>
        <w:rPr>
          <w:spacing w:val="-2"/>
        </w:rPr>
        <w:t>年流借字第</w:t>
      </w:r>
      <w:r>
        <w:rPr>
          <w:rFonts w:ascii="Times New Roman" w:hAnsi="Times New Roman" w:cs="Times New Roman" w:eastAsia="Times New Roman" w:hint="default"/>
          <w:spacing w:val="-2"/>
        </w:rPr>
        <w:t>042</w:t>
      </w:r>
      <w:r>
        <w:rPr>
          <w:rFonts w:ascii="Times New Roman" w:hAnsi="Times New Roman" w:cs="Times New Roman" w:eastAsia="Times New Roman" w:hint="default"/>
        </w:rPr>
        <w:t> </w:t>
      </w:r>
      <w:r>
        <w:rPr>
          <w:spacing w:val="-2"/>
        </w:rPr>
        <w:t>号流动资金借款合同，本合同项下的借款金额为</w:t>
      </w:r>
      <w:r>
        <w:rPr>
          <w:rFonts w:ascii="Times New Roman" w:hAnsi="Times New Roman" w:cs="Times New Roman" w:eastAsia="Times New Roman" w:hint="default"/>
          <w:spacing w:val="-2"/>
        </w:rPr>
        <w:t>50,000,000.00</w:t>
      </w:r>
      <w:r>
        <w:rPr>
          <w:spacing w:val="-2"/>
        </w:rPr>
        <w:t>元，借款期限自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日止，杨文江、</w:t>
      </w:r>
      <w:r>
        <w:rPr/>
        <w:t> 子公司广州御新软件有限公司为其提供担保，所对应的最高额担保合同编号分别为工业支行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095</w:t>
      </w:r>
      <w:r>
        <w:rPr/>
        <w:t>号、工业 支行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094</w:t>
      </w:r>
      <w:r>
        <w:rPr/>
        <w:t>号，期限为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36</w:t>
      </w:r>
      <w:r>
        <w:rPr/>
        <w:t>日。</w:t>
      </w:r>
    </w:p>
    <w:p>
      <w:pPr>
        <w:pStyle w:val="BodyText"/>
        <w:spacing w:line="300" w:lineRule="auto" w:before="13"/>
        <w:ind w:right="184" w:firstLine="36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日，公司与招商银行股份有限公司广州黄埔大道支行签订了一份授信协议（编号为</w:t>
      </w:r>
      <w:r>
        <w:rPr>
          <w:rFonts w:ascii="Times New Roman" w:hAnsi="Times New Roman" w:cs="Times New Roman" w:eastAsia="Times New Roman" w:hint="default"/>
        </w:rPr>
        <w:t>21151002</w:t>
      </w:r>
      <w:r>
        <w:rPr/>
        <w:t>），授 信额度为</w:t>
      </w:r>
      <w:r>
        <w:rPr>
          <w:rFonts w:ascii="Times New Roman" w:hAnsi="Times New Roman" w:cs="Times New Roman" w:eastAsia="Times New Roman" w:hint="default"/>
        </w:rPr>
        <w:t>100,000,000.00</w:t>
      </w:r>
      <w:r>
        <w:rPr/>
        <w:t>元，授信期间从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2016</w:t>
      </w:r>
      <w:r>
        <w:rPr/>
        <w:t>月</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日止，由杨文江提供最高额不可撤销担保（编号为 </w:t>
      </w:r>
      <w:r>
        <w:rPr>
          <w:rFonts w:ascii="Times New Roman" w:hAnsi="Times New Roman" w:cs="Times New Roman" w:eastAsia="Times New Roman" w:hint="default"/>
        </w:rPr>
        <w:t>21151002</w:t>
      </w:r>
      <w:r>
        <w:rPr/>
        <w:t>），本期公司在该授信协议下取得短期借款</w:t>
      </w:r>
      <w:r>
        <w:rPr>
          <w:rFonts w:ascii="Times New Roman" w:hAnsi="Times New Roman" w:cs="Times New Roman" w:eastAsia="Times New Roman" w:hint="default"/>
        </w:rPr>
        <w:t>20,000,000.00</w:t>
      </w:r>
      <w:r>
        <w:rPr/>
        <w:t>元，期限自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日止。</w:t>
      </w:r>
    </w:p>
    <w:p>
      <w:pPr>
        <w:spacing w:line="240" w:lineRule="auto" w:before="5"/>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）本期无已逾期未偿还的短期借款情况</w:t>
      </w:r>
      <w:r>
        <w:rPr>
          <w:b w:val="0"/>
          <w:bCs w:val="0"/>
        </w:rPr>
      </w:r>
    </w:p>
    <w:p>
      <w:pPr>
        <w:spacing w:line="240" w:lineRule="auto" w:before="7"/>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6,054,000.00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6,054,000.00</w:t>
            </w:r>
          </w:p>
        </w:tc>
      </w:tr>
    </w:tbl>
    <w:p>
      <w:pPr>
        <w:pStyle w:val="BodyText"/>
        <w:spacing w:line="240" w:lineRule="auto" w:before="49"/>
        <w:ind w:right="94"/>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271,776,049.50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108,143,021.07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909,895.10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42,930.17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34,196.31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1,039,214.10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1,150,801.66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273,735,209.15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109,370,949.21</w:t>
            </w:r>
          </w:p>
        </w:tc>
      </w:tr>
    </w:tbl>
    <w:p>
      <w:pPr>
        <w:pStyle w:val="BodyText"/>
        <w:spacing w:line="240" w:lineRule="auto" w:before="8"/>
        <w:ind w:right="94"/>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日，应付账款余额中已通过信用证方式支付的尚未到期的不可撤销信用证金额为</w:t>
      </w:r>
      <w:r>
        <w:rPr>
          <w:rFonts w:ascii="Times New Roman" w:hAnsi="Times New Roman" w:cs="Times New Roman" w:eastAsia="Times New Roman" w:hint="default"/>
        </w:rPr>
        <w:t>29,287,565.00</w:t>
      </w:r>
      <w:r>
        <w:rPr/>
        <w:t>美元。</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）期末无账龄超过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年的重要应付账款。</w:t>
      </w:r>
      <w:r>
        <w:rPr>
          <w:b w:val="0"/>
          <w:bCs w:val="0"/>
        </w:rPr>
      </w:r>
    </w:p>
    <w:p>
      <w:pPr>
        <w:spacing w:after="0" w:line="240" w:lineRule="auto"/>
        <w:jc w:val="left"/>
        <w:sectPr>
          <w:pgSz w:w="11910" w:h="16840"/>
          <w:pgMar w:header="786" w:footer="1021" w:top="1100" w:bottom="1220" w:left="980" w:right="940"/>
        </w:sectPr>
      </w:pPr>
    </w:p>
    <w:p>
      <w:pPr>
        <w:spacing w:line="240" w:lineRule="auto" w:before="9"/>
        <w:rPr>
          <w:rFonts w:ascii="宋体" w:hAnsi="宋体" w:cs="宋体" w:eastAsia="宋体" w:hint="default"/>
          <w:b/>
          <w:bCs/>
          <w:sz w:val="21"/>
          <w:szCs w:val="21"/>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4,512,369.88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6,198,774.27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570,575.35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379,664.72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379,664.72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5,462,609.95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6,578,438.99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）期末无账龄超过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年的重要预收款项。</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802"/>
        <w:gridCol w:w="1791"/>
        <w:gridCol w:w="1791"/>
        <w:gridCol w:w="1790"/>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6,856,620.64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135,026,748.59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133,339,269.15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8,544,100.08</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2,211.39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7,621,595.65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7,143,510.07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480,296.97</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6,858,832.03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142,648,344.24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140,482,779.22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9,024,397.05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835"/>
        <w:gridCol w:w="1827"/>
        <w:gridCol w:w="1827"/>
        <w:gridCol w:w="1826"/>
      </w:tblGrid>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、工资、奖金、津贴和补贴</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6,806,375.52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125,508,828.31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123,968,305.67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8,346,898.16</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4,117,524.71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4,144,174.71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2,164.45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3,536,399.96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3,370,611.96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167,952.45</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1,913.25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2,849,820.20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2,717,255.04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134,478.41</w:t>
            </w:r>
          </w:p>
        </w:tc>
      </w:tr>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69.73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417,538.38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400,275.06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17,333.05</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268,023.74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252,064.22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16,140.99</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重大疾病医疗补助</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1,017.64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1,017.64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4,536.00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867,399.00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858,749.00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13,186.00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、工会经费和职工教育经费</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16,894.67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996,596.61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997,427.81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16,063.47</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6,856,620.64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135,026,748.59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133,339,269.15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8,544,100.08</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9"/>
        <w:rPr>
          <w:rFonts w:ascii="宋体" w:hAnsi="宋体" w:cs="宋体" w:eastAsia="宋体" w:hint="default"/>
          <w:sz w:val="21"/>
          <w:szCs w:val="21"/>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2,090.12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7,199,741.29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6,756,193.95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445,637.46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421,854.36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387,316.12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34,659.51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7,621,595.65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7,143,510.07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480,296.97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69,696,529.23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37,754,980.23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5,542,816.70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186,374.75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161,890.70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2,772,861.58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1,152,126.28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1,980,615.41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822,947.35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296,648.95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74,648,636.87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45,837,610.21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1,235,500.16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1,373,308.41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288,726.02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97,752.79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1,815,390.00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2,860,390.00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暂估费用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8,093,310.52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5,439,953.14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车辆保险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206,265.09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1,910,450.14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712,681.76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13,373,407.05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10,690,351.19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）期末无账龄超过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r>
        <w:rPr>
          <w:b w:val="0"/>
          <w:bCs w:val="0"/>
        </w:rPr>
      </w:r>
    </w:p>
    <w:p>
      <w:pPr>
        <w:spacing w:after="0" w:line="240" w:lineRule="auto"/>
        <w:jc w:val="left"/>
        <w:sectPr>
          <w:pgSz w:w="11910" w:h="16840"/>
          <w:pgMar w:header="786" w:footer="1021" w:top="1100" w:bottom="1220" w:left="980" w:right="980"/>
        </w:sectPr>
      </w:pPr>
    </w:p>
    <w:p>
      <w:pPr>
        <w:spacing w:line="240" w:lineRule="auto" w:before="9"/>
        <w:rPr>
          <w:rFonts w:ascii="宋体" w:hAnsi="宋体" w:cs="宋体" w:eastAsia="宋体" w:hint="default"/>
          <w:b/>
          <w:bCs/>
          <w:sz w:val="21"/>
          <w:szCs w:val="21"/>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86" w:footer="1021" w:top="1100" w:bottom="1220" w:left="980" w:right="980"/>
        </w:sectPr>
      </w:pPr>
    </w:p>
    <w:p>
      <w:pPr>
        <w:spacing w:before="36"/>
        <w:ind w:left="152" w:right="-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2"/>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980" w:right="980"/>
          <w:cols w:num="2" w:equalWidth="0">
            <w:col w:w="1949" w:space="6880"/>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保证并抵押借款</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118,523,069.28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17,837,604.21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118,523,069.28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17,837,604.21</w:t>
            </w:r>
          </w:p>
        </w:tc>
      </w:tr>
    </w:tbl>
    <w:p>
      <w:pPr>
        <w:pStyle w:val="BodyText"/>
        <w:spacing w:line="357" w:lineRule="auto" w:before="49"/>
        <w:ind w:left="513" w:right="323" w:hanging="361"/>
        <w:jc w:val="left"/>
      </w:pPr>
      <w:r>
        <w:rPr/>
        <w:t>长期借款分类的说明： 公司与中国工商银行股份有限公司广州工业大道支行签订了编号为工业支行</w:t>
      </w:r>
      <w:r>
        <w:rPr>
          <w:rFonts w:ascii="Times New Roman" w:hAnsi="Times New Roman" w:cs="Times New Roman" w:eastAsia="Times New Roman" w:hint="default"/>
        </w:rPr>
        <w:t>2013</w:t>
      </w:r>
      <w:r>
        <w:rPr/>
        <w:t>年项借字第</w:t>
      </w:r>
      <w:r>
        <w:rPr>
          <w:rFonts w:ascii="Times New Roman" w:hAnsi="Times New Roman" w:cs="Times New Roman" w:eastAsia="Times New Roman" w:hint="default"/>
        </w:rPr>
        <w:t>006</w:t>
      </w:r>
      <w:r>
        <w:rPr/>
        <w:t>号的固定资产借款合</w:t>
      </w:r>
    </w:p>
    <w:p>
      <w:pPr>
        <w:pStyle w:val="BodyText"/>
        <w:spacing w:line="214" w:lineRule="exact"/>
        <w:ind w:right="0"/>
        <w:jc w:val="left"/>
      </w:pPr>
      <w:r>
        <w:rPr/>
        <w:t>同，本合同项下借款额度为人民币</w:t>
      </w:r>
      <w:r>
        <w:rPr>
          <w:rFonts w:ascii="Times New Roman" w:hAnsi="Times New Roman" w:cs="Times New Roman" w:eastAsia="Times New Roman" w:hint="default"/>
        </w:rPr>
        <w:t>13,000.00</w:t>
      </w:r>
      <w:r>
        <w:rPr/>
        <w:t>万元，用途为“御银科技园”项目建设，期限为</w:t>
      </w:r>
      <w:r>
        <w:rPr>
          <w:rFonts w:ascii="Times New Roman" w:hAnsi="Times New Roman" w:cs="Times New Roman" w:eastAsia="Times New Roman" w:hint="default"/>
        </w:rPr>
        <w:t>5</w:t>
      </w:r>
      <w:r>
        <w:rPr/>
        <w:t>年。杨文江、子公司广州御银</w:t>
      </w:r>
    </w:p>
    <w:p>
      <w:pPr>
        <w:pStyle w:val="BodyText"/>
        <w:spacing w:line="300" w:lineRule="auto" w:before="63"/>
        <w:ind w:right="234"/>
        <w:jc w:val="left"/>
      </w:pPr>
      <w:r>
        <w:rPr/>
        <w:t>自动柜员机技术有限公司为其提供担保；另以天河区软件园高唐新建区高唐大道地段科教用地土地使用权（穗府国用</w:t>
      </w:r>
      <w:r>
        <w:rPr>
          <w:rFonts w:ascii="Times New Roman" w:hAnsi="Times New Roman" w:cs="Times New Roman" w:eastAsia="Times New Roman" w:hint="default"/>
        </w:rPr>
        <w:t>2011 </w:t>
      </w:r>
      <w:r>
        <w:rPr/>
        <w:t>第</w:t>
      </w:r>
      <w:r>
        <w:rPr>
          <w:rFonts w:ascii="Times New Roman" w:hAnsi="Times New Roman" w:cs="Times New Roman" w:eastAsia="Times New Roman" w:hint="default"/>
        </w:rPr>
        <w:t>01100110</w:t>
      </w:r>
      <w:r>
        <w:rPr/>
        <w:t>号）作抵押，抵押物原值</w:t>
      </w:r>
      <w:r>
        <w:rPr>
          <w:rFonts w:ascii="Times New Roman" w:hAnsi="Times New Roman" w:cs="Times New Roman" w:eastAsia="Times New Roman" w:hint="default"/>
        </w:rPr>
        <w:t>29,901,342.00</w:t>
      </w:r>
      <w:r>
        <w:rPr/>
        <w:t>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日抵押物净值</w:t>
      </w:r>
      <w:r>
        <w:rPr>
          <w:rFonts w:ascii="Times New Roman" w:hAnsi="Times New Roman" w:cs="Times New Roman" w:eastAsia="Times New Roman" w:hint="default"/>
        </w:rPr>
        <w:t>27,210,221.23</w:t>
      </w:r>
      <w:r>
        <w:rPr/>
        <w:t>元。</w:t>
      </w:r>
    </w:p>
    <w:p>
      <w:pPr>
        <w:spacing w:line="240" w:lineRule="auto" w:before="5"/>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28</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56,824,800.00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39,676,419.00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维护</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56,824,800.00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39,676,419.00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29</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761,191,294.00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761,191,294.00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30</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825"/>
        <w:gridCol w:w="1827"/>
        <w:gridCol w:w="1827"/>
        <w:gridCol w:w="1826"/>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28,845,003.28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28,845,003.28</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）其他资本公积</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834,544.00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834,544.00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）以权益结算的股份支付</w:t>
            </w:r>
          </w:p>
        </w:tc>
        <w:tc>
          <w:tcPr>
            <w:tcW w:w="1825"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29,679,547.28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29,679,547.28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980" w:right="980"/>
        </w:sectPr>
      </w:pP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86" w:footer="1021" w:top="1100" w:bottom="1220" w:left="600" w:right="980"/>
        </w:sectPr>
      </w:pPr>
    </w:p>
    <w:p>
      <w:pPr>
        <w:pStyle w:val="Heading3"/>
        <w:spacing w:line="240" w:lineRule="auto" w:before="36"/>
        <w:ind w:left="532" w:right="-9"/>
        <w:jc w:val="left"/>
        <w:rPr>
          <w:b w:val="0"/>
          <w:bCs w:val="0"/>
        </w:rPr>
      </w:pPr>
      <w:r>
        <w:rPr>
          <w:rFonts w:ascii="Times New Roman" w:hAnsi="Times New Roman" w:cs="Times New Roman" w:eastAsia="Times New Roman" w:hint="default"/>
          <w:spacing w:val="-1"/>
        </w:rPr>
        <w:t>31</w:t>
      </w:r>
      <w:r>
        <w:rPr>
          <w:spacing w:val="-1"/>
        </w:rPr>
        <w:t>、其他综合收益</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left="532" w:right="0"/>
        <w:jc w:val="left"/>
      </w:pPr>
      <w:r>
        <w:rPr/>
        <w:t>单位：</w:t>
      </w:r>
      <w:r>
        <w:rPr>
          <w:spacing w:val="1"/>
        </w:rPr>
        <w:t> </w:t>
      </w:r>
      <w:r>
        <w:rPr/>
        <w:t>元</w:t>
      </w:r>
    </w:p>
    <w:p>
      <w:pPr>
        <w:spacing w:after="0" w:line="240" w:lineRule="auto"/>
        <w:jc w:val="left"/>
        <w:sectPr>
          <w:type w:val="continuous"/>
          <w:pgSz w:w="11910" w:h="16840"/>
          <w:pgMar w:top="1100" w:bottom="1220" w:left="600" w:right="980"/>
          <w:cols w:num="2" w:equalWidth="0">
            <w:col w:w="2221" w:space="6608"/>
            <w:col w:w="1501"/>
          </w:cols>
        </w:sectPr>
      </w:pP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3239"/>
        <w:gridCol w:w="1068"/>
        <w:gridCol w:w="936"/>
        <w:gridCol w:w="1152"/>
        <w:gridCol w:w="934"/>
        <w:gridCol w:w="937"/>
        <w:gridCol w:w="936"/>
        <w:gridCol w:w="797"/>
      </w:tblGrid>
      <w:tr>
        <w:trPr>
          <w:trHeight w:val="398" w:hRule="exact"/>
        </w:trPr>
        <w:tc>
          <w:tcPr>
            <w:tcW w:w="323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323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1" w:hRule="exact"/>
        </w:trPr>
        <w:tc>
          <w:tcPr>
            <w:tcW w:w="32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323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323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pacing w:val="-4"/>
                <w:sz w:val="18"/>
                <w:szCs w:val="18"/>
              </w:rPr>
              <w:t>二、以后将重分类进损益的其他综合收益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-16,242.10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47,446.80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47,446.80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31,204.70</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-16,242.10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47,446.80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47,446.80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31,204.70</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-16,242.10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47,446.80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47,446.80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31,204.70</w:t>
            </w:r>
          </w:p>
        </w:tc>
      </w:tr>
    </w:tbl>
    <w:p>
      <w:pPr>
        <w:spacing w:line="240" w:lineRule="auto" w:before="3"/>
        <w:rPr>
          <w:rFonts w:ascii="宋体" w:hAnsi="宋体" w:cs="宋体" w:eastAsia="宋体" w:hint="default"/>
          <w:sz w:val="19"/>
          <w:szCs w:val="19"/>
        </w:rPr>
      </w:pPr>
    </w:p>
    <w:p>
      <w:pPr>
        <w:pStyle w:val="Heading3"/>
        <w:spacing w:line="240" w:lineRule="auto" w:before="36"/>
        <w:ind w:left="532" w:right="0"/>
        <w:jc w:val="left"/>
        <w:rPr>
          <w:b w:val="0"/>
          <w:bCs w:val="0"/>
        </w:rPr>
      </w:pPr>
      <w:r>
        <w:rPr>
          <w:rFonts w:ascii="Times New Roman" w:hAnsi="Times New Roman" w:cs="Times New Roman" w:eastAsia="Times New Roman" w:hint="default"/>
        </w:rPr>
        <w:t>32</w:t>
      </w:r>
      <w:r>
        <w:rPr/>
        <w:t>、盈余公积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54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40,666,171.25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6,274,195.64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46,940,366.89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1,322,286.97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1,322,286.97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41,988,458.22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6,274,195.64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48,262,653.86</w:t>
            </w:r>
          </w:p>
        </w:tc>
      </w:tr>
    </w:tbl>
    <w:p>
      <w:pPr>
        <w:pStyle w:val="BodyText"/>
        <w:spacing w:line="240" w:lineRule="auto" w:before="8"/>
        <w:ind w:left="532" w:right="0"/>
        <w:jc w:val="left"/>
      </w:pPr>
      <w:r>
        <w:rPr/>
        <w:t>盈余公积说明：盈余公积的增加系根据公司章程，按当年净利润的</w:t>
      </w:r>
      <w:r>
        <w:rPr>
          <w:rFonts w:ascii="Times New Roman" w:hAnsi="Times New Roman" w:cs="Times New Roman" w:eastAsia="Times New Roman" w:hint="default"/>
        </w:rPr>
        <w:t>10%</w:t>
      </w:r>
      <w:r>
        <w:rPr/>
        <w:t>计提法定盈余公积。</w:t>
      </w:r>
    </w:p>
    <w:p>
      <w:pPr>
        <w:spacing w:line="240" w:lineRule="auto" w:before="2"/>
        <w:rPr>
          <w:rFonts w:ascii="宋体" w:hAnsi="宋体" w:cs="宋体" w:eastAsia="宋体" w:hint="default"/>
          <w:sz w:val="26"/>
          <w:szCs w:val="26"/>
        </w:rPr>
      </w:pPr>
    </w:p>
    <w:p>
      <w:pPr>
        <w:pStyle w:val="Heading3"/>
        <w:spacing w:line="240" w:lineRule="auto"/>
        <w:ind w:left="532" w:right="0"/>
        <w:jc w:val="left"/>
        <w:rPr>
          <w:b w:val="0"/>
          <w:bCs w:val="0"/>
        </w:rPr>
      </w:pPr>
      <w:r>
        <w:rPr>
          <w:rFonts w:ascii="Times New Roman" w:hAnsi="Times New Roman" w:cs="Times New Roman" w:eastAsia="Times New Roman" w:hint="default"/>
        </w:rPr>
        <w:t>33</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54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776,306,431.94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655,538,787.81</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776,306,431.94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655,538,787.81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69,446,758.01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132,007,798.40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6,274,195.64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3,628,241.33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25,119,312.70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7,611,912.94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814,359,681.61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776,306,431.94</w:t>
            </w:r>
          </w:p>
        </w:tc>
      </w:tr>
    </w:tbl>
    <w:p>
      <w:pPr>
        <w:pStyle w:val="BodyText"/>
        <w:spacing w:line="240" w:lineRule="auto" w:before="49"/>
        <w:ind w:left="532" w:right="0"/>
        <w:jc w:val="left"/>
      </w:pPr>
      <w:r>
        <w:rPr/>
        <w:t>调整期初未分配利润明细：</w:t>
      </w:r>
    </w:p>
    <w:p>
      <w:pPr>
        <w:pStyle w:val="BodyText"/>
        <w:spacing w:line="240" w:lineRule="auto" w:before="117"/>
        <w:ind w:left="532" w:right="0"/>
        <w:jc w:val="left"/>
      </w:pPr>
      <w:r>
        <w:rPr/>
        <w:t>（</w:t>
      </w: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w:t>
      </w:r>
    </w:p>
    <w:p>
      <w:pPr>
        <w:pStyle w:val="BodyText"/>
        <w:spacing w:line="240" w:lineRule="auto" w:before="102"/>
        <w:ind w:left="532" w:right="0"/>
        <w:jc w:val="left"/>
      </w:pPr>
      <w:r>
        <w:rPr/>
        <w:t>（</w:t>
      </w: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w:t>
      </w:r>
    </w:p>
    <w:p>
      <w:pPr>
        <w:pStyle w:val="BodyText"/>
        <w:spacing w:line="240" w:lineRule="auto" w:before="103"/>
        <w:ind w:left="532" w:right="0"/>
        <w:jc w:val="left"/>
      </w:pPr>
      <w:r>
        <w:rPr/>
        <w:t>（</w:t>
      </w: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w:t>
      </w:r>
    </w:p>
    <w:p>
      <w:pPr>
        <w:pStyle w:val="BodyText"/>
        <w:spacing w:line="240" w:lineRule="auto" w:before="103"/>
        <w:ind w:left="532" w:right="0"/>
        <w:jc w:val="left"/>
      </w:pPr>
      <w:r>
        <w:rPr/>
        <w:t>（</w:t>
      </w: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7"/>
        </w:rPr>
        <w:t> </w:t>
      </w:r>
      <w:r>
        <w:rPr/>
        <w:t>元。</w:t>
      </w:r>
    </w:p>
    <w:p>
      <w:pPr>
        <w:pStyle w:val="BodyText"/>
        <w:spacing w:line="240" w:lineRule="auto" w:before="101"/>
        <w:ind w:left="532" w:right="0"/>
        <w:jc w:val="left"/>
      </w:pPr>
      <w:r>
        <w:rPr/>
        <w:t>（</w:t>
      </w: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w:t>
      </w:r>
    </w:p>
    <w:p>
      <w:pPr>
        <w:spacing w:after="0" w:line="240" w:lineRule="auto"/>
        <w:jc w:val="left"/>
        <w:sectPr>
          <w:type w:val="continuous"/>
          <w:pgSz w:w="11910" w:h="16840"/>
          <w:pgMar w:top="1100" w:bottom="1220" w:left="60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34</w:t>
      </w:r>
      <w:r>
        <w:rPr/>
        <w:t>、营业收入和营业成本</w:t>
      </w:r>
      <w:r>
        <w:rPr>
          <w:b w:val="0"/>
          <w:bCs w:val="0"/>
        </w:rPr>
      </w:r>
    </w:p>
    <w:p>
      <w:pPr>
        <w:spacing w:line="240" w:lineRule="auto" w:before="7"/>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1,033,483,655.03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660,782,863.47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960,166,932.01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571,095,979.25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63,519,857.34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32,659,235.34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11,544,551.41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9,994,457.09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1,097,003,512.37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693,442,098.81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971,711,483.42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581,090,436.34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35</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61,590.85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63,414.46</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6,209,197.20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3,369,552.08</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4,435,190.94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2,383,053.91</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454,942.69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10,705,978.99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6,270,963.14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36</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7,935,774.14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10,329,700.02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7,519,814.34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6,090,544.09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1,256,196.03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1,775,817.06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24,970,269.65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26,633,612.19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7,280,627.27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6,845,696.54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41,152,779.08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13,684,651.71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2,100,372.13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6,836,396.58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12,367,848.64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9,764,623.30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5,237,306.85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4,398,005.13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4,789,846.96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5,458,582.81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114,610,835.09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91,817,629.43</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9"/>
        <w:rPr>
          <w:rFonts w:ascii="宋体" w:hAnsi="宋体" w:cs="宋体" w:eastAsia="宋体"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37</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51,753,843.75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65,213,075.12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96,263,251.60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58,799,938.97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10,665,236.27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8,263,850.66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5,542,523.66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4,921,579.47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5,604,513.13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5,908,918.70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1,003,872.47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748,843.98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2,794,432.94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3,377,668.75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1,028,418.00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5,431,855.95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3,319,515.98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2,450,759.64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2,434,618.90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1,521,052.38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1,695,899.44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15,533,742.25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16,165,282.99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198,565,084.04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171,877,610.96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38</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9,597,653.10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2,113,448.02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1,212,069.98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1,234,955.88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7,374,052.71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-102,825.48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1,247,212.41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661,863.17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17,006,848.24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1,437,529.83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39</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848,679.94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865,145.67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606,835.63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4,112,267.20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1,739,515.57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4,977,412.87</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9"/>
        <w:rPr>
          <w:rFonts w:ascii="宋体" w:hAnsi="宋体" w:cs="宋体" w:eastAsia="宋体" w:hint="default"/>
          <w:sz w:val="21"/>
          <w:szCs w:val="21"/>
        </w:rPr>
      </w:pPr>
    </w:p>
    <w:p>
      <w:pPr>
        <w:pStyle w:val="Heading3"/>
        <w:spacing w:line="240" w:lineRule="auto" w:before="36"/>
        <w:ind w:right="114"/>
        <w:jc w:val="left"/>
        <w:rPr>
          <w:b w:val="0"/>
          <w:bCs w:val="0"/>
        </w:rPr>
      </w:pPr>
      <w:r>
        <w:rPr>
          <w:rFonts w:ascii="Times New Roman" w:hAnsi="Times New Roman" w:cs="Times New Roman" w:eastAsia="Times New Roman" w:hint="default"/>
        </w:rPr>
        <w:t>40</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17,052.00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15,225.00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134,880.00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28,625,434.03</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46,050.38</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-1,461,060.55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1,502,716.41</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-1,309,128.55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30,189,425.82</w:t>
            </w:r>
          </w:p>
        </w:tc>
      </w:tr>
    </w:tbl>
    <w:p>
      <w:pPr>
        <w:spacing w:line="240" w:lineRule="auto" w:before="3"/>
        <w:rPr>
          <w:rFonts w:ascii="宋体" w:hAnsi="宋体" w:cs="宋体" w:eastAsia="宋体" w:hint="default"/>
          <w:sz w:val="19"/>
          <w:szCs w:val="19"/>
        </w:rPr>
      </w:pPr>
    </w:p>
    <w:p>
      <w:pPr>
        <w:pStyle w:val="Heading3"/>
        <w:spacing w:line="240" w:lineRule="auto" w:before="36"/>
        <w:ind w:right="114"/>
        <w:jc w:val="left"/>
        <w:rPr>
          <w:b w:val="0"/>
          <w:bCs w:val="0"/>
        </w:rPr>
      </w:pPr>
      <w:r>
        <w:rPr>
          <w:rFonts w:ascii="Times New Roman" w:hAnsi="Times New Roman" w:cs="Times New Roman" w:eastAsia="Times New Roman" w:hint="default"/>
        </w:rPr>
        <w:t>41</w:t>
      </w:r>
      <w:r>
        <w:rPr/>
        <w:t>、营业外收入</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291"/>
        <w:gridCol w:w="2278"/>
        <w:gridCol w:w="2624"/>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2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214,259.60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2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214,259.60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2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1,854,600.00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1,854,600.00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补贴收入</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22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22,785,406.41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19,451,161.98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71,032.92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742,220.31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71,032.92</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24,711,039.33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21,853,641.89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1,925,632.92</w:t>
            </w:r>
          </w:p>
        </w:tc>
      </w:tr>
    </w:tbl>
    <w:p>
      <w:pPr>
        <w:pStyle w:val="BodyText"/>
        <w:spacing w:line="240" w:lineRule="auto" w:before="49"/>
        <w:ind w:right="114"/>
        <w:jc w:val="left"/>
      </w:pPr>
      <w:r>
        <w:rPr/>
        <w:t>营业外收入的说明：</w:t>
      </w:r>
    </w:p>
    <w:p>
      <w:pPr>
        <w:pStyle w:val="BodyText"/>
        <w:spacing w:line="309" w:lineRule="auto" w:before="117"/>
        <w:ind w:right="114" w:firstLine="360"/>
        <w:jc w:val="left"/>
      </w:pPr>
      <w:r>
        <w:rPr>
          <w:rFonts w:ascii="Times New Roman" w:hAnsi="Times New Roman" w:cs="Times New Roman" w:eastAsia="Times New Roman" w:hint="default"/>
          <w:spacing w:val="-2"/>
        </w:rPr>
        <w:t>*</w:t>
      </w:r>
      <w:r>
        <w:rPr>
          <w:spacing w:val="-2"/>
        </w:rPr>
        <w:t>根据财税【</w:t>
      </w:r>
      <w:r>
        <w:rPr>
          <w:rFonts w:ascii="Times New Roman" w:hAnsi="Times New Roman" w:cs="Times New Roman" w:eastAsia="Times New Roman" w:hint="default"/>
          <w:spacing w:val="-2"/>
        </w:rPr>
        <w:t>2008</w:t>
      </w:r>
      <w:r>
        <w:rPr>
          <w:spacing w:val="-2"/>
        </w:rPr>
        <w:t>】</w:t>
      </w:r>
      <w:r>
        <w:rPr>
          <w:rFonts w:ascii="Times New Roman" w:hAnsi="Times New Roman" w:cs="Times New Roman" w:eastAsia="Times New Roman" w:hint="default"/>
          <w:spacing w:val="-2"/>
        </w:rPr>
        <w:t>92</w:t>
      </w:r>
      <w:r>
        <w:rPr>
          <w:rFonts w:ascii="Times New Roman" w:hAnsi="Times New Roman" w:cs="Times New Roman" w:eastAsia="Times New Roman" w:hint="default"/>
        </w:rPr>
        <w:t> </w:t>
      </w:r>
      <w:r>
        <w:rPr>
          <w:spacing w:val="-2"/>
        </w:rPr>
        <w:t>号《财政部、国家税务总局关于嵌入式软件增值税政策的通知》、财税【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100</w:t>
      </w:r>
      <w:r>
        <w:rPr>
          <w:rFonts w:ascii="Times New Roman" w:hAnsi="Times New Roman" w:cs="Times New Roman" w:eastAsia="Times New Roman" w:hint="default"/>
          <w:spacing w:val="21"/>
        </w:rPr>
        <w:t> </w:t>
      </w:r>
      <w:r>
        <w:rPr>
          <w:spacing w:val="-2"/>
        </w:rPr>
        <w:t>号《财政部、</w:t>
      </w:r>
      <w:r>
        <w:rPr/>
        <w:t> </w:t>
      </w:r>
      <w:r>
        <w:rPr>
          <w:spacing w:val="-2"/>
        </w:rPr>
        <w:t>国家税务总局关于软件产品增值税政策的通知》的有关规定：增值税一般纳税人随同计算机网络、计算机硬件和机器设备等</w:t>
      </w:r>
      <w:r>
        <w:rPr>
          <w:spacing w:val="-62"/>
        </w:rPr>
        <w:t> </w:t>
      </w:r>
      <w:r>
        <w:rPr>
          <w:spacing w:val="-62"/>
        </w:rPr>
      </w:r>
      <w:r>
        <w:rPr>
          <w:spacing w:val="-2"/>
        </w:rPr>
        <w:t>一并销售其自行开发生产的嵌入式软件，如果能够按照《财政部、国家税务总局关于贯彻落实〈中共中央、国务院关于加强</w:t>
      </w:r>
      <w:r>
        <w:rPr>
          <w:spacing w:val="-67"/>
        </w:rPr>
        <w:t> </w:t>
      </w:r>
      <w:r>
        <w:rPr>
          <w:spacing w:val="-67"/>
        </w:rPr>
      </w:r>
      <w:r>
        <w:rPr/>
        <w:t>技术创新，发展高科技，实现产业化的决定〉有关税收问题的通知》（财税字【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rFonts w:ascii="Times New Roman" w:hAnsi="Times New Roman" w:cs="Times New Roman" w:eastAsia="Times New Roman" w:hint="default"/>
          <w:spacing w:val="-12"/>
        </w:rPr>
        <w:t> </w:t>
      </w:r>
      <w:r>
        <w:rPr/>
        <w:t>号）第一条第三款之规定，分别 核算嵌入式软件与计算机硬件、机器设备等的销售额，可以享受软件产品增值税优惠政策。公司符合财税【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92</w:t>
      </w:r>
      <w:r>
        <w:rPr>
          <w:rFonts w:ascii="Times New Roman" w:hAnsi="Times New Roman" w:cs="Times New Roman" w:eastAsia="Times New Roman" w:hint="default"/>
          <w:spacing w:val="2"/>
        </w:rPr>
        <w:t> </w:t>
      </w:r>
      <w:r>
        <w:rPr>
          <w:spacing w:val="-3"/>
        </w:rPr>
        <w:t>号、</w:t>
      </w:r>
      <w:r>
        <w:rPr/>
      </w:r>
    </w:p>
    <w:p>
      <w:pPr>
        <w:pStyle w:val="BodyText"/>
        <w:spacing w:line="240" w:lineRule="auto" w:before="5"/>
        <w:ind w:right="114"/>
        <w:jc w:val="left"/>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2011</w:t>
      </w:r>
      <w:r>
        <w:rPr>
          <w:spacing w:val="-4"/>
        </w:rPr>
        <w:t>】</w:t>
      </w:r>
      <w:r>
        <w:rPr>
          <w:rFonts w:ascii="Times New Roman" w:hAnsi="Times New Roman" w:cs="Times New Roman" w:eastAsia="Times New Roman" w:hint="default"/>
          <w:spacing w:val="-4"/>
        </w:rPr>
        <w:t>100</w:t>
      </w:r>
      <w:r>
        <w:rPr>
          <w:rFonts w:ascii="Times New Roman" w:hAnsi="Times New Roman" w:cs="Times New Roman" w:eastAsia="Times New Roman" w:hint="default"/>
          <w:spacing w:val="-19"/>
        </w:rPr>
        <w:t> </w:t>
      </w:r>
      <w:r>
        <w:rPr/>
        <w:t>号之规定，嵌入式软件销售收入享受增值税即征即退优惠政策。</w:t>
      </w:r>
      <w:r>
        <w:rPr>
          <w:rFonts w:ascii="Times New Roman" w:hAnsi="Times New Roman" w:cs="Times New Roman" w:eastAsia="Times New Roman" w:hint="default"/>
        </w:rPr>
        <w:t>2015</w:t>
      </w:r>
      <w:r>
        <w:rPr>
          <w:rFonts w:ascii="Times New Roman" w:hAnsi="Times New Roman" w:cs="Times New Roman" w:eastAsia="Times New Roman" w:hint="default"/>
          <w:spacing w:val="-18"/>
        </w:rPr>
        <w:t> </w:t>
      </w:r>
      <w:r>
        <w:rPr/>
        <w:t>年软件收入增值税退税金额</w:t>
      </w:r>
      <w:r>
        <w:rPr>
          <w:spacing w:val="-64"/>
        </w:rPr>
        <w:t> </w:t>
      </w:r>
      <w:r>
        <w:rPr>
          <w:rFonts w:ascii="Times New Roman" w:hAnsi="Times New Roman" w:cs="Times New Roman" w:eastAsia="Times New Roman" w:hint="default"/>
        </w:rPr>
        <w:t>22,785,406.41</w:t>
      </w:r>
    </w:p>
    <w:p>
      <w:pPr>
        <w:pStyle w:val="BodyText"/>
        <w:spacing w:line="338" w:lineRule="auto" w:before="63"/>
        <w:ind w:right="5204"/>
        <w:jc w:val="left"/>
      </w:pPr>
      <w:r>
        <w:rPr/>
        <w:t>元，截至</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日尚有</w:t>
      </w:r>
      <w:r>
        <w:rPr>
          <w:spacing w:val="-45"/>
        </w:rPr>
        <w:t> </w:t>
      </w:r>
      <w:r>
        <w:rPr>
          <w:rFonts w:ascii="Times New Roman" w:hAnsi="Times New Roman" w:cs="Times New Roman" w:eastAsia="Times New Roman" w:hint="default"/>
        </w:rPr>
        <w:t>14,819,860.26</w:t>
      </w:r>
      <w:r>
        <w:rPr>
          <w:rFonts w:ascii="Times New Roman" w:hAnsi="Times New Roman" w:cs="Times New Roman" w:eastAsia="Times New Roman" w:hint="default"/>
          <w:spacing w:val="1"/>
        </w:rPr>
        <w:t> </w:t>
      </w:r>
      <w:r>
        <w:rPr/>
        <w:t>元未收到。 计入当期损益的政府补助：</w:t>
      </w:r>
    </w:p>
    <w:p>
      <w:pPr>
        <w:pStyle w:val="BodyText"/>
        <w:spacing w:line="240" w:lineRule="auto" w:before="43"/>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569"/>
        <w:gridCol w:w="425"/>
        <w:gridCol w:w="425"/>
        <w:gridCol w:w="1136"/>
        <w:gridCol w:w="708"/>
        <w:gridCol w:w="1133"/>
        <w:gridCol w:w="1136"/>
        <w:gridCol w:w="1063"/>
      </w:tblGrid>
      <w:tr>
        <w:trPr>
          <w:trHeight w:val="71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0" w:right="96"/>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性质 类型</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2" w:right="11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2" w:right="108"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3" w:right="111"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广州市民营企业奖励专项资金</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创新型企业专项项目经费</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年天河区“</w:t>
            </w:r>
            <w:r>
              <w:rPr>
                <w:rFonts w:ascii="Times New Roman" w:hAnsi="Times New Roman" w:cs="Times New Roman" w:eastAsia="Times New Roman" w:hint="default"/>
                <w:sz w:val="18"/>
                <w:szCs w:val="18"/>
              </w:rPr>
              <w:t>1+6</w:t>
            </w:r>
            <w:r>
              <w:rPr>
                <w:rFonts w:ascii="宋体" w:hAnsi="宋体" w:cs="宋体" w:eastAsia="宋体" w:hint="default"/>
                <w:sz w:val="18"/>
                <w:szCs w:val="18"/>
              </w:rPr>
              <w:t>”政策扶持奖励 资金</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年广州市战略主导产业发展资金 工业设计示范企业和红棉至尊奖</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86" w:footer="1021" w:top="1100" w:bottom="1220" w:left="980" w:right="92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977"/>
        <w:gridCol w:w="569"/>
        <w:gridCol w:w="425"/>
        <w:gridCol w:w="425"/>
        <w:gridCol w:w="1136"/>
        <w:gridCol w:w="708"/>
        <w:gridCol w:w="1133"/>
        <w:gridCol w:w="1136"/>
        <w:gridCol w:w="1063"/>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中小企业扶持发展专项基金</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年市民营企业奖励专项资金</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年省级加快发展服务外包产业专 项资金</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年企业创新体系建设补助</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年服务外包扶持资金</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年知识产权证书奖励</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CMM/CMMI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资质奖励</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年企业创新体系建设补助</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年服务外包扶持资金</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年知识产权证书奖励</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年软件及高新技术企业资质认定 和年审补贴</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创新工作专项资金</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民营企业奖励项目</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广州市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年科技技术奖励专项资 金</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年市服务外包发展专项资金</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1,854,600.00</w:t>
            </w:r>
          </w:p>
        </w:tc>
        <w:tc>
          <w:tcPr>
            <w:tcW w:w="11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1,446,000.00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42</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163"/>
        <w:gridCol w:w="2624"/>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10,046,088.66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13,914,779.08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4,533,606.53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7,388,453.04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4,533,606.53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5,512,482.13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6,526,326.04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罚款、赔款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13,674.00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8,708.46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13,674.00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短款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334,893.00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353,490.00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334,893.00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材料、旧机报废损失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2,372,758.70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2,884,534.27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2,372,758.70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19,554.41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44,324.25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19,554.41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180,489.09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26,155.21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180,489.09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12,967,457.86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17,331,991.27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7,454,975.73</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1021" w:header="786" w:top="1100" w:bottom="1220" w:left="980" w:right="980"/>
          <w:pgNumType w:start="120"/>
        </w:sectPr>
      </w:pPr>
    </w:p>
    <w:p>
      <w:pPr>
        <w:spacing w:line="240" w:lineRule="auto" w:before="9"/>
        <w:rPr>
          <w:rFonts w:ascii="宋体" w:hAnsi="宋体" w:cs="宋体" w:eastAsia="宋体"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43</w:t>
      </w:r>
      <w:r>
        <w:rPr/>
        <w:t>、所得税费用</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4,427,471.01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20,699,175.32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-2,506,624.47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-3,755,996.43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1,920,846.54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16,943,178.89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71,367,604.55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10,705,140.68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-13,122,445.17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-35,064.31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-1,499,650.08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5,003,575.75</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247,540.10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对期初递延所得税的调整影响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621,749.57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1,920,846.54</w:t>
            </w:r>
          </w:p>
        </w:tc>
      </w:tr>
    </w:tbl>
    <w:p>
      <w:pPr>
        <w:spacing w:line="240" w:lineRule="auto" w:before="3"/>
        <w:rPr>
          <w:rFonts w:ascii="宋体" w:hAnsi="宋体" w:cs="宋体" w:eastAsia="宋体" w:hint="default"/>
          <w:sz w:val="19"/>
          <w:szCs w:val="19"/>
        </w:rPr>
      </w:pPr>
    </w:p>
    <w:p>
      <w:pPr>
        <w:spacing w:line="544" w:lineRule="auto" w:before="36"/>
        <w:ind w:left="152" w:right="64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详见附注七、合并财务报表项目注释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15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1,925,632.92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2,188,220.31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1,212,069.98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1,234,955.88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85,217,455.85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55,116,109.24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88,355,158.75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58,539,285.43</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9"/>
        <w:rPr>
          <w:rFonts w:ascii="宋体" w:hAnsi="宋体" w:cs="宋体" w:eastAsia="宋体" w:hint="default"/>
          <w:sz w:val="21"/>
          <w:szCs w:val="21"/>
        </w:rPr>
      </w:pPr>
      <w:r>
        <w:rPr/>
        <w:pict>
          <v:group style="position:absolute;margin-left:326.350006pt;margin-top:455.805969pt;width:102.85pt;height:20.95pt;mso-position-horizontal-relative:page;mso-position-vertical-relative:page;z-index:-830272" coordorigin="6527,9116" coordsize="2057,419">
            <v:group style="position:absolute;left:6539;top:9128;width:2;height:395" coordorigin="6539,9128" coordsize="2,395">
              <v:shape style="position:absolute;left:6539;top:9128;width:2;height:395" coordorigin="6539,9128" coordsize="0,395" path="m6539,9128l6539,9522e" filled="false" stroked="true" strokeweight="1.2pt" strokecolor="#ffffff">
                <v:path arrowok="t"/>
              </v:shape>
            </v:group>
            <v:group style="position:absolute;left:6551;top:9128;width:2033;height:395" coordorigin="6551,9128" coordsize="2033,395">
              <v:shape style="position:absolute;left:6551;top:9128;width:2033;height:395" coordorigin="6551,9128" coordsize="2033,395" path="m6551,9522l8584,9522,8584,9128,6551,9128,6551,9522xe" filled="true" fillcolor="#ffffff" stroked="false">
                <v:path arrowok="t"/>
                <v:fill type="solid"/>
              </v:shape>
            </v:group>
            <w10:wrap type="none"/>
          </v:group>
        </w:pict>
      </w: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109,785,254.89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107,995,697.52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548,610.50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532,677.92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116,392,683.43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52,650,442.16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226,726,548.82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161,178,817.60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46</w:t>
      </w:r>
      <w:r>
        <w:rPr/>
        <w:t>、现金流量表补充资料</w:t>
      </w:r>
      <w:r>
        <w:rPr>
          <w:b w:val="0"/>
          <w:bCs w:val="0"/>
        </w:rPr>
      </w:r>
    </w:p>
    <w:p>
      <w:pPr>
        <w:spacing w:line="240" w:lineRule="auto" w:before="8"/>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65"/>
        <w:gridCol w:w="2100"/>
        <w:gridCol w:w="2093"/>
      </w:tblGrid>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69,446,758.01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132,007,798.40</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1,739,515.57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4,977,412.87</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59,941,076.10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70,023,092.53</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4,988,098.43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4,537,210.52</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1,161,478.55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656,105.36</w:t>
            </w:r>
          </w:p>
        </w:tc>
      </w:tr>
      <w:tr>
        <w:trPr>
          <w:trHeight w:val="40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处置固定资产、无形资产和其他长期资产的损失（收益以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tabs>
                <w:tab w:pos="1022" w:val="left" w:leader="none"/>
              </w:tabs>
              <w:spacing w:line="240" w:lineRule="auto" w:before="49"/>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10,046,088.66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13,700,519.48</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9,597,653.10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2,113,448.02</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1,309,128.55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-30,189,425.82</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-1,783,262.30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-930,853.76</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-723,362.17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-5,923,320.90</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-95,489,504.36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-16,937,535.87</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22,900,303.85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-126,137,833.50</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217,302,637.49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128,530,496.73</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300,436,609.48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176,427,114.06</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422,516,315.64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268,239,983.46</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268,239,983.46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154,381,976.18</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154,276,332.18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113,858,007.28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）本期无支付的取得子公司的现金净额。</w:t>
      </w:r>
      <w:r>
        <w:rPr>
          <w:b w:val="0"/>
          <w:bCs w:val="0"/>
        </w:rPr>
      </w:r>
    </w:p>
    <w:p>
      <w:pPr>
        <w:spacing w:after="0" w:line="240" w:lineRule="auto"/>
        <w:jc w:val="left"/>
        <w:sectPr>
          <w:pgSz w:w="11910" w:h="16840"/>
          <w:pgMar w:header="786" w:footer="1021" w:top="1100" w:bottom="1220" w:left="980" w:right="980"/>
        </w:sectPr>
      </w:pPr>
    </w:p>
    <w:p>
      <w:pPr>
        <w:spacing w:line="240" w:lineRule="auto" w:before="9"/>
        <w:rPr>
          <w:rFonts w:ascii="宋体" w:hAnsi="宋体" w:cs="宋体" w:eastAsia="宋体" w:hint="default"/>
          <w:b/>
          <w:bCs/>
          <w:sz w:val="21"/>
          <w:szCs w:val="21"/>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）本期无收到的处置子公司的现金净额。</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422,516,315.64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268,239,983.46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1,449,898.03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199,084.52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421,066,417.61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268,040,821.38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422,516,315.64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268,239,983.46</w:t>
            </w:r>
          </w:p>
        </w:tc>
      </w:tr>
    </w:tbl>
    <w:p>
      <w:pPr>
        <w:pStyle w:val="BodyText"/>
        <w:spacing w:line="360" w:lineRule="auto" w:before="49"/>
        <w:ind w:right="3474"/>
        <w:jc w:val="left"/>
      </w:pPr>
      <w:r>
        <w:rPr/>
        <w:t>说明： 现金和现金等价物不含母公司或集团内子公司使用受限制的现金和现金等价物。</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47</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30,849,929.62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27,210,221.23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58,060,150.85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48</w:t>
      </w:r>
      <w:r>
        <w:rPr/>
        <w:t>、外币货币性项目</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922,689.43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5,991,576.08</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3,252.83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2,725.16</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33,906.02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220,172.13</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6,527.50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46,313.92</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29,287,565.00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190,181,732.08</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6"/>
        <w:rPr>
          <w:rFonts w:ascii="宋体" w:hAnsi="宋体" w:cs="宋体" w:eastAsia="宋体" w:hint="default"/>
          <w:sz w:val="20"/>
          <w:szCs w:val="20"/>
        </w:rPr>
      </w:pPr>
    </w:p>
    <w:p>
      <w:pPr>
        <w:pStyle w:val="Heading2"/>
        <w:spacing w:line="240" w:lineRule="auto" w:before="26"/>
        <w:ind w:right="153"/>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、本报告期未发生非同一控制下企业合并。</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、本报告期未发生同一控制下企业合并。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、本报告期未发生反向购买。</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、本报告期未发生处置子公司。</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527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、本报告期未发生其他原因的合并范围变动。</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15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广州御新软件有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自动柜员机及点 钞机设备的研 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75"/>
              <w:jc w:val="both"/>
              <w:rPr>
                <w:rFonts w:ascii="宋体" w:hAnsi="宋体" w:cs="宋体" w:eastAsia="宋体" w:hint="default"/>
                <w:sz w:val="18"/>
                <w:szCs w:val="18"/>
              </w:rPr>
            </w:pPr>
            <w:r>
              <w:rPr>
                <w:rFonts w:ascii="宋体" w:hAnsi="宋体" w:cs="宋体" w:eastAsia="宋体" w:hint="default"/>
                <w:sz w:val="18"/>
                <w:szCs w:val="18"/>
              </w:rPr>
              <w:t>广州御银自动柜 员机技术有限公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电子产品、金融 机具设备、自动 柜员机的研究、 开发、销售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5"/>
              <w:jc w:val="left"/>
              <w:rPr>
                <w:rFonts w:ascii="宋体" w:hAnsi="宋体" w:cs="宋体" w:eastAsia="宋体" w:hint="default"/>
                <w:sz w:val="18"/>
                <w:szCs w:val="18"/>
              </w:rPr>
            </w:pPr>
            <w:r>
              <w:rPr>
                <w:rFonts w:ascii="宋体" w:hAnsi="宋体" w:cs="宋体" w:eastAsia="宋体" w:hint="default"/>
                <w:sz w:val="18"/>
                <w:szCs w:val="18"/>
              </w:rPr>
              <w:t>广州御银金融服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对柜员机进行维 护及管理，对现 金及有价证券清 分处理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安徽御银电子科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自动柜员机及点 钞机设备的研 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御银（中国）科 技国际有限公司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维尔京群岛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维尔京群岛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pacing w:val="-6"/>
                <w:sz w:val="18"/>
                <w:szCs w:val="18"/>
              </w:rPr>
              <w:t>御银科技（香港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both"/>
              <w:rPr>
                <w:rFonts w:ascii="宋体" w:hAnsi="宋体" w:cs="宋体" w:eastAsia="宋体" w:hint="default"/>
                <w:sz w:val="18"/>
                <w:szCs w:val="18"/>
              </w:rPr>
            </w:pPr>
            <w:r>
              <w:rPr>
                <w:rFonts w:ascii="宋体" w:hAnsi="宋体" w:cs="宋体" w:eastAsia="宋体" w:hint="default"/>
                <w:sz w:val="18"/>
                <w:szCs w:val="18"/>
              </w:rPr>
              <w:t>广州御银自动柜 员机科技有限公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电子产品、金融 机具设备、自动 柜员机的研究、 开发、销售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bl>
    <w:p>
      <w:pPr>
        <w:spacing w:after="0" w:line="240" w:lineRule="auto"/>
        <w:jc w:val="left"/>
        <w:rPr>
          <w:rFonts w:ascii="宋体" w:hAnsi="宋体" w:cs="宋体" w:eastAsia="宋体" w:hint="default"/>
          <w:sz w:val="18"/>
          <w:szCs w:val="18"/>
        </w:rPr>
        <w:sectPr>
          <w:pgSz w:w="11910" w:h="16840"/>
          <w:pgMar w:header="786" w:footer="1021" w:top="1100" w:bottom="1220" w:left="980" w:right="980"/>
        </w:sectPr>
      </w:pPr>
    </w:p>
    <w:p>
      <w:pPr>
        <w:spacing w:line="240" w:lineRule="auto" w:before="5"/>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北京青年御银科 技有限责任公司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技术开发、技术 </w:t>
            </w:r>
            <w:r>
              <w:rPr>
                <w:rFonts w:ascii="宋体" w:hAnsi="宋体" w:cs="宋体" w:eastAsia="宋体" w:hint="default"/>
                <w:spacing w:val="-6"/>
                <w:sz w:val="18"/>
                <w:szCs w:val="18"/>
              </w:rPr>
              <w:t>转让、技术咨询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w:t>
            </w:r>
          </w:p>
        </w:tc>
        <w:tc>
          <w:tcPr>
            <w:tcW w:w="3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广州御银信息科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bl>
    <w:p>
      <w:pPr>
        <w:spacing w:line="240" w:lineRule="auto" w:before="3"/>
        <w:rPr>
          <w:rFonts w:ascii="宋体" w:hAnsi="宋体" w:cs="宋体" w:eastAsia="宋体" w:hint="default"/>
          <w:b/>
          <w:bCs/>
          <w:sz w:val="19"/>
          <w:szCs w:val="19"/>
        </w:rPr>
      </w:pPr>
    </w:p>
    <w:p>
      <w:pPr>
        <w:spacing w:before="36"/>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本报告期无在子公司的所有者权益份额发生变化且仍控制子公司的交易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本报告期无在合营安排或联营企业中的权益</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本报告期无重要的共同经营</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本报告期无未纳入合并财务报表范围的结构化主体中的权益</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spacing w:before="0"/>
        <w:ind w:left="152" w:right="94" w:firstLine="0"/>
        <w:jc w:val="left"/>
        <w:rPr>
          <w:rFonts w:ascii="宋体" w:hAnsi="宋体" w:cs="宋体" w:eastAsia="宋体" w:hint="default"/>
          <w:sz w:val="24"/>
          <w:szCs w:val="24"/>
        </w:rPr>
      </w:pPr>
      <w:r>
        <w:rPr>
          <w:rFonts w:ascii="宋体" w:hAnsi="宋体" w:cs="宋体" w:eastAsia="宋体" w:hint="default"/>
          <w:b/>
          <w:bCs/>
          <w:sz w:val="24"/>
          <w:szCs w:val="24"/>
        </w:rPr>
        <w:t>十、与金融工具相关的风险</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的确定，并对风险管理目标和政策承担最终责任，但是董事会已授权本公司经营管理层设计和实施能确保风险管理目标和政</w:t>
      </w:r>
      <w:r>
        <w:rPr>
          <w:spacing w:val="-64"/>
        </w:rPr>
        <w:t> </w:t>
      </w:r>
      <w:r>
        <w:rPr>
          <w:spacing w:val="-64"/>
        </w:rPr>
      </w:r>
      <w:r>
        <w:rPr/>
        <w:t>策得以有效执行的程序。董事会通过职能部门递交的月度报告来审查已执行程序的有效性以及风险管理目标和政策的合理 性。本公司的内部审计师也会审计风险管理的政策和程序，并且将有关发现汇报给审计委员会。</w:t>
      </w:r>
    </w:p>
    <w:p>
      <w:pPr>
        <w:pStyle w:val="BodyText"/>
        <w:spacing w:line="309" w:lineRule="auto" w:before="19"/>
        <w:ind w:left="513" w:right="94"/>
        <w:jc w:val="left"/>
      </w:pPr>
      <w:r>
        <w:rPr/>
        <w:t>本公司风险管理的总体目标是在不过度影响公司竞争力和应变力的情况下，制定尽可能降低风险的风险管理政策。 </w:t>
      </w:r>
      <w:r>
        <w:rPr>
          <w:rFonts w:ascii="Times New Roman" w:hAnsi="Times New Roman" w:cs="Times New Roman" w:eastAsia="Times New Roman" w:hint="default"/>
        </w:rPr>
        <w:t>1</w:t>
      </w:r>
      <w:r>
        <w:rPr/>
        <w:t>、信用风险 </w:t>
      </w:r>
      <w:r>
        <w:rPr>
          <w:spacing w:val="-4"/>
        </w:rPr>
        <w:t>信用风险是指金融工具的一方不履行义务，造成另一方发生财务损失的风险。本公司主要面临赊销导致的客户信用风险。</w:t>
      </w:r>
    </w:p>
    <w:p>
      <w:pPr>
        <w:pStyle w:val="BodyText"/>
        <w:spacing w:line="316" w:lineRule="auto" w:before="24"/>
        <w:ind w:right="94"/>
        <w:jc w:val="left"/>
      </w:pPr>
      <w:r>
        <w:rPr>
          <w:spacing w:val="-2"/>
        </w:rPr>
        <w:t>在签订新合同之前，本公司会对新客户的信用风险进行评估，包括外部信用评级和在某些情况下的银行资信证明（当此信息</w:t>
      </w:r>
      <w:r>
        <w:rPr>
          <w:spacing w:val="-63"/>
        </w:rPr>
        <w:t> </w:t>
      </w:r>
      <w:r>
        <w:rPr>
          <w:spacing w:val="-63"/>
        </w:rPr>
      </w:r>
      <w:r>
        <w:rPr/>
        <w:t>可获取时）。公司对每一客户均设置了赊销限额，该限额为无需获得额外批准的最大额度。</w:t>
      </w:r>
    </w:p>
    <w:p>
      <w:pPr>
        <w:pStyle w:val="BodyText"/>
        <w:spacing w:line="316" w:lineRule="auto" w:before="19"/>
        <w:ind w:right="94"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内。在监控客户的信用风险时，按照客户的信用特征对其分组。被评为“高风险”级别的客户会放在受限制客户名单里，并</w:t>
      </w:r>
      <w:r>
        <w:rPr>
          <w:spacing w:val="-68"/>
        </w:rPr>
        <w:t> </w:t>
      </w:r>
      <w:r>
        <w:rPr>
          <w:spacing w:val="-68"/>
        </w:rPr>
      </w:r>
      <w:r>
        <w:rPr/>
        <w:t>且只有在额外批准的前提下，公司才可在未来期间内对其赊销，否则必须要求其提前支付相应款项。</w:t>
      </w:r>
    </w:p>
    <w:p>
      <w:pPr>
        <w:pStyle w:val="BodyText"/>
        <w:spacing w:line="300" w:lineRule="auto" w:before="19"/>
        <w:ind w:left="513" w:right="94"/>
        <w:jc w:val="left"/>
      </w:pPr>
      <w:r>
        <w:rPr>
          <w:rFonts w:ascii="Times New Roman" w:hAnsi="Times New Roman" w:cs="Times New Roman" w:eastAsia="Times New Roman" w:hint="default"/>
        </w:rPr>
        <w:t>2</w:t>
      </w:r>
      <w:r>
        <w:rPr/>
        <w:t>、市场风险 </w:t>
      </w:r>
      <w:r>
        <w:rPr>
          <w:spacing w:val="-2"/>
        </w:rPr>
        <w:t>金融工具的市场风险，是指金融工具的公允价值或未来现金流量因市场价格变动而发生波动的风险，包括汇率风险、利</w:t>
      </w:r>
    </w:p>
    <w:p>
      <w:pPr>
        <w:pStyle w:val="BodyText"/>
        <w:spacing w:line="240" w:lineRule="auto" w:before="31"/>
        <w:ind w:right="94"/>
        <w:jc w:val="left"/>
      </w:pPr>
      <w:r>
        <w:rPr/>
        <w:t>率风险和其他价格风险。</w:t>
      </w:r>
    </w:p>
    <w:p>
      <w:pPr>
        <w:pStyle w:val="BodyText"/>
        <w:spacing w:line="300" w:lineRule="auto" w:before="76"/>
        <w:ind w:left="513" w:right="94"/>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316" w:lineRule="auto" w:before="31"/>
        <w:ind w:right="94"/>
        <w:jc w:val="left"/>
      </w:pPr>
      <w:r>
        <w:rPr>
          <w:spacing w:val="-2"/>
        </w:rPr>
        <w:t>源于银行长短期借款。公司通过建立良好的银企关系，对授信额度、授信品种以及授信期限进行合理的设计，保障银行授信</w:t>
      </w:r>
      <w:r>
        <w:rPr>
          <w:spacing w:val="-65"/>
        </w:rPr>
        <w:t> </w:t>
      </w:r>
      <w:r>
        <w:rPr>
          <w:spacing w:val="-65"/>
        </w:rPr>
      </w:r>
      <w:r>
        <w:rPr/>
        <w:t>额度充足，满足公司各类融资需求。并且通过缩短单笔借款的期限，特别约定提前还款条款，合理降低利率波动风险。</w:t>
      </w:r>
    </w:p>
    <w:p>
      <w:pPr>
        <w:pStyle w:val="BodyText"/>
        <w:spacing w:line="300" w:lineRule="auto" w:before="19"/>
        <w:ind w:left="513" w:right="94"/>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w:t>
      </w:r>
    </w:p>
    <w:p>
      <w:pPr>
        <w:pStyle w:val="BodyText"/>
        <w:spacing w:line="240" w:lineRule="auto" w:before="31"/>
        <w:ind w:right="94"/>
        <w:jc w:val="left"/>
      </w:pPr>
      <w:r>
        <w:rPr/>
        <w:t>币支出相匹配以降低汇率风险。本公司面临的汇率风险主要来源于以美元计价的原材料采购。</w:t>
      </w:r>
    </w:p>
    <w:p>
      <w:pPr>
        <w:pStyle w:val="BodyText"/>
        <w:spacing w:line="309" w:lineRule="auto" w:before="76"/>
        <w:ind w:left="513" w:right="1893"/>
        <w:jc w:val="left"/>
      </w:pPr>
      <w:r>
        <w:rPr/>
        <w:t>（</w:t>
      </w:r>
      <w:r>
        <w:rPr>
          <w:rFonts w:ascii="Times New Roman" w:hAnsi="Times New Roman" w:cs="Times New Roman" w:eastAsia="Times New Roman" w:hint="default"/>
        </w:rPr>
        <w:t>3</w:t>
      </w:r>
      <w:r>
        <w:rPr/>
        <w:t>）其他价格风险 本公司持有其他公司的权益投资，管理层认为这些投资活动面临的市场价格风险是可以接受的。 </w:t>
      </w:r>
      <w:r>
        <w:rPr>
          <w:rFonts w:ascii="Times New Roman" w:hAnsi="Times New Roman" w:cs="Times New Roman" w:eastAsia="Times New Roman" w:hint="default"/>
        </w:rPr>
        <w:t>3</w:t>
      </w:r>
      <w:r>
        <w:rPr/>
        <w:t>、流动性风险</w:t>
      </w:r>
    </w:p>
    <w:p>
      <w:pPr>
        <w:pStyle w:val="BodyText"/>
        <w:spacing w:line="316" w:lineRule="auto" w:before="5"/>
        <w:ind w:right="188" w:firstLine="360"/>
        <w:jc w:val="both"/>
      </w:pPr>
      <w:r>
        <w:rPr>
          <w:spacing w:val="-2"/>
        </w:rPr>
        <w:t>流动风险，是指企业在履行以交付现金或其他金融资产的方式结算的义务时发生资金短缺的风险。本公司的政策是确保</w:t>
      </w:r>
      <w:r>
        <w:rPr/>
        <w:t> </w:t>
      </w:r>
      <w:r>
        <w:rPr>
          <w:spacing w:val="-2"/>
        </w:rPr>
        <w:t>拥有充足的现金以偿还到期债务。流动性风险由本公司的财务部门集中控制。财务部门通过监控现金余额、可随时变现的有</w:t>
      </w:r>
      <w:r>
        <w:rPr>
          <w:spacing w:val="-61"/>
        </w:rPr>
        <w:t> </w:t>
      </w:r>
      <w:r>
        <w:rPr>
          <w:spacing w:val="-61"/>
        </w:rPr>
      </w:r>
      <w:r>
        <w:rPr/>
        <w:t>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after="0" w:line="316" w:lineRule="auto"/>
        <w:jc w:val="both"/>
        <w:sectPr>
          <w:pgSz w:w="11910" w:h="16840"/>
          <w:pgMar w:header="786" w:footer="1021" w:top="1100" w:bottom="1220" w:left="980" w:right="940"/>
        </w:sectPr>
      </w:pPr>
    </w:p>
    <w:p>
      <w:pPr>
        <w:spacing w:line="240" w:lineRule="auto" w:before="6"/>
        <w:rPr>
          <w:rFonts w:ascii="宋体" w:hAnsi="宋体" w:cs="宋体" w:eastAsia="宋体" w:hint="default"/>
          <w:sz w:val="20"/>
          <w:szCs w:val="20"/>
        </w:rPr>
      </w:pPr>
    </w:p>
    <w:p>
      <w:pPr>
        <w:pStyle w:val="Heading2"/>
        <w:spacing w:line="240" w:lineRule="auto" w:before="26"/>
        <w:ind w:right="153"/>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219"/>
        <w:jc w:val="left"/>
      </w:pPr>
      <w:r>
        <w:rPr/>
        <w:t>本公司无母公司，公司实际控制人为杨文江，其持股比例为</w:t>
      </w:r>
      <w:r>
        <w:rPr>
          <w:rFonts w:ascii="Times New Roman" w:hAnsi="Times New Roman" w:cs="Times New Roman" w:eastAsia="Times New Roman" w:hint="default"/>
        </w:rPr>
        <w:t>23.61%</w:t>
      </w:r>
      <w:r>
        <w:rPr/>
        <w:t>。截至审计报告日杨文江持股比例情况详见财务报告十 三、</w:t>
      </w:r>
      <w:r>
        <w:rPr>
          <w:rFonts w:ascii="Times New Roman" w:hAnsi="Times New Roman" w:cs="Times New Roman" w:eastAsia="Times New Roman" w:hint="default"/>
        </w:rPr>
        <w:t>2</w:t>
      </w:r>
      <w:r>
        <w:rPr/>
        <w:t>、其他资产负债表日后事项说明。</w:t>
      </w:r>
    </w:p>
    <w:p>
      <w:pPr>
        <w:spacing w:line="240" w:lineRule="auto" w:before="4"/>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本企业子公司的情况详见附注报告九、在其他主体中的权益。</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3</w:t>
      </w:r>
      <w:r>
        <w:rPr/>
        <w:t>、本企业合营和联营企业情况：公司无合营和联营企业。</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本公司控股股东亲属控制的企业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广州杰萃投资有限公司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广州御融通电子设备开发有限公司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广州七一一电子信息科技有限公司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佛山盛普达汽车租赁有限公司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深圳安易达商务汽车服务有限公司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公司控股股东及关键管理人员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after="0" w:line="240" w:lineRule="auto"/>
        <w:jc w:val="left"/>
        <w:rPr>
          <w:rFonts w:ascii="宋体" w:hAnsi="宋体" w:cs="宋体" w:eastAsia="宋体" w:hint="default"/>
          <w:sz w:val="18"/>
          <w:szCs w:val="18"/>
        </w:rPr>
        <w:sectPr>
          <w:pgSz w:w="11910" w:h="16840"/>
          <w:pgMar w:header="786" w:footer="1021" w:top="1100" w:bottom="1220" w:left="980" w:right="980"/>
        </w:sectPr>
      </w:pPr>
    </w:p>
    <w:p>
      <w:pPr>
        <w:spacing w:line="240" w:lineRule="auto" w:before="9"/>
        <w:rPr>
          <w:rFonts w:ascii="宋体" w:hAnsi="宋体" w:cs="宋体" w:eastAsia="宋体" w:hint="default"/>
          <w:b/>
          <w:bCs/>
          <w:sz w:val="21"/>
          <w:szCs w:val="21"/>
        </w:rPr>
      </w:pPr>
    </w:p>
    <w:p>
      <w:pPr>
        <w:spacing w:before="36"/>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right="94"/>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9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385"/>
        <w:gridCol w:w="1388"/>
        <w:gridCol w:w="1385"/>
        <w:gridCol w:w="1654"/>
        <w:gridCol w:w="1118"/>
      </w:tblGrid>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5"/>
              <w:jc w:val="right"/>
              <w:rPr>
                <w:rFonts w:ascii="宋体" w:hAnsi="宋体" w:cs="宋体" w:eastAsia="宋体" w:hint="default"/>
                <w:sz w:val="18"/>
                <w:szCs w:val="18"/>
              </w:rPr>
            </w:pPr>
            <w:r>
              <w:rPr>
                <w:rFonts w:ascii="宋体" w:hAnsi="宋体" w:cs="宋体" w:eastAsia="宋体" w:hint="default"/>
                <w:sz w:val="18"/>
                <w:szCs w:val="18"/>
              </w:rPr>
              <w:t>获批的交易额度</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9,362,544.90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22,036,399.53</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15,969,095.77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3,409,128.21</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13,846,153.50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）本期无关联受托管理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right="94"/>
        <w:jc w:val="left"/>
      </w:pPr>
      <w:r>
        <w:rPr/>
        <w:t>本公司作为出租方：</w:t>
      </w:r>
    </w:p>
    <w:p>
      <w:pPr>
        <w:pStyle w:val="BodyText"/>
        <w:spacing w:line="240" w:lineRule="auto" w:before="115"/>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2088"/>
        <w:gridCol w:w="2393"/>
        <w:gridCol w:w="2393"/>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3"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佛山盛普达汽车租赁有限公司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汽车租赁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658,119.65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left="513" w:right="94" w:hanging="361"/>
        <w:jc w:val="left"/>
      </w:pPr>
      <w:r>
        <w:rPr/>
        <w:t>关联租赁情况说明： </w:t>
      </w:r>
      <w:r>
        <w:rPr>
          <w:spacing w:val="-2"/>
        </w:rPr>
        <w:t>广州智萃电子科技有限公司：</w:t>
      </w:r>
      <w:r>
        <w:rPr>
          <w:rFonts w:ascii="Times New Roman" w:hAnsi="Times New Roman" w:cs="Times New Roman" w:eastAsia="Times New Roman" w:hint="default"/>
          <w:spacing w:val="-2"/>
        </w:rPr>
        <w:t>2015</w:t>
      </w:r>
      <w:r>
        <w:rPr>
          <w:spacing w:val="-2"/>
        </w:rPr>
        <w:t>年子公司广州御银自动柜员机技术有限公司与广州智萃电子科技有限公司签订了房屋</w:t>
      </w:r>
    </w:p>
    <w:p>
      <w:pPr>
        <w:pStyle w:val="BodyText"/>
        <w:spacing w:line="215" w:lineRule="exact"/>
        <w:ind w:right="0"/>
        <w:jc w:val="left"/>
      </w:pPr>
      <w:r>
        <w:rPr/>
        <w:t>租赁合同，将坐落在萝岗区瑞发路</w:t>
      </w:r>
      <w:r>
        <w:rPr>
          <w:rFonts w:ascii="Times New Roman" w:hAnsi="Times New Roman" w:cs="Times New Roman" w:eastAsia="Times New Roman" w:hint="default"/>
        </w:rPr>
        <w:t>12</w:t>
      </w:r>
      <w:r>
        <w:rPr/>
        <w:t>号自编四栋第四层的部分房地产出租给广州智萃电子科技有限公司用于生产和仓储，出</w:t>
      </w:r>
    </w:p>
    <w:p>
      <w:pPr>
        <w:pStyle w:val="BodyText"/>
        <w:spacing w:line="300" w:lineRule="auto" w:before="63"/>
        <w:ind w:left="513" w:right="94" w:hanging="361"/>
        <w:jc w:val="left"/>
      </w:pPr>
      <w:r>
        <w:rPr/>
        <w:t>租的建筑面积共</w:t>
      </w:r>
      <w:r>
        <w:rPr>
          <w:rFonts w:ascii="Times New Roman" w:hAnsi="Times New Roman" w:cs="Times New Roman" w:eastAsia="Times New Roman" w:hint="default"/>
        </w:rPr>
        <w:t>1,300</w:t>
      </w:r>
      <w:r>
        <w:rPr/>
        <w:t>平方米，租赁期限从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日，月租金为</w:t>
      </w:r>
      <w:r>
        <w:rPr>
          <w:rFonts w:ascii="Times New Roman" w:hAnsi="Times New Roman" w:cs="Times New Roman" w:eastAsia="Times New Roman" w:hint="default"/>
        </w:rPr>
        <w:t>26,000.00</w:t>
      </w:r>
      <w:r>
        <w:rPr/>
        <w:t>元。 </w:t>
      </w:r>
      <w:r>
        <w:rPr>
          <w:spacing w:val="-2"/>
        </w:rPr>
        <w:t>佛山盛普达汽车租赁有限公司：</w:t>
      </w:r>
      <w:r>
        <w:rPr>
          <w:rFonts w:ascii="Times New Roman" w:hAnsi="Times New Roman" w:cs="Times New Roman" w:eastAsia="Times New Roman" w:hint="default"/>
          <w:spacing w:val="-2"/>
        </w:rPr>
        <w:t>2015</w:t>
      </w:r>
      <w:r>
        <w:rPr>
          <w:spacing w:val="-2"/>
        </w:rPr>
        <w:t>年本公司与佛山盛普达汽车租赁有限公司签订了一份汽车租赁合同，将</w:t>
      </w:r>
      <w:r>
        <w:rPr>
          <w:rFonts w:ascii="Times New Roman" w:hAnsi="Times New Roman" w:cs="Times New Roman" w:eastAsia="Times New Roman" w:hint="default"/>
          <w:spacing w:val="-2"/>
        </w:rPr>
        <w:t>28</w:t>
      </w:r>
      <w:r>
        <w:rPr>
          <w:spacing w:val="-2"/>
        </w:rPr>
        <w:t>辆汽车出</w:t>
      </w:r>
    </w:p>
    <w:p>
      <w:pPr>
        <w:pStyle w:val="BodyText"/>
        <w:spacing w:line="300" w:lineRule="auto" w:before="13"/>
        <w:ind w:right="94"/>
        <w:jc w:val="left"/>
      </w:pPr>
      <w:r>
        <w:rPr>
          <w:spacing w:val="-1"/>
        </w:rPr>
        <w:t>租给佛山盛普达汽车租赁有限公司，租赁合同总额为</w:t>
      </w:r>
      <w:r>
        <w:rPr>
          <w:rFonts w:ascii="Times New Roman" w:hAnsi="Times New Roman" w:cs="Times New Roman" w:eastAsia="Times New Roman" w:hint="default"/>
          <w:spacing w:val="-1"/>
        </w:rPr>
        <w:t>1,848,000.00</w:t>
      </w:r>
      <w:r>
        <w:rPr>
          <w:spacing w:val="-1"/>
        </w:rPr>
        <w:t>元，租赁期从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w:t>
      </w:r>
      <w:r>
        <w:rPr>
          <w:spacing w:val="-1"/>
        </w:rPr>
        <w:t>日起至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31</w:t>
      </w:r>
      <w:r>
        <w:rPr>
          <w:spacing w:val="-1"/>
        </w:rPr>
        <w:t>日止，租赁车</w:t>
      </w:r>
      <w:r>
        <w:rPr>
          <w:spacing w:val="-77"/>
        </w:rPr>
        <w:t> </w:t>
      </w:r>
      <w:r>
        <w:rPr>
          <w:spacing w:val="-77"/>
        </w:rPr>
      </w:r>
      <w:r>
        <w:rPr/>
        <w:t>辆每月租金总额为</w:t>
      </w:r>
      <w:r>
        <w:rPr>
          <w:rFonts w:ascii="Times New Roman" w:hAnsi="Times New Roman" w:cs="Times New Roman" w:eastAsia="Times New Roman" w:hint="default"/>
        </w:rPr>
        <w:t>154,000.00</w:t>
      </w:r>
      <w:r>
        <w:rPr/>
        <w:t>元（含税）。</w:t>
      </w:r>
    </w:p>
    <w:p>
      <w:pPr>
        <w:spacing w:line="240" w:lineRule="auto" w:before="4"/>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本公司作为被担保方</w:t>
      </w:r>
    </w:p>
    <w:p>
      <w:pPr>
        <w:pStyle w:val="BodyText"/>
        <w:spacing w:line="304" w:lineRule="auto" w:before="115"/>
        <w:ind w:right="188" w:firstLine="360"/>
        <w:jc w:val="both"/>
      </w:pPr>
      <w:r>
        <w:rPr/>
        <w:t>①</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日，子公司广州御银自动柜员机技术有限公司与中国工商银行股份有限公司广州工业大道支行签订了编 </w:t>
      </w:r>
      <w:r>
        <w:rPr>
          <w:spacing w:val="-2"/>
        </w:rPr>
        <w:t>号为工业支行</w:t>
      </w:r>
      <w:r>
        <w:rPr>
          <w:rFonts w:ascii="Times New Roman" w:hAnsi="Times New Roman" w:cs="Times New Roman" w:eastAsia="Times New Roman" w:hint="default"/>
          <w:spacing w:val="-2"/>
        </w:rPr>
        <w:t>2012</w:t>
      </w:r>
      <w:r>
        <w:rPr>
          <w:spacing w:val="-2"/>
        </w:rPr>
        <w:t>年项借字第</w:t>
      </w:r>
      <w:r>
        <w:rPr>
          <w:rFonts w:ascii="Times New Roman" w:hAnsi="Times New Roman" w:cs="Times New Roman" w:eastAsia="Times New Roman" w:hint="default"/>
          <w:spacing w:val="-2"/>
        </w:rPr>
        <w:t>006</w:t>
      </w:r>
      <w:r>
        <w:rPr>
          <w:spacing w:val="-2"/>
        </w:rPr>
        <w:t>号的固定资产借款合同，本合同项下借款额度为人民币</w:t>
      </w:r>
      <w:r>
        <w:rPr>
          <w:rFonts w:ascii="Times New Roman" w:hAnsi="Times New Roman" w:cs="Times New Roman" w:eastAsia="Times New Roman" w:hint="default"/>
          <w:spacing w:val="-2"/>
        </w:rPr>
        <w:t>8,500.00</w:t>
      </w:r>
      <w:r>
        <w:rPr>
          <w:spacing w:val="-2"/>
        </w:rPr>
        <w:t>万元，用于“柜员机产能扩</w:t>
      </w:r>
      <w:r>
        <w:rPr>
          <w:spacing w:val="-53"/>
        </w:rPr>
        <w:t> </w:t>
      </w:r>
      <w:r>
        <w:rPr>
          <w:spacing w:val="-53"/>
        </w:rPr>
      </w:r>
      <w:r>
        <w:rPr/>
        <w:t>充”项目建设，期限为</w:t>
      </w:r>
      <w:r>
        <w:rPr>
          <w:rFonts w:ascii="Times New Roman" w:hAnsi="Times New Roman" w:cs="Times New Roman" w:eastAsia="Times New Roman" w:hint="default"/>
        </w:rPr>
        <w:t>5</w:t>
      </w:r>
      <w:r>
        <w:rPr/>
        <w:t>年。以科学城土地使用权（穗府国用第</w:t>
      </w:r>
      <w:r>
        <w:rPr>
          <w:rFonts w:ascii="Times New Roman" w:hAnsi="Times New Roman" w:cs="Times New Roman" w:eastAsia="Times New Roman" w:hint="default"/>
        </w:rPr>
        <w:t>05000060</w:t>
      </w:r>
      <w:r>
        <w:rPr/>
        <w:t>号）作抵押，并以杨文江、广州御银科技股份有限 </w:t>
      </w:r>
      <w:r>
        <w:rPr>
          <w:spacing w:val="-2"/>
        </w:rPr>
        <w:t>公司为其提供担保，保证合同编号分别为工业支行</w:t>
      </w:r>
      <w:r>
        <w:rPr>
          <w:rFonts w:ascii="Times New Roman" w:hAnsi="Times New Roman" w:cs="Times New Roman" w:eastAsia="Times New Roman" w:hint="default"/>
          <w:spacing w:val="-2"/>
        </w:rPr>
        <w:t>2012</w:t>
      </w:r>
      <w:r>
        <w:rPr>
          <w:spacing w:val="-2"/>
        </w:rPr>
        <w:t>年保字第</w:t>
      </w:r>
      <w:r>
        <w:rPr>
          <w:rFonts w:ascii="Times New Roman" w:hAnsi="Times New Roman" w:cs="Times New Roman" w:eastAsia="Times New Roman" w:hint="default"/>
          <w:spacing w:val="-2"/>
        </w:rPr>
        <w:t>396</w:t>
      </w:r>
      <w:r>
        <w:rPr>
          <w:spacing w:val="-2"/>
        </w:rPr>
        <w:t>号、工业支行</w:t>
      </w:r>
      <w:r>
        <w:rPr>
          <w:rFonts w:ascii="Times New Roman" w:hAnsi="Times New Roman" w:cs="Times New Roman" w:eastAsia="Times New Roman" w:hint="default"/>
          <w:spacing w:val="-2"/>
        </w:rPr>
        <w:t>2012</w:t>
      </w:r>
      <w:r>
        <w:rPr>
          <w:spacing w:val="-2"/>
        </w:rPr>
        <w:t>年保字第</w:t>
      </w:r>
      <w:r>
        <w:rPr>
          <w:rFonts w:ascii="Times New Roman" w:hAnsi="Times New Roman" w:cs="Times New Roman" w:eastAsia="Times New Roman" w:hint="default"/>
          <w:spacing w:val="-2"/>
        </w:rPr>
        <w:t>395</w:t>
      </w:r>
      <w:r>
        <w:rPr>
          <w:spacing w:val="-2"/>
        </w:rPr>
        <w:t>号，上述保证合同的保证</w:t>
      </w:r>
      <w:r>
        <w:rPr>
          <w:spacing w:val="-61"/>
        </w:rPr>
        <w:t> </w:t>
      </w:r>
      <w:r>
        <w:rPr>
          <w:spacing w:val="-61"/>
        </w:rPr>
      </w:r>
      <w:r>
        <w:rPr>
          <w:spacing w:val="-2"/>
        </w:rPr>
        <w:t>期间为：自主合同项下的借款期限届满之次日起两年；中国工商银行股份有限公司广州工业大道支行根据主合同之约定宣布</w:t>
      </w:r>
      <w:r>
        <w:rPr>
          <w:spacing w:val="-64"/>
        </w:rPr>
        <w:t> </w:t>
      </w:r>
      <w:r>
        <w:rPr>
          <w:spacing w:val="-64"/>
        </w:rPr>
      </w:r>
      <w:r>
        <w:rPr/>
        <w:t>借款提前到期的，则保证期间为借款提前到期日之次日起两年。子公司本年期末已还清上述所有借款项目。</w:t>
      </w:r>
    </w:p>
    <w:p>
      <w:pPr>
        <w:pStyle w:val="BodyText"/>
        <w:spacing w:line="300" w:lineRule="auto" w:before="28"/>
        <w:ind w:right="94" w:firstLine="360"/>
        <w:jc w:val="left"/>
      </w:pPr>
      <w:r>
        <w:rPr>
          <w:spacing w:val="-2"/>
        </w:rPr>
        <w:t>②</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日，公司与中国工商银行股份有限公司广州工业大道支行签订了编号为工业支行</w:t>
      </w:r>
      <w:r>
        <w:rPr>
          <w:rFonts w:ascii="Times New Roman" w:hAnsi="Times New Roman" w:cs="Times New Roman" w:eastAsia="Times New Roman" w:hint="default"/>
          <w:spacing w:val="-2"/>
        </w:rPr>
        <w:t>2013</w:t>
      </w:r>
      <w:r>
        <w:rPr>
          <w:spacing w:val="-2"/>
        </w:rPr>
        <w:t>年项借字第</w:t>
      </w:r>
      <w:r>
        <w:rPr>
          <w:rFonts w:ascii="Times New Roman" w:hAnsi="Times New Roman" w:cs="Times New Roman" w:eastAsia="Times New Roman" w:hint="default"/>
          <w:spacing w:val="-2"/>
        </w:rPr>
        <w:t>006</w:t>
      </w:r>
      <w:r>
        <w:rPr>
          <w:spacing w:val="-2"/>
        </w:rPr>
        <w:t>号的</w:t>
      </w:r>
      <w:r>
        <w:rPr/>
        <w:t> 固定资产借款合同，本合同项下借款额度为人民币</w:t>
      </w:r>
      <w:r>
        <w:rPr>
          <w:rFonts w:ascii="Times New Roman" w:hAnsi="Times New Roman" w:cs="Times New Roman" w:eastAsia="Times New Roman" w:hint="default"/>
        </w:rPr>
        <w:t>13,000.00</w:t>
      </w:r>
      <w:r>
        <w:rPr/>
        <w:t>万元，用途为“御银科技园”项目建设，期限为</w:t>
      </w:r>
      <w:r>
        <w:rPr>
          <w:rFonts w:ascii="Times New Roman" w:hAnsi="Times New Roman" w:cs="Times New Roman" w:eastAsia="Times New Roman" w:hint="default"/>
        </w:rPr>
        <w:t>5</w:t>
      </w:r>
      <w:r>
        <w:rPr/>
        <w:t>年。以天河区 </w:t>
      </w:r>
      <w:r>
        <w:rPr>
          <w:spacing w:val="-2"/>
        </w:rPr>
        <w:t>软件园高唐新建区高唐大道地段科教用地土地使用权（穗府国用</w:t>
      </w:r>
      <w:r>
        <w:rPr>
          <w:rFonts w:ascii="Times New Roman" w:hAnsi="Times New Roman" w:cs="Times New Roman" w:eastAsia="Times New Roman" w:hint="default"/>
          <w:spacing w:val="-2"/>
        </w:rPr>
        <w:t>2011</w:t>
      </w:r>
      <w:r>
        <w:rPr>
          <w:spacing w:val="-2"/>
        </w:rPr>
        <w:t>第</w:t>
      </w:r>
      <w:r>
        <w:rPr>
          <w:rFonts w:ascii="Times New Roman" w:hAnsi="Times New Roman" w:cs="Times New Roman" w:eastAsia="Times New Roman" w:hint="default"/>
          <w:spacing w:val="-2"/>
        </w:rPr>
        <w:t>01100110</w:t>
      </w:r>
      <w:r>
        <w:rPr>
          <w:spacing w:val="-2"/>
        </w:rPr>
        <w:t>号）作抵押，并以杨文江、子公司广州御银</w:t>
      </w:r>
      <w:r>
        <w:rPr>
          <w:spacing w:val="-56"/>
        </w:rPr>
        <w:t> </w:t>
      </w:r>
      <w:r>
        <w:rPr>
          <w:spacing w:val="-56"/>
        </w:rPr>
      </w:r>
      <w:r>
        <w:rPr/>
        <w:t>自动柜员机技术有限公司为其提供担保，保证合同编号分别为工业支行</w:t>
      </w:r>
      <w:r>
        <w:rPr>
          <w:rFonts w:ascii="Times New Roman" w:hAnsi="Times New Roman" w:cs="Times New Roman" w:eastAsia="Times New Roman" w:hint="default"/>
        </w:rPr>
        <w:t>2013</w:t>
      </w:r>
      <w:r>
        <w:rPr/>
        <w:t>年保字第</w:t>
      </w:r>
      <w:r>
        <w:rPr>
          <w:rFonts w:ascii="Times New Roman" w:hAnsi="Times New Roman" w:cs="Times New Roman" w:eastAsia="Times New Roman" w:hint="default"/>
        </w:rPr>
        <w:t>240</w:t>
      </w:r>
      <w:r>
        <w:rPr/>
        <w:t>号、工业支行</w:t>
      </w:r>
      <w:r>
        <w:rPr>
          <w:rFonts w:ascii="Times New Roman" w:hAnsi="Times New Roman" w:cs="Times New Roman" w:eastAsia="Times New Roman" w:hint="default"/>
        </w:rPr>
        <w:t>2012</w:t>
      </w:r>
      <w:r>
        <w:rPr/>
        <w:t>年保字第</w:t>
      </w:r>
      <w:r>
        <w:rPr>
          <w:rFonts w:ascii="Times New Roman" w:hAnsi="Times New Roman" w:cs="Times New Roman" w:eastAsia="Times New Roman" w:hint="default"/>
        </w:rPr>
        <w:t>239</w:t>
      </w:r>
      <w:r>
        <w:rPr/>
        <w:t>号，</w:t>
      </w:r>
      <w:r>
        <w:rPr>
          <w:spacing w:val="-3"/>
        </w:rPr>
        <w:t> </w:t>
      </w:r>
      <w:r>
        <w:rPr>
          <w:spacing w:val="-2"/>
        </w:rPr>
        <w:t>上述保证合同的保证期间为：自主合同项下的借款期限届满之次日起两年；中国工商银行股份有限公司广州工业大道支行根</w:t>
      </w:r>
    </w:p>
    <w:p>
      <w:pPr>
        <w:spacing w:after="0" w:line="300" w:lineRule="auto"/>
        <w:jc w:val="left"/>
        <w:sectPr>
          <w:pgSz w:w="11910" w:h="16840"/>
          <w:pgMar w:header="786" w:footer="1021" w:top="1100" w:bottom="1220" w:left="980" w:right="940"/>
        </w:sectPr>
      </w:pPr>
    </w:p>
    <w:p>
      <w:pPr>
        <w:spacing w:line="240" w:lineRule="auto" w:before="8"/>
        <w:rPr>
          <w:rFonts w:ascii="宋体" w:hAnsi="宋体" w:cs="宋体" w:eastAsia="宋体" w:hint="default"/>
          <w:sz w:val="22"/>
          <w:szCs w:val="22"/>
        </w:rPr>
      </w:pPr>
    </w:p>
    <w:p>
      <w:pPr>
        <w:pStyle w:val="BodyText"/>
        <w:spacing w:line="240" w:lineRule="auto" w:before="44"/>
        <w:ind w:right="153"/>
        <w:jc w:val="left"/>
      </w:pPr>
      <w:r>
        <w:rPr/>
        <w:t>据主合同之约定宣布借款提前到期的，则保证期间为借款提前到期日之次日起两年。公司本年期末尚有上述长期借款余额</w:t>
      </w:r>
    </w:p>
    <w:p>
      <w:pPr>
        <w:pStyle w:val="BodyText"/>
        <w:spacing w:line="240" w:lineRule="auto" w:before="77"/>
        <w:ind w:right="153"/>
        <w:jc w:val="left"/>
      </w:pPr>
      <w:r>
        <w:rPr>
          <w:rFonts w:ascii="Times New Roman" w:hAnsi="Times New Roman" w:cs="Times New Roman" w:eastAsia="Times New Roman" w:hint="default"/>
        </w:rPr>
        <w:t>118,523,069.28</w:t>
      </w:r>
      <w:r>
        <w:rPr/>
        <w:t>元，详见“财务报告七、</w:t>
      </w:r>
      <w:r>
        <w:rPr>
          <w:rFonts w:ascii="Times New Roman" w:hAnsi="Times New Roman" w:cs="Times New Roman" w:eastAsia="Times New Roman" w:hint="default"/>
        </w:rPr>
        <w:t>27</w:t>
      </w:r>
      <w:r>
        <w:rPr/>
        <w:t>、长期借款”。</w:t>
      </w:r>
    </w:p>
    <w:p>
      <w:pPr>
        <w:pStyle w:val="BodyText"/>
        <w:spacing w:line="304" w:lineRule="auto" w:before="63"/>
        <w:ind w:right="144" w:firstLine="360"/>
        <w:jc w:val="left"/>
      </w:pPr>
      <w:r>
        <w:rPr/>
        <w:t>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日，公司与中国工商银行股份有限公司广州工业大道支行签订了编号为工业支行</w:t>
      </w:r>
      <w:r>
        <w:rPr>
          <w:rFonts w:ascii="Times New Roman" w:hAnsi="Times New Roman" w:cs="Times New Roman" w:eastAsia="Times New Roman" w:hint="default"/>
        </w:rPr>
        <w:t>2015</w:t>
      </w:r>
      <w:r>
        <w:rPr/>
        <w:t>年流借字第</w:t>
      </w:r>
      <w:r>
        <w:rPr>
          <w:rFonts w:ascii="Times New Roman" w:hAnsi="Times New Roman" w:cs="Times New Roman" w:eastAsia="Times New Roman" w:hint="default"/>
        </w:rPr>
        <w:t>042</w:t>
      </w:r>
      <w:r>
        <w:rPr/>
        <w:t>号 </w:t>
      </w:r>
      <w:r>
        <w:rPr>
          <w:spacing w:val="-1"/>
        </w:rPr>
        <w:t>流动资金借款合同，本合同项下的借款金额为</w:t>
      </w:r>
      <w:r>
        <w:rPr>
          <w:rFonts w:ascii="Times New Roman" w:hAnsi="Times New Roman" w:cs="Times New Roman" w:eastAsia="Times New Roman" w:hint="default"/>
          <w:spacing w:val="-1"/>
        </w:rPr>
        <w:t>50,000,000.00</w:t>
      </w:r>
      <w:r>
        <w:rPr>
          <w:spacing w:val="-1"/>
        </w:rPr>
        <w:t>元，杨文江、子公司广州御新软件有限公司为其提供担保，所对</w:t>
      </w:r>
      <w:r>
        <w:rPr>
          <w:spacing w:val="-74"/>
        </w:rPr>
        <w:t> </w:t>
      </w:r>
      <w:r>
        <w:rPr>
          <w:spacing w:val="-74"/>
        </w:rPr>
      </w:r>
      <w:r>
        <w:rPr/>
        <w:t>应的最高额担保合同编号分别为工业支行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095</w:t>
      </w:r>
      <w:r>
        <w:rPr/>
        <w:t>号、工业支行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094</w:t>
      </w:r>
      <w:r>
        <w:rPr/>
        <w:t>号，最高担保额度均为 </w:t>
      </w:r>
      <w:r>
        <w:rPr>
          <w:rFonts w:ascii="Times New Roman" w:hAnsi="Times New Roman" w:cs="Times New Roman" w:eastAsia="Times New Roman" w:hint="default"/>
        </w:rPr>
        <w:t>300,000,000.00</w:t>
      </w:r>
      <w:r>
        <w:rPr/>
        <w:t>元，上述保证合同的保证期间为：自主合同项下的借款期限届满之次日起两年；中国工商银行股份有限公司 </w:t>
      </w:r>
      <w:r>
        <w:rPr>
          <w:spacing w:val="-2"/>
        </w:rPr>
        <w:t>广州工业大道支行根据主合同之约定宣布借款提前到期的，则保证期间为借款提前到期日之次日起两年。公司本年期末尚有</w:t>
      </w:r>
      <w:r>
        <w:rPr>
          <w:spacing w:val="-64"/>
        </w:rPr>
        <w:t> </w:t>
      </w:r>
      <w:r>
        <w:rPr>
          <w:spacing w:val="-64"/>
        </w:rPr>
      </w:r>
      <w:r>
        <w:rPr/>
        <w:t>上述短期借款余额</w:t>
      </w:r>
      <w:r>
        <w:rPr>
          <w:rFonts w:ascii="Times New Roman" w:hAnsi="Times New Roman" w:cs="Times New Roman" w:eastAsia="Times New Roman" w:hint="default"/>
        </w:rPr>
        <w:t>50,000,000.00</w:t>
      </w:r>
      <w:r>
        <w:rPr/>
        <w:t>元，详见“财务报告七、</w:t>
      </w:r>
      <w:r>
        <w:rPr>
          <w:rFonts w:ascii="Times New Roman" w:hAnsi="Times New Roman" w:cs="Times New Roman" w:eastAsia="Times New Roman" w:hint="default"/>
        </w:rPr>
        <w:t>20</w:t>
      </w:r>
      <w:r>
        <w:rPr/>
        <w:t>、短期借款”。</w:t>
      </w:r>
    </w:p>
    <w:p>
      <w:pPr>
        <w:pStyle w:val="BodyText"/>
        <w:spacing w:line="300" w:lineRule="auto" w:before="9"/>
        <w:ind w:right="145" w:firstLine="360"/>
        <w:jc w:val="left"/>
      </w:pPr>
      <w:r>
        <w:rPr/>
        <w:t>④</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日，公司与中国民生银行股份有限公司广州分行签订了编号为公借贷字第</w:t>
      </w:r>
      <w:r>
        <w:rPr>
          <w:rFonts w:ascii="Times New Roman" w:hAnsi="Times New Roman" w:cs="Times New Roman" w:eastAsia="Times New Roman" w:hint="default"/>
        </w:rPr>
        <w:t>ZH1500000054021</w:t>
      </w:r>
      <w:r>
        <w:rPr/>
        <w:t>号的短期借 </w:t>
      </w:r>
      <w:r>
        <w:rPr>
          <w:spacing w:val="-1"/>
        </w:rPr>
        <w:t>款合同，该项借款合同在编号为公授信字第</w:t>
      </w:r>
      <w:r>
        <w:rPr>
          <w:rFonts w:ascii="Times New Roman" w:hAnsi="Times New Roman" w:cs="Times New Roman" w:eastAsia="Times New Roman" w:hint="default"/>
          <w:spacing w:val="-1"/>
        </w:rPr>
        <w:t>ZH1400000101733</w:t>
      </w:r>
      <w:r>
        <w:rPr>
          <w:spacing w:val="-1"/>
        </w:rPr>
        <w:t>号综合授信合同项下取得，以杨文江作担保，最高额担保合同</w:t>
      </w:r>
      <w:r>
        <w:rPr>
          <w:spacing w:val="-87"/>
        </w:rPr>
        <w:t> </w:t>
      </w:r>
      <w:r>
        <w:rPr>
          <w:spacing w:val="-87"/>
        </w:rPr>
      </w:r>
      <w:r>
        <w:rPr/>
        <w:t>编号为个高保字第</w:t>
      </w:r>
      <w:r>
        <w:rPr>
          <w:rFonts w:ascii="Times New Roman" w:hAnsi="Times New Roman" w:cs="Times New Roman" w:eastAsia="Times New Roman" w:hint="default"/>
        </w:rPr>
        <w:t>ZH1400000101733</w:t>
      </w:r>
      <w:r>
        <w:rPr/>
        <w:t>号，最高担保额度为</w:t>
      </w:r>
      <w:r>
        <w:rPr>
          <w:rFonts w:ascii="Times New Roman" w:hAnsi="Times New Roman" w:cs="Times New Roman" w:eastAsia="Times New Roman" w:hint="default"/>
        </w:rPr>
        <w:t>100,000,000.00</w:t>
      </w:r>
      <w:r>
        <w:rPr/>
        <w:t>元。公司本年期末尚有短期借款余额</w:t>
      </w:r>
      <w:r>
        <w:rPr>
          <w:rFonts w:ascii="Times New Roman" w:hAnsi="Times New Roman" w:cs="Times New Roman" w:eastAsia="Times New Roman" w:hint="default"/>
        </w:rPr>
        <w:t>30,000,000.00 </w:t>
      </w:r>
      <w:r>
        <w:rPr/>
        <w:t>元，详见“财务报告七、</w:t>
      </w:r>
      <w:r>
        <w:rPr>
          <w:rFonts w:ascii="Times New Roman" w:hAnsi="Times New Roman" w:cs="Times New Roman" w:eastAsia="Times New Roman" w:hint="default"/>
        </w:rPr>
        <w:t>20</w:t>
      </w:r>
      <w:r>
        <w:rPr/>
        <w:t>、短期借款”。</w:t>
      </w:r>
    </w:p>
    <w:p>
      <w:pPr>
        <w:pStyle w:val="BodyText"/>
        <w:spacing w:line="300" w:lineRule="auto" w:before="13"/>
        <w:ind w:right="189" w:firstLine="360"/>
        <w:jc w:val="left"/>
      </w:pPr>
      <w:r>
        <w:rPr/>
        <w:t>⑤</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日，公司与招商银行股份有限公司广州黄埔大道支行签订了一份授信协议，授信额度为</w:t>
      </w:r>
      <w:r>
        <w:rPr>
          <w:rFonts w:ascii="Times New Roman" w:hAnsi="Times New Roman" w:cs="Times New Roman" w:eastAsia="Times New Roman" w:hint="default"/>
        </w:rPr>
        <w:t>100,000,000.00 </w:t>
      </w:r>
      <w:r>
        <w:rPr/>
        <w:t>元，由杨文江提供最高额不可撤销担保（编号为</w:t>
      </w:r>
      <w:r>
        <w:rPr>
          <w:rFonts w:ascii="Times New Roman" w:hAnsi="Times New Roman" w:cs="Times New Roman" w:eastAsia="Times New Roman" w:hint="default"/>
        </w:rPr>
        <w:t>21151002</w:t>
      </w:r>
      <w:r>
        <w:rPr/>
        <w:t>），公司本年期末在该授信协议下取得的短期借款余额为 </w:t>
      </w:r>
      <w:r>
        <w:rPr>
          <w:rFonts w:ascii="Times New Roman" w:hAnsi="Times New Roman" w:cs="Times New Roman" w:eastAsia="Times New Roman" w:hint="default"/>
        </w:rPr>
        <w:t>20,000,000.00</w:t>
      </w:r>
      <w:r>
        <w:rPr/>
        <w:t>元，详见“财务报告七、</w:t>
      </w:r>
      <w:r>
        <w:rPr>
          <w:rFonts w:ascii="Times New Roman" w:hAnsi="Times New Roman" w:cs="Times New Roman" w:eastAsia="Times New Roman" w:hint="default"/>
        </w:rPr>
        <w:t>20</w:t>
      </w:r>
      <w:r>
        <w:rPr/>
        <w:t>、短期借款”。</w:t>
      </w:r>
    </w:p>
    <w:p>
      <w:pPr>
        <w:spacing w:line="240" w:lineRule="auto" w:before="4"/>
        <w:rPr>
          <w:rFonts w:ascii="宋体" w:hAnsi="宋体" w:cs="宋体" w:eastAsia="宋体" w:hint="default"/>
          <w:sz w:val="22"/>
          <w:szCs w:val="22"/>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）本期无关联方资金拆借情况。</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）本期无关联方资产转让、债务重组情况。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2835"/>
        <w:gridCol w:w="1400"/>
        <w:gridCol w:w="1399"/>
        <w:gridCol w:w="1400"/>
        <w:gridCol w:w="1399"/>
      </w:tblGrid>
      <w:tr>
        <w:trPr>
          <w:trHeight w:val="403"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7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2835" w:type="dxa"/>
            <w:vMerge/>
            <w:tcBorders>
              <w:left w:val="single" w:sz="4" w:space="0" w:color="000000"/>
              <w:bottom w:val="single" w:sz="4" w:space="0" w:color="000000"/>
              <w:right w:val="single" w:sz="4" w:space="0" w:color="000000"/>
            </w:tcBorders>
            <w:shd w:val="clear" w:color="auto" w:fill="D2D2D2"/>
          </w:tcPr>
          <w:p>
            <w:pP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5"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835"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607,481.41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35"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77,204.52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6,220.45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102,962.36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5,148.12</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38.00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9"/>
        <w:rPr>
          <w:rFonts w:ascii="宋体" w:hAnsi="宋体" w:cs="宋体" w:eastAsia="宋体" w:hint="default"/>
          <w:sz w:val="21"/>
          <w:szCs w:val="21"/>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718"/>
        <w:gridCol w:w="2069"/>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18"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佛山盛普达汽车租赁有限公司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18"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276,186.58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line="487" w:lineRule="auto" w:before="36"/>
        <w:ind w:left="152" w:right="73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、本期无关联方承诺。</w:t>
      </w:r>
      <w:r>
        <w:rPr>
          <w:rFonts w:ascii="宋体" w:hAnsi="宋体" w:cs="宋体" w:eastAsia="宋体" w:hint="default"/>
          <w:b/>
          <w:bCs/>
          <w:w w:val="100"/>
          <w:sz w:val="21"/>
          <w:szCs w:val="21"/>
        </w:rPr>
        <w:t> </w:t>
      </w: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60" w:lineRule="auto" w:before="102"/>
        <w:ind w:right="3294"/>
        <w:jc w:val="left"/>
      </w:pPr>
      <w:r>
        <w:rPr/>
        <w:t>资产负债表日存在的重要承诺 与关联方相关的重大承诺事项明细详见本财务报告十一、</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）关联担保情况。</w:t>
      </w:r>
    </w:p>
    <w:p>
      <w:pPr>
        <w:spacing w:line="240" w:lineRule="auto" w:before="7"/>
        <w:rPr>
          <w:rFonts w:ascii="宋体" w:hAnsi="宋体" w:cs="宋体" w:eastAsia="宋体" w:hint="default"/>
          <w:sz w:val="18"/>
          <w:szCs w:val="18"/>
        </w:rPr>
      </w:pPr>
    </w:p>
    <w:p>
      <w:pPr>
        <w:pStyle w:val="Heading3"/>
        <w:spacing w:line="240" w:lineRule="auto"/>
        <w:ind w:right="15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00" w:lineRule="auto"/>
        <w:ind w:right="151" w:firstLine="360"/>
        <w:jc w:val="both"/>
      </w:pPr>
      <w:r>
        <w:rPr>
          <w:spacing w:val="-1"/>
        </w:rPr>
        <w:t>西安冠林智能科技有限公司（以下简称“西安冠林公司”）于</w:t>
      </w:r>
      <w:r>
        <w:rPr>
          <w:rFonts w:ascii="Times New Roman" w:hAnsi="Times New Roman" w:cs="Times New Roman" w:eastAsia="Times New Roman" w:hint="default"/>
          <w:spacing w:val="-1"/>
        </w:rPr>
        <w:t>2008</w:t>
      </w:r>
      <w:r>
        <w:rPr>
          <w:spacing w:val="-1"/>
        </w:rPr>
        <w:t>年至</w:t>
      </w:r>
      <w:r>
        <w:rPr>
          <w:rFonts w:ascii="Times New Roman" w:hAnsi="Times New Roman" w:cs="Times New Roman" w:eastAsia="Times New Roman" w:hint="default"/>
          <w:spacing w:val="-1"/>
        </w:rPr>
        <w:t>2009</w:t>
      </w:r>
      <w:r>
        <w:rPr>
          <w:spacing w:val="-1"/>
        </w:rPr>
        <w:t>年为本公司代理销售</w:t>
      </w:r>
      <w:r>
        <w:rPr>
          <w:rFonts w:ascii="Times New Roman" w:hAnsi="Times New Roman" w:cs="Times New Roman" w:eastAsia="Times New Roman" w:hint="default"/>
          <w:spacing w:val="-1"/>
        </w:rPr>
        <w:t>ATM</w:t>
      </w:r>
      <w:r>
        <w:rPr>
          <w:spacing w:val="-1"/>
        </w:rPr>
        <w:t>设备共</w:t>
      </w:r>
      <w:r>
        <w:rPr>
          <w:rFonts w:ascii="Times New Roman" w:hAnsi="Times New Roman" w:cs="Times New Roman" w:eastAsia="Times New Roman" w:hint="default"/>
          <w:spacing w:val="-1"/>
        </w:rPr>
        <w:t>180</w:t>
      </w:r>
      <w:r>
        <w:rPr>
          <w:spacing w:val="-1"/>
        </w:rPr>
        <w:t>台，金</w:t>
      </w:r>
      <w:r>
        <w:rPr/>
        <w:t> </w:t>
      </w:r>
      <w:r>
        <w:rPr>
          <w:spacing w:val="-1"/>
        </w:rPr>
        <w:t>额</w:t>
      </w:r>
      <w:r>
        <w:rPr>
          <w:rFonts w:ascii="Times New Roman" w:hAnsi="Times New Roman" w:cs="Times New Roman" w:eastAsia="Times New Roman" w:hint="default"/>
          <w:spacing w:val="-1"/>
        </w:rPr>
        <w:t>15,630,000.00</w:t>
      </w:r>
      <w:r>
        <w:rPr>
          <w:spacing w:val="-1"/>
        </w:rPr>
        <w:t>元，截至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日，已向本公司支付货款</w:t>
      </w:r>
      <w:r>
        <w:rPr>
          <w:rFonts w:ascii="Times New Roman" w:hAnsi="Times New Roman" w:cs="Times New Roman" w:eastAsia="Times New Roman" w:hint="default"/>
          <w:spacing w:val="-1"/>
        </w:rPr>
        <w:t>10,704,100.00</w:t>
      </w:r>
      <w:r>
        <w:rPr>
          <w:spacing w:val="-1"/>
        </w:rPr>
        <w:t>元，尚有</w:t>
      </w:r>
      <w:r>
        <w:rPr>
          <w:rFonts w:ascii="Times New Roman" w:hAnsi="Times New Roman" w:cs="Times New Roman" w:eastAsia="Times New Roman" w:hint="default"/>
          <w:spacing w:val="-1"/>
        </w:rPr>
        <w:t>4,925,900.00</w:t>
      </w:r>
      <w:r>
        <w:rPr>
          <w:spacing w:val="-1"/>
        </w:rPr>
        <w:t>元未支付，公司经多次催</w:t>
      </w:r>
      <w:r>
        <w:rPr>
          <w:spacing w:val="-69"/>
        </w:rPr>
        <w:t> </w:t>
      </w:r>
      <w:r>
        <w:rPr>
          <w:spacing w:val="-69"/>
        </w:rPr>
      </w:r>
      <w:r>
        <w:rPr/>
        <w:t>收无法收回。</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日，公司向西安市中级人民法院提起诉讼，要求西安冠林公司支付拖欠货款</w:t>
      </w:r>
      <w:r>
        <w:rPr>
          <w:rFonts w:ascii="Times New Roman" w:hAnsi="Times New Roman" w:cs="Times New Roman" w:eastAsia="Times New Roman" w:hint="default"/>
        </w:rPr>
        <w:t>4,925,900.00</w:t>
      </w:r>
      <w:r>
        <w:rPr/>
        <w:t>元以及 </w:t>
      </w:r>
      <w:r>
        <w:rPr>
          <w:spacing w:val="-1"/>
        </w:rPr>
        <w:t>相关利息。</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21</w:t>
      </w:r>
      <w:r>
        <w:rPr>
          <w:spacing w:val="-1"/>
        </w:rPr>
        <w:t>日，陕西省高级人民法院作出终审判决，判令西安冠林公司向公司支付拖欠货款</w:t>
      </w:r>
      <w:r>
        <w:rPr>
          <w:rFonts w:ascii="Times New Roman" w:hAnsi="Times New Roman" w:cs="Times New Roman" w:eastAsia="Times New Roman" w:hint="default"/>
          <w:spacing w:val="-1"/>
        </w:rPr>
        <w:t>4,925,900.00</w:t>
      </w:r>
      <w:r>
        <w:rPr>
          <w:spacing w:val="-1"/>
        </w:rPr>
        <w:t>元，截</w:t>
      </w:r>
      <w:r>
        <w:rPr>
          <w:spacing w:val="-70"/>
        </w:rPr>
        <w:t> </w:t>
      </w:r>
      <w:r>
        <w:rPr>
          <w:spacing w:val="-70"/>
        </w:rPr>
      </w:r>
      <w:r>
        <w:rPr/>
        <w:t>止报告批准报出日，上述货款尚未收回。</w:t>
      </w:r>
    </w:p>
    <w:p>
      <w:pPr>
        <w:spacing w:line="240" w:lineRule="auto" w:before="10"/>
        <w:rPr>
          <w:rFonts w:ascii="宋体" w:hAnsi="宋体" w:cs="宋体" w:eastAsia="宋体" w:hint="default"/>
          <w:sz w:val="23"/>
          <w:szCs w:val="23"/>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153"/>
        <w:jc w:val="left"/>
        <w:rPr>
          <w:b w:val="0"/>
          <w:bCs w:val="0"/>
        </w:rPr>
      </w:pPr>
      <w:r>
        <w:rPr/>
        <w:t>十三、资产负债表日后事项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公司董事会的</w:t>
      </w:r>
      <w:r>
        <w:rPr>
          <w:spacing w:val="-46"/>
        </w:rPr>
        <w:t> </w:t>
      </w:r>
      <w:r>
        <w:rPr>
          <w:rFonts w:ascii="Times New Roman" w:hAnsi="Times New Roman" w:cs="Times New Roman" w:eastAsia="Times New Roman" w:hint="default"/>
        </w:rPr>
        <w:t>2015 </w:t>
      </w:r>
      <w:r>
        <w:rPr/>
        <w:t>年度利润分配预案为：不送股不转增不分红。</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41" w:firstLine="360"/>
        <w:jc w:val="left"/>
      </w:pPr>
      <w:r>
        <w:rPr>
          <w:spacing w:val="-5"/>
        </w:rPr>
        <w:t>（</w:t>
      </w:r>
      <w:r>
        <w:rPr>
          <w:rFonts w:ascii="Times New Roman" w:hAnsi="Times New Roman" w:cs="Times New Roman" w:eastAsia="Times New Roman" w:hint="default"/>
          <w:spacing w:val="-5"/>
        </w:rPr>
        <w:t>1</w:t>
      </w:r>
      <w:r>
        <w:rPr>
          <w:spacing w:val="-5"/>
        </w:rPr>
        <w:t>）杨文江先生于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日通过定向资产管理计划的方式在深圳证券交易所交易系统以集合竞价增持了公司股 份</w:t>
      </w:r>
      <w:r>
        <w:rPr>
          <w:rFonts w:ascii="Times New Roman" w:hAnsi="Times New Roman" w:cs="Times New Roman" w:eastAsia="Times New Roman" w:hint="default"/>
        </w:rPr>
        <w:t>5,634,500.00</w:t>
      </w:r>
      <w:r>
        <w:rPr/>
        <w:t>股，占公司总股本的</w:t>
      </w:r>
      <w:r>
        <w:rPr>
          <w:rFonts w:ascii="Times New Roman" w:hAnsi="Times New Roman" w:cs="Times New Roman" w:eastAsia="Times New Roman" w:hint="default"/>
        </w:rPr>
        <w:t>0.74%</w:t>
      </w:r>
      <w:r>
        <w:rPr/>
        <w:t>。本次增持前，控股股东杨文江先生持有公司股份数量为</w:t>
      </w:r>
      <w:r>
        <w:rPr>
          <w:rFonts w:ascii="Times New Roman" w:hAnsi="Times New Roman" w:cs="Times New Roman" w:eastAsia="Times New Roman" w:hint="default"/>
        </w:rPr>
        <w:t>179,745,310.00</w:t>
      </w:r>
      <w:r>
        <w:rPr/>
        <w:t>股，占公 司总股本的</w:t>
      </w:r>
      <w:r>
        <w:rPr>
          <w:rFonts w:ascii="Times New Roman" w:hAnsi="Times New Roman" w:cs="Times New Roman" w:eastAsia="Times New Roman" w:hint="default"/>
        </w:rPr>
        <w:t>23.61%</w:t>
      </w:r>
      <w:r>
        <w:rPr/>
        <w:t>；本次增持后，其持有公司股份数量增至</w:t>
      </w:r>
      <w:r>
        <w:rPr>
          <w:rFonts w:ascii="Times New Roman" w:hAnsi="Times New Roman" w:cs="Times New Roman" w:eastAsia="Times New Roman" w:hint="default"/>
        </w:rPr>
        <w:t>185,379,810.00</w:t>
      </w:r>
      <w:r>
        <w:rPr/>
        <w:t>股，占公司总股本的</w:t>
      </w:r>
      <w:r>
        <w:rPr>
          <w:rFonts w:ascii="Times New Roman" w:hAnsi="Times New Roman" w:cs="Times New Roman" w:eastAsia="Times New Roman" w:hint="default"/>
        </w:rPr>
        <w:t>24.35%</w:t>
      </w:r>
      <w:r>
        <w:rPr/>
        <w:t>，仍为公司实际控制</w:t>
      </w:r>
    </w:p>
    <w:p>
      <w:pPr>
        <w:spacing w:after="0" w:line="300" w:lineRule="auto"/>
        <w:jc w:val="left"/>
        <w:sectPr>
          <w:pgSz w:w="11910" w:h="16840"/>
          <w:pgMar w:header="786" w:footer="1021" w:top="1100" w:bottom="1220" w:left="980" w:right="980"/>
        </w:sectPr>
      </w:pPr>
    </w:p>
    <w:p>
      <w:pPr>
        <w:spacing w:line="240" w:lineRule="auto" w:before="8"/>
        <w:rPr>
          <w:rFonts w:ascii="宋体" w:hAnsi="宋体" w:cs="宋体" w:eastAsia="宋体" w:hint="default"/>
          <w:sz w:val="22"/>
          <w:szCs w:val="22"/>
        </w:rPr>
      </w:pPr>
    </w:p>
    <w:p>
      <w:pPr>
        <w:pStyle w:val="BodyText"/>
        <w:spacing w:line="240" w:lineRule="auto" w:before="44"/>
        <w:ind w:right="94"/>
        <w:jc w:val="left"/>
      </w:pPr>
      <w:r>
        <w:rPr/>
        <w:t>人。</w:t>
      </w:r>
    </w:p>
    <w:p>
      <w:pPr>
        <w:pStyle w:val="BodyText"/>
        <w:spacing w:line="240" w:lineRule="auto" w:before="77"/>
        <w:ind w:left="513" w:right="94"/>
        <w:jc w:val="left"/>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2016</w:t>
      </w:r>
      <w:r>
        <w:rPr/>
        <w:t>年第一次临时股东大会审议通过了《关于</w:t>
      </w:r>
      <w:r>
        <w:rPr>
          <w:rFonts w:ascii="Times New Roman" w:hAnsi="Times New Roman" w:cs="Times New Roman" w:eastAsia="Times New Roman" w:hint="default"/>
        </w:rPr>
        <w:t>&lt;</w:t>
      </w:r>
      <w:r>
        <w:rPr/>
        <w:t>广州御银科技股份有限公司第二期员工持股计划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修订</w:t>
      </w:r>
    </w:p>
    <w:p>
      <w:pPr>
        <w:pStyle w:val="BodyText"/>
        <w:spacing w:line="300" w:lineRule="auto" w:before="63"/>
        <w:ind w:left="513" w:right="94" w:hanging="361"/>
        <w:jc w:val="left"/>
      </w:pPr>
      <w:r>
        <w:rPr/>
        <w:t>稿</w:t>
      </w:r>
      <w:r>
        <w:rPr>
          <w:rFonts w:ascii="Times New Roman" w:hAnsi="Times New Roman" w:cs="Times New Roman" w:eastAsia="Times New Roman" w:hint="default"/>
        </w:rPr>
        <w:t>&gt;</w:t>
      </w:r>
      <w:r>
        <w:rPr/>
        <w:t>及其摘要的议案》、《关于提请股东大会授权董事会办理公司第二期员工持股计划相关事宜的议案》。 </w:t>
      </w:r>
      <w:r>
        <w:rPr>
          <w:spacing w:val="-4"/>
        </w:rPr>
        <w:t>主要内容为：本员工持股计划将委托广州证券股份有限公司设立“广州证券鲲鹏御银二期定向资产管理计划”进行管理，</w:t>
      </w:r>
    </w:p>
    <w:p>
      <w:pPr>
        <w:pStyle w:val="BodyText"/>
        <w:spacing w:line="316" w:lineRule="auto" w:before="31"/>
        <w:ind w:right="94"/>
        <w:jc w:val="left"/>
      </w:pPr>
      <w:r>
        <w:rPr>
          <w:spacing w:val="-2"/>
        </w:rPr>
        <w:t>本计划通过二级市场购买等法律法规许可的方式取得并持有御银股份股票。员工持股计划的参与对象为御银股份及其控股子</w:t>
      </w:r>
      <w:r>
        <w:rPr>
          <w:spacing w:val="-64"/>
        </w:rPr>
        <w:t> </w:t>
      </w:r>
      <w:r>
        <w:rPr>
          <w:spacing w:val="-64"/>
        </w:rPr>
      </w:r>
      <w:r>
        <w:rPr/>
        <w:t>公司的员工，总人数不超过</w:t>
      </w:r>
      <w:r>
        <w:rPr>
          <w:rFonts w:ascii="Times New Roman" w:hAnsi="Times New Roman" w:cs="Times New Roman" w:eastAsia="Times New Roman" w:hint="default"/>
        </w:rPr>
        <w:t>48</w:t>
      </w:r>
      <w:r>
        <w:rPr/>
        <w:t>人。本员工持股计划的资金来源为：</w:t>
      </w:r>
    </w:p>
    <w:p>
      <w:pPr>
        <w:pStyle w:val="BodyText"/>
        <w:spacing w:line="248" w:lineRule="exact"/>
        <w:ind w:left="513" w:right="94"/>
        <w:jc w:val="left"/>
      </w:pPr>
      <w:r>
        <w:rPr/>
        <w:t>①公司员工的自筹资金，金额不超过</w:t>
      </w:r>
      <w:r>
        <w:rPr>
          <w:rFonts w:ascii="Times New Roman" w:hAnsi="Times New Roman" w:cs="Times New Roman" w:eastAsia="Times New Roman" w:hint="default"/>
        </w:rPr>
        <w:t>694</w:t>
      </w:r>
      <w:r>
        <w:rPr/>
        <w:t>万元；</w:t>
      </w:r>
    </w:p>
    <w:p>
      <w:pPr>
        <w:pStyle w:val="BodyText"/>
        <w:spacing w:line="300" w:lineRule="auto" w:before="63"/>
        <w:ind w:right="191" w:firstLine="360"/>
        <w:jc w:val="both"/>
      </w:pPr>
      <w:r>
        <w:rPr/>
        <w:t>②控股股东借款：公司控股股东杨文江先生向员工持股计划提供借款支持，借款部分与自筹部分的比例为</w:t>
      </w:r>
      <w:r>
        <w:rPr>
          <w:rFonts w:ascii="Times New Roman" w:hAnsi="Times New Roman" w:cs="Times New Roman" w:eastAsia="Times New Roman" w:hint="default"/>
        </w:rPr>
        <w:t>4:1</w:t>
      </w:r>
      <w:r>
        <w:rPr/>
        <w:t>，借款期 限为员工持股计划的存续期。本员工持股计划的资金总额不超过</w:t>
      </w:r>
      <w:r>
        <w:rPr>
          <w:rFonts w:ascii="Times New Roman" w:hAnsi="Times New Roman" w:cs="Times New Roman" w:eastAsia="Times New Roman" w:hint="default"/>
        </w:rPr>
        <w:t>3,470.00</w:t>
      </w:r>
      <w:r>
        <w:rPr/>
        <w:t>万元，具体金额根据实际出资缴款金额确定。经测 </w:t>
      </w:r>
      <w:r>
        <w:rPr>
          <w:spacing w:val="-1"/>
        </w:rPr>
        <w:t>算本员工持股计划所涉及购买和持有的标的股票数量约为</w:t>
      </w:r>
      <w:r>
        <w:rPr>
          <w:rFonts w:ascii="Times New Roman" w:hAnsi="Times New Roman" w:cs="Times New Roman" w:eastAsia="Times New Roman" w:hint="default"/>
          <w:spacing w:val="-1"/>
        </w:rPr>
        <w:t>465.15</w:t>
      </w:r>
      <w:r>
        <w:rPr>
          <w:spacing w:val="-1"/>
        </w:rPr>
        <w:t>万股，占公司截至本草案公布之日公司股本总额</w:t>
      </w:r>
      <w:r>
        <w:rPr>
          <w:rFonts w:ascii="Times New Roman" w:hAnsi="Times New Roman" w:cs="Times New Roman" w:eastAsia="Times New Roman" w:hint="default"/>
          <w:spacing w:val="-1"/>
        </w:rPr>
        <w:t>76,119.1294</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万股的</w:t>
      </w:r>
      <w:r>
        <w:rPr>
          <w:rFonts w:ascii="Times New Roman" w:hAnsi="Times New Roman" w:cs="Times New Roman" w:eastAsia="Times New Roman" w:hint="default"/>
        </w:rPr>
        <w:t>0.61%</w:t>
      </w:r>
      <w:r>
        <w:rPr/>
        <w:t>，累计不超过公司股本总额的</w:t>
      </w:r>
      <w:r>
        <w:rPr>
          <w:rFonts w:ascii="Times New Roman" w:hAnsi="Times New Roman" w:cs="Times New Roman" w:eastAsia="Times New Roman" w:hint="default"/>
        </w:rPr>
        <w:t>10%</w:t>
      </w:r>
      <w:r>
        <w:rPr/>
        <w:t>。任一员工持股计划持有人持有的员工持股计划份额所对应的标的股票数量 不超过公司股本总额的</w:t>
      </w:r>
      <w:r>
        <w:rPr>
          <w:rFonts w:ascii="Times New Roman" w:hAnsi="Times New Roman" w:cs="Times New Roman" w:eastAsia="Times New Roman" w:hint="default"/>
        </w:rPr>
        <w:t>1%</w:t>
      </w:r>
      <w:r>
        <w:rPr/>
        <w:t>。</w:t>
      </w:r>
    </w:p>
    <w:p>
      <w:pPr>
        <w:pStyle w:val="BodyText"/>
        <w:spacing w:line="300" w:lineRule="auto" w:before="13"/>
        <w:ind w:right="188" w:firstLine="360"/>
        <w:jc w:val="both"/>
      </w:pPr>
      <w:r>
        <w:rPr>
          <w:spacing w:val="-2"/>
        </w:rPr>
        <w:t>员工持股计划的存续期和锁定期：本员工持股计划存续期为不超过</w:t>
      </w:r>
      <w:r>
        <w:rPr>
          <w:rFonts w:ascii="Times New Roman" w:hAnsi="Times New Roman" w:cs="Times New Roman" w:eastAsia="Times New Roman" w:hint="default"/>
          <w:spacing w:val="-2"/>
        </w:rPr>
        <w:t>18</w:t>
      </w:r>
      <w:r>
        <w:rPr>
          <w:spacing w:val="-2"/>
        </w:rPr>
        <w:t>个月，自本员工持股计划（草案）修订稿通过股东</w:t>
      </w:r>
      <w:r>
        <w:rPr/>
        <w:t> </w:t>
      </w:r>
      <w:r>
        <w:rPr>
          <w:spacing w:val="-2"/>
        </w:rPr>
        <w:t>大会审议之日起计算。本计划所获标的股票的锁定期为：通过二级市场购买标的股票的，锁定期为</w:t>
      </w:r>
      <w:r>
        <w:rPr>
          <w:rFonts w:ascii="Times New Roman" w:hAnsi="Times New Roman" w:cs="Times New Roman" w:eastAsia="Times New Roman" w:hint="default"/>
          <w:spacing w:val="-2"/>
        </w:rPr>
        <w:t>12</w:t>
      </w:r>
      <w:r>
        <w:rPr>
          <w:spacing w:val="-2"/>
        </w:rPr>
        <w:t>个月，自公司公告最后</w:t>
      </w:r>
      <w:r>
        <w:rPr>
          <w:spacing w:val="-61"/>
        </w:rPr>
        <w:t> </w:t>
      </w:r>
      <w:r>
        <w:rPr>
          <w:spacing w:val="-61"/>
        </w:rPr>
      </w:r>
      <w:r>
        <w:rPr/>
        <w:t>一笔买入过户至“广州证券鲲鹏御银二期定向资产管理计划”名下之日起计算。</w:t>
      </w:r>
    </w:p>
    <w:p>
      <w:pPr>
        <w:pStyle w:val="BodyText"/>
        <w:spacing w:line="240" w:lineRule="auto" w:before="31"/>
        <w:ind w:left="513" w:right="94"/>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日，公司第二期员工持股计划的管理人广证资管通过二级市场买入的方式完成股票购买，购买均价</w:t>
      </w:r>
      <w:r>
        <w:rPr>
          <w:rFonts w:ascii="Times New Roman" w:hAnsi="Times New Roman" w:cs="Times New Roman" w:eastAsia="Times New Roman" w:hint="default"/>
        </w:rPr>
        <w:t>7.62</w:t>
      </w:r>
      <w:r>
        <w:rPr/>
        <w:t>元</w:t>
      </w:r>
      <w:r>
        <w:rPr>
          <w:rFonts w:ascii="Times New Roman" w:hAnsi="Times New Roman" w:cs="Times New Roman" w:eastAsia="Times New Roman" w:hint="default"/>
        </w:rPr>
        <w:t>/</w:t>
      </w:r>
    </w:p>
    <w:p>
      <w:pPr>
        <w:pStyle w:val="BodyText"/>
        <w:spacing w:line="240" w:lineRule="auto" w:before="63"/>
        <w:ind w:right="94"/>
        <w:jc w:val="left"/>
      </w:pPr>
      <w:r>
        <w:rPr/>
        <w:t>股，购买数量</w:t>
      </w:r>
      <w:r>
        <w:rPr>
          <w:rFonts w:ascii="Times New Roman" w:hAnsi="Times New Roman" w:cs="Times New Roman" w:eastAsia="Times New Roman" w:hint="default"/>
        </w:rPr>
        <w:t>4,390,437.00</w:t>
      </w:r>
      <w:r>
        <w:rPr/>
        <w:t>股，占公司总股本的比例为</w:t>
      </w:r>
      <w:r>
        <w:rPr>
          <w:rFonts w:ascii="Times New Roman" w:hAnsi="Times New Roman" w:cs="Times New Roman" w:eastAsia="Times New Roman" w:hint="default"/>
        </w:rPr>
        <w:t>0.58%</w:t>
      </w:r>
      <w:r>
        <w:rPr/>
        <w:t>，该计划所购买的股票锁定期自本公告日起</w:t>
      </w:r>
      <w:r>
        <w:rPr>
          <w:rFonts w:ascii="Times New Roman" w:hAnsi="Times New Roman" w:cs="Times New Roman" w:eastAsia="Times New Roman" w:hint="default"/>
        </w:rPr>
        <w:t>12</w:t>
      </w:r>
      <w:r>
        <w:rPr/>
        <w:t>个月。</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3"/>
        <w:rPr>
          <w:rFonts w:ascii="宋体" w:hAnsi="宋体" w:cs="宋体" w:eastAsia="宋体" w:hint="default"/>
          <w:b/>
          <w:bCs/>
          <w:sz w:val="29"/>
          <w:szCs w:val="29"/>
        </w:rPr>
      </w:pPr>
    </w:p>
    <w:p>
      <w:pPr>
        <w:pStyle w:val="BodyText"/>
        <w:spacing w:line="240" w:lineRule="auto"/>
        <w:ind w:right="94"/>
        <w:jc w:val="left"/>
      </w:pPr>
      <w:r>
        <w:rPr/>
        <w:t>本报告期未发生采用追溯重述法的前期会计差错更正事项。</w:t>
      </w:r>
    </w:p>
    <w:p>
      <w:pPr>
        <w:spacing w:line="240" w:lineRule="auto" w:before="11"/>
        <w:rPr>
          <w:rFonts w:ascii="宋体" w:hAnsi="宋体" w:cs="宋体" w:eastAsia="宋体" w:hint="default"/>
          <w:sz w:val="24"/>
          <w:szCs w:val="24"/>
        </w:rPr>
      </w:pPr>
    </w:p>
    <w:p>
      <w:pPr>
        <w:spacing w:line="564" w:lineRule="auto" w:before="0"/>
        <w:ind w:left="152" w:right="513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100"/>
          <w:sz w:val="21"/>
          <w:szCs w:val="21"/>
        </w:rPr>
        <w:t> </w:t>
      </w:r>
      <w:r>
        <w:rPr>
          <w:rFonts w:ascii="宋体" w:hAnsi="宋体" w:cs="宋体" w:eastAsia="宋体" w:hint="default"/>
          <w:sz w:val="18"/>
          <w:szCs w:val="18"/>
        </w:rPr>
        <w:t>本报告期未发生采用未来适用法的前期会计差错更正事项。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566" w:lineRule="auto" w:before="66"/>
        <w:ind w:left="152" w:right="7654" w:firstLine="0"/>
        <w:jc w:val="left"/>
        <w:rPr>
          <w:rFonts w:ascii="宋体" w:hAnsi="宋体" w:cs="宋体" w:eastAsia="宋体" w:hint="default"/>
          <w:sz w:val="21"/>
          <w:szCs w:val="21"/>
        </w:rPr>
      </w:pPr>
      <w:r>
        <w:rPr>
          <w:rFonts w:ascii="宋体" w:hAnsi="宋体" w:cs="宋体" w:eastAsia="宋体" w:hint="default"/>
          <w:sz w:val="18"/>
          <w:szCs w:val="18"/>
        </w:rPr>
        <w:t>本报告期未发生债务重组。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b/>
          <w:bCs/>
          <w:spacing w:val="-104"/>
          <w:sz w:val="21"/>
          <w:szCs w:val="21"/>
        </w:rPr>
        <w:t> </w:t>
      </w:r>
      <w:r>
        <w:rPr>
          <w:rFonts w:ascii="宋体" w:hAnsi="宋体" w:cs="宋体" w:eastAsia="宋体" w:hint="default"/>
          <w:sz w:val="18"/>
          <w:szCs w:val="18"/>
        </w:rPr>
        <w:t>本报告期未发生资产置换。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pStyle w:val="BodyText"/>
        <w:spacing w:line="240" w:lineRule="auto" w:before="25"/>
        <w:ind w:right="94"/>
        <w:jc w:val="left"/>
      </w:pPr>
      <w:r>
        <w:rPr/>
        <w:t>本报告期未发生年金计划。</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本报告期未发生年金计划</w:t>
      </w:r>
    </w:p>
    <w:p>
      <w:pPr>
        <w:spacing w:after="0" w:line="240" w:lineRule="auto"/>
        <w:jc w:val="left"/>
        <w:sectPr>
          <w:footerReference w:type="default" r:id="rId24"/>
          <w:pgSz w:w="11910" w:h="16840"/>
          <w:pgMar w:footer="1021" w:header="786" w:top="1100" w:bottom="1220" w:left="980" w:right="940"/>
          <w:pgNumType w:start="130"/>
        </w:sectPr>
      </w:pPr>
    </w:p>
    <w:p>
      <w:pPr>
        <w:spacing w:line="240" w:lineRule="auto" w:before="9"/>
        <w:rPr>
          <w:rFonts w:ascii="宋体" w:hAnsi="宋体" w:cs="宋体" w:eastAsia="宋体"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）公司无报告分部</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w:t>
      </w:r>
      <w:r>
        <w:rPr>
          <w:rFonts w:ascii="Times New Roman" w:hAnsi="Times New Roman" w:cs="Times New Roman" w:eastAsia="Times New Roman" w:hint="default"/>
        </w:rPr>
        <w:t>1</w:t>
      </w:r>
      <w:r>
        <w:rPr/>
        <w:t>）主营业务（分产品）</w:t>
      </w:r>
    </w:p>
    <w:p>
      <w:pPr>
        <w:spacing w:line="240" w:lineRule="auto" w:before="2"/>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2084"/>
        <w:gridCol w:w="1604"/>
        <w:gridCol w:w="1558"/>
        <w:gridCol w:w="1560"/>
        <w:gridCol w:w="1561"/>
      </w:tblGrid>
      <w:tr>
        <w:trPr>
          <w:trHeight w:val="416" w:hRule="exact"/>
        </w:trPr>
        <w:tc>
          <w:tcPr>
            <w:tcW w:w="2084"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672"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162"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21"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6" w:hRule="exact"/>
        </w:trPr>
        <w:tc>
          <w:tcPr>
            <w:tcW w:w="2084" w:type="dxa"/>
            <w:vMerge/>
            <w:tcBorders>
              <w:left w:val="single" w:sz="8" w:space="0" w:color="000000"/>
              <w:bottom w:val="single" w:sz="8" w:space="0" w:color="000000"/>
              <w:right w:val="single" w:sz="8" w:space="0" w:color="000000"/>
            </w:tcBorders>
            <w:shd w:val="clear" w:color="auto" w:fill="D9D9D9"/>
          </w:tcPr>
          <w:p>
            <w:pPr/>
          </w:p>
        </w:tc>
        <w:tc>
          <w:tcPr>
            <w:tcW w:w="160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2"/>
              <w:ind w:left="41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2"/>
              <w:ind w:left="41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18" w:hRule="exact"/>
        </w:trPr>
        <w:tc>
          <w:tcPr>
            <w:tcW w:w="20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777,506,706.66</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502,799,623.87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596,630,347.35</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351,741,787.43</w:t>
            </w:r>
          </w:p>
        </w:tc>
      </w:tr>
      <w:tr>
        <w:trPr>
          <w:trHeight w:val="418" w:hRule="exact"/>
        </w:trPr>
        <w:tc>
          <w:tcPr>
            <w:tcW w:w="20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115,693,499.56</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91,018,232.40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132,466,288.90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88,892,677.44</w:t>
            </w:r>
          </w:p>
        </w:tc>
      </w:tr>
      <w:tr>
        <w:trPr>
          <w:trHeight w:val="416" w:hRule="exact"/>
        </w:trPr>
        <w:tc>
          <w:tcPr>
            <w:tcW w:w="20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72,474,169.21</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39,673,858.51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169,852,176.47</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113,042,328.76</w:t>
            </w:r>
          </w:p>
        </w:tc>
      </w:tr>
      <w:tr>
        <w:trPr>
          <w:trHeight w:val="418" w:hRule="exact"/>
        </w:trPr>
        <w:tc>
          <w:tcPr>
            <w:tcW w:w="20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3"/>
              <w:ind w:left="98"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技术、金融服务</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67,809,279.60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27,291,148.69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61,218,119.29</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17,419,185.62</w:t>
            </w:r>
          </w:p>
        </w:tc>
      </w:tr>
      <w:tr>
        <w:trPr>
          <w:trHeight w:val="418" w:hRule="exact"/>
        </w:trPr>
        <w:tc>
          <w:tcPr>
            <w:tcW w:w="20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63,519,857.34</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32,659,235.34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pacing w:val="-1"/>
                <w:sz w:val="18"/>
              </w:rPr>
              <w:t>11,544,551.41</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9,994,457.09</w:t>
            </w:r>
          </w:p>
        </w:tc>
      </w:tr>
      <w:tr>
        <w:trPr>
          <w:trHeight w:val="418" w:hRule="exact"/>
        </w:trPr>
        <w:tc>
          <w:tcPr>
            <w:tcW w:w="20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1,097,003,512.37</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693,442,098.81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971,711,483.42</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581,090,436.34</w:t>
            </w:r>
          </w:p>
        </w:tc>
      </w:tr>
    </w:tbl>
    <w:p>
      <w:pPr>
        <w:spacing w:line="240" w:lineRule="auto" w:before="1"/>
        <w:rPr>
          <w:rFonts w:ascii="宋体" w:hAnsi="宋体" w:cs="宋体" w:eastAsia="宋体" w:hint="default"/>
          <w:sz w:val="21"/>
          <w:szCs w:val="21"/>
        </w:rPr>
      </w:pPr>
    </w:p>
    <w:p>
      <w:pPr>
        <w:pStyle w:val="BodyText"/>
        <w:spacing w:line="240" w:lineRule="auto" w:before="44"/>
        <w:ind w:right="153"/>
        <w:jc w:val="left"/>
      </w:pPr>
      <w:r>
        <w:rPr/>
        <w:t>（</w:t>
      </w:r>
      <w:r>
        <w:rPr>
          <w:rFonts w:ascii="Times New Roman" w:hAnsi="Times New Roman" w:cs="Times New Roman" w:eastAsia="Times New Roman" w:hint="default"/>
        </w:rPr>
        <w:t>2</w:t>
      </w:r>
      <w:r>
        <w:rPr/>
        <w:t>）主营业务（分地区）</w:t>
      </w:r>
    </w:p>
    <w:p>
      <w:pPr>
        <w:spacing w:line="240" w:lineRule="auto" w:before="2"/>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2084"/>
        <w:gridCol w:w="1604"/>
        <w:gridCol w:w="1558"/>
        <w:gridCol w:w="1560"/>
        <w:gridCol w:w="1561"/>
      </w:tblGrid>
      <w:tr>
        <w:trPr>
          <w:trHeight w:val="413" w:hRule="exact"/>
        </w:trPr>
        <w:tc>
          <w:tcPr>
            <w:tcW w:w="2084"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72"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162"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21"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0" w:hRule="exact"/>
        </w:trPr>
        <w:tc>
          <w:tcPr>
            <w:tcW w:w="2084" w:type="dxa"/>
            <w:vMerge/>
            <w:tcBorders>
              <w:left w:val="single" w:sz="8" w:space="0" w:color="000000"/>
              <w:bottom w:val="single" w:sz="8" w:space="0" w:color="000000"/>
              <w:right w:val="single" w:sz="8" w:space="0" w:color="000000"/>
            </w:tcBorders>
            <w:shd w:val="clear" w:color="auto" w:fill="D9D9D9"/>
          </w:tcPr>
          <w:p>
            <w:pPr/>
          </w:p>
        </w:tc>
        <w:tc>
          <w:tcPr>
            <w:tcW w:w="160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13" w:hRule="exact"/>
        </w:trPr>
        <w:tc>
          <w:tcPr>
            <w:tcW w:w="20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59,448,537.41</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39,783,661.94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28,820,210.67</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15,545,007.19</w:t>
            </w:r>
          </w:p>
        </w:tc>
      </w:tr>
      <w:tr>
        <w:trPr>
          <w:trHeight w:val="413" w:hRule="exact"/>
        </w:trPr>
        <w:tc>
          <w:tcPr>
            <w:tcW w:w="20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广东省</w:t>
            </w:r>
            <w:r>
              <w:rPr>
                <w:rFonts w:ascii="Times New Roman" w:hAnsi="Times New Roman" w:cs="Times New Roman" w:eastAsia="Times New Roman" w:hint="default"/>
                <w:sz w:val="18"/>
                <w:szCs w:val="18"/>
              </w:rPr>
              <w:t>(</w:t>
            </w:r>
            <w:r>
              <w:rPr>
                <w:rFonts w:ascii="宋体" w:hAnsi="宋体" w:cs="宋体" w:eastAsia="宋体" w:hint="default"/>
                <w:sz w:val="18"/>
                <w:szCs w:val="18"/>
              </w:rPr>
              <w:t>除广州</w:t>
            </w:r>
            <w:r>
              <w:rPr>
                <w:rFonts w:ascii="Times New Roman" w:hAnsi="Times New Roman" w:cs="Times New Roman" w:eastAsia="Times New Roman" w:hint="default"/>
                <w:sz w:val="18"/>
                <w:szCs w:val="18"/>
              </w:rPr>
              <w:t>)</w:t>
            </w:r>
            <w:r>
              <w:rPr>
                <w:rFonts w:ascii="宋体" w:hAnsi="宋体" w:cs="宋体" w:eastAsia="宋体" w:hint="default"/>
                <w:sz w:val="18"/>
                <w:szCs w:val="18"/>
              </w:rPr>
              <w:t>地区</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181,115,492.41</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130,324,300.86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237,258,909.40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139,988,680.28</w:t>
            </w:r>
          </w:p>
        </w:tc>
      </w:tr>
      <w:tr>
        <w:trPr>
          <w:trHeight w:val="411" w:hRule="exact"/>
        </w:trPr>
        <w:tc>
          <w:tcPr>
            <w:tcW w:w="20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856,439,482.55</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523,334,136.01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705,632,363.35</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425,556,748.87</w:t>
            </w:r>
          </w:p>
        </w:tc>
      </w:tr>
      <w:tr>
        <w:trPr>
          <w:trHeight w:val="413" w:hRule="exact"/>
        </w:trPr>
        <w:tc>
          <w:tcPr>
            <w:tcW w:w="20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1,097,003,512.37</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693,442,098.81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971,711,483.42</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581,090,436.34</w:t>
            </w:r>
          </w:p>
        </w:tc>
      </w:tr>
    </w:tbl>
    <w:p>
      <w:pPr>
        <w:spacing w:line="240" w:lineRule="auto" w:before="1"/>
        <w:rPr>
          <w:rFonts w:ascii="宋体" w:hAnsi="宋体" w:cs="宋体" w:eastAsia="宋体" w:hint="default"/>
          <w:sz w:val="21"/>
          <w:szCs w:val="21"/>
        </w:rPr>
      </w:pPr>
    </w:p>
    <w:p>
      <w:pPr>
        <w:pStyle w:val="BodyText"/>
        <w:spacing w:line="240" w:lineRule="auto" w:before="44"/>
        <w:ind w:right="153"/>
        <w:jc w:val="left"/>
      </w:pPr>
      <w:r>
        <w:rPr/>
        <w:t>（</w:t>
      </w:r>
      <w:r>
        <w:rPr>
          <w:rFonts w:ascii="Times New Roman" w:hAnsi="Times New Roman" w:cs="Times New Roman" w:eastAsia="Times New Roman" w:hint="default"/>
        </w:rPr>
        <w:t>3</w:t>
      </w:r>
      <w:r>
        <w:rPr/>
        <w:t>）公司前五名客户的营业收入情况</w:t>
      </w:r>
    </w:p>
    <w:p>
      <w:pPr>
        <w:spacing w:line="240" w:lineRule="auto" w:before="2"/>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2127"/>
        <w:gridCol w:w="3119"/>
        <w:gridCol w:w="3121"/>
      </w:tblGrid>
      <w:tr>
        <w:trPr>
          <w:trHeight w:val="413" w:hRule="exact"/>
        </w:trPr>
        <w:tc>
          <w:tcPr>
            <w:tcW w:w="212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11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1"/>
              <w:ind w:left="1010"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12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13" w:hRule="exact"/>
        </w:trPr>
        <w:tc>
          <w:tcPr>
            <w:tcW w:w="212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第一名</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512,763,812.69</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46.74</w:t>
            </w:r>
          </w:p>
        </w:tc>
      </w:tr>
      <w:tr>
        <w:trPr>
          <w:trHeight w:val="410" w:hRule="exact"/>
        </w:trPr>
        <w:tc>
          <w:tcPr>
            <w:tcW w:w="212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第二名</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50,241,742.45</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4.58</w:t>
            </w:r>
          </w:p>
        </w:tc>
      </w:tr>
      <w:tr>
        <w:trPr>
          <w:trHeight w:val="413" w:hRule="exact"/>
        </w:trPr>
        <w:tc>
          <w:tcPr>
            <w:tcW w:w="212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第三名</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40,631,238.79</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3.70</w:t>
            </w:r>
          </w:p>
        </w:tc>
      </w:tr>
      <w:tr>
        <w:trPr>
          <w:trHeight w:val="413" w:hRule="exact"/>
        </w:trPr>
        <w:tc>
          <w:tcPr>
            <w:tcW w:w="212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第四名</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37,798,746.92</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3.45</w:t>
            </w:r>
          </w:p>
        </w:tc>
      </w:tr>
      <w:tr>
        <w:trPr>
          <w:trHeight w:val="411" w:hRule="exact"/>
        </w:trPr>
        <w:tc>
          <w:tcPr>
            <w:tcW w:w="212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第五名</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33,845,703.53</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3.09</w:t>
            </w:r>
          </w:p>
        </w:tc>
      </w:tr>
      <w:tr>
        <w:trPr>
          <w:trHeight w:val="413" w:hRule="exact"/>
        </w:trPr>
        <w:tc>
          <w:tcPr>
            <w:tcW w:w="212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675,281,244.38</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61.56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31" w:hanging="361"/>
        <w:jc w:val="left"/>
      </w:pPr>
      <w:r>
        <w:rPr/>
        <w:t>第一期员工持股计划实施情况：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日召开的</w:t>
      </w:r>
      <w:r>
        <w:rPr>
          <w:rFonts w:ascii="Times New Roman" w:hAnsi="Times New Roman" w:cs="Times New Roman" w:eastAsia="Times New Roman" w:hint="default"/>
        </w:rPr>
        <w:t>2015</w:t>
      </w:r>
      <w:r>
        <w:rPr/>
        <w:t>年第一次临时股东大会，审议通过了《关于</w:t>
      </w:r>
      <w:r>
        <w:rPr>
          <w:rFonts w:ascii="Times New Roman" w:hAnsi="Times New Roman" w:cs="Times New Roman" w:eastAsia="Times New Roman" w:hint="default"/>
        </w:rPr>
        <w:t>&lt;</w:t>
      </w:r>
      <w:r>
        <w:rPr/>
        <w:t>广州御银科技股份有限公司第一期员工持</w:t>
      </w:r>
    </w:p>
    <w:p>
      <w:pPr>
        <w:spacing w:after="0" w:line="316" w:lineRule="auto"/>
        <w:jc w:val="left"/>
        <w:sectPr>
          <w:pgSz w:w="11910" w:h="16840"/>
          <w:pgMar w:header="786" w:footer="1021" w:top="1100" w:bottom="1220" w:left="980" w:right="980"/>
        </w:sectPr>
      </w:pPr>
    </w:p>
    <w:p>
      <w:pPr>
        <w:spacing w:line="240" w:lineRule="auto" w:before="8"/>
        <w:rPr>
          <w:rFonts w:ascii="宋体" w:hAnsi="宋体" w:cs="宋体" w:eastAsia="宋体" w:hint="default"/>
          <w:sz w:val="22"/>
          <w:szCs w:val="22"/>
        </w:rPr>
      </w:pPr>
    </w:p>
    <w:p>
      <w:pPr>
        <w:pStyle w:val="BodyText"/>
        <w:spacing w:line="300" w:lineRule="auto" w:before="44"/>
        <w:ind w:left="792" w:right="773"/>
        <w:jc w:val="left"/>
      </w:pPr>
      <w:r>
        <w:rPr/>
        <w:t>股计划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)&gt;</w:t>
      </w:r>
      <w:r>
        <w:rPr/>
        <w:t>及其摘要的议案》，公司第一次员工持股计划委托广发证券资产管理（广东）有限公司（以下简称“广发资 管”）设立的“广发御银</w:t>
      </w:r>
      <w:r>
        <w:rPr>
          <w:rFonts w:ascii="Times New Roman" w:hAnsi="Times New Roman" w:cs="Times New Roman" w:eastAsia="Times New Roman" w:hint="default"/>
        </w:rPr>
        <w:t>1</w:t>
      </w:r>
      <w:r>
        <w:rPr/>
        <w:t>号定向资产管理计划”，通过二级市场购买方式取得并持有公司股票。</w:t>
      </w:r>
    </w:p>
    <w:p>
      <w:pPr>
        <w:pStyle w:val="BodyText"/>
        <w:spacing w:line="300" w:lineRule="auto" w:before="13"/>
        <w:ind w:left="792" w:right="719"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日，广发资管通过二级市场买入的方式完成了公司第一期员工持股计划股票的购买，购买均价</w:t>
      </w:r>
      <w:r>
        <w:rPr>
          <w:rFonts w:ascii="Times New Roman" w:hAnsi="Times New Roman" w:cs="Times New Roman" w:eastAsia="Times New Roman" w:hint="default"/>
        </w:rPr>
        <w:t>8.63</w:t>
      </w:r>
      <w:r>
        <w:rPr/>
        <w:t>元</w:t>
      </w:r>
      <w:r>
        <w:rPr>
          <w:rFonts w:ascii="Times New Roman" w:hAnsi="Times New Roman" w:cs="Times New Roman" w:eastAsia="Times New Roman" w:hint="default"/>
        </w:rPr>
        <w:t>/</w:t>
      </w:r>
      <w:r>
        <w:rPr/>
        <w:t>股， 购买数量</w:t>
      </w:r>
      <w:r>
        <w:rPr>
          <w:rFonts w:ascii="Times New Roman" w:hAnsi="Times New Roman" w:cs="Times New Roman" w:eastAsia="Times New Roman" w:hint="default"/>
        </w:rPr>
        <w:t>4,037,985</w:t>
      </w:r>
      <w:r>
        <w:rPr/>
        <w:t>股，占公司总股本的比例为</w:t>
      </w:r>
      <w:r>
        <w:rPr>
          <w:rFonts w:ascii="Times New Roman" w:hAnsi="Times New Roman" w:cs="Times New Roman" w:eastAsia="Times New Roman" w:hint="default"/>
        </w:rPr>
        <w:t>0.53%</w:t>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日，公司第一期员工持股计划已完成股票购买，所 购股票锁定期为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日起</w:t>
      </w:r>
      <w:r>
        <w:rPr>
          <w:rFonts w:ascii="Times New Roman" w:hAnsi="Times New Roman" w:cs="Times New Roman" w:eastAsia="Times New Roman" w:hint="default"/>
        </w:rPr>
        <w:t>12</w:t>
      </w:r>
      <w:r>
        <w:rPr/>
        <w:t>个月。</w:t>
      </w:r>
    </w:p>
    <w:p>
      <w:pPr>
        <w:pStyle w:val="BodyText"/>
        <w:spacing w:line="300" w:lineRule="auto" w:before="13"/>
        <w:ind w:left="792" w:right="730" w:firstLine="360"/>
        <w:jc w:val="both"/>
      </w:pPr>
      <w:r>
        <w:rPr>
          <w:spacing w:val="-2"/>
        </w:rPr>
        <w:t>第一期员工持股计划的存续期不超过</w:t>
      </w:r>
      <w:r>
        <w:rPr>
          <w:rFonts w:ascii="Times New Roman" w:hAnsi="Times New Roman" w:cs="Times New Roman" w:eastAsia="Times New Roman" w:hint="default"/>
          <w:spacing w:val="-2"/>
        </w:rPr>
        <w:t>18</w:t>
      </w:r>
      <w:r>
        <w:rPr>
          <w:spacing w:val="-2"/>
        </w:rPr>
        <w:t>个月，自股东大会审议通过本员工持股计划之日起算，即为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9</w:t>
      </w:r>
      <w:r>
        <w:rPr>
          <w:spacing w:val="-2"/>
        </w:rPr>
        <w:t>日至</w:t>
      </w:r>
      <w:r>
        <w:rPr>
          <w:rFonts w:ascii="Times New Roman" w:hAnsi="Times New Roman" w:cs="Times New Roman" w:eastAsia="Times New Roman" w:hint="default"/>
          <w:spacing w:val="-2"/>
        </w:rPr>
        <w:t>2016</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日，其通过资管计划所购买的公司股票锁定期为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17</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16</w:t>
      </w:r>
      <w:r>
        <w:rPr>
          <w:spacing w:val="-2"/>
        </w:rPr>
        <w:t>日。未出现持有人合并持有份超过公司</w:t>
      </w:r>
      <w:r>
        <w:rPr>
          <w:spacing w:val="-55"/>
        </w:rPr>
        <w:t> </w:t>
      </w:r>
      <w:r>
        <w:rPr>
          <w:spacing w:val="-55"/>
        </w:rPr>
      </w:r>
      <w:r>
        <w:rPr/>
        <w:t>股份总额</w:t>
      </w:r>
      <w:r>
        <w:rPr>
          <w:rFonts w:ascii="Times New Roman" w:hAnsi="Times New Roman" w:cs="Times New Roman" w:eastAsia="Times New Roman" w:hint="default"/>
        </w:rPr>
        <w:t>10%</w:t>
      </w:r>
      <w:r>
        <w:rPr/>
        <w:t>以上、及任一持有人持有的员工持股计划份额所对应的公司股票数量超过公司股本总额</w:t>
      </w:r>
      <w:r>
        <w:rPr>
          <w:rFonts w:ascii="Times New Roman" w:hAnsi="Times New Roman" w:cs="Times New Roman" w:eastAsia="Times New Roman" w:hint="default"/>
        </w:rPr>
        <w:t>1%</w:t>
      </w:r>
      <w:r>
        <w:rPr/>
        <w:t>的情形。</w:t>
      </w:r>
    </w:p>
    <w:p>
      <w:pPr>
        <w:spacing w:line="240" w:lineRule="auto" w:before="5"/>
        <w:rPr>
          <w:rFonts w:ascii="宋体" w:hAnsi="宋体" w:cs="宋体" w:eastAsia="宋体" w:hint="default"/>
          <w:sz w:val="20"/>
          <w:szCs w:val="20"/>
        </w:rPr>
      </w:pPr>
    </w:p>
    <w:p>
      <w:pPr>
        <w:pStyle w:val="Heading2"/>
        <w:spacing w:line="240" w:lineRule="auto"/>
        <w:ind w:left="792" w:right="2544"/>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792" w:right="2544"/>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spacing w:before="0"/>
        <w:ind w:left="792" w:right="25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7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083"/>
        <w:gridCol w:w="1211"/>
        <w:gridCol w:w="804"/>
        <w:gridCol w:w="1093"/>
        <w:gridCol w:w="653"/>
        <w:gridCol w:w="1256"/>
        <w:gridCol w:w="1200"/>
        <w:gridCol w:w="778"/>
        <w:gridCol w:w="1093"/>
        <w:gridCol w:w="545"/>
        <w:gridCol w:w="1227"/>
      </w:tblGrid>
      <w:tr>
        <w:trPr>
          <w:trHeight w:val="398" w:hRule="exact"/>
        </w:trPr>
        <w:tc>
          <w:tcPr>
            <w:tcW w:w="1083" w:type="dxa"/>
            <w:vMerge w:val="restart"/>
            <w:tcBorders>
              <w:top w:val="single" w:sz="4" w:space="0" w:color="000000"/>
              <w:left w:val="single" w:sz="4" w:space="0" w:color="000000"/>
              <w:right w:val="single" w:sz="4" w:space="0" w:color="000000"/>
            </w:tcBorders>
            <w:shd w:val="clear" w:color="auto" w:fill="D2D2D2"/>
          </w:tcPr>
          <w:p>
            <w:pPr/>
          </w:p>
        </w:tc>
        <w:tc>
          <w:tcPr>
            <w:tcW w:w="50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4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083" w:type="dxa"/>
            <w:vMerge/>
            <w:tcBorders>
              <w:left w:val="single" w:sz="4" w:space="0" w:color="000000"/>
              <w:bottom w:val="nil" w:sz="6" w:space="0" w:color="auto"/>
              <w:right w:val="single" w:sz="4" w:space="0" w:color="000000"/>
            </w:tcBorders>
            <w:shd w:val="clear" w:color="auto" w:fill="D2D2D2"/>
          </w:tcPr>
          <w:p>
            <w:pPr/>
          </w:p>
        </w:tc>
        <w:tc>
          <w:tcPr>
            <w:tcW w:w="20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56" w:type="dxa"/>
            <w:vMerge w:val="restart"/>
            <w:tcBorders>
              <w:top w:val="single" w:sz="4" w:space="0" w:color="000000"/>
              <w:left w:val="single" w:sz="4" w:space="0" w:color="000000"/>
              <w:right w:val="single" w:sz="4" w:space="0" w:color="000000"/>
            </w:tcBorders>
            <w:shd w:val="clear" w:color="auto" w:fill="D2D2D2"/>
          </w:tcPr>
          <w:p>
            <w:pPr/>
          </w:p>
        </w:tc>
        <w:tc>
          <w:tcPr>
            <w:tcW w:w="19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7"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6"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015"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1256" w:type="dxa"/>
            <w:vMerge/>
            <w:tcBorders>
              <w:left w:val="single" w:sz="4" w:space="0" w:color="000000"/>
              <w:bottom w:val="nil" w:sz="6" w:space="0" w:color="auto"/>
              <w:right w:val="single" w:sz="4" w:space="0" w:color="000000"/>
            </w:tcBorders>
            <w:shd w:val="clear" w:color="auto" w:fill="D2D2D2"/>
          </w:tcPr>
          <w:p>
            <w:pPr/>
          </w:p>
        </w:tc>
        <w:tc>
          <w:tcPr>
            <w:tcW w:w="1978" w:type="dxa"/>
            <w:gridSpan w:val="2"/>
            <w:vMerge/>
            <w:tcBorders>
              <w:left w:val="single" w:sz="4" w:space="0" w:color="000000"/>
              <w:bottom w:val="single" w:sz="4" w:space="0" w:color="000000"/>
              <w:right w:val="single" w:sz="4" w:space="0" w:color="000000"/>
            </w:tcBorders>
            <w:shd w:val="clear" w:color="auto" w:fill="D2D2D2"/>
          </w:tcPr>
          <w:p>
            <w:pPr/>
          </w:p>
        </w:tc>
        <w:tc>
          <w:tcPr>
            <w:tcW w:w="1637" w:type="dxa"/>
            <w:gridSpan w:val="2"/>
            <w:vMerge/>
            <w:tcBorders>
              <w:left w:val="single" w:sz="4" w:space="0" w:color="000000"/>
              <w:bottom w:val="single" w:sz="4" w:space="0" w:color="000000"/>
              <w:right w:val="single" w:sz="4" w:space="0" w:color="000000"/>
            </w:tcBorders>
            <w:shd w:val="clear" w:color="auto" w:fill="D2D2D2"/>
          </w:tcPr>
          <w:p>
            <w:pPr/>
          </w:p>
        </w:tc>
        <w:tc>
          <w:tcPr>
            <w:tcW w:w="122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83" w:type="dxa"/>
            <w:vMerge/>
            <w:tcBorders>
              <w:left w:val="single" w:sz="4" w:space="0" w:color="000000"/>
              <w:bottom w:val="nil" w:sz="6" w:space="0" w:color="auto"/>
              <w:right w:val="single" w:sz="4" w:space="0" w:color="000000"/>
            </w:tcBorders>
            <w:shd w:val="clear" w:color="auto" w:fill="D2D2D2"/>
          </w:tcPr>
          <w:p>
            <w:pPr/>
          </w:p>
        </w:tc>
        <w:tc>
          <w:tcPr>
            <w:tcW w:w="12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3"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2" w:right="4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6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4"/>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083" w:type="dxa"/>
            <w:vMerge w:val="restart"/>
            <w:tcBorders>
              <w:top w:val="nil" w:sz="6" w:space="0" w:color="auto"/>
              <w:left w:val="single" w:sz="4" w:space="0" w:color="000000"/>
              <w:right w:val="single" w:sz="4" w:space="0" w:color="000000"/>
            </w:tcBorders>
            <w:shd w:val="clear" w:color="auto" w:fill="D2D2D2"/>
          </w:tcPr>
          <w:p>
            <w:pPr/>
          </w:p>
        </w:tc>
        <w:tc>
          <w:tcPr>
            <w:tcW w:w="12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3" w:type="dxa"/>
            <w:vMerge/>
            <w:tcBorders>
              <w:left w:val="single" w:sz="4" w:space="0" w:color="000000"/>
              <w:right w:val="single" w:sz="4" w:space="0" w:color="000000"/>
            </w:tcBorders>
            <w:shd w:val="clear" w:color="auto" w:fill="D2D2D2"/>
          </w:tcPr>
          <w:p>
            <w:pPr/>
          </w:p>
        </w:tc>
        <w:tc>
          <w:tcPr>
            <w:tcW w:w="1256" w:type="dxa"/>
            <w:vMerge/>
            <w:tcBorders>
              <w:left w:val="single" w:sz="4" w:space="0" w:color="000000"/>
              <w:bottom w:val="nil" w:sz="6" w:space="0" w:color="auto"/>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45" w:type="dxa"/>
            <w:vMerge/>
            <w:tcBorders>
              <w:left w:val="single" w:sz="4" w:space="0" w:color="000000"/>
              <w:right w:val="single" w:sz="4" w:space="0" w:color="000000"/>
            </w:tcBorders>
            <w:shd w:val="clear" w:color="auto" w:fill="D2D2D2"/>
          </w:tcPr>
          <w:p>
            <w:pPr/>
          </w:p>
        </w:tc>
        <w:tc>
          <w:tcPr>
            <w:tcW w:w="12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83" w:type="dxa"/>
            <w:vMerge/>
            <w:tcBorders>
              <w:left w:val="single" w:sz="4" w:space="0" w:color="000000"/>
              <w:right w:val="single" w:sz="4" w:space="0" w:color="000000"/>
            </w:tcBorders>
            <w:shd w:val="clear" w:color="auto" w:fill="D2D2D2"/>
          </w:tcPr>
          <w:p>
            <w:pPr/>
          </w:p>
        </w:tc>
        <w:tc>
          <w:tcPr>
            <w:tcW w:w="1211" w:type="dxa"/>
            <w:vMerge/>
            <w:tcBorders>
              <w:left w:val="single" w:sz="4" w:space="0" w:color="000000"/>
              <w:bottom w:val="nil" w:sz="6" w:space="0" w:color="auto"/>
              <w:right w:val="single" w:sz="4" w:space="0" w:color="000000"/>
            </w:tcBorders>
            <w:shd w:val="clear" w:color="auto" w:fill="D2D2D2"/>
          </w:tcPr>
          <w:p>
            <w:pPr/>
          </w:p>
        </w:tc>
        <w:tc>
          <w:tcPr>
            <w:tcW w:w="804"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1256" w:type="dxa"/>
            <w:vMerge w:val="restart"/>
            <w:tcBorders>
              <w:top w:val="nil" w:sz="6" w:space="0" w:color="auto"/>
              <w:left w:val="single" w:sz="4" w:space="0" w:color="000000"/>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545" w:type="dxa"/>
            <w:vMerge/>
            <w:tcBorders>
              <w:left w:val="single" w:sz="4" w:space="0" w:color="000000"/>
              <w:right w:val="single" w:sz="4" w:space="0" w:color="000000"/>
            </w:tcBorders>
            <w:shd w:val="clear" w:color="auto" w:fill="D2D2D2"/>
          </w:tcPr>
          <w:p>
            <w:pPr/>
          </w:p>
        </w:tc>
        <w:tc>
          <w:tcPr>
            <w:tcW w:w="122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83" w:type="dxa"/>
            <w:vMerge/>
            <w:tcBorders>
              <w:left w:val="single" w:sz="4" w:space="0" w:color="000000"/>
              <w:bottom w:val="single" w:sz="4" w:space="0" w:color="000000"/>
              <w:right w:val="single" w:sz="4" w:space="0" w:color="000000"/>
            </w:tcBorders>
            <w:shd w:val="clear" w:color="auto" w:fill="D2D2D2"/>
          </w:tcPr>
          <w:p>
            <w:pPr/>
          </w:p>
        </w:tc>
        <w:tc>
          <w:tcPr>
            <w:tcW w:w="12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3"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1256" w:type="dxa"/>
            <w:vMerge/>
            <w:tcBorders>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45" w:type="dxa"/>
            <w:vMerge/>
            <w:tcBorders>
              <w:left w:val="single" w:sz="4" w:space="0" w:color="000000"/>
              <w:bottom w:val="single" w:sz="4" w:space="0" w:color="000000"/>
              <w:right w:val="single" w:sz="4" w:space="0" w:color="000000"/>
            </w:tcBorders>
            <w:shd w:val="clear" w:color="auto" w:fill="D2D2D2"/>
          </w:tcPr>
          <w:p>
            <w:pPr/>
          </w:p>
        </w:tc>
        <w:tc>
          <w:tcPr>
            <w:tcW w:w="1227"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158"/>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2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343,137,586.49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23,861,149.46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319,276,437.03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345,038,103.49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23,888,098.68</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321,150,004.81</w:t>
            </w:r>
          </w:p>
        </w:tc>
      </w:tr>
      <w:tr>
        <w:trPr>
          <w:trHeight w:val="403"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343,137,586.49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23,861,149.46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319,276,437.03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345,038,103.49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23,888,098.68</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321,150,004.81</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340" w:right="400"/>
        </w:sectPr>
      </w:pPr>
    </w:p>
    <w:p>
      <w:pPr>
        <w:pStyle w:val="BodyText"/>
        <w:spacing w:line="240" w:lineRule="auto" w:before="49"/>
        <w:ind w:left="792" w:right="-20"/>
        <w:jc w:val="left"/>
      </w:pPr>
      <w:r>
        <w:rPr/>
        <w:t>期末单项金额重大并单项计提坏账准备的应收账款：</w:t>
      </w:r>
    </w:p>
    <w:p>
      <w:pPr>
        <w:pStyle w:val="BodyText"/>
        <w:spacing w:line="340" w:lineRule="auto" w:before="115"/>
        <w:ind w:left="79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left="79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792" w:right="0"/>
        <w:jc w:val="left"/>
      </w:pPr>
      <w:r>
        <w:rPr/>
        <w:t>单位：</w:t>
      </w:r>
      <w:r>
        <w:rPr>
          <w:spacing w:val="1"/>
        </w:rPr>
        <w:t> </w:t>
      </w:r>
      <w:r>
        <w:rPr/>
        <w:t>元</w:t>
      </w:r>
    </w:p>
    <w:p>
      <w:pPr>
        <w:spacing w:after="0" w:line="240" w:lineRule="auto"/>
        <w:jc w:val="left"/>
        <w:sectPr>
          <w:type w:val="continuous"/>
          <w:pgSz w:w="11910" w:h="16840"/>
          <w:pgMar w:top="1100" w:bottom="1220" w:left="340" w:right="400"/>
          <w:cols w:num="2" w:equalWidth="0">
            <w:col w:w="4933" w:space="3896"/>
            <w:col w:w="2341"/>
          </w:cols>
        </w:sectPr>
      </w:pPr>
    </w:p>
    <w:p>
      <w:pPr>
        <w:spacing w:line="240" w:lineRule="auto" w:before="4"/>
        <w:rPr>
          <w:rFonts w:ascii="宋体" w:hAnsi="宋体" w:cs="宋体" w:eastAsia="宋体" w:hint="default"/>
          <w:sz w:val="8"/>
          <w:szCs w:val="8"/>
        </w:rPr>
      </w:pPr>
    </w:p>
    <w:tbl>
      <w:tblPr>
        <w:tblW w:w="0" w:type="auto"/>
        <w:jc w:val="left"/>
        <w:tblInd w:w="788" w:type="dxa"/>
        <w:tblLayout w:type="fixed"/>
        <w:tblCellMar>
          <w:top w:w="0" w:type="dxa"/>
          <w:left w:w="0" w:type="dxa"/>
          <w:bottom w:w="0" w:type="dxa"/>
          <w:right w:w="0" w:type="dxa"/>
        </w:tblCellMar>
        <w:tblLook w:val="01E0"/>
      </w:tblPr>
      <w:tblGrid>
        <w:gridCol w:w="2494"/>
        <w:gridCol w:w="2295"/>
        <w:gridCol w:w="2391"/>
        <w:gridCol w:w="2391"/>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331,005,071.31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16,550,253.57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331,005,071.31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16,550,253.57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3,052,127.15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305,212.72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2,916,665.15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1,458,332.58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6,163,722.88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5,547,350.59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343,137,586.49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23,861,149.46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340" w:right="400"/>
        </w:sectPr>
      </w:pPr>
    </w:p>
    <w:p>
      <w:pPr>
        <w:spacing w:line="240" w:lineRule="auto" w:before="8"/>
        <w:rPr>
          <w:rFonts w:ascii="宋体" w:hAnsi="宋体" w:cs="宋体" w:eastAsia="宋体" w:hint="default"/>
          <w:sz w:val="22"/>
          <w:szCs w:val="22"/>
        </w:rPr>
      </w:pPr>
    </w:p>
    <w:p>
      <w:pPr>
        <w:pStyle w:val="BodyText"/>
        <w:spacing w:line="348" w:lineRule="auto" w:before="44"/>
        <w:ind w:left="792" w:right="4384"/>
        <w:jc w:val="left"/>
      </w:pPr>
      <w:r>
        <w:rPr/>
        <w:t>确定该组合依据的说明： 详见财务报告五、</w:t>
      </w:r>
      <w:r>
        <w:rPr>
          <w:rFonts w:ascii="Times New Roman" w:hAnsi="Times New Roman" w:cs="Times New Roman" w:eastAsia="Times New Roman" w:hint="default"/>
        </w:rPr>
        <w:t>10</w:t>
      </w:r>
      <w:r>
        <w:rPr/>
        <w:t>、（</w:t>
      </w:r>
      <w:r>
        <w:rPr>
          <w:rFonts w:ascii="Times New Roman" w:hAnsi="Times New Roman" w:cs="Times New Roman" w:eastAsia="Times New Roman" w:hint="default"/>
        </w:rPr>
        <w:t>2</w:t>
      </w:r>
      <w:r>
        <w:rPr/>
        <w:t>）按信用风险特征组合计提坏账准备的应收款项。 组合中，采用余额百分比法计提坏账准备的应收账款：</w:t>
      </w:r>
    </w:p>
    <w:p>
      <w:pPr>
        <w:pStyle w:val="BodyText"/>
        <w:spacing w:line="340" w:lineRule="auto" w:before="36"/>
        <w:ind w:left="792" w:right="6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39"/>
        <w:ind w:left="792" w:right="43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2"/>
        <w:rPr>
          <w:rFonts w:ascii="宋体" w:hAnsi="宋体" w:cs="宋体" w:eastAsia="宋体" w:hint="default"/>
          <w:sz w:val="26"/>
          <w:szCs w:val="26"/>
        </w:rPr>
      </w:pPr>
    </w:p>
    <w:p>
      <w:pPr>
        <w:pStyle w:val="Heading3"/>
        <w:spacing w:line="240" w:lineRule="auto"/>
        <w:ind w:left="792" w:right="0"/>
        <w:jc w:val="left"/>
        <w:rPr>
          <w:b w:val="0"/>
          <w:bCs w:val="0"/>
        </w:rPr>
      </w:pPr>
      <w:r>
        <w:rPr/>
        <w:t>（</w:t>
      </w:r>
      <w:r>
        <w:rPr>
          <w:rFonts w:ascii="Times New Roman" w:hAnsi="Times New Roman" w:cs="Times New Roman" w:eastAsia="Times New Roman" w:hint="default"/>
        </w:rPr>
        <w:t>2</w:t>
      </w:r>
      <w:r>
        <w:rPr/>
        <w:t>）本期计提坏账准备金额</w:t>
      </w:r>
      <w:r>
        <w:rPr>
          <w:spacing w:val="-53"/>
        </w:rPr>
        <w:t> </w:t>
      </w:r>
      <w:r>
        <w:rPr>
          <w:rFonts w:ascii="Times New Roman" w:hAnsi="Times New Roman" w:cs="Times New Roman" w:eastAsia="Times New Roman" w:hint="default"/>
        </w:rPr>
        <w:t>139,836.78</w:t>
      </w:r>
      <w:r>
        <w:rPr>
          <w:rFonts w:ascii="Times New Roman" w:hAnsi="Times New Roman" w:cs="Times New Roman" w:eastAsia="Times New Roman" w:hint="default"/>
          <w:spacing w:val="-5"/>
        </w:rPr>
        <w:t> </w:t>
      </w:r>
      <w:r>
        <w:rPr/>
        <w:t>元、本期无收回或转回的坏账准备。</w:t>
      </w:r>
      <w:r>
        <w:rPr>
          <w:b w:val="0"/>
          <w:bCs w:val="0"/>
        </w:rPr>
      </w:r>
    </w:p>
    <w:p>
      <w:pPr>
        <w:spacing w:line="240" w:lineRule="auto" w:before="10"/>
        <w:rPr>
          <w:rFonts w:ascii="宋体" w:hAnsi="宋体" w:cs="宋体" w:eastAsia="宋体" w:hint="default"/>
          <w:b/>
          <w:bCs/>
          <w:sz w:val="24"/>
          <w:szCs w:val="24"/>
        </w:rPr>
      </w:pPr>
    </w:p>
    <w:p>
      <w:pPr>
        <w:spacing w:before="0"/>
        <w:ind w:left="792" w:right="43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7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788" w:type="dxa"/>
        <w:tblLayout w:type="fixed"/>
        <w:tblCellMar>
          <w:top w:w="0" w:type="dxa"/>
          <w:left w:w="0" w:type="dxa"/>
          <w:bottom w:w="0" w:type="dxa"/>
          <w:right w:w="0" w:type="dxa"/>
        </w:tblCellMar>
        <w:tblLook w:val="01E0"/>
      </w:tblPr>
      <w:tblGrid>
        <w:gridCol w:w="4983"/>
        <w:gridCol w:w="4587"/>
      </w:tblGrid>
      <w:tr>
        <w:trPr>
          <w:trHeight w:val="40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166,786.00</w:t>
            </w:r>
          </w:p>
        </w:tc>
      </w:tr>
    </w:tbl>
    <w:p>
      <w:pPr>
        <w:spacing w:line="240" w:lineRule="auto" w:before="3"/>
        <w:rPr>
          <w:rFonts w:ascii="宋体" w:hAnsi="宋体" w:cs="宋体" w:eastAsia="宋体" w:hint="default"/>
          <w:sz w:val="19"/>
          <w:szCs w:val="19"/>
        </w:rPr>
      </w:pPr>
    </w:p>
    <w:p>
      <w:pPr>
        <w:pStyle w:val="Heading3"/>
        <w:spacing w:line="240" w:lineRule="auto" w:before="36"/>
        <w:ind w:left="792" w:right="4384"/>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83" w:type="dxa"/>
        <w:tblLayout w:type="fixed"/>
        <w:tblCellMar>
          <w:top w:w="0" w:type="dxa"/>
          <w:left w:w="0" w:type="dxa"/>
          <w:bottom w:w="0" w:type="dxa"/>
          <w:right w:w="0" w:type="dxa"/>
        </w:tblCellMar>
        <w:tblLook w:val="01E0"/>
      </w:tblPr>
      <w:tblGrid>
        <w:gridCol w:w="2696"/>
        <w:gridCol w:w="2124"/>
        <w:gridCol w:w="2693"/>
        <w:gridCol w:w="1561"/>
      </w:tblGrid>
      <w:tr>
        <w:trPr>
          <w:trHeight w:val="474" w:hRule="exact"/>
        </w:trPr>
        <w:tc>
          <w:tcPr>
            <w:tcW w:w="2696"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378" w:type="dxa"/>
            <w:gridSpan w:val="3"/>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4" w:hRule="exact"/>
        </w:trPr>
        <w:tc>
          <w:tcPr>
            <w:tcW w:w="2696" w:type="dxa"/>
            <w:vMerge/>
            <w:tcBorders>
              <w:left w:val="single" w:sz="8" w:space="0" w:color="000000"/>
              <w:bottom w:val="single" w:sz="8" w:space="0" w:color="000000"/>
              <w:right w:val="single" w:sz="8" w:space="0" w:color="000000"/>
            </w:tcBorders>
            <w:shd w:val="clear" w:color="auto" w:fill="D9D9D9"/>
          </w:tcPr>
          <w:p>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1"/>
              <w:ind w:left="6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5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1"/>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5" w:hRule="exact"/>
        </w:trPr>
        <w:tc>
          <w:tcPr>
            <w:tcW w:w="269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spacing w:val="-1"/>
                <w:sz w:val="18"/>
              </w:rPr>
              <w:t>226,593,750.38</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66.04</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11,329,687.52</w:t>
            </w:r>
          </w:p>
        </w:tc>
      </w:tr>
      <w:tr>
        <w:trPr>
          <w:trHeight w:val="473" w:hRule="exact"/>
        </w:trPr>
        <w:tc>
          <w:tcPr>
            <w:tcW w:w="269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spacing w:val="-1"/>
                <w:sz w:val="18"/>
              </w:rPr>
              <w:t>12,045,252.00</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3.51</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3"/>
              <w:jc w:val="right"/>
              <w:rPr>
                <w:rFonts w:ascii="Times New Roman" w:hAnsi="Times New Roman" w:cs="Times New Roman" w:eastAsia="Times New Roman" w:hint="default"/>
                <w:sz w:val="18"/>
                <w:szCs w:val="18"/>
              </w:rPr>
            </w:pPr>
            <w:r>
              <w:rPr>
                <w:rFonts w:ascii="Times New Roman"/>
                <w:spacing w:val="-1"/>
                <w:sz w:val="18"/>
              </w:rPr>
              <w:t>602,262.60</w:t>
            </w:r>
          </w:p>
        </w:tc>
      </w:tr>
      <w:tr>
        <w:trPr>
          <w:trHeight w:val="476" w:hRule="exact"/>
        </w:trPr>
        <w:tc>
          <w:tcPr>
            <w:tcW w:w="269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3"/>
              <w:ind w:right="4"/>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18"/>
                <w:szCs w:val="18"/>
              </w:rPr>
            </w:pPr>
            <w:r>
              <w:rPr>
                <w:rFonts w:ascii="Times New Roman"/>
                <w:spacing w:val="-1"/>
                <w:sz w:val="18"/>
              </w:rPr>
              <w:t>11,779,650.00</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3" w:right="0"/>
              <w:jc w:val="center"/>
              <w:rPr>
                <w:rFonts w:ascii="Times New Roman" w:hAnsi="Times New Roman" w:cs="Times New Roman" w:eastAsia="Times New Roman" w:hint="default"/>
                <w:sz w:val="18"/>
                <w:szCs w:val="18"/>
              </w:rPr>
            </w:pPr>
            <w:r>
              <w:rPr>
                <w:rFonts w:ascii="Times New Roman"/>
                <w:sz w:val="18"/>
              </w:rPr>
              <w:t>3.43</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3"/>
              <w:jc w:val="right"/>
              <w:rPr>
                <w:rFonts w:ascii="Times New Roman" w:hAnsi="Times New Roman" w:cs="Times New Roman" w:eastAsia="Times New Roman" w:hint="default"/>
                <w:sz w:val="18"/>
                <w:szCs w:val="18"/>
              </w:rPr>
            </w:pPr>
            <w:r>
              <w:rPr>
                <w:rFonts w:ascii="Times New Roman"/>
                <w:spacing w:val="-1"/>
                <w:sz w:val="18"/>
              </w:rPr>
              <w:t>588,982.50</w:t>
            </w:r>
          </w:p>
        </w:tc>
      </w:tr>
      <w:tr>
        <w:trPr>
          <w:trHeight w:val="475" w:hRule="exact"/>
        </w:trPr>
        <w:tc>
          <w:tcPr>
            <w:tcW w:w="269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3"/>
              <w:jc w:val="right"/>
              <w:rPr>
                <w:rFonts w:ascii="Times New Roman" w:hAnsi="Times New Roman" w:cs="Times New Roman" w:eastAsia="Times New Roman" w:hint="default"/>
                <w:sz w:val="18"/>
                <w:szCs w:val="18"/>
              </w:rPr>
            </w:pPr>
            <w:r>
              <w:rPr>
                <w:rFonts w:ascii="Times New Roman"/>
                <w:spacing w:val="-1"/>
                <w:sz w:val="18"/>
              </w:rPr>
              <w:t>8,525,652.20</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2.48</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3"/>
              <w:jc w:val="right"/>
              <w:rPr>
                <w:rFonts w:ascii="Times New Roman" w:hAnsi="Times New Roman" w:cs="Times New Roman" w:eastAsia="Times New Roman" w:hint="default"/>
                <w:sz w:val="18"/>
                <w:szCs w:val="18"/>
              </w:rPr>
            </w:pPr>
            <w:r>
              <w:rPr>
                <w:rFonts w:ascii="Times New Roman"/>
                <w:spacing w:val="-1"/>
                <w:sz w:val="18"/>
              </w:rPr>
              <w:t>426,282.61</w:t>
            </w:r>
          </w:p>
        </w:tc>
      </w:tr>
      <w:tr>
        <w:trPr>
          <w:trHeight w:val="473" w:hRule="exact"/>
        </w:trPr>
        <w:tc>
          <w:tcPr>
            <w:tcW w:w="269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3"/>
              <w:jc w:val="right"/>
              <w:rPr>
                <w:rFonts w:ascii="Times New Roman" w:hAnsi="Times New Roman" w:cs="Times New Roman" w:eastAsia="Times New Roman" w:hint="default"/>
                <w:sz w:val="18"/>
                <w:szCs w:val="18"/>
              </w:rPr>
            </w:pPr>
            <w:r>
              <w:rPr>
                <w:rFonts w:ascii="Times New Roman"/>
                <w:spacing w:val="-1"/>
                <w:sz w:val="18"/>
              </w:rPr>
              <w:t>6,549,172.61</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1.91</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3"/>
              <w:jc w:val="right"/>
              <w:rPr>
                <w:rFonts w:ascii="Times New Roman" w:hAnsi="Times New Roman" w:cs="Times New Roman" w:eastAsia="Times New Roman" w:hint="default"/>
                <w:sz w:val="18"/>
                <w:szCs w:val="18"/>
              </w:rPr>
            </w:pPr>
            <w:r>
              <w:rPr>
                <w:rFonts w:ascii="Times New Roman"/>
                <w:spacing w:val="-1"/>
                <w:sz w:val="18"/>
              </w:rPr>
              <w:t>327,458.63</w:t>
            </w:r>
          </w:p>
        </w:tc>
      </w:tr>
      <w:tr>
        <w:trPr>
          <w:trHeight w:val="475" w:hRule="exact"/>
        </w:trPr>
        <w:tc>
          <w:tcPr>
            <w:tcW w:w="269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spacing w:val="-1"/>
                <w:sz w:val="18"/>
              </w:rPr>
              <w:t>265,493,477.19</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77.37</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spacing w:val="-1"/>
                <w:sz w:val="18"/>
              </w:rPr>
              <w:t>13,274,673.86</w:t>
            </w:r>
          </w:p>
        </w:tc>
      </w:tr>
    </w:tbl>
    <w:p>
      <w:pPr>
        <w:spacing w:line="240" w:lineRule="auto" w:before="3"/>
        <w:rPr>
          <w:rFonts w:ascii="宋体" w:hAnsi="宋体" w:cs="宋体" w:eastAsia="宋体" w:hint="default"/>
          <w:b/>
          <w:bCs/>
          <w:sz w:val="19"/>
          <w:szCs w:val="19"/>
        </w:rPr>
      </w:pPr>
    </w:p>
    <w:p>
      <w:pPr>
        <w:spacing w:before="36"/>
        <w:ind w:left="792" w:right="43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）本期无因金融资产转移而终止确认的应收账款。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792" w:right="43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）本期无转移应收账款且继续涉入形成的资产、负债金额。</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792" w:right="43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792" w:right="43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7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336"/>
        <w:gridCol w:w="1133"/>
        <w:gridCol w:w="737"/>
        <w:gridCol w:w="1090"/>
        <w:gridCol w:w="696"/>
        <w:gridCol w:w="1157"/>
        <w:gridCol w:w="1106"/>
        <w:gridCol w:w="737"/>
        <w:gridCol w:w="1227"/>
        <w:gridCol w:w="670"/>
        <w:gridCol w:w="1104"/>
      </w:tblGrid>
      <w:tr>
        <w:trPr>
          <w:trHeight w:val="403" w:hRule="exact"/>
        </w:trPr>
        <w:tc>
          <w:tcPr>
            <w:tcW w:w="13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481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4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36" w:type="dxa"/>
            <w:vMerge/>
            <w:tcBorders>
              <w:left w:val="single" w:sz="4" w:space="0" w:color="000000"/>
              <w:right w:val="single" w:sz="4" w:space="0" w:color="000000"/>
            </w:tcBorders>
            <w:shd w:val="clear" w:color="auto" w:fill="D2D2D2"/>
          </w:tcPr>
          <w:p>
            <w:pPr/>
          </w:p>
        </w:tc>
        <w:tc>
          <w:tcPr>
            <w:tcW w:w="18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3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4"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1157" w:type="dxa"/>
            <w:vMerge/>
            <w:tcBorders>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0"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110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86" w:footer="1021" w:top="1100" w:bottom="1220" w:left="340" w:right="340"/>
        </w:sectPr>
      </w:pPr>
    </w:p>
    <w:p>
      <w:pPr>
        <w:spacing w:line="240" w:lineRule="auto" w:before="5"/>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314"/>
        <w:gridCol w:w="1144"/>
        <w:gridCol w:w="737"/>
        <w:gridCol w:w="1090"/>
        <w:gridCol w:w="696"/>
        <w:gridCol w:w="1157"/>
        <w:gridCol w:w="1106"/>
        <w:gridCol w:w="737"/>
        <w:gridCol w:w="1227"/>
        <w:gridCol w:w="670"/>
        <w:gridCol w:w="1104"/>
      </w:tblGrid>
      <w:tr>
        <w:trPr>
          <w:trHeight w:val="362"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3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11,466,660.96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1,516,882.00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13.23%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9,949,778.96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33,328,566.41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100.00%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1,995,911.20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31,332,655.21</w:t>
            </w:r>
          </w:p>
        </w:tc>
      </w:tr>
      <w:tr>
        <w:trPr>
          <w:trHeight w:val="403"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11,466,660.96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1,516,882.00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13.23%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9,949,778.96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33,328,566.41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100.00%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1,995,911.20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31,332,655.21</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360" w:right="340"/>
        </w:sectPr>
      </w:pPr>
    </w:p>
    <w:p>
      <w:pPr>
        <w:pStyle w:val="BodyText"/>
        <w:spacing w:line="240" w:lineRule="auto" w:before="49"/>
        <w:ind w:left="772" w:right="-20"/>
        <w:jc w:val="left"/>
      </w:pPr>
      <w:r>
        <w:rPr/>
        <w:t>期末单项金额重大并单项计提坏账准备的其他应收款：</w:t>
      </w:r>
    </w:p>
    <w:p>
      <w:pPr>
        <w:pStyle w:val="BodyText"/>
        <w:spacing w:line="340" w:lineRule="auto" w:before="115"/>
        <w:ind w:left="77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left="77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772" w:right="0"/>
        <w:jc w:val="left"/>
      </w:pPr>
      <w:r>
        <w:rPr/>
        <w:t>单位：</w:t>
      </w:r>
      <w:r>
        <w:rPr>
          <w:spacing w:val="1"/>
        </w:rPr>
        <w:t> </w:t>
      </w:r>
      <w:r>
        <w:rPr/>
        <w:t>元</w:t>
      </w:r>
    </w:p>
    <w:p>
      <w:pPr>
        <w:spacing w:after="0" w:line="240" w:lineRule="auto"/>
        <w:jc w:val="left"/>
        <w:sectPr>
          <w:type w:val="continuous"/>
          <w:pgSz w:w="11910" w:h="16840"/>
          <w:pgMar w:top="1100" w:bottom="1220" w:left="360" w:right="340"/>
          <w:cols w:num="2" w:equalWidth="0">
            <w:col w:w="5093" w:space="3736"/>
            <w:col w:w="2381"/>
          </w:cols>
        </w:sectPr>
      </w:pPr>
    </w:p>
    <w:p>
      <w:pPr>
        <w:spacing w:line="240" w:lineRule="auto" w:before="4"/>
        <w:rPr>
          <w:rFonts w:ascii="宋体" w:hAnsi="宋体" w:cs="宋体" w:eastAsia="宋体" w:hint="default"/>
          <w:sz w:val="8"/>
          <w:szCs w:val="8"/>
        </w:rPr>
      </w:pPr>
    </w:p>
    <w:tbl>
      <w:tblPr>
        <w:tblW w:w="0" w:type="auto"/>
        <w:jc w:val="left"/>
        <w:tblInd w:w="768" w:type="dxa"/>
        <w:tblLayout w:type="fixed"/>
        <w:tblCellMar>
          <w:top w:w="0" w:type="dxa"/>
          <w:left w:w="0" w:type="dxa"/>
          <w:bottom w:w="0" w:type="dxa"/>
          <w:right w:w="0" w:type="dxa"/>
        </w:tblCellMar>
        <w:tblLook w:val="01E0"/>
      </w:tblPr>
      <w:tblGrid>
        <w:gridCol w:w="2494"/>
        <w:gridCol w:w="2295"/>
        <w:gridCol w:w="2391"/>
        <w:gridCol w:w="2391"/>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6,249,643.43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312,482.17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6,249,643.43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312,482.17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2,898,940.72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289,894.07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823,022.73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411,511.37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558,882.66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502,994.39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10,530,489.54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1,516,882.00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360" w:right="340"/>
        </w:sectPr>
      </w:pPr>
    </w:p>
    <w:p>
      <w:pPr>
        <w:pStyle w:val="BodyText"/>
        <w:spacing w:line="348" w:lineRule="auto" w:before="49"/>
        <w:ind w:left="772" w:right="-17"/>
        <w:jc w:val="left"/>
      </w:pPr>
      <w:r>
        <w:rPr/>
        <w:t>确定该组合依据的说明： 详见财务报告五、</w:t>
      </w:r>
      <w:r>
        <w:rPr>
          <w:rFonts w:ascii="Times New Roman" w:hAnsi="Times New Roman" w:cs="Times New Roman" w:eastAsia="Times New Roman" w:hint="default"/>
        </w:rPr>
        <w:t>10</w:t>
      </w:r>
      <w:r>
        <w:rPr/>
        <w:t>、（</w:t>
      </w:r>
      <w:r>
        <w:rPr>
          <w:rFonts w:ascii="Times New Roman" w:hAnsi="Times New Roman" w:cs="Times New Roman" w:eastAsia="Times New Roman" w:hint="default"/>
        </w:rPr>
        <w:t>2</w:t>
      </w:r>
      <w:r>
        <w:rPr/>
        <w:t>）按信用风险特征组合计提坏账准备的应收款项。 组合中，采用余额百分比法计提坏账准备的其他应收款：</w:t>
      </w:r>
    </w:p>
    <w:p>
      <w:pPr>
        <w:pStyle w:val="BodyText"/>
        <w:spacing w:line="240" w:lineRule="auto" w:before="34"/>
        <w:ind w:left="772"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772" w:right="0"/>
        <w:jc w:val="left"/>
      </w:pPr>
      <w:r>
        <w:rPr/>
        <w:t>单位：</w:t>
      </w:r>
      <w:r>
        <w:rPr>
          <w:spacing w:val="1"/>
        </w:rPr>
        <w:t> </w:t>
      </w:r>
      <w:r>
        <w:rPr/>
        <w:t>元</w:t>
      </w:r>
    </w:p>
    <w:p>
      <w:pPr>
        <w:spacing w:after="0" w:line="240" w:lineRule="auto"/>
        <w:jc w:val="left"/>
        <w:sectPr>
          <w:type w:val="continuous"/>
          <w:pgSz w:w="11910" w:h="16840"/>
          <w:pgMar w:top="1100" w:bottom="1220" w:left="360" w:right="340"/>
          <w:cols w:num="2" w:equalWidth="0">
            <w:col w:w="6806" w:space="2024"/>
            <w:col w:w="2380"/>
          </w:cols>
        </w:sectPr>
      </w:pPr>
    </w:p>
    <w:p>
      <w:pPr>
        <w:spacing w:line="240" w:lineRule="auto" w:before="4"/>
        <w:rPr>
          <w:rFonts w:ascii="宋体" w:hAnsi="宋体" w:cs="宋体" w:eastAsia="宋体" w:hint="default"/>
          <w:sz w:val="8"/>
          <w:szCs w:val="8"/>
        </w:rPr>
      </w:pPr>
    </w:p>
    <w:tbl>
      <w:tblPr>
        <w:tblW w:w="0" w:type="auto"/>
        <w:jc w:val="left"/>
        <w:tblInd w:w="768" w:type="dxa"/>
        <w:tblLayout w:type="fixed"/>
        <w:tblCellMar>
          <w:top w:w="0" w:type="dxa"/>
          <w:left w:w="0" w:type="dxa"/>
          <w:bottom w:w="0" w:type="dxa"/>
          <w:right w:w="0" w:type="dxa"/>
        </w:tblCellMar>
        <w:tblLook w:val="01E0"/>
      </w:tblPr>
      <w:tblGrid>
        <w:gridCol w:w="2492"/>
        <w:gridCol w:w="2295"/>
        <w:gridCol w:w="2391"/>
        <w:gridCol w:w="2393"/>
      </w:tblGrid>
      <w:tr>
        <w:trPr>
          <w:trHeight w:val="401" w:hRule="exact"/>
        </w:trPr>
        <w:tc>
          <w:tcPr>
            <w:tcW w:w="24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2"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936,171.42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936,171.42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48" w:lineRule="auto" w:before="49"/>
        <w:ind w:left="772" w:right="4384"/>
        <w:jc w:val="left"/>
      </w:pPr>
      <w:r>
        <w:rPr/>
        <w:t>确定该组合依据的说明： 详见财务报告五、</w:t>
      </w:r>
      <w:r>
        <w:rPr>
          <w:rFonts w:ascii="Times New Roman" w:hAnsi="Times New Roman" w:cs="Times New Roman" w:eastAsia="Times New Roman" w:hint="default"/>
        </w:rPr>
        <w:t>10</w:t>
      </w:r>
      <w:r>
        <w:rPr/>
        <w:t>、（</w:t>
      </w:r>
      <w:r>
        <w:rPr>
          <w:rFonts w:ascii="Times New Roman" w:hAnsi="Times New Roman" w:cs="Times New Roman" w:eastAsia="Times New Roman" w:hint="default"/>
        </w:rPr>
        <w:t>2</w:t>
      </w:r>
      <w:r>
        <w:rPr/>
        <w:t>）按信用风险特征组合计提坏账准备的应收款项。 组合中，采用其他方法计提坏账准备的其他应收款：</w:t>
      </w:r>
    </w:p>
    <w:p>
      <w:pPr>
        <w:pStyle w:val="BodyText"/>
        <w:spacing w:line="240" w:lineRule="auto" w:before="34"/>
        <w:ind w:left="772" w:right="43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6"/>
          <w:szCs w:val="26"/>
        </w:rPr>
      </w:pPr>
    </w:p>
    <w:p>
      <w:pPr>
        <w:pStyle w:val="Heading3"/>
        <w:spacing w:line="240" w:lineRule="auto"/>
        <w:ind w:left="772" w:right="0"/>
        <w:jc w:val="left"/>
        <w:rPr>
          <w:b w:val="0"/>
          <w:bCs w:val="0"/>
        </w:rPr>
      </w:pPr>
      <w:r>
        <w:rPr/>
        <w:t>（</w:t>
      </w:r>
      <w:r>
        <w:rPr>
          <w:rFonts w:ascii="Times New Roman" w:hAnsi="Times New Roman" w:cs="Times New Roman" w:eastAsia="Times New Roman" w:hint="default"/>
        </w:rPr>
        <w:t>2</w:t>
      </w:r>
      <w:r>
        <w:rPr/>
        <w:t>）本期计提的坏账准备金额</w:t>
      </w:r>
      <w:r>
        <w:rPr>
          <w:rFonts w:ascii="Times New Roman" w:hAnsi="Times New Roman" w:cs="Times New Roman" w:eastAsia="Times New Roman" w:hint="default"/>
        </w:rPr>
        <w:t>-479,029.20</w:t>
      </w:r>
      <w:r>
        <w:rPr>
          <w:rFonts w:ascii="Times New Roman" w:hAnsi="Times New Roman" w:cs="Times New Roman" w:eastAsia="Times New Roman" w:hint="default"/>
          <w:spacing w:val="-6"/>
        </w:rPr>
        <w:t> </w:t>
      </w:r>
      <w:r>
        <w:rPr/>
        <w:t>元；本期无收回或转回的坏账准备</w:t>
      </w:r>
      <w:r>
        <w:rPr>
          <w:b w:val="0"/>
          <w:bCs w:val="0"/>
        </w:rPr>
      </w:r>
    </w:p>
    <w:p>
      <w:pPr>
        <w:spacing w:line="240" w:lineRule="auto" w:before="5"/>
        <w:rPr>
          <w:rFonts w:ascii="宋体" w:hAnsi="宋体" w:cs="宋体" w:eastAsia="宋体" w:hint="default"/>
          <w:b/>
          <w:bCs/>
          <w:sz w:val="24"/>
          <w:szCs w:val="24"/>
        </w:rPr>
      </w:pPr>
    </w:p>
    <w:p>
      <w:pPr>
        <w:spacing w:before="0"/>
        <w:ind w:left="772" w:right="43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）本期无实际核销的其他应收款情况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00" w:bottom="1220" w:left="360" w:right="340"/>
        </w:sectPr>
      </w:pPr>
    </w:p>
    <w:p>
      <w:pPr>
        <w:spacing w:line="240" w:lineRule="auto" w:before="9"/>
        <w:rPr>
          <w:rFonts w:ascii="宋体" w:hAnsi="宋体" w:cs="宋体" w:eastAsia="宋体" w:hint="default"/>
          <w:b/>
          <w:bCs/>
          <w:sz w:val="21"/>
          <w:szCs w:val="21"/>
        </w:rPr>
      </w:pPr>
    </w:p>
    <w:p>
      <w:pPr>
        <w:spacing w:before="36"/>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6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936,171.42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344,114.48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3,151,769.22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25,286,935.80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6,028,793.16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5,662,379.33</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338,784.01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405,136.80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1,011,143.15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1,630,000.00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11,466,660.96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33,328,566.41</w:t>
            </w:r>
          </w:p>
        </w:tc>
      </w:tr>
    </w:tbl>
    <w:p>
      <w:pPr>
        <w:spacing w:line="240" w:lineRule="auto" w:before="3"/>
        <w:rPr>
          <w:rFonts w:ascii="宋体" w:hAnsi="宋体" w:cs="宋体" w:eastAsia="宋体" w:hint="default"/>
          <w:sz w:val="19"/>
          <w:szCs w:val="19"/>
        </w:rPr>
      </w:pPr>
    </w:p>
    <w:p>
      <w:pPr>
        <w:pStyle w:val="Heading3"/>
        <w:spacing w:line="240" w:lineRule="auto" w:before="36"/>
        <w:ind w:left="532"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6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136"/>
        <w:gridCol w:w="1418"/>
        <w:gridCol w:w="1277"/>
        <w:gridCol w:w="3401"/>
        <w:gridCol w:w="1702"/>
        <w:gridCol w:w="1702"/>
      </w:tblGrid>
      <w:tr>
        <w:trPr>
          <w:trHeight w:val="71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5" w:right="34"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2,975,684.51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1"/>
                <w:sz w:val="18"/>
                <w:szCs w:val="18"/>
              </w:rPr>
              <w:t>1</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年为</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1</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543,240.79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9"/>
              <w:ind w:left="-11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1114" w:right="0"/>
              <w:jc w:val="left"/>
              <w:rPr>
                <w:rFonts w:ascii="Times New Roman" w:hAnsi="Times New Roman" w:cs="Times New Roman" w:eastAsia="Times New Roman" w:hint="default"/>
                <w:sz w:val="18"/>
                <w:szCs w:val="18"/>
              </w:rPr>
            </w:pPr>
            <w:r>
              <w:rPr>
                <w:rFonts w:ascii="Times New Roman"/>
                <w:sz w:val="18"/>
              </w:rPr>
              <w:t>25.95%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486,749.27</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1,866,979.91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93,349.00</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991,143.15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年以内为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861,143.15</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130,000.00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56,057.16</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936,171.42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7,269,978.99</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661,155.43</w:t>
            </w:r>
          </w:p>
        </w:tc>
      </w:tr>
    </w:tbl>
    <w:p>
      <w:pPr>
        <w:spacing w:line="240" w:lineRule="auto" w:before="3"/>
        <w:rPr>
          <w:rFonts w:ascii="宋体" w:hAnsi="宋体" w:cs="宋体" w:eastAsia="宋体" w:hint="default"/>
          <w:sz w:val="19"/>
          <w:szCs w:val="19"/>
        </w:rPr>
      </w:pPr>
    </w:p>
    <w:p>
      <w:pPr>
        <w:pStyle w:val="Heading3"/>
        <w:spacing w:line="240" w:lineRule="auto" w:before="36"/>
        <w:ind w:left="532" w:right="0"/>
        <w:jc w:val="left"/>
        <w:rPr>
          <w:b w:val="0"/>
          <w:bCs w:val="0"/>
        </w:rPr>
      </w:pPr>
      <w:r>
        <w:rPr/>
        <w:t>（</w:t>
      </w:r>
      <w:r>
        <w:rPr>
          <w:rFonts w:ascii="Times New Roman" w:hAnsi="Times New Roman" w:cs="Times New Roman" w:eastAsia="Times New Roman" w:hint="default"/>
        </w:rPr>
        <w:t>6</w:t>
      </w:r>
      <w:r>
        <w:rPr/>
        <w:t>）本期无涉及政府补助的应收款项。</w:t>
      </w:r>
      <w:r>
        <w:rPr>
          <w:b w:val="0"/>
          <w:bCs w:val="0"/>
        </w:rPr>
      </w:r>
    </w:p>
    <w:p>
      <w:pPr>
        <w:spacing w:line="240" w:lineRule="auto" w:before="7"/>
        <w:rPr>
          <w:rFonts w:ascii="宋体" w:hAnsi="宋体" w:cs="宋体" w:eastAsia="宋体" w:hint="default"/>
          <w:b/>
          <w:bCs/>
          <w:sz w:val="24"/>
          <w:szCs w:val="24"/>
        </w:rPr>
      </w:pPr>
    </w:p>
    <w:p>
      <w:pPr>
        <w:spacing w:before="0"/>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）本期无因金融资产转移而终止确认的其他应收款。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）本期无转移其他应收款且继续涉入形成的资产、负债金额。</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69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54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4"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153,662,718.86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153,662,718.86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68,662,718.86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68,662,718.86</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153,662,718.86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153,662,718.86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68,662,718.86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68,662,718.86</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600" w:right="440"/>
        </w:sectPr>
      </w:pPr>
    </w:p>
    <w:p>
      <w:pPr>
        <w:spacing w:line="240" w:lineRule="auto" w:before="9"/>
        <w:rPr>
          <w:rFonts w:ascii="宋体" w:hAnsi="宋体" w:cs="宋体" w:eastAsia="宋体" w:hint="default"/>
          <w:sz w:val="21"/>
          <w:szCs w:val="21"/>
        </w:rPr>
      </w:pPr>
    </w:p>
    <w:p>
      <w:pPr>
        <w:pStyle w:val="Heading3"/>
        <w:spacing w:line="240" w:lineRule="auto" w:before="36"/>
        <w:ind w:left="532" w:right="7834"/>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5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554"/>
        <w:gridCol w:w="1136"/>
        <w:gridCol w:w="1133"/>
        <w:gridCol w:w="1136"/>
        <w:gridCol w:w="1274"/>
        <w:gridCol w:w="1561"/>
        <w:gridCol w:w="1702"/>
      </w:tblGrid>
      <w:tr>
        <w:trPr>
          <w:trHeight w:val="403" w:hRule="exact"/>
        </w:trPr>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40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4,992,258.86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4,992,258.86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pacing w:val="-2"/>
                <w:sz w:val="18"/>
                <w:szCs w:val="18"/>
              </w:rPr>
              <w:t>御银（中国）科技国际有限公司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670,460.00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670,460.00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77"/>
              <w:jc w:val="left"/>
              <w:rPr>
                <w:rFonts w:ascii="宋体" w:hAnsi="宋体" w:cs="宋体" w:eastAsia="宋体" w:hint="default"/>
                <w:sz w:val="18"/>
                <w:szCs w:val="18"/>
              </w:rPr>
            </w:pPr>
            <w:r>
              <w:rPr>
                <w:rFonts w:ascii="宋体" w:hAnsi="宋体" w:cs="宋体" w:eastAsia="宋体" w:hint="default"/>
                <w:sz w:val="18"/>
                <w:szCs w:val="18"/>
              </w:rPr>
              <w:t>广州御银自动柜员机科技有限 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北京青年御银科技有限公司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68,662,718.86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153,662,718.86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left="532" w:right="544"/>
        <w:jc w:val="left"/>
        <w:rPr>
          <w:b w:val="0"/>
          <w:bCs w:val="0"/>
        </w:rPr>
      </w:pPr>
      <w:r>
        <w:rPr/>
        <w:t>（</w:t>
      </w:r>
      <w:r>
        <w:rPr>
          <w:rFonts w:ascii="Times New Roman" w:hAnsi="Times New Roman" w:cs="Times New Roman" w:eastAsia="Times New Roman" w:hint="default"/>
        </w:rPr>
        <w:t>2</w:t>
      </w:r>
      <w:r>
        <w:rPr/>
        <w:t>）本报告期无对联营、合营企业投资的情况。</w:t>
      </w:r>
      <w:r>
        <w:rPr>
          <w:b w:val="0"/>
          <w:bCs w:val="0"/>
        </w:rPr>
      </w:r>
    </w:p>
    <w:p>
      <w:pPr>
        <w:spacing w:line="240" w:lineRule="auto" w:before="7"/>
        <w:rPr>
          <w:rFonts w:ascii="宋体" w:hAnsi="宋体" w:cs="宋体" w:eastAsia="宋体" w:hint="default"/>
          <w:b/>
          <w:bCs/>
          <w:sz w:val="24"/>
          <w:szCs w:val="24"/>
        </w:rPr>
      </w:pPr>
    </w:p>
    <w:p>
      <w:pPr>
        <w:spacing w:before="0"/>
        <w:ind w:left="532" w:right="78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5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996,196,343.85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759,395,434.93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896,878,073.43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633,874,675.45</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63,325,621.59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32,766,743.66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11,429,424.86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9,404,694.96</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1,059,521,965.44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792,162,178.59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908,307,498.29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643,279,370.41</w:t>
            </w:r>
          </w:p>
        </w:tc>
      </w:tr>
    </w:tbl>
    <w:p>
      <w:pPr>
        <w:spacing w:line="240" w:lineRule="auto" w:before="3"/>
        <w:rPr>
          <w:rFonts w:ascii="宋体" w:hAnsi="宋体" w:cs="宋体" w:eastAsia="宋体" w:hint="default"/>
          <w:sz w:val="19"/>
          <w:szCs w:val="19"/>
        </w:rPr>
      </w:pPr>
    </w:p>
    <w:p>
      <w:pPr>
        <w:pStyle w:val="Heading3"/>
        <w:spacing w:line="240" w:lineRule="auto" w:before="36"/>
        <w:ind w:left="532" w:right="7834"/>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5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54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17,052.00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15,225.00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134,880.00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-2,517,263.25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1,502,716.41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97,634,668.75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1,517,941.41</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600" w:right="580"/>
        </w:sectPr>
      </w:pPr>
    </w:p>
    <w:p>
      <w:pPr>
        <w:spacing w:line="240" w:lineRule="auto" w:before="6"/>
        <w:rPr>
          <w:rFonts w:ascii="宋体" w:hAnsi="宋体" w:cs="宋体" w:eastAsia="宋体" w:hint="default"/>
          <w:sz w:val="20"/>
          <w:szCs w:val="20"/>
        </w:rPr>
      </w:pPr>
    </w:p>
    <w:p>
      <w:pPr>
        <w:pStyle w:val="Heading2"/>
        <w:spacing w:line="240" w:lineRule="auto" w:before="26"/>
        <w:ind w:right="153"/>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917"/>
        <w:gridCol w:w="122"/>
        <w:gridCol w:w="1023"/>
        <w:gridCol w:w="497"/>
      </w:tblGrid>
      <w:tr>
        <w:trPr>
          <w:trHeight w:val="402" w:hRule="exact"/>
        </w:trPr>
        <w:tc>
          <w:tcPr>
            <w:tcW w:w="7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7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14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-4,533,606.53</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计入当期损益的政府补助（与企业业务密切相关，按照国家统一标准定额或定量享受的政府补助除外</w:t>
            </w:r>
          </w:p>
        </w:tc>
        <w:tc>
          <w:tcPr>
            <w:tcW w:w="122"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w:t>
            </w:r>
          </w:p>
        </w:tc>
        <w:tc>
          <w:tcPr>
            <w:tcW w:w="1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1,854,600.00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
              <w:jc w:val="left"/>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除同公司正常经营业务相关的有效套期保值业务外，持有交易性金融资产、交易性金融负债产生的公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允价值变动损益，以及处置交易性金融资产、交易性金融负债和可供出售金融资产取得的投资收益</w:t>
            </w:r>
          </w:p>
        </w:tc>
        <w:tc>
          <w:tcPr>
            <w:tcW w:w="114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-1,326,180.55</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4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-2,850,336.28</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4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-1,042,731.16</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5"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-5,812,792.20</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525"/>
        <w:gridCol w:w="1208"/>
        <w:gridCol w:w="1913"/>
        <w:gridCol w:w="1913"/>
      </w:tblGrid>
      <w:tr>
        <w:trPr>
          <w:trHeight w:val="206" w:hRule="exact"/>
        </w:trPr>
        <w:tc>
          <w:tcPr>
            <w:tcW w:w="45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37" w:right="58" w:hanging="180"/>
              <w:jc w:val="left"/>
              <w:rPr>
                <w:rFonts w:ascii="宋体" w:hAnsi="宋体" w:cs="宋体" w:eastAsia="宋体" w:hint="default"/>
                <w:sz w:val="18"/>
                <w:szCs w:val="18"/>
              </w:rPr>
            </w:pPr>
            <w:r>
              <w:rPr>
                <w:rFonts w:ascii="宋体" w:hAnsi="宋体" w:cs="宋体" w:eastAsia="宋体" w:hint="default"/>
                <w:sz w:val="18"/>
                <w:szCs w:val="18"/>
              </w:rPr>
              <w:t>加权平均净资 产收益率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45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208"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52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5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39" w:hRule="exact"/>
        </w:trPr>
        <w:tc>
          <w:tcPr>
            <w:tcW w:w="4525"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08" w:type="dxa"/>
            <w:tcBorders>
              <w:top w:val="single" w:sz="18" w:space="0" w:color="D2D2D2"/>
              <w:left w:val="single" w:sz="12" w:space="0" w:color="D2D2D2"/>
              <w:bottom w:val="single" w:sz="5" w:space="0" w:color="FFFFFF"/>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18"/>
                <w:szCs w:val="18"/>
              </w:rPr>
            </w:pPr>
            <w:r>
              <w:rPr>
                <w:rFonts w:ascii="Times New Roman"/>
                <w:sz w:val="18"/>
              </w:rPr>
              <w:t>4.25%</w:t>
            </w:r>
          </w:p>
        </w:tc>
        <w:tc>
          <w:tcPr>
            <w:tcW w:w="1913" w:type="dxa"/>
            <w:tcBorders>
              <w:top w:val="single" w:sz="4" w:space="0" w:color="000000"/>
              <w:left w:val="single" w:sz="4" w:space="0" w:color="000000"/>
              <w:bottom w:val="single" w:sz="5" w:space="0" w:color="FFFFFF"/>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0.09</w:t>
            </w:r>
          </w:p>
        </w:tc>
        <w:tc>
          <w:tcPr>
            <w:tcW w:w="1913" w:type="dxa"/>
            <w:tcBorders>
              <w:top w:val="single" w:sz="4" w:space="0" w:color="000000"/>
              <w:left w:val="single" w:sz="4" w:space="0" w:color="000000"/>
              <w:bottom w:val="single" w:sz="5" w:space="0" w:color="FFFFFF"/>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r>
      <w:tr>
        <w:trPr>
          <w:trHeight w:val="500" w:hRule="exact"/>
        </w:trPr>
        <w:tc>
          <w:tcPr>
            <w:tcW w:w="4525" w:type="dxa"/>
            <w:tcBorders>
              <w:top w:val="single" w:sz="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79"/>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208" w:type="dxa"/>
            <w:tcBorders>
              <w:top w:val="single" w:sz="5" w:space="0" w:color="FFFFFF"/>
              <w:left w:val="single" w:sz="12" w:space="0" w:color="D2D2D2"/>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4.61%</w:t>
            </w:r>
          </w:p>
        </w:tc>
        <w:tc>
          <w:tcPr>
            <w:tcW w:w="1913" w:type="dxa"/>
            <w:tcBorders>
              <w:top w:val="single" w:sz="5" w:space="0" w:color="FFFFFF"/>
              <w:left w:val="single" w:sz="4" w:space="0" w:color="000000"/>
              <w:bottom w:val="single" w:sz="4" w:space="0" w:color="000000"/>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pacing w:val="-1"/>
                <w:sz w:val="18"/>
              </w:rPr>
              <w:t>0.0989</w:t>
            </w:r>
          </w:p>
        </w:tc>
        <w:tc>
          <w:tcPr>
            <w:tcW w:w="1913" w:type="dxa"/>
            <w:tcBorders>
              <w:top w:val="single" w:sz="5"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0.0989</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1" w:top="1100" w:bottom="122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1"/>
        <w:spacing w:line="240" w:lineRule="auto"/>
        <w:ind w:left="3285" w:right="153"/>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9"/>
        <w:rPr>
          <w:rFonts w:ascii="宋体" w:hAnsi="宋体" w:cs="宋体" w:eastAsia="宋体" w:hint="default"/>
          <w:b/>
          <w:bCs/>
          <w:sz w:val="42"/>
          <w:szCs w:val="42"/>
        </w:rPr>
      </w:pPr>
    </w:p>
    <w:p>
      <w:pPr>
        <w:pStyle w:val="BodyText"/>
        <w:spacing w:line="240" w:lineRule="auto"/>
        <w:ind w:right="153"/>
        <w:jc w:val="left"/>
      </w:pPr>
      <w:r>
        <w:rPr/>
        <w:t>（一）载有法定代表人、主管会计负责人、会计机构负责人签名并盖章的会计报表。</w:t>
      </w:r>
    </w:p>
    <w:p>
      <w:pPr>
        <w:pStyle w:val="BodyText"/>
        <w:spacing w:line="240" w:lineRule="auto" w:before="76"/>
        <w:ind w:right="153"/>
        <w:jc w:val="left"/>
      </w:pPr>
      <w:r>
        <w:rPr/>
        <w:t>（二）载有会计师事务所盖章、注册会计师签名并盖章的审计报告原件。</w:t>
      </w:r>
    </w:p>
    <w:p>
      <w:pPr>
        <w:pStyle w:val="BodyText"/>
        <w:spacing w:line="240" w:lineRule="auto" w:before="76"/>
        <w:ind w:right="153"/>
        <w:jc w:val="left"/>
      </w:pPr>
      <w:r>
        <w:rPr/>
        <w:t>（三）报告期内在中国证监会指定报纸上公开披露过的所有公司文件的正本及公告的原稿。</w:t>
      </w:r>
    </w:p>
    <w:sectPr>
      <w:pgSz w:w="11910" w:h="16840"/>
      <w:pgMar w:header="786" w:footer="1021" w:top="1100" w:bottom="122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93.453918pt;width:6.5pt;height:11pt;mso-position-horizontal-relative:page;mso-position-vertical-relative:page;z-index:-8304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3.15pt;height:11pt;mso-position-horizontal-relative:page;mso-position-vertical-relative:page;z-index:-830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3.15pt;height:11pt;mso-position-horizontal-relative:page;mso-position-vertical-relative:page;z-index:-830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79.893921pt;width:15.7pt;height:11pt;mso-position-horizontal-relative:page;mso-position-vertical-relative:page;z-index:-8304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7.7pt;height:11pt;mso-position-horizontal-relative:page;mso-position-vertical-relative:page;z-index:-830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7.3pt;height:11pt;mso-position-horizontal-relative:page;mso-position-vertical-relative:page;z-index:-830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7.7pt;height:11pt;mso-position-horizontal-relative:page;mso-position-vertical-relative:page;z-index:-830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7.7pt;height:11pt;mso-position-horizontal-relative:page;mso-position-vertical-relative:page;z-index:-830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8.305607pt;width:195.75pt;height:11.5pt;mso-position-horizontal-relative:page;mso-position-vertical-relative:page;z-index:-830512" type="#_x0000_t202" filled="false" stroked="false">
          <v:textbox inset="0,0,0,0">
            <w:txbxContent>
              <w:p>
                <w:pPr>
                  <w:pStyle w:val="BodyText"/>
                  <w:spacing w:line="214" w:lineRule="exact"/>
                  <w:ind w:left="20" w:right="0"/>
                  <w:jc w:val="left"/>
                </w:pPr>
                <w:r>
                  <w:rPr/>
                  <w:t>广州御银科技股份有限公司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52"/>
    </w:pPr>
    <w:rPr>
      <w:rFonts w:ascii="宋体" w:hAnsi="宋体" w:eastAsia="宋体"/>
      <w:b/>
      <w:bCs/>
      <w:sz w:val="24"/>
      <w:szCs w:val="24"/>
    </w:rPr>
  </w:style>
  <w:style w:styleId="TOC2" w:type="paragraph">
    <w:name w:val="TOC 2"/>
    <w:basedOn w:val="Normal"/>
    <w:uiPriority w:val="1"/>
    <w:qFormat/>
    <w:pPr>
      <w:spacing w:before="187"/>
      <w:ind w:left="152"/>
    </w:pPr>
    <w:rPr>
      <w:rFonts w:ascii="宋体" w:hAnsi="宋体" w:eastAsia="宋体"/>
      <w:b/>
      <w:bCs/>
      <w:sz w:val="22"/>
      <w:szCs w:val="22"/>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429"/>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kingteller.com.cn/" TargetMode="External"/><Relationship Id="rId10" Type="http://schemas.openxmlformats.org/officeDocument/2006/relationships/hyperlink" Target="mailto:zqb@kingteller.com.cn" TargetMode="External"/><Relationship Id="rId11" Type="http://schemas.openxmlformats.org/officeDocument/2006/relationships/hyperlink" Target="http://www.cninfo.com.cn/" TargetMode="External"/><Relationship Id="rId12" Type="http://schemas.openxmlformats.org/officeDocument/2006/relationships/hyperlink" Target="http://www.cninfo.com/" TargetMode="External"/><Relationship Id="rId13" Type="http://schemas.openxmlformats.org/officeDocument/2006/relationships/hyperlink" Target="http://www.cninfo.com.cn&#21002;&#30331;/" TargetMode="External"/><Relationship Id="rId14" Type="http://schemas.openxmlformats.org/officeDocument/2006/relationships/hyperlink" Target="http://www.cninfo.c/" TargetMode="External"/><Relationship Id="rId15" Type="http://schemas.openxmlformats.org/officeDocument/2006/relationships/image" Target="media/image2.png"/><Relationship Id="rId16" Type="http://schemas.openxmlformats.org/officeDocument/2006/relationships/footer" Target="footer3.xml"/><Relationship Id="rId17" Type="http://schemas.openxmlformats.org/officeDocument/2006/relationships/hyperlink" Target="http://www.cninfo.com.cn/)%E4%B8%BA%E5%85%AC%E5%8F%B8%E4%BF%A1%E6%81%AF%E6%8A%AB%E9%9C%B2%E7%9A%84%E6%8A%A5%E7%BA%B8%E5%92%8C%E7%BD%91%E7%AB%99" TargetMode="External"/><Relationship Id="rId18" Type="http://schemas.openxmlformats.org/officeDocument/2006/relationships/hyperlink" Target="http://www.cninfo.com.cn/)%E5%8F%8A" TargetMode="External"/><Relationship Id="rId19" Type="http://schemas.openxmlformats.org/officeDocument/2006/relationships/hyperlink" Target="http://www.cninfo.com.cn/)%E7%9A%84" TargetMode="Externa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2020-05-04T12:40:47Z</dcterms:created>
  <dcterms:modified xsi:type="dcterms:W3CDTF">2020-05-04T12:40:47Z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2016-04-11T00:00:00Z</vt:filetime>
  </property>
  <property fmtid="{D5CDD505-2E9C-101B-9397-08002B2CF9AE}" pid="3" name="Creator">
    <vt:lpwstr>Microsoft® Office Word 2007</vt:lpwstr>
  </property>
  <property fmtid="{D5CDD505-2E9C-101B-9397-08002B2CF9AE}" pid="4" name="LastSaved">
    <vt:filetime>2020-05-04T00:00:00Z</vt:filetime>
  </property>
</Properties>
</file>