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tabs>
          <w:tab w:pos="6036" w:val="left" w:leader="none"/>
        </w:tabs>
        <w:spacing w:before="13"/>
        <w:ind w:left="19" w:right="0" w:firstLine="0"/>
        <w:jc w:val="center"/>
        <w:rPr>
          <w:rFonts w:ascii="宋体" w:hAnsi="宋体" w:cs="宋体" w:eastAsia="宋体" w:hint="default"/>
          <w:sz w:val="28"/>
          <w:szCs w:val="28"/>
        </w:rPr>
      </w:pPr>
      <w:r>
        <w:rPr/>
        <w:pict>
          <v:group style="position:absolute;margin-left:55.200001pt;margin-top:-49.958431pt;width:485pt;height:.1pt;mso-position-horizontal-relative:page;mso-position-vertical-relative:paragraph;z-index:0" coordorigin="1104,-999" coordsize="9700,2">
            <v:shape style="position:absolute;left:1104;top:-999;width:9700;height:2" coordorigin="1104,-999" coordsize="9700,0" path="m1104,-999l10804,-999e" filled="false" stroked="true" strokeweight=".72pt" strokecolor="#000000">
              <v:path arrowok="t"/>
            </v:shape>
            <w10:wrap type="none"/>
          </v:group>
        </w:pict>
      </w:r>
      <w:r>
        <w:rPr>
          <w:rFonts w:ascii="宋体" w:hAnsi="宋体" w:cs="宋体" w:eastAsia="宋体" w:hint="default"/>
          <w:w w:val="95"/>
          <w:sz w:val="28"/>
          <w:szCs w:val="28"/>
        </w:rPr>
        <w:t>证券代码：</w:t>
      </w:r>
      <w:r>
        <w:rPr>
          <w:rFonts w:ascii="Times New Roman" w:hAnsi="Times New Roman" w:cs="Times New Roman" w:eastAsia="Times New Roman" w:hint="default"/>
          <w:w w:val="95"/>
          <w:sz w:val="28"/>
          <w:szCs w:val="28"/>
        </w:rPr>
        <w:t>002177</w:t>
        <w:tab/>
      </w:r>
      <w:r>
        <w:rPr>
          <w:rFonts w:ascii="宋体" w:hAnsi="宋体" w:cs="宋体" w:eastAsia="宋体" w:hint="default"/>
          <w:sz w:val="28"/>
          <w:szCs w:val="28"/>
        </w:rPr>
        <w:t>证券简称：御银股份</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39"/>
          <w:szCs w:val="39"/>
        </w:rPr>
      </w:pPr>
    </w:p>
    <w:p>
      <w:pPr>
        <w:spacing w:before="0"/>
        <w:ind w:left="0" w:right="0" w:firstLine="0"/>
        <w:jc w:val="center"/>
        <w:rPr>
          <w:rFonts w:ascii="宋体" w:hAnsi="宋体" w:cs="宋体" w:eastAsia="宋体" w:hint="default"/>
          <w:sz w:val="52"/>
          <w:szCs w:val="52"/>
        </w:rPr>
      </w:pPr>
      <w:r>
        <w:rPr>
          <w:rFonts w:ascii="宋体" w:hAnsi="宋体" w:cs="宋体" w:eastAsia="宋体" w:hint="default"/>
          <w:b/>
          <w:bCs/>
          <w:spacing w:val="2"/>
          <w:sz w:val="52"/>
          <w:szCs w:val="52"/>
        </w:rPr>
        <w:t>广州御银科技股份有限公司</w:t>
      </w:r>
      <w:r>
        <w:rPr>
          <w:rFonts w:ascii="宋体" w:hAnsi="宋体" w:cs="宋体" w:eastAsia="宋体" w:hint="default"/>
          <w:sz w:val="52"/>
          <w:szCs w:val="52"/>
        </w:rPr>
      </w:r>
    </w:p>
    <w:p>
      <w:pPr>
        <w:spacing w:before="393"/>
        <w:ind w:left="0" w:right="0"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2017</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line="1644" w:lineRule="exact"/>
        <w:ind w:left="4627"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83303" cy="104413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683303"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1"/>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公司负责人谭骅、主管会计工作负责人陈国军及会计机构负责人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陈国军声明：保证年度报告中财务报告的真实、准确、完整。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年度报告涉及未来计划等前瞻性陈述，只是公司生产经营计划的预测，不</w:t>
      </w:r>
      <w:r>
        <w:rPr>
          <w:rFonts w:ascii="宋体" w:hAnsi="宋体" w:cs="宋体" w:eastAsia="宋体" w:hint="default"/>
          <w:spacing w:val="3"/>
          <w:sz w:val="28"/>
          <w:szCs w:val="28"/>
        </w:rPr>
      </w:r>
    </w:p>
    <w:p>
      <w:pPr>
        <w:spacing w:line="410" w:lineRule="auto" w:before="0"/>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构成公司对投资者的实质性承诺，投资者及相关人士均应当对此保持足够的风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险意识，并且应当理解计划、预测与承诺之间的差异。</w:t>
      </w:r>
      <w:r>
        <w:rPr>
          <w:rFonts w:ascii="宋体" w:hAnsi="宋体" w:cs="宋体" w:eastAsia="宋体" w:hint="default"/>
          <w:sz w:val="28"/>
          <w:szCs w:val="28"/>
        </w:rPr>
      </w:r>
    </w:p>
    <w:p>
      <w:pPr>
        <w:spacing w:line="398" w:lineRule="auto" w:before="158"/>
        <w:ind w:left="1133" w:right="1137"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公司已在本报告中详细描述存在的行业风险、市场风险等，敬请投资者予</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以关注，详见本年度报告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第四节经营情况讨论与分析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中有关公司面临风险的</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z w:val="28"/>
          <w:szCs w:val="28"/>
        </w:rPr>
        <w:t>描述。</w:t>
      </w:r>
      <w:r>
        <w:rPr>
          <w:rFonts w:ascii="宋体" w:hAnsi="宋体" w:cs="宋体" w:eastAsia="宋体" w:hint="default"/>
          <w:sz w:val="28"/>
          <w:szCs w:val="28"/>
        </w:rPr>
      </w:r>
    </w:p>
    <w:p>
      <w:pPr>
        <w:spacing w:before="171"/>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761191294</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0.15</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139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32"/>
        <w:gridCol w:w="517"/>
        <w:gridCol w:w="7752"/>
      </w:tblGrid>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御银有限</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广州御银科技有限公司，公司改组为股份有限公司前的主体</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中华人民共和国法定货币人民币元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广州御新</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广州御新软件有限公司，公司下属全资子公司，持有其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自动柜员机技术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广州御银自动柜员机技术有限公司，公司下属全资子公司，通过广州御新持有其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63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安徽御银</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41"/>
              <w:jc w:val="left"/>
              <w:rPr>
                <w:rFonts w:ascii="宋体" w:hAnsi="宋体" w:cs="宋体" w:eastAsia="宋体" w:hint="default"/>
                <w:sz w:val="18"/>
                <w:szCs w:val="18"/>
              </w:rPr>
            </w:pPr>
            <w:r>
              <w:rPr>
                <w:rFonts w:ascii="宋体" w:hAnsi="宋体" w:cs="宋体" w:eastAsia="宋体" w:hint="default"/>
                <w:sz w:val="18"/>
                <w:szCs w:val="18"/>
              </w:rPr>
              <w:t>安徽御银电子科技有限公司，公司下属全资子公司，持有其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股权，公司于第五届董事会第十 二次会议审议通过拟将其注销</w:t>
            </w:r>
          </w:p>
        </w:tc>
      </w:tr>
      <w:tr>
        <w:trPr>
          <w:trHeight w:val="392" w:hRule="exact"/>
        </w:trPr>
        <w:tc>
          <w:tcPr>
            <w:tcW w:w="163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vMerge/>
            <w:tcBorders>
              <w:left w:val="single" w:sz="9" w:space="0" w:color="D2D2D2"/>
              <w:right w:val="single" w:sz="4" w:space="0" w:color="000000"/>
            </w:tcBorders>
          </w:tcPr>
          <w:p>
            <w:pPr/>
          </w:p>
        </w:tc>
      </w:tr>
      <w:tr>
        <w:trPr>
          <w:trHeight w:val="161" w:hRule="exact"/>
        </w:trPr>
        <w:tc>
          <w:tcPr>
            <w:tcW w:w="163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2" w:type="dxa"/>
            <w:vMerge/>
            <w:tcBorders>
              <w:left w:val="single" w:sz="9" w:space="0" w:color="D2D2D2"/>
              <w:bottom w:val="single" w:sz="4" w:space="0" w:color="000000"/>
              <w:right w:val="single" w:sz="4" w:space="0" w:color="000000"/>
            </w:tcBorders>
          </w:tcPr>
          <w:p>
            <w:pPr/>
          </w:p>
        </w:tc>
      </w:tr>
      <w:tr>
        <w:trPr>
          <w:trHeight w:val="161" w:hRule="exact"/>
        </w:trPr>
        <w:tc>
          <w:tcPr>
            <w:tcW w:w="163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御银金融</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31"/>
              <w:jc w:val="left"/>
              <w:rPr>
                <w:rFonts w:ascii="宋体" w:hAnsi="宋体" w:cs="宋体" w:eastAsia="宋体" w:hint="default"/>
                <w:sz w:val="18"/>
                <w:szCs w:val="18"/>
              </w:rPr>
            </w:pPr>
            <w:r>
              <w:rPr>
                <w:rFonts w:ascii="宋体" w:hAnsi="宋体" w:cs="宋体" w:eastAsia="宋体" w:hint="default"/>
                <w:sz w:val="18"/>
                <w:szCs w:val="18"/>
              </w:rPr>
              <w:t>广州御银金融服务有限公司，公司下属全资子公司，直接持有其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股权，通过广州御新持有其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股权，公司合共持有其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2" w:hRule="exact"/>
        </w:trPr>
        <w:tc>
          <w:tcPr>
            <w:tcW w:w="163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vMerge/>
            <w:tcBorders>
              <w:left w:val="single" w:sz="9" w:space="0" w:color="D2D2D2"/>
              <w:right w:val="single" w:sz="4" w:space="0" w:color="000000"/>
            </w:tcBorders>
          </w:tcPr>
          <w:p>
            <w:pPr/>
          </w:p>
        </w:tc>
      </w:tr>
      <w:tr>
        <w:trPr>
          <w:trHeight w:val="161" w:hRule="exact"/>
        </w:trPr>
        <w:tc>
          <w:tcPr>
            <w:tcW w:w="163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2" w:type="dxa"/>
            <w:vMerge/>
            <w:tcBorders>
              <w:left w:val="single" w:sz="9" w:space="0" w:color="D2D2D2"/>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御银国际</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自动柜员机科技</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御银香港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御银科技（香港）有限公司，公司下属全资子公司，通过御银国际持有其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上海博科</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上海博科资讯股份有限公司，参股公司，通过广州御新持有其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1.55%</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花都村镇银行</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广州花都稠州村镇银行股份有限公司，参股公司，持有其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御银信息</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63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前海股权交易中心</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41"/>
              <w:jc w:val="left"/>
              <w:rPr>
                <w:rFonts w:ascii="宋体" w:hAnsi="宋体" w:cs="宋体" w:eastAsia="宋体" w:hint="default"/>
                <w:sz w:val="18"/>
                <w:szCs w:val="18"/>
              </w:rPr>
            </w:pPr>
            <w:r>
              <w:rPr>
                <w:rFonts w:ascii="宋体" w:hAnsi="宋体" w:cs="宋体" w:eastAsia="宋体" w:hint="default"/>
                <w:sz w:val="18"/>
                <w:szCs w:val="18"/>
              </w:rPr>
              <w:t>前海股权交易中心（深圳）有限公司，参股公司，持有其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7.64%</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 前海股交投资控股（深圳）有限公司</w:t>
            </w:r>
          </w:p>
        </w:tc>
      </w:tr>
      <w:tr>
        <w:trPr>
          <w:trHeight w:val="392" w:hRule="exact"/>
        </w:trPr>
        <w:tc>
          <w:tcPr>
            <w:tcW w:w="163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vMerge/>
            <w:tcBorders>
              <w:left w:val="single" w:sz="9" w:space="0" w:color="D2D2D2"/>
              <w:right w:val="single" w:sz="4" w:space="0" w:color="000000"/>
            </w:tcBorders>
          </w:tcPr>
          <w:p>
            <w:pPr/>
          </w:p>
        </w:tc>
      </w:tr>
      <w:tr>
        <w:trPr>
          <w:trHeight w:val="161" w:hRule="exact"/>
        </w:trPr>
        <w:tc>
          <w:tcPr>
            <w:tcW w:w="163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2" w:type="dxa"/>
            <w:vMerge/>
            <w:tcBorders>
              <w:left w:val="single" w:sz="9" w:space="0" w:color="D2D2D2"/>
              <w:bottom w:val="single" w:sz="4" w:space="0" w:color="000000"/>
              <w:right w:val="single" w:sz="4" w:space="0" w:color="000000"/>
            </w:tcBorders>
          </w:tcPr>
          <w:p>
            <w:pPr/>
          </w:p>
        </w:tc>
      </w:tr>
      <w:tr>
        <w:trPr>
          <w:trHeight w:val="161" w:hRule="exact"/>
        </w:trPr>
        <w:tc>
          <w:tcPr>
            <w:tcW w:w="163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佛山海晟金融租赁</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2"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佛山海晟金融租赁股份有限公司（原暂定名为南海金融租赁股份有限公司</w:t>
            </w:r>
            <w:r>
              <w:rPr>
                <w:rFonts w:ascii="宋体" w:hAnsi="宋体" w:cs="宋体" w:eastAsia="宋体" w:hint="default"/>
                <w:spacing w:val="-90"/>
                <w:sz w:val="18"/>
                <w:szCs w:val="18"/>
              </w:rPr>
              <w:t>）</w:t>
            </w:r>
            <w:r>
              <w:rPr>
                <w:rFonts w:ascii="宋体" w:hAnsi="宋体" w:cs="宋体" w:eastAsia="宋体" w:hint="default"/>
                <w:sz w:val="18"/>
                <w:szCs w:val="18"/>
              </w:rPr>
              <w:t>，参股公司，持有其</w:t>
            </w:r>
          </w:p>
          <w:p>
            <w:pPr>
              <w:pStyle w:val="TableParagraph"/>
              <w:spacing w:line="240" w:lineRule="auto" w:before="76"/>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w:t>
            </w:r>
            <w:r>
              <w:rPr>
                <w:rFonts w:ascii="宋体" w:hAnsi="宋体" w:cs="宋体" w:eastAsia="宋体" w:hint="default"/>
                <w:sz w:val="18"/>
                <w:szCs w:val="18"/>
              </w:rPr>
              <w:t>股权</w:t>
            </w:r>
          </w:p>
        </w:tc>
      </w:tr>
      <w:tr>
        <w:trPr>
          <w:trHeight w:val="392" w:hRule="exact"/>
        </w:trPr>
        <w:tc>
          <w:tcPr>
            <w:tcW w:w="163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vMerge/>
            <w:tcBorders>
              <w:left w:val="single" w:sz="9" w:space="0" w:color="D2D2D2"/>
              <w:right w:val="single" w:sz="4" w:space="0" w:color="000000"/>
            </w:tcBorders>
          </w:tcPr>
          <w:p>
            <w:pPr/>
          </w:p>
        </w:tc>
      </w:tr>
      <w:tr>
        <w:trPr>
          <w:trHeight w:val="161" w:hRule="exact"/>
        </w:trPr>
        <w:tc>
          <w:tcPr>
            <w:tcW w:w="163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2" w:type="dxa"/>
            <w:vMerge/>
            <w:tcBorders>
              <w:left w:val="single" w:sz="9" w:space="0" w:color="D2D2D2"/>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御新智合</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御新赢创</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御新科技</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北京御新科技有限公司，公司下属全资子公司，持有其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小炬人</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天成智合</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同位素</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广州同位素智能科技有限公司，公司下属全资子公司，通过小炬人持有其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63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2"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广州御银金融电子设备有限公司，公司下属全资子公司，通过御银国际持有其</w:t>
            </w:r>
            <w:r>
              <w:rPr>
                <w:rFonts w:ascii="宋体" w:hAnsi="宋体" w:cs="宋体" w:eastAsia="宋体" w:hint="default"/>
                <w:spacing w:val="-75"/>
                <w:sz w:val="18"/>
                <w:szCs w:val="18"/>
              </w:rPr>
              <w:t> </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股权，通过自动</w:t>
            </w:r>
            <w:r>
              <w:rPr>
                <w:rFonts w:ascii="宋体" w:hAnsi="宋体" w:cs="宋体" w:eastAsia="宋体" w:hint="default"/>
                <w:sz w:val="18"/>
                <w:szCs w:val="18"/>
              </w:rPr>
              <w:t> 柜员机科技持有其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股权，公司合共持有其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2" w:hRule="exact"/>
        </w:trPr>
        <w:tc>
          <w:tcPr>
            <w:tcW w:w="1632" w:type="dxa"/>
            <w:vMerge/>
            <w:tcBorders>
              <w:left w:val="single" w:sz="4" w:space="0" w:color="000000"/>
              <w:right w:val="single" w:sz="9" w:space="0" w:color="D2D2D2"/>
            </w:tcBorders>
          </w:tcPr>
          <w:p>
            <w:pPr/>
          </w:p>
        </w:tc>
        <w:tc>
          <w:tcPr>
            <w:tcW w:w="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vMerge/>
            <w:tcBorders>
              <w:left w:val="single" w:sz="9" w:space="0" w:color="D2D2D2"/>
              <w:right w:val="single" w:sz="4" w:space="0" w:color="000000"/>
            </w:tcBorders>
          </w:tcPr>
          <w:p>
            <w:pPr/>
          </w:p>
        </w:tc>
      </w:tr>
      <w:tr>
        <w:trPr>
          <w:trHeight w:val="161" w:hRule="exact"/>
        </w:trPr>
        <w:tc>
          <w:tcPr>
            <w:tcW w:w="1632" w:type="dxa"/>
            <w:vMerge/>
            <w:tcBorders>
              <w:left w:val="single" w:sz="4" w:space="0" w:color="000000"/>
              <w:bottom w:val="single" w:sz="4" w:space="0" w:color="000000"/>
              <w:right w:val="single" w:sz="9" w:space="0" w:color="D2D2D2"/>
            </w:tcBorders>
          </w:tcPr>
          <w:p>
            <w:pPr/>
          </w:p>
        </w:tc>
        <w:tc>
          <w:tcPr>
            <w:tcW w:w="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2" w:type="dxa"/>
            <w:vMerge/>
            <w:tcBorders>
              <w:left w:val="single" w:sz="9" w:space="0" w:color="D2D2D2"/>
              <w:bottom w:val="single" w:sz="4" w:space="0" w:color="000000"/>
              <w:right w:val="single" w:sz="4" w:space="0" w:color="000000"/>
            </w:tcBorders>
          </w:tcPr>
          <w:p>
            <w:pP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十方软件</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日成立，公司下属全资子公司，持有其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163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御联软件</w:t>
            </w:r>
          </w:p>
        </w:tc>
        <w:tc>
          <w:tcPr>
            <w:tcW w:w="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广州御联软件有限公司，于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日成立，公司下属全资子公司，持有其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0101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002177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Guangzhou Kingteller Technology</w:t>
            </w:r>
            <w:r>
              <w:rPr>
                <w:rFonts w:ascii="Times New Roman"/>
                <w:spacing w:val="-27"/>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KINGTELLER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谭骅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广州市天河区高唐路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510530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http://www.kingteller.com.cn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19"/>
        <w:gridCol w:w="3261"/>
        <w:gridCol w:w="319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谭  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余咏芳</w:t>
            </w:r>
          </w:p>
        </w:tc>
      </w:tr>
      <w:tr>
        <w:trPr>
          <w:trHeight w:val="161" w:hRule="exact"/>
        </w:trPr>
        <w:tc>
          <w:tcPr>
            <w:tcW w:w="3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166"/>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广东省广州市高新技术产业开发区瑞发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6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020-29087848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020-29087848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020-29087850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020-29087850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http://</w:t>
            </w:r>
            <w:r>
              <w:rPr>
                <w:rFonts w:ascii="Times New Roman"/>
                <w:spacing w:val="-16"/>
                <w:sz w:val="18"/>
              </w:rPr>
              <w:t> </w:t>
            </w: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781"/>
        <w:gridCol w:w="5788"/>
      </w:tblGrid>
      <w:tr>
        <w:trPr>
          <w:trHeight w:val="402"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9144010172680151XE</w:t>
            </w:r>
          </w:p>
        </w:tc>
      </w:tr>
      <w:tr>
        <w:trPr>
          <w:trHeight w:val="402"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漆江燕、张锦坤</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038"/>
        <w:gridCol w:w="1632"/>
        <w:gridCol w:w="1620"/>
        <w:gridCol w:w="1800"/>
        <w:gridCol w:w="1469"/>
      </w:tblGrid>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569,714,606.45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770,942,502.45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1,097,003,512.37</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13,767,025.88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23,246,241.18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69,446,758.01</w:t>
            </w:r>
          </w:p>
        </w:tc>
      </w:tr>
      <w:tr>
        <w:trPr>
          <w:trHeight w:val="714"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-40,452,469.65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26,800,330.12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-250.94%</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75,259,550.21</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147,774,384.35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379,299,368.49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-61.04%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300,436,609.48</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3"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2,062,368,704.15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2,168,265,760.36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2,312,826,510.80</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1,690,511,645.81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1,676,861,540.73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1,653,524,381.45</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公司报告期不存在按照国际会计准则与按照中国会计准则披露的财务报告中净利润和净资产差异情况。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170,327,344.08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123,617,240.48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96,762,532.30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179,007,489.59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17,261,258.04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708,595.76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-5,337,278.63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1,134,450.71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13,362,571.50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-7,976,353.94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-19,972,916.03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-25,865,771.18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-109,046,758.37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-37,117,884.70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48,997,201.03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244,941,826.39</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780" w:type="dxa"/>
        <w:tblLayout w:type="fixed"/>
        <w:tblCellMar>
          <w:top w:w="0" w:type="dxa"/>
          <w:left w:w="0" w:type="dxa"/>
          <w:bottom w:w="0" w:type="dxa"/>
          <w:right w:w="0" w:type="dxa"/>
        </w:tblCellMar>
        <w:tblLook w:val="01E0"/>
      </w:tblPr>
      <w:tblGrid>
        <w:gridCol w:w="5198"/>
        <w:gridCol w:w="1331"/>
        <w:gridCol w:w="1320"/>
        <w:gridCol w:w="1320"/>
        <w:gridCol w:w="748"/>
      </w:tblGrid>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-8,939,953.30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-14,315,874.03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-4,533,606.53</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准定额或定量享受的政府补助除外）</w:t>
            </w:r>
          </w:p>
        </w:tc>
        <w:tc>
          <w:tcPr>
            <w:tcW w:w="1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20,482,092.00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11,355,162.70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1,854,600.00</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z w:val="18"/>
                <w:szCs w:val="18"/>
              </w:rPr>
              <w:t> </w:t>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性金融资产、交易性金融负债和可供出售金融资产取得的投资收益</w:t>
            </w:r>
          </w:p>
        </w:tc>
        <w:tc>
          <w:tcPr>
            <w:tcW w:w="1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56,728,048.35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4,588,884.73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-1,326,180.55</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-3,758,700.09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-6,294,757.45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-2,850,336.28</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10,291,991.43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-1,112,495.11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-1,042,731.16</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54,219,495.53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-3,554,088.94</w:t>
            </w:r>
          </w:p>
        </w:tc>
        <w:tc>
          <w:tcPr>
            <w:tcW w:w="132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-5,812,792.20</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0" w:lineRule="auto" w:before="25"/>
        <w:ind w:left="1134" w:right="1150" w:firstLine="360"/>
        <w:jc w:val="both"/>
      </w:pPr>
      <w:r>
        <w:rPr/>
        <w:t>公司专注金融设备整体解决服务商十余年，在</w:t>
      </w:r>
      <w:r>
        <w:rPr>
          <w:rFonts w:ascii="Times New Roman" w:hAnsi="Times New Roman" w:cs="Times New Roman" w:eastAsia="Times New Roman" w:hint="default"/>
        </w:rPr>
        <w:t>ATM</w:t>
      </w:r>
      <w:r>
        <w:rPr/>
        <w:t>设备产能和销售规模在国内</w:t>
      </w:r>
      <w:r>
        <w:rPr>
          <w:rFonts w:ascii="Times New Roman" w:hAnsi="Times New Roman" w:cs="Times New Roman" w:eastAsia="Times New Roman" w:hint="default"/>
        </w:rPr>
        <w:t>ATM</w:t>
      </w:r>
      <w:r>
        <w:rPr/>
        <w:t>制造厂商中位居前列，是国内较领 先运用生物识别技术于金融自助设备中的高端服务商，创新性的打造智慧银行等更加适应市场的高科技产品。</w:t>
      </w:r>
    </w:p>
    <w:p>
      <w:pPr>
        <w:pStyle w:val="BodyText"/>
        <w:spacing w:line="300" w:lineRule="auto" w:before="31"/>
        <w:ind w:left="1134" w:right="1150" w:firstLine="360"/>
        <w:jc w:val="both"/>
      </w:pPr>
      <w:r>
        <w:rPr/>
        <w:t>其主要产品为</w:t>
      </w:r>
      <w:r>
        <w:rPr>
          <w:rFonts w:ascii="Times New Roman" w:hAnsi="Times New Roman" w:cs="Times New Roman" w:eastAsia="Times New Roman" w:hint="default"/>
        </w:rPr>
        <w:t>ATM</w:t>
      </w:r>
      <w:r>
        <w:rPr/>
        <w:t>自助设备，主要是提供给银行类金融机构用于为其客户提供自助式金融服务，主营业务由</w:t>
      </w:r>
      <w:r>
        <w:rPr>
          <w:rFonts w:ascii="Times New Roman" w:hAnsi="Times New Roman" w:cs="Times New Roman" w:eastAsia="Times New Roman" w:hint="default"/>
        </w:rPr>
        <w:t>ATM</w:t>
      </w:r>
      <w:r>
        <w:rPr/>
        <w:t>产品 销售和</w:t>
      </w:r>
      <w:r>
        <w:rPr>
          <w:rFonts w:ascii="Times New Roman" w:hAnsi="Times New Roman" w:cs="Times New Roman" w:eastAsia="Times New Roman" w:hint="default"/>
        </w:rPr>
        <w:t>ATM</w:t>
      </w:r>
      <w:r>
        <w:rPr/>
        <w:t>运营服务两部分组成：</w:t>
      </w:r>
    </w:p>
    <w:p>
      <w:pPr>
        <w:pStyle w:val="BodyText"/>
        <w:spacing w:line="300" w:lineRule="auto" w:before="13"/>
        <w:ind w:right="1131" w:firstLine="360"/>
        <w:jc w:val="both"/>
      </w:pPr>
      <w:r>
        <w:rPr>
          <w:rFonts w:ascii="Times New Roman" w:hAnsi="Times New Roman" w:cs="Times New Roman" w:eastAsia="Times New Roman" w:hint="default"/>
          <w:spacing w:val="-2"/>
        </w:rPr>
        <w:t>1</w:t>
      </w:r>
      <w:r>
        <w:rPr>
          <w:spacing w:val="-2"/>
        </w:rPr>
        <w:t>、金融自助设备及相关系统软件的研发、制造、销售，公司主要产品为</w:t>
      </w:r>
      <w:r>
        <w:rPr>
          <w:rFonts w:ascii="Times New Roman" w:hAnsi="Times New Roman" w:cs="Times New Roman" w:eastAsia="Times New Roman" w:hint="default"/>
          <w:spacing w:val="-2"/>
        </w:rPr>
        <w:t>KingTeller</w:t>
      </w:r>
      <w:r>
        <w:rPr>
          <w:spacing w:val="-2"/>
        </w:rPr>
        <w:t>系列金融自助设备，包括但不限于单</w:t>
      </w:r>
      <w:r>
        <w:rPr/>
        <w:t> 取款、存取款一体机、</w:t>
      </w:r>
      <w:r>
        <w:rPr>
          <w:rFonts w:ascii="Times New Roman" w:hAnsi="Times New Roman" w:cs="Times New Roman" w:eastAsia="Times New Roman" w:hint="default"/>
        </w:rPr>
        <w:t>VTM</w:t>
      </w:r>
      <w:r>
        <w:rPr/>
        <w:t>、高速大容量存款机、智能现金出纳机、清分机等；</w:t>
      </w:r>
    </w:p>
    <w:p>
      <w:pPr>
        <w:pStyle w:val="BodyText"/>
        <w:spacing w:line="307" w:lineRule="auto" w:before="13"/>
        <w:ind w:left="1134" w:right="1133" w:firstLine="360"/>
        <w:jc w:val="both"/>
      </w:pPr>
      <w:r>
        <w:rPr>
          <w:rFonts w:ascii="Times New Roman" w:hAnsi="Times New Roman" w:cs="Times New Roman" w:eastAsia="Times New Roman" w:hint="default"/>
        </w:rPr>
        <w:t>2</w:t>
      </w:r>
      <w:r>
        <w:rPr/>
        <w:t>、为银行类金融机构提供</w:t>
      </w:r>
      <w:r>
        <w:rPr>
          <w:rFonts w:ascii="Times New Roman" w:hAnsi="Times New Roman" w:cs="Times New Roman" w:eastAsia="Times New Roman" w:hint="default"/>
        </w:rPr>
        <w:t>ATM</w:t>
      </w:r>
      <w:r>
        <w:rPr/>
        <w:t>运营服务，即公司与银行类金融机构合作建设</w:t>
      </w:r>
      <w:r>
        <w:rPr>
          <w:rFonts w:ascii="Times New Roman" w:hAnsi="Times New Roman" w:cs="Times New Roman" w:eastAsia="Times New Roman" w:hint="default"/>
        </w:rPr>
        <w:t>ATM</w:t>
      </w:r>
      <w:r>
        <w:rPr/>
        <w:t>终端，公司负责提供</w:t>
      </w:r>
      <w:r>
        <w:rPr>
          <w:rFonts w:ascii="Times New Roman" w:hAnsi="Times New Roman" w:cs="Times New Roman" w:eastAsia="Times New Roman" w:hint="default"/>
        </w:rPr>
        <w:t>ATM</w:t>
      </w:r>
      <w:r>
        <w:rPr/>
        <w:t>设备、网 点选址、设备维护、技术支持等服务，银行类金融机构负责将</w:t>
      </w:r>
      <w:r>
        <w:rPr>
          <w:rFonts w:ascii="Times New Roman" w:hAnsi="Times New Roman" w:cs="Times New Roman" w:eastAsia="Times New Roman" w:hint="default"/>
        </w:rPr>
        <w:t>ATM</w:t>
      </w:r>
      <w:r>
        <w:rPr/>
        <w:t>网点向中国银监会或其授权机构报备、提供加钞和清算 </w:t>
      </w:r>
      <w:r>
        <w:rPr>
          <w:spacing w:val="-2"/>
        </w:rPr>
        <w:t>等，合作银行在收取跨行交易的代理手续费后，按照合作协议约定的比例将公司应收取的服务费支付给公司，公司的运营服</w:t>
      </w:r>
      <w:r>
        <w:rPr>
          <w:spacing w:val="-66"/>
        </w:rPr>
        <w:t> </w:t>
      </w:r>
      <w:r>
        <w:rPr>
          <w:spacing w:val="-66"/>
        </w:rPr>
      </w:r>
      <w:r>
        <w:rPr/>
        <w:t>务根据合作条件、收款方式、收入确认等方面的差异可分为</w:t>
      </w:r>
      <w:r>
        <w:rPr>
          <w:rFonts w:ascii="Times New Roman" w:hAnsi="Times New Roman" w:cs="Times New Roman" w:eastAsia="Times New Roman" w:hint="default"/>
        </w:rPr>
        <w:t>ATM</w:t>
      </w:r>
      <w:r>
        <w:rPr/>
        <w:t>合作运营服务和</w:t>
      </w:r>
      <w:r>
        <w:rPr>
          <w:rFonts w:ascii="Times New Roman" w:hAnsi="Times New Roman" w:cs="Times New Roman" w:eastAsia="Times New Roman" w:hint="default"/>
        </w:rPr>
        <w:t>ATM</w:t>
      </w:r>
      <w:r>
        <w:rPr/>
        <w:t>融资租赁两种模式。</w:t>
      </w:r>
    </w:p>
    <w:p>
      <w:pPr>
        <w:spacing w:line="240" w:lineRule="auto" w:before="11"/>
        <w:rPr>
          <w:rFonts w:ascii="宋体" w:hAnsi="宋体" w:cs="宋体" w:eastAsia="宋体" w:hint="default"/>
          <w:sz w:val="19"/>
          <w:szCs w:val="19"/>
        </w:rPr>
      </w:pPr>
    </w:p>
    <w:p>
      <w:pPr>
        <w:pStyle w:val="Heading2"/>
        <w:spacing w:line="240" w:lineRule="auto"/>
        <w:ind w:left="1134"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56.459999pt;margin-top:-54.668289pt;width:479.2pt;height:306.6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7408"/>
                  </w:tblGrid>
                  <w:tr>
                    <w:trPr>
                      <w:trHeight w:val="764"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31,630.17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万元，主要原因是公 司以自有资金购入香港证券交易所上市公司腾讯控股有限公司（证券代码</w:t>
                        </w:r>
                        <w:r>
                          <w:rPr>
                            <w:rFonts w:ascii="宋体" w:hAnsi="宋体" w:cs="宋体" w:eastAsia="宋体" w:hint="default"/>
                            <w:spacing w:val="-73"/>
                            <w:sz w:val="18"/>
                            <w:szCs w:val="18"/>
                          </w:rPr>
                          <w:t> </w:t>
                        </w:r>
                        <w:r>
                          <w:rPr>
                            <w:rFonts w:ascii="Times New Roman" w:hAnsi="Times New Roman" w:cs="Times New Roman" w:eastAsia="Times New Roman" w:hint="default"/>
                            <w:spacing w:val="-4"/>
                            <w:sz w:val="18"/>
                            <w:szCs w:val="18"/>
                          </w:rPr>
                          <w:t>00700</w:t>
                        </w:r>
                        <w:r>
                          <w:rPr>
                            <w:rFonts w:ascii="宋体" w:hAnsi="宋体" w:cs="宋体" w:eastAsia="宋体" w:hint="default"/>
                            <w:spacing w:val="-4"/>
                            <w:sz w:val="18"/>
                            <w:szCs w:val="18"/>
                          </w:rPr>
                          <w:t>）等股票所致</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32,965.99 </w:t>
                        </w:r>
                        <w:r>
                          <w:rPr>
                            <w:rFonts w:ascii="宋体" w:hAnsi="宋体" w:cs="宋体" w:eastAsia="宋体" w:hint="default"/>
                            <w:sz w:val="18"/>
                            <w:szCs w:val="18"/>
                          </w:rPr>
                          <w:t>万元，主要原因是公司御银科技园区投资项目的部分办公楼实现对外经 营租赁所致。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万元，主要原因是子公司金融电子取得土地使用权所致。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22,454.39 </w:t>
                        </w:r>
                        <w:r>
                          <w:rPr>
                            <w:rFonts w:ascii="宋体" w:hAnsi="宋体" w:cs="宋体" w:eastAsia="宋体" w:hint="default"/>
                            <w:sz w:val="18"/>
                            <w:szCs w:val="18"/>
                          </w:rPr>
                          <w:t>万元，主要原因是公司生产经营投入和证券投资所致。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4,656.04 </w:t>
                        </w:r>
                        <w:r>
                          <w:rPr>
                            <w:rFonts w:ascii="宋体" w:hAnsi="宋体" w:cs="宋体" w:eastAsia="宋体" w:hint="default"/>
                            <w:sz w:val="18"/>
                            <w:szCs w:val="18"/>
                          </w:rPr>
                          <w:t>万元，主要原因是公司一年内到期长期应收租金减少所致。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2,809.10 </w:t>
                        </w:r>
                        <w:r>
                          <w:rPr>
                            <w:rFonts w:ascii="宋体" w:hAnsi="宋体" w:cs="宋体" w:eastAsia="宋体" w:hint="default"/>
                            <w:sz w:val="18"/>
                            <w:szCs w:val="18"/>
                          </w:rPr>
                          <w:t>万元，主要原因是公司以自有资金购入理财产品所致。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3,645.53 </w:t>
                        </w:r>
                        <w:r>
                          <w:rPr>
                            <w:rFonts w:ascii="宋体" w:hAnsi="宋体" w:cs="宋体" w:eastAsia="宋体" w:hint="default"/>
                            <w:sz w:val="18"/>
                            <w:szCs w:val="18"/>
                          </w:rPr>
                          <w:t>万元，主要原因是公司一年以上长期应收租金减少所致。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万元，主要原因是公司以自有资金投资广州青创公司所致。</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37,190.99 </w:t>
                        </w:r>
                        <w:r>
                          <w:rPr>
                            <w:rFonts w:ascii="宋体" w:hAnsi="宋体" w:cs="宋体" w:eastAsia="宋体" w:hint="default"/>
                            <w:sz w:val="18"/>
                            <w:szCs w:val="18"/>
                          </w:rPr>
                          <w:t>万元，主要原因是公司御银科技园区投资项目的部分办公楼实现对外经 营租赁所致。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7,018.76 </w:t>
                        </w:r>
                        <w:r>
                          <w:rPr>
                            <w:rFonts w:ascii="宋体" w:hAnsi="宋体" w:cs="宋体" w:eastAsia="宋体" w:hint="default"/>
                            <w:sz w:val="18"/>
                            <w:szCs w:val="18"/>
                          </w:rPr>
                          <w:t>万元，主要原因是北京子公司办公室办理完毕产权手续所致。</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00" w:lineRule="auto" w:before="28"/>
        <w:ind w:left="1493" w:right="1118"/>
        <w:jc w:val="left"/>
      </w:pPr>
      <w:r>
        <w:rPr>
          <w:rFonts w:ascii="Times New Roman" w:hAnsi="Times New Roman" w:cs="Times New Roman" w:eastAsia="Times New Roman" w:hint="default"/>
        </w:rPr>
        <w:t>1</w:t>
      </w:r>
      <w:r>
        <w:rPr/>
        <w:t>、品牌优势 </w:t>
      </w:r>
      <w:r>
        <w:rPr>
          <w:spacing w:val="-2"/>
        </w:rPr>
        <w:t>公司专注于金融自助设备领域，历经十六年的努力创新和持续发展，已走在金融自助设备行业的前沿，坚持以研发创新</w:t>
      </w:r>
    </w:p>
    <w:p>
      <w:pPr>
        <w:pStyle w:val="BodyText"/>
        <w:spacing w:line="309" w:lineRule="auto" w:before="31"/>
        <w:ind w:right="1033"/>
        <w:jc w:val="left"/>
      </w:pPr>
      <w:r>
        <w:rPr/>
        <w:t>为客户创造价值，顺应市场要求并追求行业技术高峰，增强科研实力和产品竞争力，成为智能化综合服务解决方案提供商， 曾获得</w:t>
      </w:r>
      <w:r>
        <w:rPr>
          <w:rFonts w:ascii="Times New Roman" w:hAnsi="Times New Roman" w:cs="Times New Roman" w:eastAsia="Times New Roman" w:hint="default"/>
        </w:rPr>
        <w:t>“</w:t>
      </w:r>
      <w:r>
        <w:rPr/>
        <w:t>广东省诚信示范企业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广东省企业</w:t>
      </w:r>
      <w:r>
        <w:rPr>
          <w:rFonts w:ascii="Times New Roman" w:hAnsi="Times New Roman" w:cs="Times New Roman" w:eastAsia="Times New Roman" w:hint="default"/>
        </w:rPr>
        <w:t>500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广东省制造业百强</w:t>
      </w:r>
      <w:r>
        <w:rPr>
          <w:rFonts w:ascii="Times New Roman" w:hAnsi="Times New Roman" w:cs="Times New Roman" w:eastAsia="Times New Roman" w:hint="default"/>
        </w:rPr>
        <w:t>”</w:t>
      </w:r>
      <w:r>
        <w:rPr/>
        <w:t>等多项荣誉。产品覆盖全国，成为建行总行、工 </w:t>
      </w:r>
      <w:r>
        <w:rPr>
          <w:spacing w:val="-1"/>
        </w:rPr>
        <w:t>行总行、邮政总局、各省农信、地方商行等多家银行总行的</w:t>
      </w:r>
      <w:r>
        <w:rPr>
          <w:rFonts w:ascii="Times New Roman" w:hAnsi="Times New Roman" w:cs="Times New Roman" w:eastAsia="Times New Roman" w:hint="default"/>
          <w:spacing w:val="-1"/>
        </w:rPr>
        <w:t>ATM</w:t>
      </w:r>
      <w:r>
        <w:rPr>
          <w:spacing w:val="-1"/>
        </w:rPr>
        <w:t>入围采购商，赢得了客户对公司品牌、产品及服务的信任。</w:t>
      </w:r>
    </w:p>
    <w:p>
      <w:pPr>
        <w:pStyle w:val="BodyText"/>
        <w:spacing w:line="300" w:lineRule="auto" w:before="5"/>
        <w:ind w:left="1493" w:right="1118"/>
        <w:jc w:val="left"/>
      </w:pPr>
      <w:r>
        <w:rPr>
          <w:rFonts w:ascii="Times New Roman" w:hAnsi="Times New Roman" w:cs="Times New Roman" w:eastAsia="Times New Roman" w:hint="default"/>
        </w:rPr>
        <w:t>2</w:t>
      </w:r>
      <w:r>
        <w:rPr/>
        <w:t>、研发优势 </w:t>
      </w:r>
      <w:r>
        <w:rPr>
          <w:spacing w:val="-2"/>
        </w:rPr>
        <w:t>公司以</w:t>
      </w:r>
      <w:r>
        <w:rPr>
          <w:rFonts w:ascii="Times New Roman" w:hAnsi="Times New Roman" w:cs="Times New Roman" w:eastAsia="Times New Roman" w:hint="default"/>
          <w:spacing w:val="-2"/>
        </w:rPr>
        <w:t>“</w:t>
      </w:r>
      <w:r>
        <w:rPr>
          <w:spacing w:val="-2"/>
        </w:rPr>
        <w:t>科技领先，智造未来</w:t>
      </w:r>
      <w:r>
        <w:rPr>
          <w:rFonts w:ascii="Times New Roman" w:hAnsi="Times New Roman" w:cs="Times New Roman" w:eastAsia="Times New Roman" w:hint="default"/>
          <w:spacing w:val="-2"/>
        </w:rPr>
        <w:t>”</w:t>
      </w:r>
      <w:r>
        <w:rPr>
          <w:spacing w:val="-2"/>
        </w:rPr>
        <w:t>为研发理念，始终坚持以科技创新作为公司的发展主线，不断加强产品创新力度，将科研</w:t>
      </w:r>
    </w:p>
    <w:p>
      <w:pPr>
        <w:pStyle w:val="BodyText"/>
        <w:spacing w:line="304" w:lineRule="auto" w:before="13"/>
        <w:ind w:right="1132"/>
        <w:jc w:val="both"/>
      </w:pPr>
      <w:r>
        <w:rPr>
          <w:spacing w:val="-2"/>
        </w:rPr>
        <w:t>项目转化为科技成果。涵盖自主品牌整机集成、设备功能模块开发、新型单体机开发、产品升级换代、多功能交易系统机型</w:t>
      </w:r>
      <w:r>
        <w:rPr>
          <w:spacing w:val="-66"/>
        </w:rPr>
        <w:t> </w:t>
      </w:r>
      <w:r>
        <w:rPr>
          <w:spacing w:val="-66"/>
        </w:rPr>
      </w:r>
      <w:r>
        <w:rPr/>
        <w:t>设计开发等综合研发能力，设备搭载各种生物识别技术，探索人工智能技术。在当今</w:t>
      </w:r>
      <w:r>
        <w:rPr>
          <w:rFonts w:ascii="Times New Roman" w:hAnsi="Times New Roman" w:cs="Times New Roman" w:eastAsia="Times New Roman" w:hint="default"/>
        </w:rPr>
        <w:t>ATM</w:t>
      </w:r>
      <w:r>
        <w:rPr/>
        <w:t>不再会只追求数量上的增长，而 是会有更多功能上的变化。公司在使用</w:t>
      </w:r>
      <w:r>
        <w:rPr>
          <w:rFonts w:ascii="Times New Roman" w:hAnsi="Times New Roman" w:cs="Times New Roman" w:eastAsia="Times New Roman" w:hint="default"/>
        </w:rPr>
        <w:t>ATM</w:t>
      </w:r>
      <w:r>
        <w:rPr/>
        <w:t>优化网点转型方面，一直领先研发，包括生物识别技术方面提升银行安全和客 </w:t>
      </w:r>
      <w:r>
        <w:rPr>
          <w:spacing w:val="-2"/>
        </w:rPr>
        <w:t>户体验、视频技术和移动</w:t>
      </w:r>
      <w:r>
        <w:rPr>
          <w:rFonts w:ascii="Times New Roman" w:hAnsi="Times New Roman" w:cs="Times New Roman" w:eastAsia="Times New Roman" w:hint="default"/>
          <w:spacing w:val="-2"/>
        </w:rPr>
        <w:t>PAD</w:t>
      </w:r>
      <w:r>
        <w:rPr>
          <w:spacing w:val="-2"/>
        </w:rPr>
        <w:t>提供自助服务、运营云平台解决银行快速增长自助设备的管理问题等，自主研发能力和研发设</w:t>
      </w:r>
      <w:r>
        <w:rPr>
          <w:spacing w:val="-66"/>
        </w:rPr>
        <w:t> </w:t>
      </w:r>
      <w:r>
        <w:rPr>
          <w:spacing w:val="-66"/>
        </w:rPr>
      </w:r>
      <w:r>
        <w:rPr/>
        <w:t>施达到或部分达到国际先进水平。</w:t>
      </w:r>
    </w:p>
    <w:p>
      <w:pPr>
        <w:pStyle w:val="BodyText"/>
        <w:spacing w:line="240" w:lineRule="auto" w:before="28"/>
        <w:ind w:left="1494" w:right="0"/>
        <w:jc w:val="left"/>
      </w:pPr>
      <w:r>
        <w:rPr/>
        <w:t>软硬件产品获得数百项国内外认证、技术专利以及著作权，并参与了多项国家火炬级计划项目。</w:t>
      </w:r>
    </w:p>
    <w:p>
      <w:pPr>
        <w:pStyle w:val="BodyText"/>
        <w:spacing w:line="300" w:lineRule="auto" w:before="76"/>
        <w:ind w:left="1493" w:right="1033"/>
        <w:jc w:val="left"/>
      </w:pPr>
      <w:r>
        <w:rPr>
          <w:rFonts w:ascii="Times New Roman" w:hAnsi="Times New Roman" w:cs="Times New Roman" w:eastAsia="Times New Roman" w:hint="default"/>
        </w:rPr>
        <w:t>3</w:t>
      </w:r>
      <w:r>
        <w:rPr/>
        <w:t>、人才优势 公司坚持自主研发、自主创新，在发展中积累、建立起一套完备、成熟、前瞻的研发体系，拥有一支高素质、多层次、</w:t>
      </w:r>
    </w:p>
    <w:p>
      <w:pPr>
        <w:pStyle w:val="BodyText"/>
        <w:spacing w:line="316" w:lineRule="auto" w:before="31"/>
        <w:ind w:right="1033"/>
        <w:jc w:val="left"/>
      </w:pPr>
      <w:r>
        <w:rPr>
          <w:spacing w:val="-2"/>
        </w:rPr>
        <w:t>结构合理的技术研发队伍。凝聚了一批经验丰富的银行自助设备资深专家，同时，引进了众多优秀的中、高级人才，建立高</w:t>
      </w:r>
      <w:r>
        <w:rPr>
          <w:spacing w:val="-66"/>
        </w:rPr>
        <w:t> </w:t>
      </w:r>
      <w:r>
        <w:rPr>
          <w:spacing w:val="-66"/>
        </w:rPr>
      </w:r>
      <w:r>
        <w:rPr/>
        <w:t>校、研究院与企业的技术共享机制，为公司的长期、稳定发展进行人才、技术储备。公司创建一系列科学的研发管理机制， 使公司产品开发和市场需求、企业效益、社会效益紧密结合，极大地激发科研技术人员的工作积极性和创造力。</w:t>
      </w:r>
    </w:p>
    <w:p>
      <w:pPr>
        <w:pStyle w:val="BodyText"/>
        <w:spacing w:line="300" w:lineRule="auto" w:before="19"/>
        <w:ind w:left="1494" w:right="1152"/>
        <w:jc w:val="left"/>
      </w:pPr>
      <w:r>
        <w:rPr>
          <w:rFonts w:ascii="Times New Roman" w:hAnsi="Times New Roman" w:cs="Times New Roman" w:eastAsia="Times New Roman" w:hint="default"/>
        </w:rPr>
        <w:t>4</w:t>
      </w:r>
      <w:r>
        <w:rPr/>
        <w:t>、客户服务系统优势 御银拥有国内首屈一指的服务体系，秉承</w:t>
      </w:r>
      <w:r>
        <w:rPr>
          <w:rFonts w:ascii="Times New Roman" w:hAnsi="Times New Roman" w:cs="Times New Roman" w:eastAsia="Times New Roman" w:hint="default"/>
        </w:rPr>
        <w:t>“</w:t>
      </w:r>
      <w:r>
        <w:rPr/>
        <w:t>追求卓越，服务至上</w:t>
      </w:r>
      <w:r>
        <w:rPr>
          <w:rFonts w:ascii="Times New Roman" w:hAnsi="Times New Roman" w:cs="Times New Roman" w:eastAsia="Times New Roman" w:hint="default"/>
        </w:rPr>
        <w:t>”</w:t>
      </w:r>
      <w:r>
        <w:rPr/>
        <w:t>的服务理念，坚持做到</w:t>
      </w:r>
      <w:r>
        <w:rPr>
          <w:rFonts w:ascii="Times New Roman" w:hAnsi="Times New Roman" w:cs="Times New Roman" w:eastAsia="Times New Roman" w:hint="default"/>
        </w:rPr>
        <w:t>“</w:t>
      </w:r>
      <w:r>
        <w:rPr/>
        <w:t>三个不漏、三个保证、一个避</w:t>
      </w:r>
    </w:p>
    <w:p>
      <w:pPr>
        <w:pStyle w:val="BodyText"/>
        <w:spacing w:line="300" w:lineRule="auto" w:before="13"/>
        <w:ind w:right="0"/>
        <w:jc w:val="left"/>
      </w:pPr>
      <w:r>
        <w:rPr/>
        <w:t>免</w:t>
      </w:r>
      <w:r>
        <w:rPr>
          <w:rFonts w:ascii="Times New Roman" w:hAnsi="Times New Roman" w:cs="Times New Roman" w:eastAsia="Times New Roman" w:hint="default"/>
        </w:rPr>
        <w:t>”</w:t>
      </w:r>
      <w:r>
        <w:rPr/>
        <w:t>，确保实现全面、可靠、周到、快捷的优质售后服务。公司独有囊括强大信息量的智能管理云平台，通过</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应用 和</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的理念，使得空间和时间不再受限，极大提高信息获取和反馈的速度，从而提高各方的工作效率，降低运营成本并提 </w:t>
      </w:r>
      <w:r>
        <w:rPr>
          <w:spacing w:val="-3"/>
        </w:rPr>
        <w:t>升客户的满意度；同时完善先进的物联网技术，将各类设备将互联网连接起来，实现</w:t>
      </w:r>
      <w:r>
        <w:rPr>
          <w:rFonts w:ascii="Times New Roman" w:hAnsi="Times New Roman" w:cs="Times New Roman" w:eastAsia="Times New Roman" w:hint="default"/>
          <w:spacing w:val="-3"/>
        </w:rPr>
        <w:t>“</w:t>
      </w:r>
      <w:r>
        <w:rPr>
          <w:spacing w:val="-3"/>
        </w:rPr>
        <w:t>物</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信息</w:t>
      </w:r>
      <w:r>
        <w:rPr>
          <w:rFonts w:ascii="Times New Roman" w:hAnsi="Times New Roman" w:cs="Times New Roman" w:eastAsia="Times New Roman" w:hint="default"/>
          <w:spacing w:val="-3"/>
        </w:rPr>
        <w:t>”</w:t>
      </w:r>
      <w:r>
        <w:rPr>
          <w:spacing w:val="-3"/>
        </w:rPr>
        <w:t>的有机结合，能够更准确、</w:t>
      </w:r>
      <w:r>
        <w:rPr>
          <w:spacing w:val="-53"/>
        </w:rPr>
        <w:t> </w:t>
      </w:r>
      <w:r>
        <w:rPr>
          <w:spacing w:val="-53"/>
        </w:rPr>
      </w:r>
      <w:r>
        <w:rPr/>
        <w:t>更全面的进行管理，避免了信息的断层。</w:t>
      </w:r>
    </w:p>
    <w:p>
      <w:pPr>
        <w:spacing w:after="0" w:line="3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033" w:firstLine="360"/>
        <w:jc w:val="left"/>
      </w:pPr>
      <w:r>
        <w:rPr>
          <w:rFonts w:ascii="Times New Roman" w:hAnsi="Times New Roman" w:cs="Times New Roman" w:eastAsia="Times New Roman" w:hint="default"/>
        </w:rPr>
        <w:t>2017</w:t>
      </w:r>
      <w:r>
        <w:rPr/>
        <w:t>年，移动支付的快速发展对</w:t>
      </w:r>
      <w:r>
        <w:rPr>
          <w:rFonts w:ascii="Times New Roman" w:hAnsi="Times New Roman" w:cs="Times New Roman" w:eastAsia="Times New Roman" w:hint="default"/>
        </w:rPr>
        <w:t>ATM</w:t>
      </w:r>
      <w:r>
        <w:rPr/>
        <w:t>机相关产业产生了一定的冲击，导致国内</w:t>
      </w:r>
      <w:r>
        <w:rPr>
          <w:rFonts w:ascii="Times New Roman" w:hAnsi="Times New Roman" w:cs="Times New Roman" w:eastAsia="Times New Roman" w:hint="default"/>
        </w:rPr>
        <w:t>ATM</w:t>
      </w:r>
      <w:r>
        <w:rPr/>
        <w:t>市场需求增速下滑，但行业整体经 营态势平稳，</w:t>
      </w:r>
      <w:r>
        <w:rPr>
          <w:rFonts w:ascii="Times New Roman" w:hAnsi="Times New Roman" w:cs="Times New Roman" w:eastAsia="Times New Roman" w:hint="default"/>
        </w:rPr>
        <w:t>ATM</w:t>
      </w:r>
      <w:r>
        <w:rPr/>
        <w:t>市场继续保持稳定发展，市场格局变化明显。同时，国产化和智能化趋势愈加明显，智慧银行建设速度 </w:t>
      </w:r>
      <w:r>
        <w:rPr>
          <w:spacing w:val="-2"/>
        </w:rPr>
        <w:t>进一步加快，行业结构和产品结构亦进一步调整和优化，各类智能化新型自助设备不断涌现，为智慧银行建设提供了技术支</w:t>
      </w:r>
      <w:r>
        <w:rPr>
          <w:spacing w:val="-66"/>
        </w:rPr>
        <w:t> </w:t>
      </w:r>
      <w:r>
        <w:rPr>
          <w:spacing w:val="-66"/>
        </w:rPr>
      </w:r>
      <w:r>
        <w:rPr/>
        <w:t>撑。公司抓住了银行智慧网点转型升级与普惠金融的契机，做好市场开拓工作，巩固在银行领域的优势地位，并利用品牌、 规模优势，推进产业升级。报告期内，公司实现营业总收入</w:t>
      </w:r>
      <w:r>
        <w:rPr>
          <w:rFonts w:ascii="Times New Roman" w:hAnsi="Times New Roman" w:cs="Times New Roman" w:eastAsia="Times New Roman" w:hint="default"/>
        </w:rPr>
        <w:t>569,714,606.45</w:t>
      </w:r>
      <w:r>
        <w:rPr/>
        <w:t>元，比上年同期减少</w:t>
      </w:r>
      <w:r>
        <w:rPr>
          <w:rFonts w:ascii="Times New Roman" w:hAnsi="Times New Roman" w:cs="Times New Roman" w:eastAsia="Times New Roman" w:hint="default"/>
        </w:rPr>
        <w:t>26.10%</w:t>
      </w:r>
      <w:r>
        <w:rPr/>
        <w:t>；实现利润总额 </w:t>
      </w:r>
      <w:r>
        <w:rPr>
          <w:rFonts w:ascii="Times New Roman" w:hAnsi="Times New Roman" w:cs="Times New Roman" w:eastAsia="Times New Roman" w:hint="default"/>
        </w:rPr>
        <w:t>21,735,086.14</w:t>
      </w:r>
      <w:r>
        <w:rPr/>
        <w:t>元，比上年同期减少</w:t>
      </w:r>
      <w:r>
        <w:rPr>
          <w:rFonts w:ascii="Times New Roman" w:hAnsi="Times New Roman" w:cs="Times New Roman" w:eastAsia="Times New Roman" w:hint="default"/>
        </w:rPr>
        <w:t>10.91%</w:t>
      </w:r>
      <w:r>
        <w:rPr/>
        <w:t>；归属上市公司股东的净利润为</w:t>
      </w:r>
      <w:r>
        <w:rPr>
          <w:rFonts w:ascii="Times New Roman" w:hAnsi="Times New Roman" w:cs="Times New Roman" w:eastAsia="Times New Roman" w:hint="default"/>
        </w:rPr>
        <w:t>13,767,025.88</w:t>
      </w:r>
      <w:r>
        <w:rPr/>
        <w:t>元，比上年同期减少</w:t>
      </w:r>
      <w:r>
        <w:rPr>
          <w:rFonts w:ascii="Times New Roman" w:hAnsi="Times New Roman" w:cs="Times New Roman" w:eastAsia="Times New Roman" w:hint="default"/>
        </w:rPr>
        <w:t>40.78%</w:t>
      </w:r>
      <w:r>
        <w:rPr/>
        <w:t>。</w:t>
      </w:r>
    </w:p>
    <w:p>
      <w:pPr>
        <w:pStyle w:val="BodyText"/>
        <w:spacing w:line="307" w:lineRule="auto" w:before="7"/>
        <w:ind w:right="0" w:firstLine="360"/>
        <w:jc w:val="left"/>
      </w:pPr>
      <w:r>
        <w:rPr>
          <w:spacing w:val="-2"/>
        </w:rPr>
        <w:t>在智能化设备方面，公司自主研发能力和研发设施达到或部分达到国际先进水平，形成了涵盖银行现金设备和非现金设</w:t>
      </w:r>
      <w:r>
        <w:rPr/>
        <w:t> </w:t>
      </w:r>
      <w:r>
        <w:rPr>
          <w:spacing w:val="-2"/>
        </w:rPr>
        <w:t>备主流产品，满足客户业务发展需求的新型设备。例如，智能现金出纳机，专门针对银行柜员解决繁重现金点收工作的现金</w:t>
      </w:r>
      <w:r>
        <w:rPr>
          <w:spacing w:val="-66"/>
        </w:rPr>
        <w:t> </w:t>
      </w:r>
      <w:r>
        <w:rPr>
          <w:spacing w:val="-66"/>
        </w:rPr>
      </w:r>
      <w:r>
        <w:rPr/>
        <w:t>处理设备，协助银行柜员电子化处理现金清点、存取、识别等现金业务</w:t>
      </w:r>
      <w:r>
        <w:rPr>
          <w:rFonts w:ascii="Times New Roman" w:hAnsi="Times New Roman" w:cs="Times New Roman" w:eastAsia="Times New Roman" w:hint="default"/>
        </w:rPr>
        <w:t>;</w:t>
      </w:r>
      <w:r>
        <w:rPr/>
        <w:t>研发出大容量高速存取款机，即可实现高速存入大 量钞票、快速取款的设备，提高柜台效率、优化服务流程、节约客户时间。公司响应国家</w:t>
      </w:r>
      <w:r>
        <w:rPr>
          <w:rFonts w:ascii="Times New Roman" w:hAnsi="Times New Roman" w:cs="Times New Roman" w:eastAsia="Times New Roman" w:hint="default"/>
        </w:rPr>
        <w:t>“</w:t>
      </w:r>
      <w:r>
        <w:rPr/>
        <w:t>对实施乡村振兴战略进行了全面 部署</w:t>
      </w:r>
      <w:r>
        <w:rPr>
          <w:rFonts w:ascii="Times New Roman" w:hAnsi="Times New Roman" w:cs="Times New Roman" w:eastAsia="Times New Roman" w:hint="default"/>
        </w:rPr>
        <w:t>”</w:t>
      </w:r>
      <w:r>
        <w:rPr/>
        <w:t>的号召，迅速研发出新一代惠农设备：带存折补登功能的存取款一体机。新一代存折补登的存取款一体机相对于上一 </w:t>
      </w:r>
      <w:r>
        <w:rPr>
          <w:spacing w:val="-2"/>
        </w:rPr>
        <w:t>代产品，它除有存折进行各项交易外，还一步采用最新的生物识别功能，实现了刷脸取款。公司不断拓宽产品线，形成了涵</w:t>
      </w:r>
      <w:r>
        <w:rPr>
          <w:spacing w:val="-66"/>
        </w:rPr>
        <w:t> </w:t>
      </w:r>
      <w:r>
        <w:rPr>
          <w:spacing w:val="-66"/>
        </w:rPr>
      </w:r>
      <w:r>
        <w:rPr>
          <w:spacing w:val="-1"/>
        </w:rPr>
        <w:t>盖</w:t>
      </w:r>
      <w:r>
        <w:rPr>
          <w:rFonts w:ascii="Times New Roman" w:hAnsi="Times New Roman" w:cs="Times New Roman" w:eastAsia="Times New Roman" w:hint="default"/>
          <w:spacing w:val="-1"/>
        </w:rPr>
        <w:t>ATM</w:t>
      </w:r>
      <w:r>
        <w:rPr>
          <w:spacing w:val="-1"/>
        </w:rPr>
        <w:t>、</w:t>
      </w:r>
      <w:r>
        <w:rPr>
          <w:rFonts w:ascii="Times New Roman" w:hAnsi="Times New Roman" w:cs="Times New Roman" w:eastAsia="Times New Roman" w:hint="default"/>
          <w:spacing w:val="-1"/>
        </w:rPr>
        <w:t>CRS</w:t>
      </w:r>
      <w:r>
        <w:rPr>
          <w:spacing w:val="-1"/>
        </w:rPr>
        <w:t>、大额存取款机等金融类产品以及</w:t>
      </w:r>
      <w:r>
        <w:rPr>
          <w:rFonts w:ascii="Times New Roman" w:hAnsi="Times New Roman" w:cs="Times New Roman" w:eastAsia="Times New Roman" w:hint="default"/>
          <w:spacing w:val="-1"/>
        </w:rPr>
        <w:t>STM</w:t>
      </w:r>
      <w:r>
        <w:rPr>
          <w:spacing w:val="-1"/>
        </w:rPr>
        <w:t>（新一代智慧柜员机）、</w:t>
      </w:r>
      <w:r>
        <w:rPr>
          <w:rFonts w:ascii="Times New Roman" w:hAnsi="Times New Roman" w:cs="Times New Roman" w:eastAsia="Times New Roman" w:hint="default"/>
          <w:spacing w:val="-1"/>
        </w:rPr>
        <w:t>VTM(</w:t>
      </w:r>
      <w:r>
        <w:rPr>
          <w:spacing w:val="-1"/>
        </w:rPr>
        <w:t>远程可视柜员机）、清分机等泛金融类</w:t>
      </w:r>
      <w:r>
        <w:rPr>
          <w:spacing w:val="-70"/>
        </w:rPr>
        <w:t> </w:t>
      </w:r>
      <w:r>
        <w:rPr>
          <w:spacing w:val="-70"/>
        </w:rPr>
      </w:r>
      <w:r>
        <w:rPr>
          <w:spacing w:val="-2"/>
        </w:rPr>
        <w:t>产品的多元化产品系列。另外，公司专注于软件系统开发，所有产品都拥有自主知识产权，并且大量功能和解决方案获得专</w:t>
      </w:r>
      <w:r>
        <w:rPr>
          <w:spacing w:val="-66"/>
        </w:rPr>
        <w:t> </w:t>
      </w:r>
      <w:r>
        <w:rPr>
          <w:spacing w:val="-66"/>
        </w:rPr>
      </w:r>
      <w:r>
        <w:rPr/>
        <w:t>利认证，研究的产品线包括不限于：智能金库解决方案，包括智能钞箱管理系统、</w:t>
      </w:r>
      <w:r>
        <w:rPr>
          <w:rFonts w:ascii="Times New Roman" w:hAnsi="Times New Roman" w:cs="Times New Roman" w:eastAsia="Times New Roman" w:hint="default"/>
        </w:rPr>
        <w:t>AGV</w:t>
      </w:r>
      <w:r>
        <w:rPr/>
        <w:t>小车自动运输系统等；银行网点智 能转型解决方案类软件。</w:t>
      </w:r>
    </w:p>
    <w:p>
      <w:pPr>
        <w:pStyle w:val="BodyText"/>
        <w:spacing w:line="312" w:lineRule="auto" w:before="26"/>
        <w:ind w:right="1131" w:firstLine="360"/>
        <w:jc w:val="both"/>
      </w:pPr>
      <w:r>
        <w:rPr>
          <w:spacing w:val="-2"/>
        </w:rPr>
        <w:t>在生物识别技术方面，开发了多模态生物识别解决方案平台，进一步完善人脸识别、语音识别、虹膜识别、指静脉识别</w:t>
      </w:r>
      <w:r>
        <w:rPr/>
        <w:t> </w:t>
      </w:r>
      <w:r>
        <w:rPr>
          <w:spacing w:val="-2"/>
        </w:rPr>
        <w:t>等系统；可以实现自助设备刷脸取款功能，用户可以不带卡，只要刷脸就能取款；语音识别系统，在自助设备上加入语音识</w:t>
      </w:r>
      <w:r>
        <w:rPr>
          <w:spacing w:val="-66"/>
        </w:rPr>
        <w:t> </w:t>
      </w:r>
      <w:r>
        <w:rPr>
          <w:spacing w:val="-66"/>
        </w:rPr>
      </w:r>
      <w:r>
        <w:rPr>
          <w:spacing w:val="-4"/>
        </w:rPr>
        <w:t>别系统，语音识别进行人机交互，可以实现取款、存款、查询等功能。利用智能化技术，改造现有的流程和客户服务模式</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
        </w:rPr>
        <w:t> </w:t>
      </w:r>
      <w:r>
        <w:rPr/>
        <w:t>塑 造新服务、新产品、新的运营和业务模式，提高客户资源利用效率。</w:t>
      </w:r>
    </w:p>
    <w:p>
      <w:pPr>
        <w:pStyle w:val="BodyText"/>
        <w:spacing w:line="312" w:lineRule="auto" w:before="22"/>
        <w:ind w:left="1134" w:right="1130" w:firstLine="360"/>
        <w:jc w:val="both"/>
      </w:pPr>
      <w:r>
        <w:rPr>
          <w:spacing w:val="-2"/>
        </w:rPr>
        <w:t>在客服服务方面，公司继续推行精细化管理，优化了管理流程，通过绩效考核方式的改变，把设备数量、维修质量以及</w:t>
      </w:r>
      <w:r>
        <w:rPr/>
        <w:t> </w:t>
      </w:r>
      <w:r>
        <w:rPr>
          <w:spacing w:val="-2"/>
        </w:rPr>
        <w:t>个人收入有效结合，实现了客户、公司、员工</w:t>
      </w:r>
      <w:r>
        <w:rPr>
          <w:rFonts w:ascii="Times New Roman" w:hAnsi="Times New Roman" w:cs="Times New Roman" w:eastAsia="Times New Roman" w:hint="default"/>
          <w:spacing w:val="-2"/>
        </w:rPr>
        <w:t>“</w:t>
      </w:r>
      <w:r>
        <w:rPr>
          <w:spacing w:val="-2"/>
        </w:rPr>
        <w:t>三赢</w:t>
      </w:r>
      <w:r>
        <w:rPr>
          <w:rFonts w:ascii="Times New Roman" w:hAnsi="Times New Roman" w:cs="Times New Roman" w:eastAsia="Times New Roman" w:hint="default"/>
          <w:spacing w:val="-2"/>
        </w:rPr>
        <w:t>”</w:t>
      </w:r>
      <w:r>
        <w:rPr>
          <w:spacing w:val="-2"/>
        </w:rPr>
        <w:t>；公司重点保障客户开机率，大力推进云平台技术改造和客户报修系统</w:t>
      </w:r>
      <w:r>
        <w:rPr>
          <w:spacing w:val="-47"/>
        </w:rPr>
        <w:t> </w:t>
      </w:r>
      <w:r>
        <w:rPr>
          <w:spacing w:val="-47"/>
        </w:rPr>
      </w:r>
      <w:r>
        <w:rPr/>
        <w:t>数据直连，简化服务流程，</w:t>
      </w:r>
      <w:r>
        <w:rPr>
          <w:spacing w:val="-18"/>
        </w:rPr>
        <w:t> </w:t>
      </w:r>
      <w:r>
        <w:rPr/>
        <w:t>努力提升客户体验；公司大力发展多品牌自助设备的技术维保服务，实现了维保市场和维保收</w:t>
      </w:r>
      <w:r>
        <w:rPr/>
        <w:t> 入的快速增长。</w:t>
      </w:r>
    </w:p>
    <w:p>
      <w:pPr>
        <w:pStyle w:val="BodyText"/>
        <w:spacing w:line="312" w:lineRule="auto" w:before="22"/>
        <w:ind w:left="1134" w:right="0" w:firstLine="360"/>
        <w:jc w:val="left"/>
      </w:pPr>
      <w:r>
        <w:rPr>
          <w:spacing w:val="-2"/>
        </w:rPr>
        <w:t>在财务管理方面，建立资金和信用风险控制机制，加强库存和回款管理；完善财务预算决算管理；完善分级财务核算体</w:t>
      </w:r>
      <w:r>
        <w:rPr/>
        <w:t> </w:t>
      </w:r>
      <w:r>
        <w:rPr>
          <w:spacing w:val="-4"/>
        </w:rPr>
        <w:t>系，监督子公司的财务运营，保障其业务有效开展。加强财务分析，为经营决策提供准确的财务数据和分析；优化资金管理，</w:t>
      </w:r>
      <w:r>
        <w:rPr>
          <w:spacing w:val="-44"/>
        </w:rPr>
        <w:t> </w:t>
      </w:r>
      <w:r>
        <w:rPr>
          <w:spacing w:val="-44"/>
        </w:rPr>
      </w:r>
      <w:r>
        <w:rPr/>
        <w:t>加强资金管理。以</w:t>
      </w:r>
      <w:r>
        <w:rPr>
          <w:rFonts w:ascii="Times New Roman" w:hAnsi="Times New Roman" w:cs="Times New Roman" w:eastAsia="Times New Roman" w:hint="default"/>
        </w:rPr>
        <w:t>“</w:t>
      </w:r>
      <w:r>
        <w:rPr/>
        <w:t>企业价值最大化</w:t>
      </w:r>
      <w:r>
        <w:rPr>
          <w:rFonts w:ascii="Times New Roman" w:hAnsi="Times New Roman" w:cs="Times New Roman" w:eastAsia="Times New Roman" w:hint="default"/>
        </w:rPr>
        <w:t>”</w:t>
      </w:r>
      <w:r>
        <w:rPr/>
        <w:t>作为财务目标，探索公司资产保值增值的有效方法，实现公司资源的合理配置，推进财 务管理创新，加强公司内部财务风险控制，从而促进公司持续、稳定、快速、健康的发展。</w:t>
      </w:r>
    </w:p>
    <w:p>
      <w:pPr>
        <w:pStyle w:val="BodyText"/>
        <w:spacing w:line="312" w:lineRule="auto" w:before="22"/>
        <w:ind w:right="1033" w:firstLine="360"/>
        <w:jc w:val="left"/>
      </w:pPr>
      <w:r>
        <w:rPr>
          <w:rFonts w:ascii="Times New Roman" w:hAnsi="Times New Roman" w:cs="Times New Roman" w:eastAsia="Times New Roman" w:hint="default"/>
          <w:spacing w:val="-4"/>
        </w:rPr>
        <w:t>2017</w:t>
      </w:r>
      <w:r>
        <w:rPr>
          <w:spacing w:val="-4"/>
        </w:rPr>
        <w:t>年，面对行业的变化发展态势和机遇，公司不断完善法人治理结构，进一步加强公司规范管理、强化公司管理架构；</w:t>
      </w:r>
      <w:r>
        <w:rPr/>
        <w:t> 明晰经营战略，提升公司核心竞争力，进一步加强协同性，更好地发挥资源统筹、战略协同作用，切实提升企业运营效率， </w:t>
      </w:r>
      <w:r>
        <w:rPr>
          <w:spacing w:val="-2"/>
        </w:rPr>
        <w:t>提高团队凝聚力和战斗力。通过内生式增长与外延式扩张的共同作用，努力寻求突破，夯实行业地位，确保公司运营质量和</w:t>
      </w:r>
      <w:r>
        <w:rPr>
          <w:spacing w:val="-66"/>
        </w:rPr>
        <w:t> </w:t>
      </w:r>
      <w:r>
        <w:rPr>
          <w:spacing w:val="-66"/>
        </w:rPr>
      </w:r>
      <w:r>
        <w:rPr/>
        <w:t>盈利能力，并深入探索和分析适合公司可持续发展有效途径。</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00"/>
        <w:gridCol w:w="1668"/>
        <w:gridCol w:w="1662"/>
        <w:gridCol w:w="1668"/>
        <w:gridCol w:w="1659"/>
        <w:gridCol w:w="1109"/>
      </w:tblGrid>
      <w:tr>
        <w:trPr>
          <w:trHeight w:val="206" w:hRule="exact"/>
        </w:trPr>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800" w:type="dxa"/>
            <w:vMerge w:val="restart"/>
            <w:tcBorders>
              <w:top w:val="nil" w:sz="6" w:space="0" w:color="auto"/>
              <w:left w:val="single" w:sz="4" w:space="0" w:color="000000"/>
              <w:right w:val="single" w:sz="4" w:space="0" w:color="000000"/>
            </w:tcBorders>
            <w:shd w:val="clear" w:color="auto" w:fill="D2D2D2"/>
          </w:tcPr>
          <w:p>
            <w:pPr/>
          </w:p>
        </w:tc>
        <w:tc>
          <w:tcPr>
            <w:tcW w:w="3330" w:type="dxa"/>
            <w:gridSpan w:val="2"/>
            <w:vMerge/>
            <w:tcBorders>
              <w:left w:val="single" w:sz="4" w:space="0" w:color="000000"/>
              <w:bottom w:val="single" w:sz="4" w:space="0" w:color="000000"/>
              <w:right w:val="single" w:sz="4" w:space="0" w:color="000000"/>
            </w:tcBorders>
            <w:shd w:val="clear" w:color="auto" w:fill="D2D2D2"/>
          </w:tcPr>
          <w:p>
            <w:pPr/>
          </w:p>
        </w:tc>
        <w:tc>
          <w:tcPr>
            <w:tcW w:w="3328" w:type="dxa"/>
            <w:gridSpan w:val="2"/>
            <w:vMerge/>
            <w:tcBorders>
              <w:left w:val="single" w:sz="4" w:space="0" w:color="000000"/>
              <w:bottom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800" w:type="dxa"/>
            <w:vMerge/>
            <w:tcBorders>
              <w:left w:val="single" w:sz="4" w:space="0" w:color="000000"/>
              <w:bottom w:val="nil" w:sz="6" w:space="0" w:color="auto"/>
              <w:right w:val="single" w:sz="4" w:space="0" w:color="000000"/>
            </w:tcBorders>
            <w:shd w:val="clear" w:color="auto" w:fill="D2D2D2"/>
          </w:tcPr>
          <w:p>
            <w:pP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10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single" w:sz="4" w:space="0" w:color="000000"/>
              <w:right w:val="single" w:sz="4" w:space="0" w:color="000000"/>
            </w:tcBorders>
            <w:shd w:val="clear" w:color="auto" w:fill="D2D2D2"/>
          </w:tcPr>
          <w:p>
            <w:pPr/>
          </w:p>
        </w:tc>
        <w:tc>
          <w:tcPr>
            <w:tcW w:w="1659" w:type="dxa"/>
            <w:vMerge/>
            <w:tcBorders>
              <w:left w:val="single" w:sz="4" w:space="0" w:color="000000"/>
              <w:bottom w:val="single" w:sz="4" w:space="0" w:color="000000"/>
              <w:right w:val="single" w:sz="4" w:space="0" w:color="000000"/>
            </w:tcBorders>
            <w:shd w:val="clear" w:color="auto" w:fill="D2D2D2"/>
          </w:tcPr>
          <w:p>
            <w:pPr/>
          </w:p>
        </w:tc>
        <w:tc>
          <w:tcPr>
            <w:tcW w:w="11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6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569,714,606.45</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6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770,942,502.45</w:t>
            </w: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569,714,606.45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770,942,502.45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305,468,345.90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531,056,685.46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68.88%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-42.48%</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49,262,982.50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82,596,984.46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-40.36%</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融资租赁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10,047,438.91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18,071,938.14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2.34%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技术、金融服务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116,019,542.46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85,501,104.06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35.69%</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13,252,415.57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75,663,881.11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53,715,790.33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26,217,215.33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24,969,967.24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76,717,168.48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166,030,478.52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21.54%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-53.79%</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466,780,222.64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81.93%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579,942,056.69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75.22%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00"/>
        <w:gridCol w:w="1440"/>
        <w:gridCol w:w="1440"/>
        <w:gridCol w:w="1222"/>
        <w:gridCol w:w="1224"/>
        <w:gridCol w:w="1223"/>
        <w:gridCol w:w="1223"/>
      </w:tblGrid>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7" w:right="65"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5" w:right="65"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6" w:right="6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569,714,606.45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393,671,512.48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305,468,345.90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211,111,631.87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49,262,982.50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50,723,880.64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-40.36%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10,047,438.91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210,009.08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97.91%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-98.54%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77.58%</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技术、金融服务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116,019,542.46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82,592,404.13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800"/>
        <w:gridCol w:w="1440"/>
        <w:gridCol w:w="1440"/>
        <w:gridCol w:w="1222"/>
        <w:gridCol w:w="1224"/>
        <w:gridCol w:w="1223"/>
        <w:gridCol w:w="1223"/>
      </w:tblGrid>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13,252,415.57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9,655,421.04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75,663,881.11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39,378,165.72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26,217,215.33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18,549,719.01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广东（除广州）地区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76,717,168.48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61,878,734.73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466,780,222.64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313,243,058.74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r>
    </w:tbl>
    <w:p>
      <w:pPr>
        <w:pStyle w:val="BodyText"/>
        <w:spacing w:line="240" w:lineRule="auto" w:before="51"/>
        <w:ind w:left="113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-47.27%</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28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报告期内公司销售量较去年同期减少</w:t>
      </w:r>
      <w:r>
        <w:rPr>
          <w:rFonts w:ascii="Times New Roman" w:hAnsi="Times New Roman" w:cs="Times New Roman" w:eastAsia="Times New Roman" w:hint="default"/>
        </w:rPr>
        <w:t>32.96%</w:t>
      </w:r>
      <w:r>
        <w:rPr/>
        <w:t>，主要原因是国内柜员机行业需求减少所致； 报告期内公司生产量较去年同期减少</w:t>
      </w:r>
      <w:r>
        <w:rPr>
          <w:rFonts w:ascii="Times New Roman" w:hAnsi="Times New Roman" w:cs="Times New Roman" w:eastAsia="Times New Roman" w:hint="default"/>
        </w:rPr>
        <w:t>52.23%</w:t>
      </w:r>
      <w:r>
        <w:rPr/>
        <w:t>，主要原因是随着销售订单减少，生产量相应减少所致；</w:t>
      </w:r>
    </w:p>
    <w:p>
      <w:pPr>
        <w:pStyle w:val="BodyText"/>
        <w:spacing w:line="246" w:lineRule="exact"/>
        <w:ind w:left="1134" w:right="0"/>
        <w:jc w:val="left"/>
      </w:pPr>
      <w:r>
        <w:rPr/>
        <w:t>报告期内公司库存量较去年同期减少</w:t>
      </w:r>
      <w:r>
        <w:rPr>
          <w:rFonts w:ascii="Times New Roman" w:hAnsi="Times New Roman" w:cs="Times New Roman" w:eastAsia="Times New Roman" w:hint="default"/>
        </w:rPr>
        <w:t>47.27%</w:t>
      </w:r>
      <w:r>
        <w:rPr/>
        <w:t>，主要原因是生产量减少所致。</w:t>
      </w:r>
    </w:p>
    <w:p>
      <w:pPr>
        <w:spacing w:line="240" w:lineRule="auto" w:before="11"/>
        <w:rPr>
          <w:rFonts w:ascii="宋体" w:hAnsi="宋体" w:cs="宋体" w:eastAsia="宋体" w:hint="default"/>
          <w:sz w:val="25"/>
          <w:szCs w:val="25"/>
        </w:rPr>
      </w:pPr>
    </w:p>
    <w:p>
      <w:pPr>
        <w:pStyle w:val="Heading3"/>
        <w:spacing w:line="240" w:lineRule="auto"/>
        <w:ind w:left="1134"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00"/>
        <w:gridCol w:w="1080"/>
        <w:gridCol w:w="1396"/>
        <w:gridCol w:w="1394"/>
        <w:gridCol w:w="1396"/>
        <w:gridCol w:w="1394"/>
        <w:gridCol w:w="1111"/>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393,671,512.48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513,674,505.64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-23.36%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00"/>
        <w:gridCol w:w="1080"/>
        <w:gridCol w:w="1396"/>
        <w:gridCol w:w="1394"/>
        <w:gridCol w:w="1396"/>
        <w:gridCol w:w="1394"/>
        <w:gridCol w:w="1111"/>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211,111,631.87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335,122,337.95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50,723,880.64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70,681,035.64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800"/>
        <w:gridCol w:w="1080"/>
        <w:gridCol w:w="1396"/>
        <w:gridCol w:w="1394"/>
        <w:gridCol w:w="1396"/>
        <w:gridCol w:w="1394"/>
        <w:gridCol w:w="1111"/>
      </w:tblGrid>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融资租赁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210,009.08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14,398,794.49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-98.54%</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技术、金融服务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82,592,404.13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64,445,093.76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28.16%</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9,655,421.04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39,378,165.72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29,027,243.80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35.66%</w:t>
            </w:r>
          </w:p>
        </w:tc>
      </w:tr>
    </w:tbl>
    <w:p>
      <w:pPr>
        <w:pStyle w:val="BodyText"/>
        <w:spacing w:line="240" w:lineRule="auto" w:before="51"/>
        <w:ind w:left="1134" w:right="0"/>
        <w:jc w:val="left"/>
      </w:pPr>
      <w:r>
        <w:rPr/>
        <w:t>说明</w:t>
      </w:r>
    </w:p>
    <w:p>
      <w:pPr>
        <w:spacing w:line="240" w:lineRule="auto" w:before="6"/>
        <w:rPr>
          <w:rFonts w:ascii="宋体" w:hAnsi="宋体" w:cs="宋体" w:eastAsia="宋体" w:hint="default"/>
          <w:sz w:val="8"/>
          <w:szCs w:val="8"/>
        </w:rPr>
      </w:pPr>
    </w:p>
    <w:tbl>
      <w:tblPr>
        <w:tblW w:w="0" w:type="auto"/>
        <w:jc w:val="left"/>
        <w:tblInd w:w="1124" w:type="dxa"/>
        <w:tblLayout w:type="fixed"/>
        <w:tblCellMar>
          <w:top w:w="0" w:type="dxa"/>
          <w:left w:w="0" w:type="dxa"/>
          <w:bottom w:w="0" w:type="dxa"/>
          <w:right w:w="0" w:type="dxa"/>
        </w:tblCellMar>
        <w:tblLook w:val="01E0"/>
      </w:tblPr>
      <w:tblGrid>
        <w:gridCol w:w="2609"/>
        <w:gridCol w:w="2609"/>
        <w:gridCol w:w="2171"/>
        <w:gridCol w:w="2170"/>
      </w:tblGrid>
      <w:tr>
        <w:trPr>
          <w:trHeight w:val="380" w:hRule="exact"/>
        </w:trPr>
        <w:tc>
          <w:tcPr>
            <w:tcW w:w="260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260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17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17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变动</w:t>
            </w:r>
          </w:p>
        </w:tc>
      </w:tr>
      <w:tr>
        <w:trPr>
          <w:trHeight w:val="403" w:hRule="exact"/>
        </w:trPr>
        <w:tc>
          <w:tcPr>
            <w:tcW w:w="26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26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86.79%</w:t>
            </w:r>
          </w:p>
        </w:tc>
        <w:tc>
          <w:tcPr>
            <w:tcW w:w="2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88.03%</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26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直接人工及制造费用</w:t>
            </w:r>
          </w:p>
        </w:tc>
        <w:tc>
          <w:tcPr>
            <w:tcW w:w="26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13.21%</w:t>
            </w:r>
          </w:p>
        </w:tc>
        <w:tc>
          <w:tcPr>
            <w:tcW w:w="2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11.97%</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w:t>
            </w:r>
          </w:p>
        </w:tc>
      </w:tr>
      <w:tr>
        <w:trPr>
          <w:trHeight w:val="388" w:hRule="exact"/>
        </w:trPr>
        <w:tc>
          <w:tcPr>
            <w:tcW w:w="26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2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left="1134" w:right="1129" w:firstLine="360"/>
        <w:jc w:val="both"/>
      </w:pPr>
      <w:r>
        <w:rPr>
          <w:spacing w:val="-1"/>
        </w:rPr>
        <w:t>①</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05</w:t>
      </w:r>
      <w:r>
        <w:rPr>
          <w:spacing w:val="-1"/>
        </w:rPr>
        <w:t>月</w:t>
      </w:r>
      <w:r>
        <w:rPr>
          <w:rFonts w:ascii="Times New Roman" w:hAnsi="Times New Roman" w:cs="Times New Roman" w:eastAsia="Times New Roman" w:hint="default"/>
          <w:spacing w:val="-1"/>
        </w:rPr>
        <w:t>26</w:t>
      </w:r>
      <w:r>
        <w:rPr>
          <w:spacing w:val="-1"/>
        </w:rPr>
        <w:t>日，本公司认缴出资</w:t>
      </w:r>
      <w:r>
        <w:rPr>
          <w:rFonts w:ascii="Times New Roman" w:hAnsi="Times New Roman" w:cs="Times New Roman" w:eastAsia="Times New Roman" w:hint="default"/>
          <w:spacing w:val="-1"/>
        </w:rPr>
        <w:t>2,500.00</w:t>
      </w:r>
      <w:r>
        <w:rPr>
          <w:spacing w:val="-1"/>
        </w:rPr>
        <w:t>万元设立了广州十方软件科技有限公司全资子公司，持有其</w:t>
      </w:r>
      <w:r>
        <w:rPr>
          <w:rFonts w:ascii="Times New Roman" w:hAnsi="Times New Roman" w:cs="Times New Roman" w:eastAsia="Times New Roman" w:hint="default"/>
          <w:spacing w:val="-1"/>
        </w:rPr>
        <w:t>100%</w:t>
      </w:r>
      <w:r>
        <w:rPr>
          <w:spacing w:val="-1"/>
        </w:rPr>
        <w:t>股权。截</w:t>
      </w:r>
      <w:r>
        <w:rPr/>
        <w:t> 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日，本公司合计支付投资款</w:t>
      </w:r>
      <w:r>
        <w:rPr>
          <w:rFonts w:ascii="Times New Roman" w:hAnsi="Times New Roman" w:cs="Times New Roman" w:eastAsia="Times New Roman" w:hint="default"/>
        </w:rPr>
        <w:t>170.00</w:t>
      </w:r>
      <w:r>
        <w:rPr/>
        <w:t>万元。从成立日起，广州十方软件科技有限公司纳入合并范围。</w:t>
      </w:r>
    </w:p>
    <w:p>
      <w:pPr>
        <w:pStyle w:val="BodyText"/>
        <w:spacing w:line="300" w:lineRule="auto" w:before="13"/>
        <w:ind w:right="1079" w:firstLine="360"/>
        <w:jc w:val="both"/>
      </w:pPr>
      <w:r>
        <w:rPr/>
        <w:t>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25</w:t>
      </w:r>
      <w:r>
        <w:rPr/>
        <w:t>日，本公司以自有资金</w:t>
      </w:r>
      <w:r>
        <w:rPr>
          <w:rFonts w:ascii="Times New Roman" w:hAnsi="Times New Roman" w:cs="Times New Roman" w:eastAsia="Times New Roman" w:hint="default"/>
        </w:rPr>
        <w:t>1,100.00</w:t>
      </w:r>
      <w:r>
        <w:rPr/>
        <w:t>万元投资设立了广州御联软件有限公司全资子公司，持有其</w:t>
      </w:r>
      <w:r>
        <w:rPr>
          <w:rFonts w:ascii="Times New Roman" w:hAnsi="Times New Roman" w:cs="Times New Roman" w:eastAsia="Times New Roman" w:hint="default"/>
        </w:rPr>
        <w:t>100%</w:t>
      </w:r>
      <w:r>
        <w:rPr/>
        <w:t>股权。 从成立日起，广州御联软件有限公司纳入合并范围。</w:t>
      </w:r>
    </w:p>
    <w:p>
      <w:pPr>
        <w:pStyle w:val="BodyText"/>
        <w:spacing w:line="300" w:lineRule="auto" w:before="31"/>
        <w:ind w:right="1130" w:firstLine="360"/>
        <w:jc w:val="both"/>
      </w:pPr>
      <w:r>
        <w:rPr/>
        <w:t>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27</w:t>
      </w:r>
      <w:r>
        <w:rPr/>
        <w:t>日，子公司御银（中国）科技国际有限公司和广州御银自动柜员机科技有限公司合计认缴出资</w:t>
      </w:r>
      <w:r>
        <w:rPr>
          <w:rFonts w:ascii="Times New Roman" w:hAnsi="Times New Roman" w:cs="Times New Roman" w:eastAsia="Times New Roman" w:hint="default"/>
        </w:rPr>
        <w:t>5,000.00 </w:t>
      </w:r>
      <w:r>
        <w:rPr/>
        <w:t>万美元投资设立了广州御银金融电子设备有限公司全资子公司，合计持有其</w:t>
      </w:r>
      <w:r>
        <w:rPr>
          <w:rFonts w:ascii="Times New Roman" w:hAnsi="Times New Roman" w:cs="Times New Roman" w:eastAsia="Times New Roman" w:hint="default"/>
        </w:rPr>
        <w:t>100%</w:t>
      </w:r>
      <w:r>
        <w:rPr/>
        <w:t>股权。从成立日起，广州御银金融电子设</w:t>
      </w:r>
      <w:r>
        <w:rPr>
          <w:spacing w:val="-55"/>
        </w:rPr>
        <w:t> </w:t>
      </w:r>
      <w:r>
        <w:rPr>
          <w:spacing w:val="-55"/>
        </w:rPr>
      </w:r>
      <w:r>
        <w:rPr/>
        <w:t>备有限公司纳入合并范围。</w:t>
      </w:r>
    </w:p>
    <w:p>
      <w:pPr>
        <w:pStyle w:val="BodyText"/>
        <w:spacing w:line="300" w:lineRule="auto" w:before="32"/>
        <w:ind w:right="1129" w:firstLine="360"/>
        <w:jc w:val="both"/>
      </w:pPr>
      <w:r>
        <w:rPr/>
        <w:t>④</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日，子公司广东小炬人创业园有限公司认缴出资设立了广州同位素智能科技有限公司，持有其</w:t>
      </w:r>
      <w:r>
        <w:rPr>
          <w:rFonts w:ascii="Times New Roman" w:hAnsi="Times New Roman" w:cs="Times New Roman" w:eastAsia="Times New Roman" w:hint="default"/>
        </w:rPr>
        <w:t>100%</w:t>
      </w:r>
      <w:r>
        <w:rPr/>
        <w:t>股 </w:t>
      </w:r>
      <w:r>
        <w:rPr>
          <w:spacing w:val="-2"/>
        </w:rPr>
        <w:t>权。</w:t>
      </w:r>
      <w:r>
        <w:rPr>
          <w:rFonts w:ascii="Times New Roman" w:hAnsi="Times New Roman" w:cs="Times New Roman" w:eastAsia="Times New Roman" w:hint="default"/>
          <w:spacing w:val="-2"/>
        </w:rPr>
        <w:t>2016</w:t>
      </w:r>
      <w:r>
        <w:rPr>
          <w:spacing w:val="-2"/>
        </w:rPr>
        <w:t>年未支付投资款且广州同位素智能科技有限公司尚未开始经营活动故未纳入合并范围。</w:t>
      </w:r>
      <w:r>
        <w:rPr>
          <w:rFonts w:ascii="Times New Roman" w:hAnsi="Times New Roman" w:cs="Times New Roman" w:eastAsia="Times New Roman" w:hint="default"/>
          <w:spacing w:val="-2"/>
        </w:rPr>
        <w:t>2017</w:t>
      </w:r>
      <w:r>
        <w:rPr>
          <w:spacing w:val="-2"/>
        </w:rPr>
        <w:t>年子公司广东小炬人创</w:t>
      </w:r>
      <w:r>
        <w:rPr>
          <w:spacing w:val="-56"/>
        </w:rPr>
        <w:t> </w:t>
      </w:r>
      <w:r>
        <w:rPr/>
        <w:t>业园有限公司已支付</w:t>
      </w:r>
      <w:r>
        <w:rPr>
          <w:rFonts w:ascii="Times New Roman" w:hAnsi="Times New Roman" w:cs="Times New Roman" w:eastAsia="Times New Roman" w:hint="default"/>
        </w:rPr>
        <w:t>500.00</w:t>
      </w:r>
      <w:r>
        <w:rPr/>
        <w:t>万元投资款，自</w:t>
      </w:r>
      <w:r>
        <w:rPr>
          <w:rFonts w:ascii="Times New Roman" w:hAnsi="Times New Roman" w:cs="Times New Roman" w:eastAsia="Times New Roman" w:hint="default"/>
        </w:rPr>
        <w:t>2017</w:t>
      </w:r>
      <w:r>
        <w:rPr/>
        <w:t>年起广州同位素智能科技有限公司纳入合并范围。</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501"/>
        <w:gridCol w:w="5068"/>
      </w:tblGrid>
      <w:tr>
        <w:trPr>
          <w:trHeight w:val="4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130,215,206.11</w:t>
            </w:r>
          </w:p>
        </w:tc>
      </w:tr>
      <w:tr>
        <w:trPr>
          <w:trHeight w:val="4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22.85%</w:t>
            </w:r>
          </w:p>
        </w:tc>
      </w:tr>
      <w:tr>
        <w:trPr>
          <w:trHeight w:val="4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2933"/>
        <w:gridCol w:w="2922"/>
        <w:gridCol w:w="2922"/>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36,164,695.80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28,283,199.29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26,255,789.44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2933"/>
        <w:gridCol w:w="2922"/>
        <w:gridCol w:w="2922"/>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22,286,325.73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17,225,195.85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9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130,215,206.11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22.85%</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681"/>
        <w:gridCol w:w="4888"/>
      </w:tblGrid>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94,568,883.44</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71.73%</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61.42%</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2889"/>
        <w:gridCol w:w="2878"/>
        <w:gridCol w:w="2878"/>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2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68,727,123.62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2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12,245,127.54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2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5,510,268.73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2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4,863,859.03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2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3,222,504.52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8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94,568,883.44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71.73%</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778"/>
        <w:gridCol w:w="1571"/>
        <w:gridCol w:w="1560"/>
        <w:gridCol w:w="1560"/>
        <w:gridCol w:w="3088"/>
      </w:tblGrid>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78,428,289.86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89,395,591.29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-12.27%</w:t>
            </w: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92,868,327.03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147,324,005.74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研发费用、工资以及交通费用减少所致</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2,610,606.43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8,050,361.53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外币汇兑收益增加所致</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AD2E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7,968,060.26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1,149,521.88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593.16%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公司高度重视技术研发，把研究开发作为一项长期性战略性工作持续加大投入，以市场需求为导向，积极落实政府供给</w:t>
      </w:r>
    </w:p>
    <w:p>
      <w:pPr>
        <w:pStyle w:val="BodyText"/>
        <w:spacing w:line="319" w:lineRule="auto" w:before="2"/>
        <w:ind w:right="1118"/>
        <w:jc w:val="left"/>
      </w:pPr>
      <w:r>
        <w:rPr>
          <w:spacing w:val="-2"/>
        </w:rPr>
        <w:t>侧结构改革的指导意见，不断突破创新，开发新产品新工艺，使产品持续升级换代，铸造出以核心技术为导向的综合企业竞</w:t>
      </w:r>
      <w:r>
        <w:rPr>
          <w:spacing w:val="-66"/>
        </w:rPr>
        <w:t> </w:t>
      </w:r>
      <w:r>
        <w:rPr>
          <w:spacing w:val="-66"/>
        </w:rPr>
      </w:r>
      <w:r>
        <w:rPr/>
        <w:t>争力。</w:t>
      </w:r>
    </w:p>
    <w:p>
      <w:pPr>
        <w:pStyle w:val="BodyText"/>
        <w:spacing w:line="300" w:lineRule="auto" w:before="17"/>
        <w:ind w:right="1129" w:firstLine="360"/>
        <w:jc w:val="both"/>
      </w:pPr>
      <w:r>
        <w:rPr/>
        <w:t>报告期内，公司及子公司获得了</w:t>
      </w:r>
      <w:r>
        <w:rPr>
          <w:rFonts w:ascii="Times New Roman" w:hAnsi="Times New Roman" w:cs="Times New Roman" w:eastAsia="Times New Roman" w:hint="default"/>
        </w:rPr>
        <w:t>15</w:t>
      </w:r>
      <w:r>
        <w:rPr/>
        <w:t>项发明专利、</w:t>
      </w:r>
      <w:r>
        <w:rPr>
          <w:rFonts w:ascii="Times New Roman" w:hAnsi="Times New Roman" w:cs="Times New Roman" w:eastAsia="Times New Roman" w:hint="default"/>
        </w:rPr>
        <w:t>24</w:t>
      </w:r>
      <w:r>
        <w:rPr/>
        <w:t>项实用新型专利、</w:t>
      </w:r>
      <w:r>
        <w:rPr>
          <w:rFonts w:ascii="Times New Roman" w:hAnsi="Times New Roman" w:cs="Times New Roman" w:eastAsia="Times New Roman" w:hint="default"/>
        </w:rPr>
        <w:t>1</w:t>
      </w:r>
      <w:r>
        <w:rPr/>
        <w:t>项外观设计专利、</w:t>
      </w:r>
      <w:r>
        <w:rPr>
          <w:rFonts w:ascii="Times New Roman" w:hAnsi="Times New Roman" w:cs="Times New Roman" w:eastAsia="Times New Roman" w:hint="default"/>
        </w:rPr>
        <w:t>22</w:t>
      </w:r>
      <w:r>
        <w:rPr/>
        <w:t>项计算机软件著作权登记证 书、</w:t>
      </w:r>
      <w:r>
        <w:rPr>
          <w:rFonts w:ascii="Times New Roman" w:hAnsi="Times New Roman" w:cs="Times New Roman" w:eastAsia="Times New Roman" w:hint="default"/>
        </w:rPr>
        <w:t>12</w:t>
      </w:r>
      <w:r>
        <w:rPr/>
        <w:t>项资格认证证书、</w:t>
      </w:r>
      <w:r>
        <w:rPr>
          <w:rFonts w:ascii="Times New Roman" w:hAnsi="Times New Roman" w:cs="Times New Roman" w:eastAsia="Times New Roman" w:hint="default"/>
        </w:rPr>
        <w:t>10</w:t>
      </w:r>
      <w:r>
        <w:rPr/>
        <w:t>项产品认证证书；公司获得</w:t>
      </w:r>
      <w:r>
        <w:rPr>
          <w:rFonts w:ascii="Times New Roman" w:hAnsi="Times New Roman" w:cs="Times New Roman" w:eastAsia="Times New Roman" w:hint="default"/>
        </w:rPr>
        <w:t>“</w:t>
      </w:r>
      <w:r>
        <w:rPr/>
        <w:t>广州市创新标杆百家企业（技术创新标杆）</w:t>
      </w:r>
      <w:r>
        <w:rPr>
          <w:rFonts w:ascii="Times New Roman" w:hAnsi="Times New Roman" w:cs="Times New Roman" w:eastAsia="Times New Roman" w:hint="default"/>
        </w:rPr>
        <w:t>”“</w:t>
      </w:r>
      <w:r>
        <w:rPr/>
        <w:t>广东省战略性新兴产 </w:t>
      </w:r>
      <w:r>
        <w:rPr>
          <w:spacing w:val="-1"/>
        </w:rPr>
        <w:t>业骨干企业</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广州市行业领先企业</w:t>
      </w:r>
      <w:r>
        <w:rPr>
          <w:rFonts w:ascii="Times New Roman" w:hAnsi="Times New Roman" w:cs="Times New Roman" w:eastAsia="Times New Roman" w:hint="default"/>
          <w:spacing w:val="-1"/>
        </w:rPr>
        <w:t>”</w:t>
      </w:r>
      <w:r>
        <w:rPr>
          <w:spacing w:val="-1"/>
        </w:rPr>
        <w:t>等荣誉称号。公司已经连续十年获得</w:t>
      </w:r>
      <w:r>
        <w:rPr>
          <w:rFonts w:ascii="Times New Roman" w:hAnsi="Times New Roman" w:cs="Times New Roman" w:eastAsia="Times New Roman" w:hint="default"/>
          <w:spacing w:val="-1"/>
        </w:rPr>
        <w:t>“</w:t>
      </w:r>
      <w:r>
        <w:rPr>
          <w:spacing w:val="-1"/>
        </w:rPr>
        <w:t>广东省诚信示范企业</w:t>
      </w:r>
      <w:r>
        <w:rPr>
          <w:rFonts w:ascii="Times New Roman" w:hAnsi="Times New Roman" w:cs="Times New Roman" w:eastAsia="Times New Roman" w:hint="default"/>
          <w:spacing w:val="-1"/>
        </w:rPr>
        <w:t>”</w:t>
      </w:r>
      <w:r>
        <w:rPr>
          <w:spacing w:val="-1"/>
        </w:rPr>
        <w:t>，连续十一年获得</w:t>
      </w:r>
      <w:r>
        <w:rPr>
          <w:rFonts w:ascii="Times New Roman" w:hAnsi="Times New Roman" w:cs="Times New Roman" w:eastAsia="Times New Roman" w:hint="default"/>
          <w:spacing w:val="-1"/>
        </w:rPr>
        <w:t>“</w:t>
      </w:r>
      <w:r>
        <w:rPr>
          <w:spacing w:val="-1"/>
        </w:rPr>
        <w:t>广东省</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40" w:lineRule="auto" w:before="44"/>
        <w:ind w:left="1134" w:right="9052"/>
        <w:jc w:val="left"/>
      </w:pPr>
      <w:r>
        <w:rPr/>
        <w:t>守合同重信用企业</w:t>
      </w:r>
      <w:r>
        <w:rPr>
          <w:rFonts w:ascii="Times New Roman" w:hAnsi="Times New Roman" w:cs="Times New Roman" w:eastAsia="Times New Roman" w:hint="default"/>
        </w:rPr>
        <w:t>”</w:t>
      </w:r>
      <w:r>
        <w:rPr/>
        <w:t>。 公司研发投入情况</w:t>
      </w:r>
    </w:p>
    <w:p>
      <w:pPr>
        <w:spacing w:line="240" w:lineRule="auto" w:before="4"/>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858"/>
        <w:gridCol w:w="2241"/>
        <w:gridCol w:w="2229"/>
        <w:gridCol w:w="2230"/>
      </w:tblGrid>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132</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-26.26%</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44.15%</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56,316,843.82</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94,417,590.37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-40.35%</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858"/>
        <w:gridCol w:w="2262"/>
        <w:gridCol w:w="2250"/>
        <w:gridCol w:w="2188"/>
      </w:tblGrid>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735,057,405.79</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1,340,758,470.40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-45.18%</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587,283,021.44</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961,459,101.91</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-38.92%</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147,774,384.35</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379,299,368.49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-61.04%</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310,510,743.58</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1,479,241,731.73</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-79.01%</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621,890,374.77</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1,812,889,813.98</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-65.70%</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-311,379,631.19</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-333,648,082.25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152,189,496.44</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227,682,016.10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-33.16%</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-22,189,496.44</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-77,682,016.10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71.44%</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-186,424,439.91</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-31,481,283.77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-492.18%</w:t>
            </w:r>
            <w:r>
              <w:rPr>
                <w:rFonts w:ascii="Times New Roman"/>
                <w:sz w:val="18"/>
              </w:rPr>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w:t>
      </w:r>
      <w:r>
        <w:rPr>
          <w:rFonts w:ascii="Times New Roman" w:hAnsi="Times New Roman" w:cs="Times New Roman" w:eastAsia="Times New Roman" w:hint="default"/>
        </w:rPr>
        <w:t>1</w:t>
      </w:r>
      <w:r>
        <w:rPr/>
        <w:t>）经营活动现金流量</w:t>
      </w:r>
    </w:p>
    <w:p>
      <w:pPr>
        <w:pStyle w:val="BodyText"/>
        <w:spacing w:line="240" w:lineRule="auto" w:before="63"/>
        <w:ind w:left="1134" w:right="0"/>
        <w:jc w:val="left"/>
      </w:pPr>
      <w:r>
        <w:rPr/>
        <w:t>①报告期内公司经营活动现金流入比去年同期减少</w:t>
      </w:r>
      <w:r>
        <w:rPr>
          <w:rFonts w:ascii="Times New Roman" w:hAnsi="Times New Roman" w:cs="Times New Roman" w:eastAsia="Times New Roman" w:hint="default"/>
        </w:rPr>
        <w:t>45.18%</w:t>
      </w:r>
      <w:r>
        <w:rPr/>
        <w:t>，主要原因是行业需求减少导致销售收入减少所致；</w:t>
      </w:r>
    </w:p>
    <w:p>
      <w:pPr>
        <w:pStyle w:val="BodyText"/>
        <w:spacing w:line="240" w:lineRule="auto" w:before="63"/>
        <w:ind w:left="1134" w:right="0"/>
        <w:jc w:val="left"/>
      </w:pPr>
      <w:r>
        <w:rPr/>
        <w:t>②报告期内公司经营活动现金流出比去年同期减少</w:t>
      </w:r>
      <w:r>
        <w:rPr>
          <w:rFonts w:ascii="Times New Roman" w:hAnsi="Times New Roman" w:cs="Times New Roman" w:eastAsia="Times New Roman" w:hint="default"/>
        </w:rPr>
        <w:t>38.92%</w:t>
      </w:r>
      <w:r>
        <w:rPr/>
        <w:t>，主要原因是原材料采购减少所致；</w:t>
      </w:r>
    </w:p>
    <w:p>
      <w:pPr>
        <w:pStyle w:val="BodyText"/>
        <w:spacing w:line="240" w:lineRule="auto" w:before="63"/>
        <w:ind w:left="1134" w:right="0"/>
        <w:jc w:val="left"/>
      </w:pPr>
      <w:r>
        <w:rPr/>
        <w:t>③报告期内公司经营活动产生的现金流量净额比去年同期减少</w:t>
      </w:r>
      <w:r>
        <w:rPr>
          <w:rFonts w:ascii="Times New Roman" w:hAnsi="Times New Roman" w:cs="Times New Roman" w:eastAsia="Times New Roman" w:hint="default"/>
        </w:rPr>
        <w:t>61.04%</w:t>
      </w:r>
      <w:r>
        <w:rPr/>
        <w:t>，主要原因是经营活动收款减少所致；</w:t>
      </w:r>
    </w:p>
    <w:p>
      <w:pPr>
        <w:pStyle w:val="BodyText"/>
        <w:spacing w:line="240" w:lineRule="auto" w:before="63"/>
        <w:ind w:left="1134" w:right="0"/>
        <w:jc w:val="left"/>
      </w:pPr>
      <w:r>
        <w:rPr/>
        <w:t>（</w:t>
      </w:r>
      <w:r>
        <w:rPr>
          <w:rFonts w:ascii="Times New Roman" w:hAnsi="Times New Roman" w:cs="Times New Roman" w:eastAsia="Times New Roman" w:hint="default"/>
        </w:rPr>
        <w:t>2</w:t>
      </w:r>
      <w:r>
        <w:rPr/>
        <w:t>）投资活动现金流量</w:t>
      </w:r>
    </w:p>
    <w:p>
      <w:pPr>
        <w:pStyle w:val="BodyText"/>
        <w:spacing w:line="240" w:lineRule="auto" w:before="63"/>
        <w:ind w:left="1134" w:right="0"/>
        <w:jc w:val="left"/>
      </w:pPr>
      <w:r>
        <w:rPr/>
        <w:t>①报告期内公司投资活动现金流入比去年同期减少</w:t>
      </w:r>
      <w:r>
        <w:rPr>
          <w:rFonts w:ascii="Times New Roman" w:hAnsi="Times New Roman" w:cs="Times New Roman" w:eastAsia="Times New Roman" w:hint="default"/>
        </w:rPr>
        <w:t>79.01%</w:t>
      </w:r>
      <w:r>
        <w:rPr/>
        <w:t>，主要原因是出售理财产品减少所致；</w:t>
      </w:r>
    </w:p>
    <w:p>
      <w:pPr>
        <w:pStyle w:val="BodyText"/>
        <w:spacing w:line="240" w:lineRule="auto" w:before="63"/>
        <w:ind w:left="1134" w:right="0"/>
        <w:jc w:val="left"/>
      </w:pPr>
      <w:r>
        <w:rPr/>
        <w:t>②报告期内公司投资活动现金流出比去年同期减少</w:t>
      </w:r>
      <w:r>
        <w:rPr>
          <w:rFonts w:ascii="Times New Roman" w:hAnsi="Times New Roman" w:cs="Times New Roman" w:eastAsia="Times New Roman" w:hint="default"/>
        </w:rPr>
        <w:t>65.70%</w:t>
      </w:r>
      <w:r>
        <w:rPr/>
        <w:t>，主要原因是购买理财产品减少所致；</w:t>
      </w:r>
    </w:p>
    <w:p>
      <w:pPr>
        <w:pStyle w:val="BodyText"/>
        <w:spacing w:line="240" w:lineRule="auto" w:before="63"/>
        <w:ind w:left="1134" w:right="0"/>
        <w:jc w:val="left"/>
      </w:pPr>
      <w:r>
        <w:rPr/>
        <w:t>（</w:t>
      </w:r>
      <w:r>
        <w:rPr>
          <w:rFonts w:ascii="Times New Roman" w:hAnsi="Times New Roman" w:cs="Times New Roman" w:eastAsia="Times New Roman" w:hint="default"/>
        </w:rPr>
        <w:t>3</w:t>
      </w:r>
      <w:r>
        <w:rPr/>
        <w:t>）筹资活动现金流量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r>
        <w:rPr/>
        <w:pict>
          <v:group style="position:absolute;margin-left:191.960007pt;margin-top:717.269958pt;width:54.8pt;height:20.8pt;mso-position-horizontal-relative:page;mso-position-vertical-relative:page;z-index:-800968" coordorigin="3839,14345" coordsize="1096,416">
            <v:group style="position:absolute;left:3851;top:14357;width:2;height:393" coordorigin="3851,14357" coordsize="2,393">
              <v:shape style="position:absolute;left:3851;top:14357;width:2;height:393" coordorigin="3851,14357" coordsize="0,393" path="m3851,14357l3851,14749e" filled="false" stroked="true" strokeweight="1.140pt" strokecolor="#ffffff">
                <v:path arrowok="t"/>
              </v:shape>
            </v:group>
            <v:group style="position:absolute;left:3862;top:14357;width:1074;height:393" coordorigin="3862,14357" coordsize="1074,393">
              <v:shape style="position:absolute;left:3862;top:14357;width:1074;height:393" coordorigin="3862,14357" coordsize="1074,393" path="m3862,14749l4935,14749,4935,14357,3862,14357,3862,14749xe" filled="true" fillcolor="#ffffff" stroked="false">
                <v:path arrowok="t"/>
                <v:fill type="solid"/>
              </v:shape>
            </v:group>
            <w10:wrap type="none"/>
          </v:group>
        </w:pict>
      </w:r>
    </w:p>
    <w:p>
      <w:pPr>
        <w:pStyle w:val="BodyText"/>
        <w:spacing w:line="240" w:lineRule="auto" w:before="44"/>
        <w:ind w:right="0"/>
        <w:jc w:val="left"/>
      </w:pPr>
      <w:r>
        <w:rPr/>
        <w:t>①报告期内公司筹资活动现金流出比去年同期减少</w:t>
      </w:r>
      <w:r>
        <w:rPr>
          <w:rFonts w:ascii="Times New Roman" w:hAnsi="Times New Roman" w:cs="Times New Roman" w:eastAsia="Times New Roman" w:hint="default"/>
        </w:rPr>
        <w:t>33.16%,</w:t>
      </w:r>
      <w:r>
        <w:rPr/>
        <w:t>主要原因是公司归还银行借款减少所致；</w:t>
      </w:r>
    </w:p>
    <w:p>
      <w:pPr>
        <w:pStyle w:val="BodyText"/>
        <w:spacing w:line="340" w:lineRule="auto" w:before="63"/>
        <w:ind w:left="1134" w:right="1917"/>
        <w:jc w:val="left"/>
      </w:pPr>
      <w:r>
        <w:rPr/>
        <w:t>②报告期内公司筹资活动产生的现金流量净额比去年同期增长</w:t>
      </w:r>
      <w:r>
        <w:rPr>
          <w:rFonts w:ascii="Times New Roman" w:hAnsi="Times New Roman" w:cs="Times New Roman" w:eastAsia="Times New Roman" w:hint="default"/>
        </w:rPr>
        <w:t>71.44%</w:t>
      </w:r>
      <w:r>
        <w:rPr/>
        <w:t>，主要原因是公司归还银行借款减少所致； 报告期内公司经营活动产生的现金净流量与本年度净利润存在重大差异的原因说明</w:t>
      </w:r>
    </w:p>
    <w:p>
      <w:pPr>
        <w:pStyle w:val="BodyText"/>
        <w:spacing w:line="240" w:lineRule="auto" w:before="41"/>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6301"/>
        <w:gridCol w:w="3340"/>
      </w:tblGrid>
      <w:tr>
        <w:trPr>
          <w:trHeight w:val="347" w:hRule="exact"/>
        </w:trPr>
        <w:tc>
          <w:tcPr>
            <w:tcW w:w="6301" w:type="dxa"/>
            <w:tcBorders>
              <w:top w:val="single" w:sz="6" w:space="0" w:color="000000"/>
              <w:left w:val="single" w:sz="6" w:space="0" w:color="000000"/>
              <w:bottom w:val="single" w:sz="6" w:space="0" w:color="000000"/>
              <w:right w:val="single" w:sz="6" w:space="0" w:color="000000"/>
            </w:tcBorders>
            <w:shd w:val="clear" w:color="auto" w:fill="DAD2E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0" w:type="dxa"/>
            <w:tcBorders>
              <w:top w:val="single" w:sz="6" w:space="0" w:color="000000"/>
              <w:left w:val="single" w:sz="6" w:space="0" w:color="000000"/>
              <w:bottom w:val="single" w:sz="6" w:space="0" w:color="000000"/>
              <w:right w:val="single" w:sz="6" w:space="0" w:color="000000"/>
            </w:tcBorders>
            <w:shd w:val="clear" w:color="auto" w:fill="DAD2E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13,767,025.88</w:t>
            </w:r>
          </w:p>
        </w:tc>
      </w:tr>
      <w:tr>
        <w:trPr>
          <w:trHeight w:val="348"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37,822,541.89</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固定资产与投资性房地产折旧（摊销）</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43,347,745.45</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5,134,736.36</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699,619.89</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8,939,953.30</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-23,621,022.04</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3,174,150.24</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-32,815,704.68</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-110,656.46</w:t>
            </w:r>
            <w:r>
              <w:rPr>
                <w:rFonts w:ascii="Times New Roman"/>
                <w:sz w:val="18"/>
              </w:rPr>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1,211,410.61</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114,265,900.88</w:t>
            </w:r>
          </w:p>
        </w:tc>
      </w:tr>
      <w:tr>
        <w:trPr>
          <w:trHeight w:val="348"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84,249,857.59</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-108,291,174.56</w:t>
            </w:r>
          </w:p>
        </w:tc>
      </w:tr>
      <w:tr>
        <w:trPr>
          <w:trHeight w:val="347" w:hRule="exact"/>
        </w:trPr>
        <w:tc>
          <w:tcPr>
            <w:tcW w:w="6301" w:type="dxa"/>
            <w:tcBorders>
              <w:top w:val="single" w:sz="6" w:space="0" w:color="000000"/>
              <w:left w:val="single" w:sz="6" w:space="0" w:color="000000"/>
              <w:bottom w:val="single" w:sz="6" w:space="0" w:color="000000"/>
              <w:right w:val="single" w:sz="6" w:space="0" w:color="000000"/>
            </w:tcBorders>
            <w:shd w:val="clear" w:color="auto" w:fill="E4DFEB"/>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40" w:type="dxa"/>
            <w:tcBorders>
              <w:top w:val="single" w:sz="6" w:space="0" w:color="000000"/>
              <w:left w:val="single" w:sz="6" w:space="0" w:color="000000"/>
              <w:bottom w:val="single" w:sz="6" w:space="0" w:color="000000"/>
              <w:right w:val="single" w:sz="6" w:space="0" w:color="000000"/>
            </w:tcBorders>
            <w:shd w:val="clear" w:color="auto" w:fill="E4DFEB"/>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147,774,384.35</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700"/>
        <w:gridCol w:w="145"/>
        <w:gridCol w:w="983"/>
        <w:gridCol w:w="1559"/>
        <w:gridCol w:w="2836"/>
        <w:gridCol w:w="1559"/>
      </w:tblGrid>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2E4"/>
          </w:tcPr>
          <w:p>
            <w:pPr/>
          </w:p>
        </w:tc>
        <w:tc>
          <w:tcPr>
            <w:tcW w:w="1128" w:type="dxa"/>
            <w:gridSpan w:val="2"/>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36"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87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559"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5CDE0"/>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32,815,704.68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150.98%</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出售香港证券交易所上市股票腾讯 控股（</w:t>
            </w:r>
            <w:r>
              <w:rPr>
                <w:rFonts w:ascii="Times New Roman" w:hAnsi="Times New Roman" w:cs="Times New Roman" w:eastAsia="Times New Roman" w:hint="default"/>
                <w:sz w:val="18"/>
                <w:szCs w:val="18"/>
              </w:rPr>
              <w:t>00700</w:t>
            </w:r>
            <w:r>
              <w:rPr>
                <w:rFonts w:ascii="宋体" w:hAnsi="宋体" w:cs="宋体" w:eastAsia="宋体" w:hint="default"/>
                <w:sz w:val="18"/>
                <w:szCs w:val="18"/>
              </w:rPr>
              <w:t>）所获收益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5CDE0"/>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23,621,022.04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108.68%</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持有香港证券交易所上市股票腾讯 控股（</w:t>
            </w:r>
            <w:r>
              <w:rPr>
                <w:rFonts w:ascii="Times New Roman" w:hAnsi="Times New Roman" w:cs="Times New Roman" w:eastAsia="Times New Roman" w:hint="default"/>
                <w:sz w:val="18"/>
                <w:szCs w:val="18"/>
              </w:rPr>
              <w:t>00700</w:t>
            </w:r>
            <w:r>
              <w:rPr>
                <w:rFonts w:ascii="宋体" w:hAnsi="宋体" w:cs="宋体" w:eastAsia="宋体" w:hint="default"/>
                <w:sz w:val="18"/>
                <w:szCs w:val="18"/>
              </w:rPr>
              <w:t>）市场价值增长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37,822,541.89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both"/>
              <w:rPr>
                <w:rFonts w:ascii="宋体" w:hAnsi="宋体" w:cs="宋体" w:eastAsia="宋体" w:hint="default"/>
                <w:sz w:val="18"/>
                <w:szCs w:val="18"/>
              </w:rPr>
            </w:pPr>
            <w:r>
              <w:rPr>
                <w:rFonts w:ascii="宋体" w:hAnsi="宋体" w:cs="宋体" w:eastAsia="宋体" w:hint="default"/>
                <w:sz w:val="18"/>
                <w:szCs w:val="18"/>
              </w:rPr>
              <w:t>坏账准备、存货跌价准备、无形资 产减值准备、固定资产减值准备、 长期应收款减值准备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1,308,126.36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6.02%</w:t>
            </w:r>
          </w:p>
        </w:tc>
        <w:tc>
          <w:tcPr>
            <w:tcW w:w="283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13,828,050.82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非流动资产以及废旧物资报废损失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-178,728.93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非流动资产处置所获收益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25,149,748.76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115.71%</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增值税退税和政府补助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769" w:type="dxa"/>
        <w:tblLayout w:type="fixed"/>
        <w:tblCellMar>
          <w:top w:w="0" w:type="dxa"/>
          <w:left w:w="0" w:type="dxa"/>
          <w:bottom w:w="0" w:type="dxa"/>
          <w:right w:w="0" w:type="dxa"/>
        </w:tblCellMar>
        <w:tblLook w:val="01E0"/>
      </w:tblPr>
      <w:tblGrid>
        <w:gridCol w:w="2061"/>
        <w:gridCol w:w="1276"/>
        <w:gridCol w:w="709"/>
        <w:gridCol w:w="1276"/>
        <w:gridCol w:w="708"/>
        <w:gridCol w:w="810"/>
        <w:gridCol w:w="3726"/>
      </w:tblGrid>
      <w:tr>
        <w:trPr>
          <w:trHeight w:val="385" w:hRule="exact"/>
        </w:trPr>
        <w:tc>
          <w:tcPr>
            <w:tcW w:w="2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2061" w:type="dxa"/>
            <w:vMerge w:val="restart"/>
            <w:tcBorders>
              <w:top w:val="nil" w:sz="6" w:space="0" w:color="auto"/>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79"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77"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2061"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372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061"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372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6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37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167,161,255.75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8.11%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391,705,181.99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18.07%</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生产经营投入和证券投资所致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169,690,788.64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166,506,552.69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147,402,023.75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268,668,746.21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采购原材料较上年同期减少所致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376,463,890.80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4,553,947.50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18.04%</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出租御银科技园项目房屋所致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108,678.37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投资广州青创科技企业孵化器有限公司所致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257,282,918.88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586,942,817.35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27.07%</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-14.59%</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出租御银科技园项目房屋所致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4,819,582.60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4,667,003.61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短期银行借款增加所致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79,015,346.20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偿还御银科技园区投资项目借款所致</w:t>
            </w:r>
          </w:p>
        </w:tc>
      </w:tr>
      <w:tr>
        <w:trPr>
          <w:trHeight w:val="714"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316,301,656.72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本年度购入香港证券市场上市股票腾讯控股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00700)</w:t>
            </w:r>
            <w:r>
              <w:rPr>
                <w:rFonts w:ascii="宋体" w:hAnsi="宋体" w:cs="宋体" w:eastAsia="宋体" w:hint="default"/>
                <w:sz w:val="18"/>
                <w:szCs w:val="18"/>
              </w:rPr>
              <w:t>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10,683,506.61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10,412,690.98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14,811,955.75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19,767,670.98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-0.19%</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本年度应收补贴款减少所致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34,953,392.39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81,513,764.98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一年内到期的应收机器租赁款减少所致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43,689,740.98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15,598,732.35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购入理财产品所致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0.95%</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15,833,400.40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52,288,685.31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长期应收机器租赁款减少所致</w:t>
            </w:r>
          </w:p>
        </w:tc>
      </w:tr>
      <w:tr>
        <w:trPr>
          <w:trHeight w:val="714"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108,678.37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投资并持有广州青创科技企业孵化器有限公司 股权所致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78,106,051.40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69,803,585.87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0.57%</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子公司金融电子购入土地使用权</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973,148.03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1,672,767.92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办公楼房装修费摊销所致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21,295,713.08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21,185,056.62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70,187,556.00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-3.24%</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北京子公司办公室办理完毕产权手续所致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银行承兑汇票承兑所致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49,165,911.84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75,016,518.64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原材料采购减少所致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81,033,845.23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104,760,164.00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-0.90%</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预收销售机器款结算所致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8,473,486.43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7,744,021.56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21,453,045.25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42,965,436.63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-0.94%</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应交增值税减少所致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769" w:type="dxa"/>
        <w:tblLayout w:type="fixed"/>
        <w:tblCellMar>
          <w:top w:w="0" w:type="dxa"/>
          <w:left w:w="0" w:type="dxa"/>
          <w:bottom w:w="0" w:type="dxa"/>
          <w:right w:w="0" w:type="dxa"/>
        </w:tblCellMar>
        <w:tblLook w:val="01E0"/>
      </w:tblPr>
      <w:tblGrid>
        <w:gridCol w:w="2061"/>
        <w:gridCol w:w="1276"/>
        <w:gridCol w:w="709"/>
        <w:gridCol w:w="1276"/>
        <w:gridCol w:w="708"/>
        <w:gridCol w:w="810"/>
        <w:gridCol w:w="3726"/>
      </w:tblGrid>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35,892,071.14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35,042,174.98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11,683,046.82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18,576,716.60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3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30,559,200.00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52,198,800.00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计提机器维护费减少所致</w:t>
            </w: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BD2E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3,596,451.63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2,385,041.02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购入股票腾讯控股市场价值增长所致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46"/>
        <w:gridCol w:w="437"/>
        <w:gridCol w:w="1134"/>
        <w:gridCol w:w="1417"/>
        <w:gridCol w:w="820"/>
        <w:gridCol w:w="1219"/>
        <w:gridCol w:w="1213"/>
        <w:gridCol w:w="1284"/>
      </w:tblGrid>
      <w:tr>
        <w:trPr>
          <w:trHeight w:val="161"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8" w:right="26" w:hanging="90"/>
              <w:jc w:val="left"/>
              <w:rPr>
                <w:rFonts w:ascii="宋体" w:hAnsi="宋体" w:cs="宋体" w:eastAsia="宋体" w:hint="default"/>
                <w:sz w:val="18"/>
                <w:szCs w:val="18"/>
              </w:rPr>
            </w:pPr>
            <w:r>
              <w:rPr>
                <w:rFonts w:ascii="宋体" w:hAnsi="宋体" w:cs="宋体" w:eastAsia="宋体" w:hint="default"/>
                <w:sz w:val="18"/>
                <w:szCs w:val="18"/>
              </w:rPr>
              <w:t>期初 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1" w:right="11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8" w:right="40"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3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820"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2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43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20"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525"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 计入当期损益的金融资产</w:t>
            </w:r>
          </w:p>
          <w:p>
            <w:pPr>
              <w:pStyle w:val="TableParagraph"/>
              <w:spacing w:line="240" w:lineRule="auto" w:before="32"/>
              <w:ind w:left="11" w:right="0"/>
              <w:jc w:val="left"/>
              <w:rPr>
                <w:rFonts w:ascii="宋体" w:hAnsi="宋体" w:cs="宋体" w:eastAsia="宋体" w:hint="default"/>
                <w:sz w:val="18"/>
                <w:szCs w:val="18"/>
              </w:rPr>
            </w:pPr>
            <w:r>
              <w:rPr>
                <w:rFonts w:ascii="宋体" w:hAnsi="宋体" w:cs="宋体" w:eastAsia="宋体" w:hint="default"/>
                <w:sz w:val="18"/>
                <w:szCs w:val="18"/>
              </w:rPr>
              <w:t>（不含衍生金融资产）</w:t>
            </w:r>
          </w:p>
        </w:tc>
        <w:tc>
          <w:tcPr>
            <w:tcW w:w="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424,849,708.81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164,691,931.97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316,301,656.72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424,849,708.81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164,691,931.97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316,301,656.72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424,849,708.81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164,691,931.97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316,301,656.72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报告期内公司主要资产计量属性是否发生重大变化</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126" w:type="dxa"/>
        <w:tblLayout w:type="fixed"/>
        <w:tblCellMar>
          <w:top w:w="0" w:type="dxa"/>
          <w:left w:w="0" w:type="dxa"/>
          <w:bottom w:w="0" w:type="dxa"/>
          <w:right w:w="0" w:type="dxa"/>
        </w:tblCellMar>
        <w:tblLook w:val="01E0"/>
      </w:tblPr>
      <w:tblGrid>
        <w:gridCol w:w="3260"/>
        <w:gridCol w:w="3260"/>
        <w:gridCol w:w="3262"/>
      </w:tblGrid>
      <w:tr>
        <w:trPr>
          <w:trHeight w:val="334" w:hRule="exact"/>
        </w:trPr>
        <w:tc>
          <w:tcPr>
            <w:tcW w:w="32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8"/>
              <w:ind w:right="1442"/>
              <w:jc w:val="right"/>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262"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32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60"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2,150,663.79</w:t>
            </w:r>
          </w:p>
        </w:tc>
        <w:tc>
          <w:tcPr>
            <w:tcW w:w="32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p>
        </w:tc>
        <w:tc>
          <w:tcPr>
            <w:tcW w:w="32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211,921,786.98</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347" w:hRule="exact"/>
        </w:trPr>
        <w:tc>
          <w:tcPr>
            <w:tcW w:w="32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w:t>
            </w:r>
          </w:p>
        </w:tc>
        <w:tc>
          <w:tcPr>
            <w:tcW w:w="32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14,314,958.74</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347" w:hRule="exact"/>
        </w:trPr>
        <w:tc>
          <w:tcPr>
            <w:tcW w:w="32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1442"/>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228,387,398.47</w:t>
            </w:r>
          </w:p>
        </w:tc>
        <w:tc>
          <w:tcPr>
            <w:tcW w:w="326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9" w:lineRule="auto" w:before="10"/>
        <w:ind w:right="1131" w:firstLine="360"/>
        <w:jc w:val="both"/>
      </w:pPr>
      <w:r>
        <w:rPr>
          <w:spacing w:val="-2"/>
        </w:rPr>
        <w:t>公司与中国工商银行股份有限公司广州工业大道支行签订了抵押合同，将广州市天河区高唐路的部分房屋建筑物作为抵</w:t>
      </w:r>
      <w:r>
        <w:rPr/>
        <w:t> 押，抵押物原值为</w:t>
      </w:r>
      <w:r>
        <w:rPr>
          <w:rFonts w:ascii="Times New Roman" w:hAnsi="Times New Roman" w:cs="Times New Roman" w:eastAsia="Times New Roman" w:hint="default"/>
        </w:rPr>
        <w:t>232,231,211.38</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226,236,745.72</w:t>
      </w:r>
      <w:r>
        <w:rPr/>
        <w:t>元，该抵押担保合同项下的借款余额 为</w:t>
      </w:r>
      <w:r>
        <w:rPr>
          <w:rFonts w:ascii="Times New Roman" w:hAnsi="Times New Roman" w:cs="Times New Roman" w:eastAsia="Times New Roman" w:hint="default"/>
        </w:rPr>
        <w:t>0.00</w:t>
      </w:r>
      <w:r>
        <w:rPr/>
        <w:t>元。</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442,949,708.81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597,503,724.49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5"/>
        <w:ind w:left="0" w:right="445"/>
        <w:jc w:val="right"/>
      </w:pPr>
      <w:r>
        <w:rPr/>
        <w:pict>
          <v:shape style="position:absolute;margin-left:28.08pt;margin-top:-254.918289pt;width:542.25pt;height:6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6"/>
                    <w:gridCol w:w="1452"/>
                    <w:gridCol w:w="535"/>
                    <w:gridCol w:w="1276"/>
                    <w:gridCol w:w="527"/>
                    <w:gridCol w:w="359"/>
                    <w:gridCol w:w="541"/>
                    <w:gridCol w:w="359"/>
                    <w:gridCol w:w="541"/>
                    <w:gridCol w:w="932"/>
                    <w:gridCol w:w="425"/>
                    <w:gridCol w:w="1134"/>
                    <w:gridCol w:w="425"/>
                    <w:gridCol w:w="715"/>
                    <w:gridCol w:w="1042"/>
                  </w:tblGrid>
                  <w:tr>
                    <w:trPr>
                      <w:trHeight w:val="1338"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4" w:right="83"/>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84"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3"/>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101"/>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72" w:right="110"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 w:right="25"/>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8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5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445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70"/>
                          <w:jc w:val="both"/>
                          <w:rPr>
                            <w:rFonts w:ascii="宋体" w:hAnsi="宋体" w:cs="宋体" w:eastAsia="宋体" w:hint="default"/>
                            <w:sz w:val="18"/>
                            <w:szCs w:val="18"/>
                          </w:rPr>
                        </w:pPr>
                        <w:r>
                          <w:rPr>
                            <w:rFonts w:ascii="宋体" w:hAnsi="宋体" w:cs="宋体" w:eastAsia="宋体" w:hint="default"/>
                            <w:sz w:val="18"/>
                            <w:szCs w:val="18"/>
                          </w:rPr>
                          <w:t>广州 十方 软件 科技 有限 公司</w:t>
                        </w:r>
                      </w:p>
                    </w:tc>
                    <w:tc>
                      <w:tcPr>
                        <w:tcW w:w="1452"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51"/>
                          <w:ind w:left="22"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信息系统集成服 务</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数据处理和存 储服务</w:t>
                        </w:r>
                        <w:r>
                          <w:rPr>
                            <w:rFonts w:ascii="Times New Roman" w:hAnsi="Times New Roman" w:cs="Times New Roman" w:eastAsia="Times New Roman" w:hint="default"/>
                            <w:sz w:val="18"/>
                            <w:szCs w:val="18"/>
                          </w:rPr>
                          <w:t>;</w:t>
                        </w:r>
                        <w:r>
                          <w:rPr>
                            <w:rFonts w:ascii="宋体" w:hAnsi="宋体" w:cs="宋体" w:eastAsia="宋体" w:hint="default"/>
                            <w:sz w:val="18"/>
                            <w:szCs w:val="18"/>
                          </w:rPr>
                          <w:t>集成电路 设计</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信息技术咨 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 </w:t>
                        </w:r>
                        <w:r>
                          <w:rPr>
                            <w:rFonts w:ascii="宋体" w:hAnsi="宋体" w:cs="宋体" w:eastAsia="宋体" w:hint="default"/>
                            <w:sz w:val="18"/>
                            <w:szCs w:val="18"/>
                          </w:rPr>
                          <w:t>软件测试服务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 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软件批发</w:t>
                        </w:r>
                        <w:r>
                          <w:rPr>
                            <w:rFonts w:ascii="Times New Roman" w:hAnsi="Times New Roman" w:cs="Times New Roman" w:eastAsia="Times New Roman" w:hint="default"/>
                            <w:sz w:val="18"/>
                            <w:szCs w:val="18"/>
                          </w:rPr>
                          <w:t>; </w:t>
                        </w:r>
                        <w:r>
                          <w:rPr>
                            <w:rFonts w:ascii="宋体" w:hAnsi="宋体" w:cs="宋体" w:eastAsia="宋体" w:hint="default"/>
                            <w:sz w:val="18"/>
                            <w:szCs w:val="18"/>
                          </w:rPr>
                          <w:t>计算机技术开发、 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商品信 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 信息咨询服务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 技项目代理服务</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场地租赁（不含仓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w:t>
                        </w:r>
                        <w:r>
                          <w:rPr>
                            <w:rFonts w:ascii="Times New Roman" w:hAnsi="Times New Roman" w:cs="Times New Roman" w:eastAsia="Times New Roman" w:hint="default"/>
                            <w:sz w:val="18"/>
                            <w:szCs w:val="18"/>
                          </w:rPr>
                          <w:t>;</w:t>
                        </w:r>
                        <w:r>
                          <w:rPr>
                            <w:rFonts w:ascii="宋体" w:hAnsi="宋体" w:cs="宋体" w:eastAsia="宋体" w:hint="default"/>
                            <w:sz w:val="18"/>
                            <w:szCs w:val="18"/>
                          </w:rPr>
                          <w:t>物业管理</w:t>
                        </w:r>
                        <w:r>
                          <w:rPr>
                            <w:rFonts w:ascii="Times New Roman" w:hAnsi="Times New Roman" w:cs="Times New Roman" w:eastAsia="Times New Roman" w:hint="default"/>
                            <w:sz w:val="18"/>
                            <w:szCs w:val="18"/>
                          </w:rPr>
                          <w:t>;</w:t>
                        </w:r>
                      </w:p>
                    </w:tc>
                    <w:tc>
                      <w:tcPr>
                        <w:tcW w:w="53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1,700,000.00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144"/>
                          <w:jc w:val="left"/>
                          <w:rPr>
                            <w:rFonts w:ascii="宋体" w:hAnsi="宋体" w:cs="宋体" w:eastAsia="宋体" w:hint="default"/>
                            <w:sz w:val="18"/>
                            <w:szCs w:val="18"/>
                          </w:rPr>
                        </w:pPr>
                        <w:r>
                          <w:rPr>
                            <w:rFonts w:ascii="宋体" w:hAnsi="宋体" w:cs="宋体" w:eastAsia="宋体" w:hint="default"/>
                            <w:sz w:val="18"/>
                            <w:szCs w:val="18"/>
                          </w:rPr>
                          <w:t>长 期</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46"/>
                          <w:jc w:val="both"/>
                          <w:rPr>
                            <w:rFonts w:ascii="宋体" w:hAnsi="宋体" w:cs="宋体" w:eastAsia="宋体" w:hint="default"/>
                            <w:sz w:val="18"/>
                            <w:szCs w:val="18"/>
                          </w:rPr>
                        </w:pPr>
                        <w:r>
                          <w:rPr>
                            <w:rFonts w:ascii="宋体" w:hAnsi="宋体" w:cs="宋体" w:eastAsia="宋体" w:hint="default"/>
                            <w:sz w:val="18"/>
                            <w:szCs w:val="18"/>
                          </w:rPr>
                          <w:t>与自 动柜 员机 技术 相关 软件</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79"/>
                          <w:jc w:val="both"/>
                          <w:rPr>
                            <w:rFonts w:ascii="宋体" w:hAnsi="宋体" w:cs="宋体" w:eastAsia="宋体" w:hint="default"/>
                            <w:sz w:val="18"/>
                            <w:szCs w:val="18"/>
                          </w:rPr>
                        </w:pPr>
                        <w:r>
                          <w:rPr>
                            <w:rFonts w:ascii="宋体" w:hAnsi="宋体" w:cs="宋体" w:eastAsia="宋体" w:hint="default"/>
                            <w:sz w:val="18"/>
                            <w:szCs w:val="18"/>
                          </w:rPr>
                          <w:t>截至资产 负债表日 部分完成 出资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7"/>
                          <w:jc w:val="both"/>
                          <w:rPr>
                            <w:rFonts w:ascii="宋体" w:hAnsi="宋体" w:cs="宋体" w:eastAsia="宋体" w:hint="default"/>
                            <w:sz w:val="18"/>
                            <w:szCs w:val="18"/>
                          </w:rPr>
                        </w:pPr>
                        <w:r>
                          <w:rPr>
                            <w:rFonts w:ascii="宋体" w:hAnsi="宋体" w:cs="宋体" w:eastAsia="宋体" w:hint="default"/>
                            <w:sz w:val="18"/>
                            <w:szCs w:val="18"/>
                          </w:rPr>
                          <w:t>具体内容详 见巨潮资讯 网</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m.cn</w:t>
                        </w:r>
                        <w:r>
                          <w:rPr>
                            <w:rFonts w:ascii="宋体" w:hAnsi="宋体" w:cs="宋体" w:eastAsia="宋体" w:hint="default"/>
                            <w:spacing w:val="-12"/>
                            <w:sz w:val="18"/>
                            <w:szCs w:val="18"/>
                          </w:rPr>
                          <w:t>）的《关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于全资子公 司完成工商 注册登记的 公告）公告 编号</w:t>
                        </w:r>
                      </w:p>
                      <w:p>
                        <w:pPr>
                          <w:pStyle w:val="TableParagraph"/>
                          <w:spacing w:line="240" w:lineRule="auto" w:before="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tc>
                  </w:tr>
                  <w:tr>
                    <w:trPr>
                      <w:trHeight w:val="414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70"/>
                          <w:jc w:val="both"/>
                          <w:rPr>
                            <w:rFonts w:ascii="宋体" w:hAnsi="宋体" w:cs="宋体" w:eastAsia="宋体" w:hint="default"/>
                            <w:sz w:val="18"/>
                            <w:szCs w:val="18"/>
                          </w:rPr>
                        </w:pPr>
                        <w:r>
                          <w:rPr>
                            <w:rFonts w:ascii="宋体" w:hAnsi="宋体" w:cs="宋体" w:eastAsia="宋体" w:hint="default"/>
                            <w:sz w:val="18"/>
                            <w:szCs w:val="18"/>
                          </w:rPr>
                          <w:t>广州 御联 软件 有限 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信息系统集成服 务</w:t>
                        </w:r>
                        <w:r>
                          <w:rPr>
                            <w:rFonts w:ascii="Times New Roman" w:hAnsi="Times New Roman" w:cs="Times New Roman" w:eastAsia="Times New Roman" w:hint="default"/>
                            <w:sz w:val="18"/>
                            <w:szCs w:val="18"/>
                          </w:rPr>
                          <w:t>;</w:t>
                        </w:r>
                        <w:r>
                          <w:rPr>
                            <w:rFonts w:ascii="宋体" w:hAnsi="宋体" w:cs="宋体" w:eastAsia="宋体" w:hint="default"/>
                            <w:sz w:val="18"/>
                            <w:szCs w:val="18"/>
                          </w:rPr>
                          <w:t>数据处理和存 储服务</w:t>
                        </w:r>
                        <w:r>
                          <w:rPr>
                            <w:rFonts w:ascii="Times New Roman" w:hAnsi="Times New Roman" w:cs="Times New Roman" w:eastAsia="Times New Roman" w:hint="default"/>
                            <w:sz w:val="18"/>
                            <w:szCs w:val="18"/>
                          </w:rPr>
                          <w:t>;</w:t>
                        </w:r>
                        <w:r>
                          <w:rPr>
                            <w:rFonts w:ascii="宋体" w:hAnsi="宋体" w:cs="宋体" w:eastAsia="宋体" w:hint="default"/>
                            <w:sz w:val="18"/>
                            <w:szCs w:val="18"/>
                          </w:rPr>
                          <w:t>集成电路 设计</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信息技术咨 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软件测试 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软 件批发</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计算机技 术开发、技术服 务</w:t>
                        </w:r>
                        <w:r>
                          <w:rPr>
                            <w:rFonts w:ascii="Times New Roman" w:hAnsi="Times New Roman" w:cs="Times New Roman" w:eastAsia="Times New Roman" w:hint="default"/>
                            <w:sz w:val="18"/>
                            <w:szCs w:val="18"/>
                          </w:rPr>
                          <w:t>;</w:t>
                        </w:r>
                        <w:r>
                          <w:rPr>
                            <w:rFonts w:ascii="宋体" w:hAnsi="宋体" w:cs="宋体" w:eastAsia="宋体" w:hint="default"/>
                            <w:sz w:val="18"/>
                            <w:szCs w:val="18"/>
                          </w:rPr>
                          <w:t>商品信息咨询 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科技信息咨 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科技项目 代理服务</w:t>
                        </w:r>
                        <w:r>
                          <w:rPr>
                            <w:rFonts w:ascii="Times New Roman" w:hAnsi="Times New Roman" w:cs="Times New Roman" w:eastAsia="Times New Roman" w:hint="default"/>
                            <w:sz w:val="18"/>
                            <w:szCs w:val="18"/>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11,000,000.00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7"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44"/>
                          <w:jc w:val="left"/>
                          <w:rPr>
                            <w:rFonts w:ascii="宋体" w:hAnsi="宋体" w:cs="宋体" w:eastAsia="宋体" w:hint="default"/>
                            <w:sz w:val="18"/>
                            <w:szCs w:val="18"/>
                          </w:rPr>
                        </w:pPr>
                        <w:r>
                          <w:rPr>
                            <w:rFonts w:ascii="宋体" w:hAnsi="宋体" w:cs="宋体" w:eastAsia="宋体" w:hint="default"/>
                            <w:sz w:val="18"/>
                            <w:szCs w:val="18"/>
                          </w:rPr>
                          <w:t>长 期</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与自 动柜 员机 技术 相关 软件</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79"/>
                          <w:jc w:val="both"/>
                          <w:rPr>
                            <w:rFonts w:ascii="宋体" w:hAnsi="宋体" w:cs="宋体" w:eastAsia="宋体" w:hint="default"/>
                            <w:sz w:val="18"/>
                            <w:szCs w:val="18"/>
                          </w:rPr>
                        </w:pPr>
                        <w:r>
                          <w:rPr>
                            <w:rFonts w:ascii="宋体" w:hAnsi="宋体" w:cs="宋体" w:eastAsia="宋体" w:hint="default"/>
                            <w:sz w:val="18"/>
                            <w:szCs w:val="18"/>
                          </w:rPr>
                          <w:t>截至资产 负债表日 完成出资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具体内容详 见巨潮资讯 网</w:t>
                        </w:r>
                      </w:p>
                      <w:p>
                        <w:pPr>
                          <w:pStyle w:val="TableParagraph"/>
                          <w:spacing w:line="319" w:lineRule="auto" w:before="19"/>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m.cn</w:t>
                        </w:r>
                        <w:r>
                          <w:rPr>
                            <w:rFonts w:ascii="宋体" w:hAnsi="宋体" w:cs="宋体" w:eastAsia="宋体" w:hint="default"/>
                            <w:spacing w:val="-12"/>
                            <w:sz w:val="18"/>
                            <w:szCs w:val="18"/>
                          </w:rPr>
                          <w:t>）的《关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于全资子公 司增资并完 成工商变更 登记的公 </w:t>
                        </w:r>
                        <w:r>
                          <w:rPr>
                            <w:rFonts w:ascii="宋体" w:hAnsi="宋体" w:cs="宋体" w:eastAsia="宋体" w:hint="default"/>
                            <w:spacing w:val="-16"/>
                            <w:sz w:val="18"/>
                            <w:szCs w:val="18"/>
                          </w:rPr>
                          <w:t>告》）公告编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2017-053</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2547"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广州 同位 素智 能科 技有 限公 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科技信息咨询服 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科技项目代理 服务</w:t>
                        </w:r>
                        <w:r>
                          <w:rPr>
                            <w:rFonts w:ascii="Times New Roman" w:hAnsi="Times New Roman" w:cs="Times New Roman" w:eastAsia="Times New Roman" w:hint="default"/>
                            <w:sz w:val="18"/>
                            <w:szCs w:val="18"/>
                          </w:rPr>
                          <w:t>;</w:t>
                        </w:r>
                        <w:r>
                          <w:rPr>
                            <w:rFonts w:ascii="宋体" w:hAnsi="宋体" w:cs="宋体" w:eastAsia="宋体" w:hint="default"/>
                            <w:sz w:val="18"/>
                            <w:szCs w:val="18"/>
                          </w:rPr>
                          <w:t>场地租赁</w:t>
                        </w:r>
                      </w:p>
                      <w:p>
                        <w:pPr>
                          <w:pStyle w:val="TableParagraph"/>
                          <w:spacing w:line="300" w:lineRule="auto" w:before="5"/>
                          <w:ind w:left="22" w:right="57"/>
                          <w:jc w:val="both"/>
                          <w:rPr>
                            <w:rFonts w:ascii="宋体" w:hAnsi="宋体" w:cs="宋体" w:eastAsia="宋体" w:hint="default"/>
                            <w:sz w:val="18"/>
                            <w:szCs w:val="18"/>
                          </w:rPr>
                        </w:pPr>
                        <w:r>
                          <w:rPr>
                            <w:rFonts w:ascii="宋体" w:hAnsi="宋体" w:cs="宋体" w:eastAsia="宋体" w:hint="default"/>
                            <w:sz w:val="18"/>
                            <w:szCs w:val="18"/>
                          </w:rPr>
                          <w:t>（不含仓储）</w:t>
                        </w:r>
                        <w:r>
                          <w:rPr>
                            <w:rFonts w:ascii="Times New Roman" w:hAnsi="Times New Roman" w:cs="Times New Roman" w:eastAsia="Times New Roman" w:hint="default"/>
                            <w:sz w:val="18"/>
                            <w:szCs w:val="18"/>
                          </w:rPr>
                          <w:t>;</w:t>
                        </w:r>
                        <w:r>
                          <w:rPr>
                            <w:rFonts w:ascii="宋体" w:hAnsi="宋体" w:cs="宋体" w:eastAsia="宋体" w:hint="default"/>
                            <w:sz w:val="18"/>
                            <w:szCs w:val="18"/>
                          </w:rPr>
                          <w:t>物 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专利服务</w:t>
                        </w:r>
                        <w:r>
                          <w:rPr>
                            <w:rFonts w:ascii="Times New Roman" w:hAnsi="Times New Roman" w:cs="Times New Roman" w:eastAsia="Times New Roman" w:hint="default"/>
                            <w:sz w:val="18"/>
                            <w:szCs w:val="18"/>
                          </w:rPr>
                          <w:t>; </w:t>
                        </w:r>
                        <w:r>
                          <w:rPr>
                            <w:rFonts w:ascii="宋体" w:hAnsi="宋体" w:cs="宋体" w:eastAsia="宋体" w:hint="default"/>
                            <w:sz w:val="18"/>
                            <w:szCs w:val="18"/>
                          </w:rPr>
                          <w:t>商标代理等服务</w:t>
                        </w:r>
                        <w:r>
                          <w:rPr>
                            <w:rFonts w:ascii="Times New Roman" w:hAnsi="Times New Roman" w:cs="Times New Roman" w:eastAsia="Times New Roman" w:hint="default"/>
                            <w:sz w:val="18"/>
                            <w:szCs w:val="18"/>
                          </w:rPr>
                          <w:t>; </w:t>
                        </w:r>
                        <w:r>
                          <w:rPr>
                            <w:rFonts w:ascii="宋体" w:hAnsi="宋体" w:cs="宋体" w:eastAsia="宋体" w:hint="default"/>
                            <w:sz w:val="18"/>
                            <w:szCs w:val="18"/>
                          </w:rPr>
                          <w:t>版权服务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 务</w:t>
                        </w:r>
                        <w:r>
                          <w:rPr>
                            <w:rFonts w:ascii="Times New Roman" w:hAnsi="Times New Roman" w:cs="Times New Roman" w:eastAsia="Times New Roman" w:hint="default"/>
                            <w:sz w:val="18"/>
                            <w:szCs w:val="18"/>
                          </w:rPr>
                          <w:t>;</w:t>
                        </w:r>
                        <w:r>
                          <w:rPr>
                            <w:rFonts w:ascii="宋体" w:hAnsi="宋体" w:cs="宋体" w:eastAsia="宋体" w:hint="default"/>
                            <w:sz w:val="18"/>
                            <w:szCs w:val="18"/>
                          </w:rPr>
                          <w:t>工商登记代理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5,000,000.00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231" w:right="0"/>
                          <w:jc w:val="center"/>
                          <w:rPr>
                            <w:rFonts w:ascii="Times New Roman" w:hAnsi="Times New Roman" w:cs="Times New Roman" w:eastAsia="Times New Roman" w:hint="default"/>
                            <w:sz w:val="18"/>
                            <w:szCs w:val="18"/>
                          </w:rPr>
                        </w:pPr>
                        <w:r>
                          <w:rPr>
                            <w:rFonts w:ascii="Times New Roman"/>
                            <w:sz w:val="18"/>
                          </w:rPr>
                          <w:t>0%</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144"/>
                          <w:jc w:val="left"/>
                          <w:rPr>
                            <w:rFonts w:ascii="宋体" w:hAnsi="宋体" w:cs="宋体" w:eastAsia="宋体" w:hint="default"/>
                            <w:sz w:val="18"/>
                            <w:szCs w:val="18"/>
                          </w:rPr>
                        </w:pPr>
                        <w:r>
                          <w:rPr>
                            <w:rFonts w:ascii="宋体" w:hAnsi="宋体" w:cs="宋体" w:eastAsia="宋体" w:hint="default"/>
                            <w:sz w:val="18"/>
                            <w:szCs w:val="18"/>
                          </w:rPr>
                          <w:t>长 期</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146"/>
                          <w:jc w:val="both"/>
                          <w:rPr>
                            <w:rFonts w:ascii="宋体" w:hAnsi="宋体" w:cs="宋体" w:eastAsia="宋体" w:hint="default"/>
                            <w:sz w:val="18"/>
                            <w:szCs w:val="18"/>
                          </w:rPr>
                        </w:pPr>
                        <w:r>
                          <w:rPr>
                            <w:rFonts w:ascii="宋体" w:hAnsi="宋体" w:cs="宋体" w:eastAsia="宋体" w:hint="default"/>
                            <w:sz w:val="18"/>
                            <w:szCs w:val="18"/>
                          </w:rPr>
                          <w:t>科技 应用 服务</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79"/>
                          <w:jc w:val="both"/>
                          <w:rPr>
                            <w:rFonts w:ascii="宋体" w:hAnsi="宋体" w:cs="宋体" w:eastAsia="宋体" w:hint="default"/>
                            <w:sz w:val="18"/>
                            <w:szCs w:val="18"/>
                          </w:rPr>
                        </w:pPr>
                        <w:r>
                          <w:rPr>
                            <w:rFonts w:ascii="宋体" w:hAnsi="宋体" w:cs="宋体" w:eastAsia="宋体" w:hint="default"/>
                            <w:sz w:val="18"/>
                            <w:szCs w:val="18"/>
                          </w:rPr>
                          <w:t>截至资产 负债表日 已完成货 币出资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具体内容详 见巨潮资讯 网</w:t>
                        </w:r>
                      </w:p>
                      <w:p>
                        <w:pPr>
                          <w:pStyle w:val="TableParagraph"/>
                          <w:spacing w:line="338" w:lineRule="auto" w:before="19"/>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w.cninfo.com</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的《关于</w:t>
                        </w:r>
                      </w:p>
                      <w:p>
                        <w:pPr>
                          <w:pStyle w:val="TableParagraph"/>
                          <w:spacing w:line="316"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投资设立孙 公司并完成</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61" w:type="dxa"/>
        <w:tblLayout w:type="fixed"/>
        <w:tblCellMar>
          <w:top w:w="0" w:type="dxa"/>
          <w:left w:w="0" w:type="dxa"/>
          <w:bottom w:w="0" w:type="dxa"/>
          <w:right w:w="0" w:type="dxa"/>
        </w:tblCellMar>
        <w:tblLook w:val="01E0"/>
      </w:tblPr>
      <w:tblGrid>
        <w:gridCol w:w="566"/>
        <w:gridCol w:w="1452"/>
        <w:gridCol w:w="535"/>
        <w:gridCol w:w="1276"/>
        <w:gridCol w:w="527"/>
        <w:gridCol w:w="359"/>
        <w:gridCol w:w="541"/>
        <w:gridCol w:w="359"/>
        <w:gridCol w:w="541"/>
        <w:gridCol w:w="932"/>
        <w:gridCol w:w="425"/>
        <w:gridCol w:w="1134"/>
        <w:gridCol w:w="425"/>
        <w:gridCol w:w="715"/>
        <w:gridCol w:w="1042"/>
      </w:tblGrid>
      <w:tr>
        <w:trPr>
          <w:trHeight w:val="1611" w:hRule="exact"/>
        </w:trPr>
        <w:tc>
          <w:tcPr>
            <w:tcW w:w="56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集成电路布 图设计代理服务</w:t>
            </w:r>
            <w:r>
              <w:rPr>
                <w:rFonts w:ascii="Times New Roman" w:hAnsi="Times New Roman" w:cs="Times New Roman" w:eastAsia="Times New Roman" w:hint="default"/>
                <w:sz w:val="18"/>
                <w:szCs w:val="18"/>
              </w:rPr>
              <w:t>; </w:t>
            </w:r>
            <w:r>
              <w:rPr>
                <w:rFonts w:ascii="宋体" w:hAnsi="宋体" w:cs="宋体" w:eastAsia="宋体" w:hint="default"/>
                <w:sz w:val="18"/>
                <w:szCs w:val="18"/>
              </w:rPr>
              <w:t>企业管理咨询服 务</w:t>
            </w:r>
            <w:r>
              <w:rPr>
                <w:rFonts w:ascii="Times New Roman" w:hAnsi="Times New Roman" w:cs="Times New Roman" w:eastAsia="Times New Roman" w:hint="default"/>
                <w:sz w:val="18"/>
                <w:szCs w:val="18"/>
              </w:rPr>
              <w:t>;</w:t>
            </w:r>
            <w:r>
              <w:rPr>
                <w:rFonts w:ascii="宋体" w:hAnsi="宋体" w:cs="宋体" w:eastAsia="宋体" w:hint="default"/>
                <w:sz w:val="18"/>
                <w:szCs w:val="18"/>
              </w:rPr>
              <w:t>会议及展览服 务</w:t>
            </w:r>
            <w:r>
              <w:rPr>
                <w:rFonts w:ascii="Times New Roman" w:hAnsi="Times New Roman" w:cs="Times New Roman" w:eastAsia="Times New Roman" w:hint="default"/>
                <w:sz w:val="18"/>
                <w:szCs w:val="18"/>
              </w:rPr>
              <w:t>;</w:t>
            </w:r>
          </w:p>
        </w:tc>
        <w:tc>
          <w:tcPr>
            <w:tcW w:w="53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7"/>
              <w:jc w:val="left"/>
              <w:rPr>
                <w:rFonts w:ascii="宋体" w:hAnsi="宋体" w:cs="宋体" w:eastAsia="宋体" w:hint="default"/>
                <w:sz w:val="18"/>
                <w:szCs w:val="18"/>
              </w:rPr>
            </w:pPr>
            <w:r>
              <w:rPr>
                <w:rFonts w:ascii="宋体" w:hAnsi="宋体" w:cs="宋体" w:eastAsia="宋体" w:hint="default"/>
                <w:sz w:val="18"/>
                <w:szCs w:val="18"/>
              </w:rPr>
              <w:t>工商注册登 记的公告》</w:t>
            </w:r>
          </w:p>
          <w:p>
            <w:pPr>
              <w:pStyle w:val="TableParagraph"/>
              <w:spacing w:line="316" w:lineRule="auto" w:before="19"/>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2016-053</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21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0"/>
              <w:jc w:val="both"/>
              <w:rPr>
                <w:rFonts w:ascii="宋体" w:hAnsi="宋体" w:cs="宋体" w:eastAsia="宋体" w:hint="default"/>
                <w:sz w:val="18"/>
                <w:szCs w:val="18"/>
              </w:rPr>
            </w:pPr>
            <w:r>
              <w:rPr>
                <w:rFonts w:ascii="宋体" w:hAnsi="宋体" w:cs="宋体" w:eastAsia="宋体" w:hint="default"/>
                <w:sz w:val="18"/>
                <w:szCs w:val="18"/>
              </w:rPr>
              <w:t>广州 青创 科技 企业 孵化 器有 限公 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商标代理等服务</w:t>
            </w:r>
            <w:r>
              <w:rPr>
                <w:rFonts w:ascii="Times New Roman" w:hAnsi="Times New Roman" w:cs="Times New Roman" w:eastAsia="Times New Roman" w:hint="default"/>
                <w:sz w:val="18"/>
                <w:szCs w:val="18"/>
              </w:rPr>
              <w:t>; </w:t>
            </w:r>
            <w:r>
              <w:rPr>
                <w:rFonts w:ascii="宋体" w:hAnsi="宋体" w:cs="宋体" w:eastAsia="宋体" w:hint="default"/>
                <w:sz w:val="18"/>
                <w:szCs w:val="18"/>
              </w:rPr>
              <w:t>科技信息咨询服 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科技项目代理 服务</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科技项目评 估服务</w:t>
            </w:r>
            <w:r>
              <w:rPr>
                <w:rFonts w:ascii="Times New Roman" w:hAnsi="Times New Roman" w:cs="Times New Roman" w:eastAsia="Times New Roman" w:hint="default"/>
                <w:sz w:val="18"/>
                <w:szCs w:val="18"/>
              </w:rPr>
              <w:t>;</w:t>
            </w:r>
            <w:r>
              <w:rPr>
                <w:rFonts w:ascii="宋体" w:hAnsi="宋体" w:cs="宋体" w:eastAsia="宋体" w:hint="default"/>
                <w:sz w:val="18"/>
                <w:szCs w:val="18"/>
              </w:rPr>
              <w:t>贸易代理</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场地租赁（不含仓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w:t>
            </w:r>
            <w:r>
              <w:rPr>
                <w:rFonts w:ascii="Times New Roman" w:hAnsi="Times New Roman" w:cs="Times New Roman" w:eastAsia="Times New Roman" w:hint="default"/>
                <w:sz w:val="18"/>
                <w:szCs w:val="18"/>
              </w:rPr>
              <w:t>;</w:t>
            </w:r>
            <w:r>
              <w:rPr>
                <w:rFonts w:ascii="宋体" w:hAnsi="宋体" w:cs="宋体" w:eastAsia="宋体" w:hint="default"/>
                <w:sz w:val="18"/>
                <w:szCs w:val="18"/>
              </w:rPr>
              <w:t>会议及展览 服务</w:t>
            </w:r>
            <w:r>
              <w:rPr>
                <w:rFonts w:ascii="Times New Roman" w:hAnsi="Times New Roman" w:cs="Times New Roman" w:eastAsia="Times New Roman" w:hint="default"/>
                <w:sz w:val="18"/>
                <w:szCs w:val="18"/>
              </w:rPr>
              <w:t>;</w:t>
            </w:r>
            <w:r>
              <w:rPr>
                <w:rFonts w:ascii="宋体" w:hAnsi="宋体" w:cs="宋体" w:eastAsia="宋体" w:hint="default"/>
                <w:sz w:val="18"/>
                <w:szCs w:val="18"/>
              </w:rPr>
              <w:t>专利服务</w:t>
            </w:r>
            <w:r>
              <w:rPr>
                <w:rFonts w:ascii="Times New Roman" w:hAnsi="Times New Roman" w:cs="Times New Roman" w:eastAsia="Times New Roman" w:hint="default"/>
                <w:sz w:val="18"/>
                <w:szCs w:val="18"/>
              </w:rPr>
              <w:t>;</w:t>
            </w:r>
            <w:r>
              <w:rPr>
                <w:rFonts w:ascii="宋体" w:hAnsi="宋体" w:cs="宋体" w:eastAsia="宋体" w:hint="default"/>
                <w:sz w:val="18"/>
                <w:szCs w:val="18"/>
              </w:rPr>
              <w:t>版 权服务</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 咨询服务</w:t>
            </w:r>
            <w:r>
              <w:rPr>
                <w:rFonts w:ascii="Times New Roman" w:hAnsi="Times New Roman" w:cs="Times New Roman" w:eastAsia="Times New Roman" w:hint="default"/>
                <w:sz w:val="18"/>
                <w:szCs w:val="18"/>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高云 </w:t>
            </w:r>
            <w:r>
              <w:rPr>
                <w:rFonts w:ascii="宋体" w:hAnsi="宋体" w:cs="宋体" w:eastAsia="宋体" w:hint="default"/>
                <w:spacing w:val="-19"/>
                <w:sz w:val="18"/>
                <w:szCs w:val="18"/>
              </w:rPr>
              <w:t>展、广</w:t>
            </w:r>
            <w:r>
              <w:rPr>
                <w:rFonts w:ascii="宋体" w:hAnsi="宋体" w:cs="宋体" w:eastAsia="宋体" w:hint="default"/>
                <w:sz w:val="18"/>
                <w:szCs w:val="18"/>
              </w:rPr>
              <w:t> 州小 炬人 科技 服务 有限 公司</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44"/>
              <w:jc w:val="left"/>
              <w:rPr>
                <w:rFonts w:ascii="宋体" w:hAnsi="宋体" w:cs="宋体" w:eastAsia="宋体" w:hint="default"/>
                <w:sz w:val="18"/>
                <w:szCs w:val="18"/>
              </w:rPr>
            </w:pPr>
            <w:r>
              <w:rPr>
                <w:rFonts w:ascii="宋体" w:hAnsi="宋体" w:cs="宋体" w:eastAsia="宋体" w:hint="default"/>
                <w:sz w:val="18"/>
                <w:szCs w:val="18"/>
              </w:rPr>
              <w:t>长 期</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46"/>
              <w:jc w:val="both"/>
              <w:rPr>
                <w:rFonts w:ascii="宋体" w:hAnsi="宋体" w:cs="宋体" w:eastAsia="宋体" w:hint="default"/>
                <w:sz w:val="18"/>
                <w:szCs w:val="18"/>
              </w:rPr>
            </w:pPr>
            <w:r>
              <w:rPr>
                <w:rFonts w:ascii="宋体" w:hAnsi="宋体" w:cs="宋体" w:eastAsia="宋体" w:hint="default"/>
                <w:sz w:val="18"/>
                <w:szCs w:val="18"/>
              </w:rPr>
              <w:t>科技 应用 服务</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79"/>
              <w:jc w:val="both"/>
              <w:rPr>
                <w:rFonts w:ascii="宋体" w:hAnsi="宋体" w:cs="宋体" w:eastAsia="宋体" w:hint="default"/>
                <w:sz w:val="18"/>
                <w:szCs w:val="18"/>
              </w:rPr>
            </w:pPr>
            <w:r>
              <w:rPr>
                <w:rFonts w:ascii="宋体" w:hAnsi="宋体" w:cs="宋体" w:eastAsia="宋体" w:hint="default"/>
                <w:sz w:val="18"/>
                <w:szCs w:val="18"/>
              </w:rPr>
              <w:t>截至资产 负债表日 已完成出 资</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腾讯 控股 有限 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中华人民共和国 为用户提供增值 服务以及网络广 告服务</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424,195,632.00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0.00%</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146"/>
              <w:jc w:val="both"/>
              <w:rPr>
                <w:rFonts w:ascii="宋体" w:hAnsi="宋体" w:cs="宋体" w:eastAsia="宋体" w:hint="default"/>
                <w:sz w:val="18"/>
                <w:szCs w:val="18"/>
              </w:rPr>
            </w:pPr>
            <w:r>
              <w:rPr>
                <w:rFonts w:ascii="宋体" w:hAnsi="宋体" w:cs="宋体" w:eastAsia="宋体" w:hint="default"/>
                <w:sz w:val="18"/>
                <w:szCs w:val="18"/>
              </w:rPr>
              <w:t>香港 证券 市场 投资 者</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44"/>
              <w:jc w:val="left"/>
              <w:rPr>
                <w:rFonts w:ascii="宋体" w:hAnsi="宋体" w:cs="宋体" w:eastAsia="宋体" w:hint="default"/>
                <w:sz w:val="18"/>
                <w:szCs w:val="18"/>
              </w:rPr>
            </w:pPr>
            <w:r>
              <w:rPr>
                <w:rFonts w:ascii="宋体" w:hAnsi="宋体" w:cs="宋体" w:eastAsia="宋体" w:hint="default"/>
                <w:sz w:val="18"/>
                <w:szCs w:val="18"/>
              </w:rPr>
              <w:t>短 期</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46"/>
              <w:jc w:val="left"/>
              <w:rPr>
                <w:rFonts w:ascii="宋体" w:hAnsi="宋体" w:cs="宋体" w:eastAsia="宋体" w:hint="default"/>
                <w:sz w:val="18"/>
                <w:szCs w:val="18"/>
              </w:rPr>
            </w:pPr>
            <w:r>
              <w:rPr>
                <w:rFonts w:ascii="宋体" w:hAnsi="宋体" w:cs="宋体" w:eastAsia="宋体" w:hint="default"/>
                <w:sz w:val="18"/>
                <w:szCs w:val="18"/>
              </w:rPr>
              <w:t>网络 服务</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79"/>
              <w:jc w:val="both"/>
              <w:rPr>
                <w:rFonts w:ascii="宋体" w:hAnsi="宋体" w:cs="宋体" w:eastAsia="宋体" w:hint="default"/>
                <w:sz w:val="18"/>
                <w:szCs w:val="18"/>
              </w:rPr>
            </w:pPr>
            <w:r>
              <w:rPr>
                <w:rFonts w:ascii="宋体" w:hAnsi="宋体" w:cs="宋体" w:eastAsia="宋体" w:hint="default"/>
                <w:sz w:val="18"/>
                <w:szCs w:val="18"/>
              </w:rPr>
              <w:t>截止资产 负债表日 持股</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55,982,743.34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具体内容详 见巨潮资讯 网</w:t>
            </w:r>
          </w:p>
          <w:p>
            <w:pPr>
              <w:pStyle w:val="TableParagraph"/>
              <w:spacing w:line="338" w:lineRule="auto" w:before="19"/>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w.cninfo.com</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的《关于</w:t>
            </w:r>
          </w:p>
          <w:p>
            <w:pPr>
              <w:pStyle w:val="TableParagraph"/>
              <w:spacing w:line="31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使用部分自 有闲置资金 进行证券投 资的公告》</w:t>
            </w:r>
          </w:p>
          <w:p>
            <w:pPr>
              <w:pStyle w:val="TableParagraph"/>
              <w:spacing w:line="316" w:lineRule="auto" w:before="17"/>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（公告编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2016-004</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r>
      <w:tr>
        <w:trPr>
          <w:trHeight w:val="414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70"/>
              <w:jc w:val="both"/>
              <w:rPr>
                <w:rFonts w:ascii="宋体" w:hAnsi="宋体" w:cs="宋体" w:eastAsia="宋体" w:hint="default"/>
                <w:sz w:val="18"/>
                <w:szCs w:val="18"/>
              </w:rPr>
            </w:pPr>
            <w:r>
              <w:rPr>
                <w:rFonts w:ascii="宋体" w:hAnsi="宋体" w:cs="宋体" w:eastAsia="宋体" w:hint="default"/>
                <w:sz w:val="18"/>
                <w:szCs w:val="18"/>
              </w:rPr>
              <w:t>佳兆 业集 团控 股有 限公 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2"/>
              <w:jc w:val="left"/>
              <w:rPr>
                <w:rFonts w:ascii="宋体" w:hAnsi="宋体" w:cs="宋体" w:eastAsia="宋体" w:hint="default"/>
                <w:sz w:val="18"/>
                <w:szCs w:val="18"/>
              </w:rPr>
            </w:pPr>
            <w:r>
              <w:rPr>
                <w:rFonts w:ascii="宋体" w:hAnsi="宋体" w:cs="宋体" w:eastAsia="宋体" w:hint="default"/>
                <w:sz w:val="18"/>
                <w:szCs w:val="18"/>
              </w:rPr>
              <w:t>主要从事物业发 </w:t>
            </w:r>
            <w:r>
              <w:rPr>
                <w:rFonts w:ascii="宋体" w:hAnsi="宋体" w:cs="宋体" w:eastAsia="宋体" w:hint="default"/>
                <w:spacing w:val="-6"/>
                <w:sz w:val="18"/>
                <w:szCs w:val="18"/>
              </w:rPr>
              <w:t>展、物业投资、物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业管理、酒店及餐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饮业务、戏院、百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货店及文化中心 业务及水路客货 运业务</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654,076.81</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0.00%</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香港 证券 市场 投资 者</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44"/>
              <w:jc w:val="left"/>
              <w:rPr>
                <w:rFonts w:ascii="宋体" w:hAnsi="宋体" w:cs="宋体" w:eastAsia="宋体" w:hint="default"/>
                <w:sz w:val="18"/>
                <w:szCs w:val="18"/>
              </w:rPr>
            </w:pPr>
            <w:r>
              <w:rPr>
                <w:rFonts w:ascii="宋体" w:hAnsi="宋体" w:cs="宋体" w:eastAsia="宋体" w:hint="default"/>
                <w:sz w:val="18"/>
                <w:szCs w:val="18"/>
              </w:rPr>
              <w:t>短 期</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地产 及物 业服 务</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79"/>
              <w:jc w:val="both"/>
              <w:rPr>
                <w:rFonts w:ascii="宋体" w:hAnsi="宋体" w:cs="宋体" w:eastAsia="宋体" w:hint="default"/>
                <w:sz w:val="18"/>
                <w:szCs w:val="18"/>
              </w:rPr>
            </w:pPr>
            <w:r>
              <w:rPr>
                <w:rFonts w:ascii="宋体" w:hAnsi="宋体" w:cs="宋体" w:eastAsia="宋体" w:hint="default"/>
                <w:sz w:val="18"/>
                <w:szCs w:val="18"/>
              </w:rPr>
              <w:t>截止资产 负债表日 全部出售</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161,136.54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具体内容详 见巨潮资讯 网</w:t>
            </w:r>
          </w:p>
          <w:p>
            <w:pPr>
              <w:pStyle w:val="TableParagraph"/>
              <w:spacing w:line="338" w:lineRule="auto" w:before="19"/>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w.cninfo.com</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的《关于</w:t>
            </w:r>
          </w:p>
          <w:p>
            <w:pPr>
              <w:pStyle w:val="TableParagraph"/>
              <w:spacing w:line="316"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使用部分自 有闲置资金 进行证券投 资的公告》</w:t>
            </w:r>
          </w:p>
          <w:p>
            <w:pPr>
              <w:pStyle w:val="TableParagraph"/>
              <w:spacing w:line="319" w:lineRule="auto" w:before="19"/>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（公告编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2016-004</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号）</w:t>
            </w:r>
          </w:p>
        </w:tc>
      </w:tr>
      <w:tr>
        <w:trPr>
          <w:trHeight w:val="402"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442,949,708.81</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56,143,879.88</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769" w:type="dxa"/>
        <w:tblLayout w:type="fixed"/>
        <w:tblCellMar>
          <w:top w:w="0" w:type="dxa"/>
          <w:left w:w="0" w:type="dxa"/>
          <w:bottom w:w="0" w:type="dxa"/>
          <w:right w:w="0" w:type="dxa"/>
        </w:tblCellMar>
        <w:tblLook w:val="01E0"/>
      </w:tblPr>
      <w:tblGrid>
        <w:gridCol w:w="540"/>
        <w:gridCol w:w="1260"/>
        <w:gridCol w:w="1260"/>
        <w:gridCol w:w="1440"/>
        <w:gridCol w:w="1385"/>
        <w:gridCol w:w="1339"/>
        <w:gridCol w:w="1236"/>
        <w:gridCol w:w="1260"/>
        <w:gridCol w:w="900"/>
      </w:tblGrid>
      <w:tr>
        <w:trPr>
          <w:trHeight w:val="714"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4" w:right="84"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6" w:right="56"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3" w:right="35" w:hanging="540"/>
              <w:jc w:val="left"/>
              <w:rPr>
                <w:rFonts w:ascii="宋体" w:hAnsi="宋体" w:cs="宋体" w:eastAsia="宋体" w:hint="default"/>
                <w:sz w:val="18"/>
                <w:szCs w:val="18"/>
              </w:rPr>
            </w:pPr>
            <w:r>
              <w:rPr>
                <w:rFonts w:ascii="宋体" w:hAnsi="宋体" w:cs="宋体" w:eastAsia="宋体" w:hint="default"/>
                <w:sz w:val="18"/>
                <w:szCs w:val="18"/>
              </w:rPr>
              <w:t>报告期内售出金 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424,849,708.81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164,691,931.97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32,522,857.84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316,301,656.72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424,849,708.81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164,691,931.97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32,522,857.84</w:t>
            </w:r>
          </w:p>
        </w:tc>
        <w:tc>
          <w:tcPr>
            <w:tcW w:w="126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316,301,656.72</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966"/>
        <w:gridCol w:w="850"/>
        <w:gridCol w:w="1843"/>
        <w:gridCol w:w="993"/>
        <w:gridCol w:w="1276"/>
        <w:gridCol w:w="1277"/>
        <w:gridCol w:w="1134"/>
        <w:gridCol w:w="1134"/>
        <w:gridCol w:w="1148"/>
      </w:tblGrid>
      <w:tr>
        <w:trPr>
          <w:trHeight w:val="401"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广州御新软 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 </w:t>
            </w:r>
            <w:r>
              <w:rPr>
                <w:rFonts w:ascii="宋体" w:hAnsi="宋体" w:cs="宋体" w:eastAsia="宋体" w:hint="default"/>
                <w:spacing w:val="-6"/>
                <w:sz w:val="18"/>
                <w:szCs w:val="18"/>
              </w:rPr>
              <w:t>件零售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电子、通信与自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动控制技术研究、开发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265,673,063.06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247,870,227.78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11,265,602.30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11,552,181.72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10,202,175.23</w:t>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31"/>
              <w:jc w:val="both"/>
              <w:rPr>
                <w:rFonts w:ascii="宋体" w:hAnsi="宋体" w:cs="宋体" w:eastAsia="宋体" w:hint="default"/>
                <w:sz w:val="18"/>
                <w:szCs w:val="18"/>
              </w:rPr>
            </w:pPr>
            <w:r>
              <w:rPr>
                <w:rFonts w:ascii="宋体" w:hAnsi="宋体" w:cs="宋体" w:eastAsia="宋体" w:hint="default"/>
                <w:sz w:val="18"/>
                <w:szCs w:val="18"/>
              </w:rPr>
              <w:t>广州御银自 动柜员机技 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电子产品、金融机具设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备、自动柜员机的研 究、开发、销售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140,008,544.01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119,812,558.37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3,494,292.18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-6,581,816.49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-8,465,507.30</w:t>
            </w:r>
          </w:p>
        </w:tc>
      </w:tr>
      <w:tr>
        <w:trPr>
          <w:trHeight w:val="403"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
              <w:jc w:val="center"/>
              <w:rPr>
                <w:rFonts w:ascii="宋体" w:hAnsi="宋体" w:cs="宋体" w:eastAsia="宋体" w:hint="default"/>
                <w:sz w:val="18"/>
                <w:szCs w:val="18"/>
              </w:rPr>
            </w:pPr>
            <w:r>
              <w:rPr>
                <w:rFonts w:ascii="宋体" w:hAnsi="宋体" w:cs="宋体" w:eastAsia="宋体" w:hint="default"/>
                <w:sz w:val="18"/>
                <w:szCs w:val="18"/>
              </w:rPr>
              <w:t>广州御银金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对柜员机进行维护及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7"/>
              <w:jc w:val="right"/>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92,944,807.18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25,002,785.37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 w:right="0"/>
              <w:jc w:val="center"/>
              <w:rPr>
                <w:rFonts w:ascii="Times New Roman" w:hAnsi="Times New Roman" w:cs="Times New Roman" w:eastAsia="Times New Roman" w:hint="default"/>
                <w:sz w:val="18"/>
                <w:szCs w:val="18"/>
              </w:rPr>
            </w:pPr>
            <w:r>
              <w:rPr>
                <w:rFonts w:ascii="Times New Roman"/>
                <w:sz w:val="18"/>
              </w:rPr>
              <w:t>128,773,166.0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3,558,329.33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1,360,918.39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5.056999pt;margin-top:157.519989pt;width:75.25pt;height:15.6pt;mso-position-horizontal-relative:page;mso-position-vertical-relative:page;z-index:-800896" type="#_x0000_t202" filled="false" stroked="false">
            <v:textbox inset="0,0,0,0">
              <w:txbxContent>
                <w:p>
                  <w:pPr>
                    <w:pStyle w:val="BodyText"/>
                    <w:spacing w:line="240" w:lineRule="auto" w:before="51"/>
                    <w:ind w:left="0" w:right="0"/>
                    <w:jc w:val="left"/>
                  </w:pPr>
                  <w:r>
                    <w:rPr/>
                    <w:t>（中国）</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589" w:type="dxa"/>
        <w:tblLayout w:type="fixed"/>
        <w:tblCellMar>
          <w:top w:w="0" w:type="dxa"/>
          <w:left w:w="0" w:type="dxa"/>
          <w:bottom w:w="0" w:type="dxa"/>
          <w:right w:w="0" w:type="dxa"/>
        </w:tblCellMar>
        <w:tblLook w:val="01E0"/>
      </w:tblPr>
      <w:tblGrid>
        <w:gridCol w:w="966"/>
        <w:gridCol w:w="850"/>
        <w:gridCol w:w="1843"/>
        <w:gridCol w:w="993"/>
        <w:gridCol w:w="1276"/>
        <w:gridCol w:w="1277"/>
        <w:gridCol w:w="1134"/>
        <w:gridCol w:w="1134"/>
        <w:gridCol w:w="1148"/>
      </w:tblGrid>
      <w:tr>
        <w:trPr>
          <w:trHeight w:val="674"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融服务有限 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管理，对现金及有价证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券清分处理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安徽御银电 子科技有限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87"/>
              <w:jc w:val="left"/>
              <w:rPr>
                <w:rFonts w:ascii="宋体" w:hAnsi="宋体" w:cs="宋体" w:eastAsia="宋体" w:hint="default"/>
                <w:sz w:val="18"/>
                <w:szCs w:val="18"/>
              </w:rPr>
            </w:pPr>
            <w:r>
              <w:rPr>
                <w:rFonts w:ascii="宋体" w:hAnsi="宋体" w:cs="宋体" w:eastAsia="宋体" w:hint="default"/>
                <w:sz w:val="18"/>
                <w:szCs w:val="18"/>
              </w:rPr>
              <w:t>自动柜员机及点钞机 设备的研发、销售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757,985.96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470,731.05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-1,720.83</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-9,940.08</w:t>
            </w:r>
            <w:r>
              <w:rPr>
                <w:rFonts w:ascii="Times New Roman"/>
                <w:sz w:val="18"/>
              </w:rPr>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御银 科技国际有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2.05pt;height:15.6pt;mso-position-horizontal-relative:char;mso-position-vertical-relative:line" coordorigin="0,0" coordsize="841,312">
                  <v:group style="position:absolute;left:0;top:0;width:841;height:312" coordorigin="0,0" coordsize="841,312">
                    <v:shape style="position:absolute;left:0;top:0;width:841;height:312" coordorigin="0,0" coordsize="841,312" path="m0,312l840,312,84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127,030.16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86,651.83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-20,424.59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-20,424.93</w:t>
            </w:r>
            <w:r>
              <w:rPr>
                <w:rFonts w:ascii="Times New Roman"/>
                <w:sz w:val="18"/>
              </w:rPr>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御银科技</w:t>
            </w:r>
          </w:p>
          <w:p>
            <w:pPr>
              <w:pStyle w:val="TableParagraph"/>
              <w:spacing w:line="319" w:lineRule="auto" w:before="75"/>
              <w:ind w:left="22" w:right="31"/>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10,667,929.14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1,779,124.40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2,358,951.07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216,784.31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216,356.79</w:t>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广州御银自 动柜员机科 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电子产品、金融机具设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备、自动柜员机的研 究、开发、销售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517,251,405.28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477,589,160.67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112,070,004.7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22,433,188.28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19,980,811.31</w:t>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广州御银信 息科技有限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软件和信息技术服务 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64,902,137.87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64,889,114.67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-31,534,438.2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-23,745,052.8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北京御新赢 创科技有限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
              <w:jc w:val="both"/>
              <w:rPr>
                <w:rFonts w:ascii="宋体" w:hAnsi="宋体" w:cs="宋体" w:eastAsia="宋体" w:hint="default"/>
                <w:sz w:val="18"/>
                <w:szCs w:val="18"/>
              </w:rPr>
            </w:pPr>
            <w:r>
              <w:rPr>
                <w:rFonts w:ascii="宋体" w:hAnsi="宋体" w:cs="宋体" w:eastAsia="宋体" w:hint="default"/>
                <w:sz w:val="18"/>
                <w:szCs w:val="18"/>
              </w:rPr>
              <w:t>技术开发、技术服务、 技术咨询、软件开发、 软件服务等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19,944,357.06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530,166.45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97,087.38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-462,739.89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-467,557.05</w:t>
            </w:r>
            <w:r>
              <w:rPr>
                <w:rFonts w:ascii="Times New Roman"/>
                <w:sz w:val="18"/>
              </w:rPr>
            </w:r>
          </w:p>
        </w:tc>
      </w:tr>
      <w:tr>
        <w:trPr>
          <w:trHeight w:val="714"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北京御新科 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
              <w:jc w:val="left"/>
              <w:rPr>
                <w:rFonts w:ascii="宋体" w:hAnsi="宋体" w:cs="宋体" w:eastAsia="宋体" w:hint="default"/>
                <w:sz w:val="18"/>
                <w:szCs w:val="18"/>
              </w:rPr>
            </w:pPr>
            <w:r>
              <w:rPr>
                <w:rFonts w:ascii="宋体" w:hAnsi="宋体" w:cs="宋体" w:eastAsia="宋体" w:hint="default"/>
                <w:sz w:val="18"/>
                <w:szCs w:val="18"/>
              </w:rPr>
              <w:t>技术开发；技术咨询； 技术服务；软件开发等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19,870,300.85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451,110.24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19,417.48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-541,693.73</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-546,510.84</w:t>
            </w:r>
            <w:r>
              <w:rPr>
                <w:rFonts w:ascii="Times New Roman"/>
                <w:sz w:val="18"/>
              </w:rPr>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北京天成智 合科技有限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技术开发；技术咨询； 技术服务；软件开发等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30,135,250.91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476,688.71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257,087.38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-514,508.39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-521,200.77</w:t>
            </w:r>
            <w:r>
              <w:rPr>
                <w:rFonts w:ascii="Times New Roman"/>
                <w:sz w:val="18"/>
              </w:rPr>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广东小炬人 创业园有限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物业管理</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场地租赁（不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含仓储）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科技项目代理</w:t>
            </w:r>
            <w:r>
              <w:rPr>
                <w:rFonts w:ascii="宋体" w:hAnsi="宋体" w:cs="宋体" w:eastAsia="宋体" w:hint="default"/>
                <w:spacing w:val="-88"/>
                <w:sz w:val="18"/>
                <w:szCs w:val="18"/>
              </w:rPr>
              <w:t> </w:t>
            </w:r>
            <w:r>
              <w:rPr>
                <w:rFonts w:ascii="宋体" w:hAnsi="宋体" w:cs="宋体" w:eastAsia="宋体" w:hint="default"/>
                <w:sz w:val="18"/>
                <w:szCs w:val="18"/>
              </w:rPr>
              <w:t>服务、专利服务等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9,355,736.09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9,347,210.65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-53,620.10</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-161,693.66</w:t>
            </w:r>
            <w:r>
              <w:rPr>
                <w:rFonts w:ascii="Times New Roman"/>
                <w:sz w:val="18"/>
              </w:rPr>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北京御新智 合科技有限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技术开发、技术服务； 技术研究；软件开发等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29,967,663.95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307,699.64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119,417.48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-680,620.77</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-687,511.62</w:t>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广州同位素 智能科技有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4,812,365.66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4,797,365.66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-265,009.34</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-202,634.34</w:t>
            </w:r>
            <w:r>
              <w:rPr>
                <w:rFonts w:ascii="Times New Roman"/>
                <w:sz w:val="18"/>
              </w:rPr>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广州御银金 融电子设备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电子产品、金融机具设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备、自动柜员机的研 究、开发、销售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14,555,759.23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-109,240.77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-109,712.71</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-109,240.77</w:t>
            </w:r>
            <w:r>
              <w:rPr>
                <w:rFonts w:ascii="Times New Roman"/>
                <w:sz w:val="18"/>
              </w:rPr>
            </w:r>
          </w:p>
        </w:tc>
      </w:tr>
      <w:tr>
        <w:trPr>
          <w:trHeight w:val="98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广州十方软 件科技有限 公司全资子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1,635,916.65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1,635,066.65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-86,170.85</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-64,933.35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89" w:type="dxa"/>
        <w:tblLayout w:type="fixed"/>
        <w:tblCellMar>
          <w:top w:w="0" w:type="dxa"/>
          <w:left w:w="0" w:type="dxa"/>
          <w:bottom w:w="0" w:type="dxa"/>
          <w:right w:w="0" w:type="dxa"/>
        </w:tblCellMar>
        <w:tblLook w:val="01E0"/>
      </w:tblPr>
      <w:tblGrid>
        <w:gridCol w:w="966"/>
        <w:gridCol w:w="850"/>
        <w:gridCol w:w="1843"/>
        <w:gridCol w:w="993"/>
        <w:gridCol w:w="1276"/>
        <w:gridCol w:w="1277"/>
        <w:gridCol w:w="1134"/>
        <w:gridCol w:w="1134"/>
        <w:gridCol w:w="1148"/>
      </w:tblGrid>
      <w:tr>
        <w:trPr>
          <w:trHeight w:val="362"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广州御联软 件有限公司 全资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100,478,435.34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11,051,991.95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485,436.90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185,237.76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51,991.95</w:t>
            </w:r>
          </w:p>
        </w:tc>
      </w:tr>
      <w:tr>
        <w:trPr>
          <w:trHeight w:val="3210"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广州花都稠 州村镇银行 股份有限公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吸收人民币存款；发放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人民币短期、中期和长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期贷款；办理国内结 </w:t>
            </w:r>
            <w:r>
              <w:rPr>
                <w:rFonts w:ascii="宋体" w:hAnsi="宋体" w:cs="宋体" w:eastAsia="宋体" w:hint="default"/>
                <w:spacing w:val="-2"/>
                <w:sz w:val="18"/>
                <w:szCs w:val="18"/>
              </w:rPr>
              <w:t>算；办理票据承兑与贴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现；从事同业拆借；从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事银行卡（借记卡）业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务；代理发行、代理兑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付、承销政府债券；代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理收付款项及代理保 险业务。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2,976,190,809.0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352,742,078.33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118,927,757.6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40,569,896.63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30,693,505.56</w:t>
            </w:r>
          </w:p>
        </w:tc>
      </w:tr>
      <w:tr>
        <w:trPr>
          <w:trHeight w:val="258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上海博科咨 询股份有限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
              <w:jc w:val="left"/>
              <w:rPr>
                <w:rFonts w:ascii="宋体" w:hAnsi="宋体" w:cs="宋体" w:eastAsia="宋体" w:hint="default"/>
                <w:sz w:val="18"/>
                <w:szCs w:val="18"/>
              </w:rPr>
            </w:pPr>
            <w:r>
              <w:rPr>
                <w:rFonts w:ascii="宋体" w:hAnsi="宋体" w:cs="宋体" w:eastAsia="宋体" w:hint="default"/>
                <w:sz w:val="18"/>
                <w:szCs w:val="18"/>
              </w:rPr>
              <w:t>计算机软、硬件的技术 开发、技术服务、技术 咨询、销售自产产品， 计算机网络结构的设 计、综合布线、维护， 计算机设备的安装、调 试、维护，物流设备的 批发。</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前海股权交 易中心（深 圳）有限公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为金融产品、金融工具</w:t>
            </w:r>
            <w:r>
              <w:rPr>
                <w:rFonts w:ascii="宋体" w:hAnsi="宋体" w:cs="宋体" w:eastAsia="宋体" w:hint="default"/>
                <w:sz w:val="18"/>
                <w:szCs w:val="18"/>
              </w:rPr>
              <w:t> 的登记、托管、挂牌、 鉴（见）证、转让、过 户、结算等提供场所、 设施和服务；提供融 资、并购、资本运作等 服务等</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1,177,400,0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2,140,963,292.2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1,953,158,117.5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225,648,887.6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47,189,403.66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35,506,925.39</w:t>
            </w:r>
          </w:p>
        </w:tc>
      </w:tr>
      <w:tr>
        <w:trPr>
          <w:trHeight w:val="3210"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1"/>
              <w:jc w:val="both"/>
              <w:rPr>
                <w:rFonts w:ascii="宋体" w:hAnsi="宋体" w:cs="宋体" w:eastAsia="宋体" w:hint="default"/>
                <w:sz w:val="18"/>
                <w:szCs w:val="18"/>
              </w:rPr>
            </w:pPr>
            <w:r>
              <w:rPr>
                <w:rFonts w:ascii="宋体" w:hAnsi="宋体" w:cs="宋体" w:eastAsia="宋体" w:hint="default"/>
                <w:sz w:val="18"/>
                <w:szCs w:val="18"/>
              </w:rPr>
              <w:t>佛山海晟金 融租赁股份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融资租赁业务；转让和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受让融资租赁资产；固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定收益类证券投资业 </w:t>
            </w:r>
            <w:r>
              <w:rPr>
                <w:rFonts w:ascii="宋体" w:hAnsi="宋体" w:cs="宋体" w:eastAsia="宋体" w:hint="default"/>
                <w:spacing w:val="-2"/>
                <w:sz w:val="18"/>
                <w:szCs w:val="18"/>
              </w:rPr>
              <w:t>务；接受承租人的租赁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保证金；吸收非银行股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个月（含）以上定 </w:t>
            </w:r>
            <w:r>
              <w:rPr>
                <w:rFonts w:ascii="宋体" w:hAnsi="宋体" w:cs="宋体" w:eastAsia="宋体" w:hint="default"/>
                <w:spacing w:val="-2"/>
                <w:sz w:val="18"/>
                <w:szCs w:val="18"/>
              </w:rPr>
              <w:t>期存款；同业拆借；向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金融机构借款；境外借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款；租赁物变卖及处理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业务；经济咨询。</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9,202,464,104.4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2,098,221,968.3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263,922,308.2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123,436,095.8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93,253,823.48</w:t>
            </w:r>
          </w:p>
        </w:tc>
      </w:tr>
      <w:tr>
        <w:trPr>
          <w:trHeight w:val="1026"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广州青创科 技企业孵化 器有限公司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科技园区服务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271,736.85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160,185.27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60,553.00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-183,206.58</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-183,206.58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报告期内取得和处置子公司的情况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494" w:right="0"/>
        <w:jc w:val="left"/>
      </w:pPr>
      <w:r>
        <w:rPr/>
        <w:t>主要控股参股公司情况说明</w:t>
      </w:r>
    </w:p>
    <w:p>
      <w:pPr>
        <w:pStyle w:val="BodyText"/>
        <w:spacing w:line="240" w:lineRule="auto" w:before="116"/>
        <w:ind w:left="1494" w:right="0"/>
        <w:jc w:val="left"/>
      </w:pPr>
      <w:r>
        <w:rPr>
          <w:rFonts w:ascii="Times New Roman" w:hAnsi="Times New Roman" w:cs="Times New Roman" w:eastAsia="Times New Roman" w:hint="default"/>
        </w:rPr>
        <w:t>1</w:t>
      </w:r>
      <w:r>
        <w:rPr/>
        <w:t>、广州御新软件有限公司营业收入较上年同期减少</w:t>
      </w:r>
      <w:r>
        <w:rPr>
          <w:rFonts w:ascii="Times New Roman" w:hAnsi="Times New Roman" w:cs="Times New Roman" w:eastAsia="Times New Roman" w:hint="default"/>
        </w:rPr>
        <w:t>78.32%</w:t>
      </w:r>
      <w:r>
        <w:rPr/>
        <w:t>、营业利润较上年同期减少</w:t>
      </w:r>
      <w:r>
        <w:rPr>
          <w:rFonts w:ascii="Times New Roman" w:hAnsi="Times New Roman" w:cs="Times New Roman" w:eastAsia="Times New Roman" w:hint="default"/>
        </w:rPr>
        <w:t>87.50%</w:t>
      </w:r>
      <w:r>
        <w:rPr/>
        <w:t>、净利润较上年同期减少</w:t>
      </w:r>
    </w:p>
    <w:p>
      <w:pPr>
        <w:pStyle w:val="BodyText"/>
        <w:spacing w:line="240" w:lineRule="auto" w:before="63"/>
        <w:ind w:right="0"/>
        <w:jc w:val="left"/>
      </w:pPr>
      <w:r>
        <w:rPr>
          <w:rFonts w:ascii="Times New Roman" w:hAnsi="Times New Roman" w:cs="Times New Roman" w:eastAsia="Times New Roman" w:hint="default"/>
        </w:rPr>
        <w:t>88.92%</w:t>
      </w:r>
      <w:r>
        <w:rPr/>
        <w:t>，主要原因是本年度行业需求减少销售收入减少所致。</w:t>
      </w:r>
    </w:p>
    <w:p>
      <w:pPr>
        <w:pStyle w:val="BodyText"/>
        <w:spacing w:line="300" w:lineRule="auto" w:before="63"/>
        <w:ind w:right="0" w:firstLine="360"/>
        <w:jc w:val="left"/>
      </w:pPr>
      <w:r>
        <w:rPr>
          <w:rFonts w:ascii="Times New Roman" w:hAnsi="Times New Roman" w:cs="Times New Roman" w:eastAsia="Times New Roman" w:hint="default"/>
          <w:spacing w:val="-1"/>
        </w:rPr>
        <w:t>2</w:t>
      </w:r>
      <w:r>
        <w:rPr>
          <w:spacing w:val="-1"/>
        </w:rPr>
        <w:t>、广州御银自动柜员机技术有限公司营业收入较上年同期减少</w:t>
      </w:r>
      <w:r>
        <w:rPr>
          <w:rFonts w:ascii="Times New Roman" w:hAnsi="Times New Roman" w:cs="Times New Roman" w:eastAsia="Times New Roman" w:hint="default"/>
          <w:spacing w:val="-1"/>
        </w:rPr>
        <w:t>78.32%</w:t>
      </w:r>
      <w:r>
        <w:rPr>
          <w:spacing w:val="-1"/>
        </w:rPr>
        <w:t>、营业利润较上年同期减少</w:t>
      </w:r>
      <w:r>
        <w:rPr>
          <w:rFonts w:ascii="Times New Roman" w:hAnsi="Times New Roman" w:cs="Times New Roman" w:eastAsia="Times New Roman" w:hint="default"/>
          <w:spacing w:val="-1"/>
        </w:rPr>
        <w:t>87.50%</w:t>
      </w:r>
      <w:r>
        <w:rPr>
          <w:spacing w:val="-1"/>
        </w:rPr>
        <w:t>、净利润较上</w:t>
      </w:r>
      <w:r>
        <w:rPr/>
        <w:t> 年同期减少</w:t>
      </w:r>
      <w:r>
        <w:rPr>
          <w:rFonts w:ascii="Times New Roman" w:hAnsi="Times New Roman" w:cs="Times New Roman" w:eastAsia="Times New Roman" w:hint="default"/>
        </w:rPr>
        <w:t>88.92%</w:t>
      </w:r>
      <w:r>
        <w:rPr/>
        <w:t>，主要原因是本年度行业需求减少销售收入减少所致。</w:t>
      </w:r>
    </w:p>
    <w:p>
      <w:pPr>
        <w:pStyle w:val="BodyText"/>
        <w:spacing w:line="300" w:lineRule="auto" w:before="13"/>
        <w:ind w:right="0" w:firstLine="360"/>
        <w:jc w:val="left"/>
      </w:pPr>
      <w:r>
        <w:rPr>
          <w:rFonts w:ascii="Times New Roman" w:hAnsi="Times New Roman" w:cs="Times New Roman" w:eastAsia="Times New Roman" w:hint="default"/>
          <w:spacing w:val="-1"/>
        </w:rPr>
        <w:t>3</w:t>
      </w:r>
      <w:r>
        <w:rPr>
          <w:spacing w:val="-1"/>
        </w:rPr>
        <w:t>、广州御银金融服务有限公司总资产较期初增加</w:t>
      </w:r>
      <w:r>
        <w:rPr>
          <w:rFonts w:ascii="Times New Roman" w:hAnsi="Times New Roman" w:cs="Times New Roman" w:eastAsia="Times New Roman" w:hint="default"/>
          <w:spacing w:val="-1"/>
        </w:rPr>
        <w:t>43.11%</w:t>
      </w:r>
      <w:r>
        <w:rPr>
          <w:spacing w:val="-1"/>
        </w:rPr>
        <w:t>主要原因是货币资金及应收账款增加所致，营业收入较上年同</w:t>
      </w:r>
      <w:r>
        <w:rPr/>
        <w:t> 期增长</w:t>
      </w:r>
      <w:r>
        <w:rPr>
          <w:rFonts w:ascii="Times New Roman" w:hAnsi="Times New Roman" w:cs="Times New Roman" w:eastAsia="Times New Roman" w:hint="default"/>
        </w:rPr>
        <w:t>104.68%</w:t>
      </w:r>
      <w:r>
        <w:rPr/>
        <w:t>以及净利润增长</w:t>
      </w:r>
      <w:r>
        <w:rPr>
          <w:rFonts w:ascii="Times New Roman" w:hAnsi="Times New Roman" w:cs="Times New Roman" w:eastAsia="Times New Roman" w:hint="default"/>
        </w:rPr>
        <w:t>71.35%</w:t>
      </w:r>
      <w:r>
        <w:rPr/>
        <w:t>，主要原因是本年度</w:t>
      </w:r>
      <w:r>
        <w:rPr>
          <w:rFonts w:ascii="Times New Roman" w:hAnsi="Times New Roman" w:cs="Times New Roman" w:eastAsia="Times New Roman" w:hint="default"/>
        </w:rPr>
        <w:t>ATM</w:t>
      </w:r>
      <w:r>
        <w:rPr/>
        <w:t>机器维保服务收入增长所致。</w:t>
      </w:r>
    </w:p>
    <w:p>
      <w:pPr>
        <w:pStyle w:val="BodyText"/>
        <w:spacing w:line="300" w:lineRule="auto" w:before="13"/>
        <w:ind w:left="1134" w:right="1132" w:firstLine="360"/>
        <w:jc w:val="both"/>
      </w:pPr>
      <w:r>
        <w:rPr>
          <w:rFonts w:ascii="Times New Roman" w:hAnsi="Times New Roman" w:cs="Times New Roman" w:eastAsia="Times New Roman" w:hint="default"/>
          <w:spacing w:val="-4"/>
        </w:rPr>
        <w:t>4</w:t>
      </w:r>
      <w:r>
        <w:rPr>
          <w:spacing w:val="-4"/>
        </w:rPr>
        <w:t>、御银科技（香港）有限公司总资产较期初增加</w:t>
      </w:r>
      <w:r>
        <w:rPr>
          <w:rFonts w:ascii="Times New Roman" w:hAnsi="Times New Roman" w:cs="Times New Roman" w:eastAsia="Times New Roman" w:hint="default"/>
          <w:spacing w:val="-4"/>
        </w:rPr>
        <w:t>36.17%</w:t>
      </w:r>
      <w:r>
        <w:rPr>
          <w:spacing w:val="-4"/>
        </w:rPr>
        <w:t>主要原因是货币资金增加所致，营业收入较上年同期增长</w:t>
      </w:r>
      <w:r>
        <w:rPr>
          <w:rFonts w:ascii="Times New Roman" w:hAnsi="Times New Roman" w:cs="Times New Roman" w:eastAsia="Times New Roman" w:hint="default"/>
          <w:spacing w:val="-4"/>
        </w:rPr>
        <w:t>35.96%</w:t>
      </w:r>
      <w:r>
        <w:rPr>
          <w:rFonts w:ascii="Times New Roman" w:hAnsi="Times New Roman" w:cs="Times New Roman" w:eastAsia="Times New Roman" w:hint="default"/>
        </w:rPr>
        <w:t> </w:t>
      </w:r>
      <w:r>
        <w:rPr>
          <w:spacing w:val="-2"/>
        </w:rPr>
        <w:t>主要原因是本年度出口收入增长所致，营业利润较上年同期减少</w:t>
      </w:r>
      <w:r>
        <w:rPr>
          <w:rFonts w:ascii="Times New Roman" w:hAnsi="Times New Roman" w:cs="Times New Roman" w:eastAsia="Times New Roman" w:hint="default"/>
          <w:spacing w:val="-2"/>
        </w:rPr>
        <w:t>66.57%</w:t>
      </w:r>
      <w:r>
        <w:rPr>
          <w:spacing w:val="-2"/>
        </w:rPr>
        <w:t>以及净利润较上年同期减少</w:t>
      </w:r>
      <w:r>
        <w:rPr>
          <w:rFonts w:ascii="Times New Roman" w:hAnsi="Times New Roman" w:cs="Times New Roman" w:eastAsia="Times New Roman" w:hint="default"/>
          <w:spacing w:val="-2"/>
        </w:rPr>
        <w:t>69%</w:t>
      </w:r>
      <w:r>
        <w:rPr>
          <w:spacing w:val="-2"/>
        </w:rPr>
        <w:t>，主要原因是外币汇</w:t>
      </w:r>
      <w:r>
        <w:rPr>
          <w:spacing w:val="-44"/>
        </w:rPr>
        <w:t> </w:t>
      </w:r>
      <w:r>
        <w:rPr>
          <w:spacing w:val="-44"/>
        </w:rPr>
      </w:r>
      <w:r>
        <w:rPr/>
        <w:t>率变动所致。</w:t>
      </w:r>
    </w:p>
    <w:p>
      <w:pPr>
        <w:pStyle w:val="BodyText"/>
        <w:spacing w:line="300" w:lineRule="auto" w:before="31"/>
        <w:ind w:right="0" w:firstLine="360"/>
        <w:jc w:val="left"/>
      </w:pPr>
      <w:r>
        <w:rPr>
          <w:rFonts w:ascii="Times New Roman" w:hAnsi="Times New Roman" w:cs="Times New Roman" w:eastAsia="Times New Roman" w:hint="default"/>
          <w:spacing w:val="-1"/>
        </w:rPr>
        <w:t>5</w:t>
      </w:r>
      <w:r>
        <w:rPr>
          <w:spacing w:val="-1"/>
        </w:rPr>
        <w:t>、广州御银自动柜员机科技有限公司营业利润较上年同期减少</w:t>
      </w:r>
      <w:r>
        <w:rPr>
          <w:rFonts w:ascii="Times New Roman" w:hAnsi="Times New Roman" w:cs="Times New Roman" w:eastAsia="Times New Roman" w:hint="default"/>
          <w:spacing w:val="-1"/>
        </w:rPr>
        <w:t>57.58%</w:t>
      </w:r>
      <w:r>
        <w:rPr>
          <w:spacing w:val="-1"/>
        </w:rPr>
        <w:t>以及净利润较上年同期减少</w:t>
      </w:r>
      <w:r>
        <w:rPr>
          <w:rFonts w:ascii="Times New Roman" w:hAnsi="Times New Roman" w:cs="Times New Roman" w:eastAsia="Times New Roman" w:hint="default"/>
          <w:spacing w:val="-1"/>
        </w:rPr>
        <w:t>68.78%</w:t>
      </w:r>
      <w:r>
        <w:rPr>
          <w:spacing w:val="-1"/>
        </w:rPr>
        <w:t>，主要原因是</w:t>
      </w:r>
      <w:r>
        <w:rPr/>
        <w:t> 本年度采购成本增加以及销售费用增加所致。</w:t>
      </w:r>
    </w:p>
    <w:p>
      <w:pPr>
        <w:pStyle w:val="BodyText"/>
        <w:spacing w:line="300" w:lineRule="auto" w:before="31"/>
        <w:ind w:right="0" w:firstLine="360"/>
        <w:jc w:val="left"/>
      </w:pPr>
      <w:r>
        <w:rPr>
          <w:rFonts w:ascii="Times New Roman" w:hAnsi="Times New Roman" w:cs="Times New Roman" w:eastAsia="Times New Roman" w:hint="default"/>
          <w:spacing w:val="-1"/>
        </w:rPr>
        <w:t>6</w:t>
      </w:r>
      <w:r>
        <w:rPr>
          <w:spacing w:val="-1"/>
        </w:rPr>
        <w:t>、广州御银信息科技有限公司营业利润较上年同期减少</w:t>
      </w:r>
      <w:r>
        <w:rPr>
          <w:rFonts w:ascii="Times New Roman" w:hAnsi="Times New Roman" w:cs="Times New Roman" w:eastAsia="Times New Roman" w:hint="default"/>
          <w:spacing w:val="-1"/>
        </w:rPr>
        <w:t>278.48%</w:t>
      </w:r>
      <w:r>
        <w:rPr>
          <w:spacing w:val="-1"/>
        </w:rPr>
        <w:t>以及净利润较上年同期减少</w:t>
      </w:r>
      <w:r>
        <w:rPr>
          <w:rFonts w:ascii="Times New Roman" w:hAnsi="Times New Roman" w:cs="Times New Roman" w:eastAsia="Times New Roman" w:hint="default"/>
          <w:spacing w:val="-1"/>
        </w:rPr>
        <w:t>275.22%</w:t>
      </w:r>
      <w:r>
        <w:rPr>
          <w:spacing w:val="-1"/>
        </w:rPr>
        <w:t>，主要原因是集团</w:t>
      </w:r>
      <w:r>
        <w:rPr/>
        <w:t> 内部应收往来款计提坏账准备所致。</w:t>
      </w:r>
    </w:p>
    <w:p>
      <w:pPr>
        <w:pStyle w:val="BodyText"/>
        <w:spacing w:line="300" w:lineRule="auto" w:before="31"/>
        <w:ind w:right="1123" w:firstLine="360"/>
        <w:jc w:val="left"/>
      </w:pPr>
      <w:r>
        <w:rPr>
          <w:rFonts w:ascii="Times New Roman" w:hAnsi="Times New Roman" w:cs="Times New Roman" w:eastAsia="Times New Roman" w:hint="default"/>
        </w:rPr>
        <w:t>7</w:t>
      </w:r>
      <w:r>
        <w:rPr/>
        <w:t>、北京御新赢创科技有限公司总资产较期初增加</w:t>
      </w:r>
      <w:r>
        <w:rPr>
          <w:rFonts w:ascii="Times New Roman" w:hAnsi="Times New Roman" w:cs="Times New Roman" w:eastAsia="Times New Roman" w:hint="default"/>
        </w:rPr>
        <w:t>240.85%</w:t>
      </w:r>
      <w:r>
        <w:rPr/>
        <w:t>，主要原因是本年度购买并取得房屋产权所致，营业收入较 上年同期增长</w:t>
      </w:r>
      <w:r>
        <w:rPr>
          <w:rFonts w:ascii="Times New Roman" w:hAnsi="Times New Roman" w:cs="Times New Roman" w:eastAsia="Times New Roman" w:hint="default"/>
        </w:rPr>
        <w:t>100%</w:t>
      </w:r>
      <w:r>
        <w:rPr/>
        <w:t>，营业利润较上年同期增长</w:t>
      </w:r>
      <w:r>
        <w:rPr>
          <w:rFonts w:ascii="Times New Roman" w:hAnsi="Times New Roman" w:cs="Times New Roman" w:eastAsia="Times New Roman" w:hint="default"/>
        </w:rPr>
        <w:t>20226.37%</w:t>
      </w:r>
      <w:r>
        <w:rPr/>
        <w:t>以及净利润较上年同期增长</w:t>
      </w:r>
      <w:r>
        <w:rPr>
          <w:rFonts w:ascii="Times New Roman" w:hAnsi="Times New Roman" w:cs="Times New Roman" w:eastAsia="Times New Roman" w:hint="default"/>
        </w:rPr>
        <w:t>20438.42%</w:t>
      </w:r>
      <w:r>
        <w:rPr/>
        <w:t>，主要原因是上年度尚未开 始经营活动且无经营收入所致。</w:t>
      </w:r>
    </w:p>
    <w:p>
      <w:pPr>
        <w:pStyle w:val="BodyText"/>
        <w:spacing w:line="300" w:lineRule="auto" w:before="31"/>
        <w:ind w:right="1123" w:firstLine="360"/>
        <w:jc w:val="left"/>
      </w:pPr>
      <w:r>
        <w:rPr>
          <w:rFonts w:ascii="Times New Roman" w:hAnsi="Times New Roman" w:cs="Times New Roman" w:eastAsia="Times New Roman" w:hint="default"/>
        </w:rPr>
        <w:t>8</w:t>
      </w:r>
      <w:r>
        <w:rPr/>
        <w:t>、北京御新科技有限公司总资产较期初增加</w:t>
      </w:r>
      <w:r>
        <w:rPr>
          <w:rFonts w:ascii="Times New Roman" w:hAnsi="Times New Roman" w:cs="Times New Roman" w:eastAsia="Times New Roman" w:hint="default"/>
        </w:rPr>
        <w:t>239.30%</w:t>
      </w:r>
      <w:r>
        <w:rPr/>
        <w:t>，主要原因是本年度购买并取得房屋产权所致，营业收入较上年 同期增长</w:t>
      </w:r>
      <w:r>
        <w:rPr>
          <w:rFonts w:ascii="Times New Roman" w:hAnsi="Times New Roman" w:cs="Times New Roman" w:eastAsia="Times New Roman" w:hint="default"/>
        </w:rPr>
        <w:t>100%</w:t>
      </w:r>
      <w:r>
        <w:rPr/>
        <w:t>，营业利润较上年同期增长</w:t>
      </w:r>
      <w:r>
        <w:rPr>
          <w:rFonts w:ascii="Times New Roman" w:hAnsi="Times New Roman" w:cs="Times New Roman" w:eastAsia="Times New Roman" w:hint="default"/>
        </w:rPr>
        <w:t>22670.57%</w:t>
      </w:r>
      <w:r>
        <w:rPr/>
        <w:t>以及净利润较上年同期增长</w:t>
      </w:r>
      <w:r>
        <w:rPr>
          <w:rFonts w:ascii="Times New Roman" w:hAnsi="Times New Roman" w:cs="Times New Roman" w:eastAsia="Times New Roman" w:hint="default"/>
        </w:rPr>
        <w:t>22873.07%</w:t>
      </w:r>
      <w:r>
        <w:rPr/>
        <w:t>，主要原因是上年度尚未开始经 营活动且无经营收入所致。</w:t>
      </w:r>
    </w:p>
    <w:p>
      <w:pPr>
        <w:pStyle w:val="BodyText"/>
        <w:spacing w:line="300" w:lineRule="auto" w:before="31"/>
        <w:ind w:left="1134" w:right="1137" w:firstLine="360"/>
        <w:jc w:val="left"/>
      </w:pPr>
      <w:r>
        <w:rPr>
          <w:rFonts w:ascii="Times New Roman" w:hAnsi="Times New Roman" w:cs="Times New Roman" w:eastAsia="Times New Roman" w:hint="default"/>
        </w:rPr>
        <w:t>9</w:t>
      </w:r>
      <w:r>
        <w:rPr/>
        <w:t>、北京天成智合科技有限公司营业收入较上年同期增长</w:t>
      </w:r>
      <w:r>
        <w:rPr>
          <w:rFonts w:ascii="Times New Roman" w:hAnsi="Times New Roman" w:cs="Times New Roman" w:eastAsia="Times New Roman" w:hint="default"/>
        </w:rPr>
        <w:t>100%</w:t>
      </w:r>
      <w:r>
        <w:rPr/>
        <w:t>，营业利润较上年同期增长</w:t>
      </w:r>
      <w:r>
        <w:rPr>
          <w:rFonts w:ascii="Times New Roman" w:hAnsi="Times New Roman" w:cs="Times New Roman" w:eastAsia="Times New Roman" w:hint="default"/>
        </w:rPr>
        <w:t>24278.28%</w:t>
      </w:r>
      <w:r>
        <w:rPr/>
        <w:t>以及净利润较上年 同期增长</w:t>
      </w:r>
      <w:r>
        <w:rPr>
          <w:rFonts w:ascii="Times New Roman" w:hAnsi="Times New Roman" w:cs="Times New Roman" w:eastAsia="Times New Roman" w:hint="default"/>
        </w:rPr>
        <w:t>24595.37%</w:t>
      </w:r>
      <w:r>
        <w:rPr/>
        <w:t>，主要原因是上年度尚未开始经营活动且无经营收入所致。</w:t>
      </w:r>
    </w:p>
    <w:p>
      <w:pPr>
        <w:pStyle w:val="BodyText"/>
        <w:spacing w:line="300" w:lineRule="auto" w:before="13"/>
        <w:ind w:left="1134" w:right="0" w:firstLine="360"/>
        <w:jc w:val="left"/>
      </w:pPr>
      <w:r>
        <w:rPr>
          <w:rFonts w:ascii="Times New Roman" w:hAnsi="Times New Roman" w:cs="Times New Roman" w:eastAsia="Times New Roman" w:hint="default"/>
          <w:spacing w:val="-2"/>
        </w:rPr>
        <w:t>10</w:t>
      </w:r>
      <w:r>
        <w:rPr>
          <w:spacing w:val="-2"/>
        </w:rPr>
        <w:t>、北京御新智合科技有限公司营业收入较上年同期增长</w:t>
      </w:r>
      <w:r>
        <w:rPr>
          <w:rFonts w:ascii="Times New Roman" w:hAnsi="Times New Roman" w:cs="Times New Roman" w:eastAsia="Times New Roman" w:hint="default"/>
          <w:spacing w:val="-2"/>
        </w:rPr>
        <w:t>100%</w:t>
      </w:r>
      <w:r>
        <w:rPr>
          <w:spacing w:val="-2"/>
        </w:rPr>
        <w:t>，营业利润较上年同期增长</w:t>
      </w:r>
      <w:r>
        <w:rPr>
          <w:rFonts w:ascii="Times New Roman" w:hAnsi="Times New Roman" w:cs="Times New Roman" w:eastAsia="Times New Roman" w:hint="default"/>
          <w:spacing w:val="-2"/>
        </w:rPr>
        <w:t>14112.94%</w:t>
      </w:r>
      <w:r>
        <w:rPr>
          <w:spacing w:val="-2"/>
        </w:rPr>
        <w:t>以及净利润较上年</w:t>
      </w:r>
      <w:r>
        <w:rPr/>
        <w:t> 同期增长</w:t>
      </w:r>
      <w:r>
        <w:rPr>
          <w:rFonts w:ascii="Times New Roman" w:hAnsi="Times New Roman" w:cs="Times New Roman" w:eastAsia="Times New Roman" w:hint="default"/>
        </w:rPr>
        <w:t>14256.84%</w:t>
      </w:r>
      <w:r>
        <w:rPr/>
        <w:t>，主要原因是上年度尚未开始经营活动且无经营收入所致。</w:t>
      </w:r>
    </w:p>
    <w:p>
      <w:pPr>
        <w:pStyle w:val="BodyText"/>
        <w:spacing w:line="300" w:lineRule="auto" w:before="13"/>
        <w:ind w:left="1134" w:right="1182" w:firstLine="360"/>
        <w:jc w:val="left"/>
      </w:pPr>
      <w:r>
        <w:rPr>
          <w:rFonts w:ascii="Times New Roman" w:hAnsi="Times New Roman" w:cs="Times New Roman" w:eastAsia="Times New Roman" w:hint="default"/>
        </w:rPr>
        <w:t>11</w:t>
      </w:r>
      <w:r>
        <w:rPr/>
        <w:t>、广东小炬人创业园有限公司营业利润较上年同期增长</w:t>
      </w:r>
      <w:r>
        <w:rPr>
          <w:rFonts w:ascii="Times New Roman" w:hAnsi="Times New Roman" w:cs="Times New Roman" w:eastAsia="Times New Roman" w:hint="default"/>
        </w:rPr>
        <w:t>91.81%</w:t>
      </w:r>
      <w:r>
        <w:rPr/>
        <w:t>以及净利润较上年同期增长</w:t>
      </w:r>
      <w:r>
        <w:rPr>
          <w:rFonts w:ascii="Times New Roman" w:hAnsi="Times New Roman" w:cs="Times New Roman" w:eastAsia="Times New Roman" w:hint="default"/>
        </w:rPr>
        <w:t>67.07%</w:t>
      </w:r>
      <w:r>
        <w:rPr/>
        <w:t>，主要原因是本年 度集团内部应收往来款计提还账准备减少所致。</w:t>
      </w:r>
    </w:p>
    <w:p>
      <w:pPr>
        <w:pStyle w:val="BodyText"/>
        <w:spacing w:line="240" w:lineRule="auto" w:before="31"/>
        <w:ind w:left="1494" w:right="0"/>
        <w:jc w:val="left"/>
      </w:pPr>
      <w:r>
        <w:rPr>
          <w:rFonts w:ascii="Times New Roman" w:hAnsi="Times New Roman" w:cs="Times New Roman" w:eastAsia="Times New Roman" w:hint="default"/>
        </w:rPr>
        <w:t>12</w:t>
      </w:r>
      <w:r>
        <w:rPr/>
        <w:t>、上海博科咨询股份有限公司于</w:t>
      </w:r>
      <w:r>
        <w:rPr>
          <w:rFonts w:ascii="Times New Roman" w:hAnsi="Times New Roman" w:cs="Times New Roman" w:eastAsia="Times New Roman" w:hint="default"/>
        </w:rPr>
        <w:t>IPO</w:t>
      </w:r>
      <w:r>
        <w:rPr/>
        <w:t>期间，未能提供财务报表。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784" w:right="0" w:hanging="291"/>
        <w:jc w:val="left"/>
      </w:pPr>
      <w:r>
        <w:rPr>
          <w:rFonts w:ascii="Times New Roman" w:hAnsi="Times New Roman" w:cs="Times New Roman" w:eastAsia="Times New Roman" w:hint="default"/>
        </w:rPr>
        <w:t>1</w:t>
      </w:r>
      <w:r>
        <w:rPr/>
        <w:t>、行业的发展趋势 </w:t>
      </w:r>
      <w:r>
        <w:rPr>
          <w:spacing w:val="-1"/>
        </w:rPr>
        <w:t>随着移动支付的发展，银行智能化转型、网点改造步伐加快，以人工智能、大数据、云计算、区块链等为代表的新</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兴科技热潮迅速渗透到传统金融领域，各大银行积极拥抱新科技，向智慧银行转型升级，</w:t>
      </w:r>
      <w:r>
        <w:rPr>
          <w:rFonts w:ascii="Times New Roman" w:hAnsi="Times New Roman" w:cs="Times New Roman" w:eastAsia="Times New Roman" w:hint="default"/>
        </w:rPr>
        <w:t>ATM</w:t>
      </w:r>
      <w:r>
        <w:rPr/>
        <w:t>行业迎来新的发展契机。</w:t>
      </w:r>
    </w:p>
    <w:p>
      <w:pPr>
        <w:pStyle w:val="BodyText"/>
        <w:spacing w:line="300" w:lineRule="auto" w:before="63"/>
        <w:ind w:left="1493" w:right="0"/>
        <w:jc w:val="left"/>
      </w:pPr>
      <w:r>
        <w:rPr/>
        <w:t>（</w:t>
      </w:r>
      <w:r>
        <w:rPr>
          <w:rFonts w:ascii="Times New Roman" w:hAnsi="Times New Roman" w:cs="Times New Roman" w:eastAsia="Times New Roman" w:hint="default"/>
        </w:rPr>
        <w:t>1</w:t>
      </w:r>
      <w:r>
        <w:rPr/>
        <w:t>）智能设备成智慧银行建设主力 </w:t>
      </w:r>
      <w:r>
        <w:rPr>
          <w:spacing w:val="-2"/>
        </w:rPr>
        <w:t>近年来，利率市场化对银行业整体带来一定冲击，导致网点盈利能力降低；激烈的同业竞争、互联网金融的冲击给银行</w:t>
      </w:r>
    </w:p>
    <w:p>
      <w:pPr>
        <w:pStyle w:val="BodyText"/>
        <w:spacing w:line="309" w:lineRule="auto" w:before="31"/>
        <w:ind w:right="1033"/>
        <w:jc w:val="left"/>
      </w:pPr>
      <w:r>
        <w:rPr/>
        <w:t>造成了一定程度的客户流失，传统的银行业经营模式受到严峻挑战。中国银行业协会发布《</w:t>
      </w:r>
      <w:r>
        <w:rPr>
          <w:rFonts w:ascii="Times New Roman" w:hAnsi="Times New Roman" w:cs="Times New Roman" w:eastAsia="Times New Roman" w:hint="default"/>
        </w:rPr>
        <w:t>2017</w:t>
      </w:r>
      <w:r>
        <w:rPr/>
        <w:t>年中国银行业服务报告》， </w:t>
      </w:r>
      <w:r>
        <w:rPr>
          <w:spacing w:val="-2"/>
        </w:rPr>
        <w:t>提及</w:t>
      </w:r>
      <w:r>
        <w:rPr>
          <w:rFonts w:ascii="Times New Roman" w:hAnsi="Times New Roman" w:cs="Times New Roman" w:eastAsia="Times New Roman" w:hint="default"/>
          <w:spacing w:val="-2"/>
        </w:rPr>
        <w:t>“</w:t>
      </w:r>
      <w:r>
        <w:rPr>
          <w:spacing w:val="-2"/>
        </w:rPr>
        <w:t>轻型化、智能化、特色化、社区化</w:t>
      </w:r>
      <w:r>
        <w:rPr>
          <w:rFonts w:ascii="Times New Roman" w:hAnsi="Times New Roman" w:cs="Times New Roman" w:eastAsia="Times New Roman" w:hint="default"/>
          <w:spacing w:val="-2"/>
        </w:rPr>
        <w:t>”</w:t>
      </w:r>
      <w:r>
        <w:rPr>
          <w:spacing w:val="-2"/>
        </w:rPr>
        <w:t>已成为各银行网点发展趋势。此时，具备先进理念、先发经验，研发能力的综合性</w:t>
      </w:r>
      <w:r>
        <w:rPr>
          <w:spacing w:val="-46"/>
        </w:rPr>
        <w:t> </w:t>
      </w:r>
      <w:r>
        <w:rPr>
          <w:spacing w:val="-46"/>
        </w:rPr>
      </w:r>
      <w:r>
        <w:rPr/>
        <w:t>金融设备制造厂商将能够更大程度地抓住智慧银行的升级趋势。深入挖掘传统银行向智慧银行转型过程中带来的设备升级、 </w:t>
      </w:r>
      <w:r>
        <w:rPr>
          <w:spacing w:val="-2"/>
        </w:rPr>
        <w:t>流程再造、服务创新等各业务价值链，加大非现金智能终端创新产品的开发力度，完成智慧柜台、超级柜台等集成化、自动</w:t>
      </w:r>
      <w:r>
        <w:rPr>
          <w:spacing w:val="-66"/>
        </w:rPr>
        <w:t> </w:t>
      </w:r>
      <w:r>
        <w:rPr>
          <w:spacing w:val="-66"/>
        </w:rPr>
      </w:r>
      <w:r>
        <w:rPr>
          <w:spacing w:val="-2"/>
        </w:rPr>
        <w:t>化、智能化程度更高的金融设备的研发及产业化。目前，各大银行积极引进科技，人脸识别、静脉核验、虹膜识别等生物识</w:t>
      </w:r>
      <w:r>
        <w:rPr>
          <w:spacing w:val="-68"/>
        </w:rPr>
        <w:t> </w:t>
      </w:r>
      <w:r>
        <w:rPr>
          <w:spacing w:val="-68"/>
        </w:rPr>
      </w:r>
      <w:r>
        <w:rPr/>
        <w:t>别技术越来越广泛应用于金融自助设备，</w:t>
      </w:r>
      <w:r>
        <w:rPr>
          <w:rFonts w:ascii="Times New Roman" w:hAnsi="Times New Roman" w:cs="Times New Roman" w:eastAsia="Times New Roman" w:hint="default"/>
        </w:rPr>
        <w:t>ATM</w:t>
      </w:r>
      <w:r>
        <w:rPr/>
        <w:t>交易效率和安全大幅提升。智能语音、机器视觉和人机交互方面等技术也在 </w:t>
      </w:r>
      <w:r>
        <w:rPr>
          <w:spacing w:val="-2"/>
        </w:rPr>
        <w:t>金融业不断扩大场景应用。金融自助设备和新兴金融科技深度融合，推动了金融自助设备厂商的战略转型和智慧再升级，提</w:t>
      </w:r>
      <w:r>
        <w:rPr>
          <w:spacing w:val="-66"/>
        </w:rPr>
        <w:t> </w:t>
      </w:r>
      <w:r>
        <w:rPr>
          <w:spacing w:val="-66"/>
        </w:rPr>
      </w:r>
      <w:r>
        <w:rPr/>
        <w:t>供更加便利、智能和安全的应用与服务，打造高质量的动能体系，助力金融行业发展。</w:t>
      </w:r>
    </w:p>
    <w:p>
      <w:pPr>
        <w:pStyle w:val="BodyText"/>
        <w:spacing w:line="240" w:lineRule="auto" w:before="24"/>
        <w:ind w:left="1493" w:right="0"/>
        <w:jc w:val="left"/>
      </w:pPr>
      <w:r>
        <w:rPr/>
        <w:t>（</w:t>
      </w:r>
      <w:r>
        <w:rPr>
          <w:rFonts w:ascii="Times New Roman" w:hAnsi="Times New Roman" w:cs="Times New Roman" w:eastAsia="Times New Roman" w:hint="default"/>
        </w:rPr>
        <w:t>2</w:t>
      </w:r>
      <w:r>
        <w:rPr/>
        <w:t>）金融科技助力金融行业发展</w:t>
      </w:r>
    </w:p>
    <w:p>
      <w:pPr>
        <w:pStyle w:val="BodyText"/>
        <w:spacing w:line="307" w:lineRule="auto" w:before="63"/>
        <w:ind w:right="1039"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日，国务院印发《新一代人工智能发展规划》，提出</w:t>
      </w:r>
      <w:r>
        <w:rPr>
          <w:rFonts w:ascii="Times New Roman" w:hAnsi="Times New Roman" w:cs="Times New Roman" w:eastAsia="Times New Roman" w:hint="default"/>
        </w:rPr>
        <w:t>“</w:t>
      </w:r>
      <w:r>
        <w:rPr/>
        <w:t>在智能金融方面，要建立金融大数据系统，提升金融 </w:t>
      </w:r>
      <w:r>
        <w:rPr>
          <w:spacing w:val="-2"/>
        </w:rPr>
        <w:t>多媒体数据处理与理解能力。创新智能金融产品和服务，发展金融新业态。鼓励金融行业应用智能客服、智能监控等技术和</w:t>
      </w:r>
      <w:r>
        <w:rPr>
          <w:spacing w:val="-66"/>
        </w:rPr>
        <w:t> </w:t>
      </w:r>
      <w:r>
        <w:rPr>
          <w:spacing w:val="-66"/>
        </w:rPr>
      </w:r>
      <w:r>
        <w:rPr/>
        <w:t>装备。建立金融风险智能预警与防控系统。</w:t>
      </w:r>
      <w:r>
        <w:rPr>
          <w:rFonts w:ascii="Times New Roman" w:hAnsi="Times New Roman" w:cs="Times New Roman" w:eastAsia="Times New Roman" w:hint="default"/>
        </w:rPr>
        <w:t>”</w:t>
      </w:r>
      <w:r>
        <w:rPr/>
        <w:t>这是</w:t>
      </w:r>
      <w:r>
        <w:rPr>
          <w:rFonts w:ascii="Times New Roman" w:hAnsi="Times New Roman" w:cs="Times New Roman" w:eastAsia="Times New Roman" w:hint="default"/>
        </w:rPr>
        <w:t>“</w:t>
      </w:r>
      <w:r>
        <w:rPr/>
        <w:t>智能金融</w:t>
      </w:r>
      <w:r>
        <w:rPr>
          <w:rFonts w:ascii="Times New Roman" w:hAnsi="Times New Roman" w:cs="Times New Roman" w:eastAsia="Times New Roman" w:hint="default"/>
        </w:rPr>
        <w:t>”</w:t>
      </w:r>
      <w:r>
        <w:rPr/>
        <w:t>首次出现在国家发展规划中。为了落实该规划，工信部于</w:t>
      </w:r>
      <w:r>
        <w:rPr>
          <w:rFonts w:ascii="Times New Roman" w:hAnsi="Times New Roman" w:cs="Times New Roman" w:eastAsia="Times New Roman" w:hint="default"/>
        </w:rPr>
        <w:t>2017 </w:t>
      </w:r>
      <w:r>
        <w:rPr>
          <w:spacing w:val="-2"/>
        </w:rPr>
        <w:t>年</w:t>
      </w:r>
      <w:r>
        <w:rPr>
          <w:rFonts w:ascii="Times New Roman" w:hAnsi="Times New Roman" w:cs="Times New Roman" w:eastAsia="Times New Roman" w:hint="default"/>
          <w:spacing w:val="-2"/>
        </w:rPr>
        <w:t>12</w:t>
      </w:r>
      <w:r>
        <w:rPr>
          <w:spacing w:val="-2"/>
        </w:rPr>
        <w:t>月制定了《促进新一代人工智能产业发展三年行动计划</w:t>
      </w:r>
      <w:r>
        <w:rPr>
          <w:rFonts w:ascii="Times New Roman" w:hAnsi="Times New Roman" w:cs="Times New Roman" w:eastAsia="Times New Roman" w:hint="default"/>
          <w:spacing w:val="-2"/>
        </w:rPr>
        <w:t>(2018-2020)</w:t>
      </w:r>
      <w:r>
        <w:rPr>
          <w:spacing w:val="-2"/>
        </w:rPr>
        <w:t>》，提出要抓住历史机遇，突破重点领域，促进人工</w:t>
      </w:r>
      <w:r>
        <w:rPr>
          <w:spacing w:val="-53"/>
        </w:rPr>
        <w:t> </w:t>
      </w:r>
      <w:r>
        <w:rPr>
          <w:spacing w:val="-53"/>
        </w:rPr>
      </w:r>
      <w:r>
        <w:rPr>
          <w:spacing w:val="-2"/>
        </w:rPr>
        <w:t>智能产业发展，提升制造业智能化水平，推动人工智能和实体经济深度融合。借助科技的力量寻求效率、成本、风险的最佳</w:t>
      </w:r>
      <w:r>
        <w:rPr>
          <w:spacing w:val="-66"/>
        </w:rPr>
        <w:t> </w:t>
      </w:r>
      <w:r>
        <w:rPr>
          <w:spacing w:val="-66"/>
        </w:rPr>
      </w:r>
      <w:r>
        <w:rPr>
          <w:spacing w:val="-3"/>
        </w:rPr>
        <w:t>平衡，在理念和方法上作出根本性转变，推动自身经营模式的转型，把</w:t>
      </w:r>
      <w:r>
        <w:rPr>
          <w:rFonts w:ascii="Times New Roman" w:hAnsi="Times New Roman" w:cs="Times New Roman" w:eastAsia="Times New Roman" w:hint="default"/>
          <w:spacing w:val="-3"/>
        </w:rPr>
        <w:t>“</w:t>
      </w:r>
      <w:r>
        <w:rPr>
          <w:spacing w:val="-3"/>
        </w:rPr>
        <w:t>轻型银行</w:t>
      </w:r>
      <w:r>
        <w:rPr>
          <w:rFonts w:ascii="Times New Roman" w:hAnsi="Times New Roman" w:cs="Times New Roman" w:eastAsia="Times New Roman" w:hint="default"/>
          <w:spacing w:val="-3"/>
        </w:rPr>
        <w:t>”</w:t>
      </w:r>
      <w:r>
        <w:rPr>
          <w:spacing w:val="-3"/>
        </w:rPr>
        <w:t>战略的深化为</w:t>
      </w:r>
      <w:r>
        <w:rPr>
          <w:rFonts w:ascii="Times New Roman" w:hAnsi="Times New Roman" w:cs="Times New Roman" w:eastAsia="Times New Roman" w:hint="default"/>
          <w:spacing w:val="-3"/>
        </w:rPr>
        <w:t>“</w:t>
      </w:r>
      <w:r>
        <w:rPr>
          <w:spacing w:val="-3"/>
        </w:rPr>
        <w:t>金融科技银行</w:t>
      </w:r>
      <w:r>
        <w:rPr>
          <w:rFonts w:ascii="Times New Roman" w:hAnsi="Times New Roman" w:cs="Times New Roman" w:eastAsia="Times New Roman" w:hint="default"/>
          <w:spacing w:val="-3"/>
        </w:rPr>
        <w:t>”</w:t>
      </w:r>
      <w:r>
        <w:rPr>
          <w:spacing w:val="-3"/>
        </w:rPr>
        <w:t>。把轻管理、</w:t>
      </w:r>
      <w:r>
        <w:rPr>
          <w:spacing w:val="-54"/>
        </w:rPr>
        <w:t> </w:t>
      </w:r>
      <w:r>
        <w:rPr>
          <w:spacing w:val="-54"/>
        </w:rPr>
      </w:r>
      <w:r>
        <w:rPr/>
        <w:t>轻运营做到极致，真正实现</w:t>
      </w:r>
      <w:r>
        <w:rPr>
          <w:rFonts w:ascii="Times New Roman" w:hAnsi="Times New Roman" w:cs="Times New Roman" w:eastAsia="Times New Roman" w:hint="default"/>
        </w:rPr>
        <w:t>“</w:t>
      </w:r>
      <w:r>
        <w:rPr/>
        <w:t>轻型银行</w:t>
      </w:r>
      <w:r>
        <w:rPr>
          <w:rFonts w:ascii="Times New Roman" w:hAnsi="Times New Roman" w:cs="Times New Roman" w:eastAsia="Times New Roman" w:hint="default"/>
        </w:rPr>
        <w:t>”</w:t>
      </w:r>
      <w:r>
        <w:rPr/>
        <w:t>。银行业正在全面迈入以全渠道银行、智能投顾、区块链、大数据和物联网为基础的 </w:t>
      </w:r>
      <w:r>
        <w:rPr>
          <w:spacing w:val="-2"/>
        </w:rPr>
        <w:t>数字化银行发展阶段，集约化、智能化、数字化成为新趋势。用智能化的技术和手段改造现有的流程和客户服务模式，塑造</w:t>
      </w:r>
      <w:r>
        <w:rPr>
          <w:spacing w:val="-66"/>
        </w:rPr>
        <w:t> </w:t>
      </w:r>
      <w:r>
        <w:rPr>
          <w:spacing w:val="-66"/>
        </w:rPr>
      </w:r>
      <w:r>
        <w:rPr>
          <w:spacing w:val="-2"/>
        </w:rPr>
        <w:t>新服务、新产品、新的运营和业务模式，有效提高网点资源利用效率。站在新时代的新起点上，迎接下一轮产业变革与成长</w:t>
      </w:r>
      <w:r>
        <w:rPr>
          <w:spacing w:val="-66"/>
        </w:rPr>
        <w:t> </w:t>
      </w:r>
      <w:r>
        <w:rPr>
          <w:spacing w:val="-66"/>
        </w:rPr>
      </w:r>
      <w:r>
        <w:rPr/>
        <w:t>周期。</w:t>
      </w:r>
    </w:p>
    <w:p>
      <w:pPr>
        <w:pStyle w:val="BodyText"/>
        <w:spacing w:line="300" w:lineRule="auto" w:before="26"/>
        <w:ind w:left="1494" w:right="0"/>
        <w:jc w:val="left"/>
      </w:pPr>
      <w:r>
        <w:rPr/>
        <w:t>（</w:t>
      </w:r>
      <w:r>
        <w:rPr>
          <w:rFonts w:ascii="Times New Roman" w:hAnsi="Times New Roman" w:cs="Times New Roman" w:eastAsia="Times New Roman" w:hint="default"/>
        </w:rPr>
        <w:t>3</w:t>
      </w:r>
      <w:r>
        <w:rPr/>
        <w:t>）我国</w:t>
      </w:r>
      <w:r>
        <w:rPr>
          <w:rFonts w:ascii="Times New Roman" w:hAnsi="Times New Roman" w:cs="Times New Roman" w:eastAsia="Times New Roman" w:hint="default"/>
        </w:rPr>
        <w:t>ATM</w:t>
      </w:r>
      <w:r>
        <w:rPr/>
        <w:t>维保服务市场有较大的潜在市场空间 </w:t>
      </w:r>
      <w:r>
        <w:rPr>
          <w:spacing w:val="-2"/>
        </w:rPr>
        <w:t>中国金融改革逐步推进、金融服务业开放程度逐渐加大，我国金融外包行业价值链正不断延伸，精细化管理已逐渐成为</w:t>
      </w:r>
    </w:p>
    <w:p>
      <w:pPr>
        <w:pStyle w:val="BodyText"/>
        <w:spacing w:line="314" w:lineRule="auto" w:before="31"/>
        <w:ind w:right="1130"/>
        <w:jc w:val="both"/>
      </w:pPr>
      <w:r>
        <w:rPr>
          <w:spacing w:val="-2"/>
        </w:rPr>
        <w:t>行业的重要趋势。金融服务外包领域发展空间和潜力巨大，将推动我国金融业和服务外包产业快速健康发展。随着金融自助</w:t>
      </w:r>
      <w:r>
        <w:rPr>
          <w:spacing w:val="-65"/>
        </w:rPr>
        <w:t> </w:t>
      </w:r>
      <w:r>
        <w:rPr>
          <w:spacing w:val="-65"/>
        </w:rPr>
      </w:r>
      <w:r>
        <w:rPr/>
        <w:t>设备布放量不断增加，银行在设备运营管理上面临巨大压力。截至</w:t>
      </w:r>
      <w:r>
        <w:rPr>
          <w:rFonts w:ascii="Times New Roman" w:hAnsi="Times New Roman" w:cs="Times New Roman" w:eastAsia="Times New Roman" w:hint="default"/>
        </w:rPr>
        <w:t>2017</w:t>
      </w:r>
      <w:r>
        <w:rPr/>
        <w:t>年末，我国联网</w:t>
      </w:r>
      <w:r>
        <w:rPr>
          <w:rFonts w:ascii="Times New Roman" w:hAnsi="Times New Roman" w:cs="Times New Roman" w:eastAsia="Times New Roman" w:hint="default"/>
        </w:rPr>
        <w:t>ATM</w:t>
      </w:r>
      <w:r>
        <w:rPr/>
        <w:t>已达</w:t>
      </w:r>
      <w:r>
        <w:rPr>
          <w:rFonts w:ascii="Times New Roman" w:hAnsi="Times New Roman" w:cs="Times New Roman" w:eastAsia="Times New Roman" w:hint="default"/>
        </w:rPr>
        <w:t>96.06</w:t>
      </w:r>
      <w:r>
        <w:rPr/>
        <w:t>万台，未来还将持续 </w:t>
      </w:r>
      <w:r>
        <w:rPr>
          <w:spacing w:val="-2"/>
        </w:rPr>
        <w:t>增加。较高的设备保有量将催生广阔的维保和全业务外包服务市场。而金融设备厂商由于拥有服务链条中最为核心的自助设</w:t>
      </w:r>
      <w:r>
        <w:rPr>
          <w:spacing w:val="-64"/>
        </w:rPr>
        <w:t> </w:t>
      </w:r>
      <w:r>
        <w:rPr>
          <w:spacing w:val="-64"/>
        </w:rPr>
      </w:r>
      <w:r>
        <w:rPr>
          <w:spacing w:val="-2"/>
        </w:rPr>
        <w:t>备，对于服务市场拥有专业化、规模化、技术先进、经验丰富的在位优势。各大银行能更有效地提升服务质量、降低人力和</w:t>
      </w:r>
      <w:r>
        <w:rPr>
          <w:spacing w:val="-67"/>
        </w:rPr>
        <w:t> </w:t>
      </w:r>
      <w:r>
        <w:rPr>
          <w:spacing w:val="-67"/>
        </w:rPr>
      </w:r>
      <w:r>
        <w:rPr>
          <w:spacing w:val="-2"/>
        </w:rPr>
        <w:t>运营成本、集中精力发展核心业务。随着信息技术的深入发展，云计算、大数据、移动金融的发展和应用大大拓展了金融服</w:t>
      </w:r>
      <w:r>
        <w:rPr>
          <w:spacing w:val="-66"/>
        </w:rPr>
        <w:t> </w:t>
      </w:r>
      <w:r>
        <w:rPr>
          <w:spacing w:val="-66"/>
        </w:rPr>
      </w:r>
      <w:r>
        <w:rPr/>
        <w:t>务的广度和深度，改变了外包业务的结构，行成了由低端业务向高端、复杂、核心业务发展的趋势。</w:t>
      </w:r>
    </w:p>
    <w:p>
      <w:pPr>
        <w:pStyle w:val="BodyText"/>
        <w:spacing w:line="300" w:lineRule="auto" w:before="20"/>
        <w:ind w:left="1493" w:right="0"/>
        <w:jc w:val="left"/>
      </w:pPr>
      <w:r>
        <w:rPr/>
        <w:t>（</w:t>
      </w:r>
      <w:r>
        <w:rPr>
          <w:rFonts w:ascii="Times New Roman" w:hAnsi="Times New Roman" w:cs="Times New Roman" w:eastAsia="Times New Roman" w:hint="default"/>
        </w:rPr>
        <w:t>4</w:t>
      </w:r>
      <w:r>
        <w:rPr/>
        <w:t>）高质量发展助推普惠金融进程 </w:t>
      </w:r>
      <w:r>
        <w:rPr>
          <w:spacing w:val="-2"/>
        </w:rPr>
        <w:t>中国共产党第十九次全国代表大会提出，我国社会主要矛盾已经转化为人民日益增长的美好生活需要和不平衡不充分的</w:t>
      </w:r>
    </w:p>
    <w:p>
      <w:pPr>
        <w:pStyle w:val="BodyText"/>
        <w:spacing w:line="312" w:lineRule="auto" w:before="31"/>
        <w:ind w:right="1050"/>
        <w:jc w:val="left"/>
      </w:pPr>
      <w:r>
        <w:rPr/>
        <w:t>发展之间的矛盾，国家对金融服务发展不平衡不充分更为重视，大力发展农村普惠金融，是全面建成小康社会的必然要求， </w:t>
      </w:r>
      <w:r>
        <w:rPr>
          <w:spacing w:val="-2"/>
        </w:rPr>
        <w:t>是推进供给侧结构性改革、培育农业农村发展新动能。近年来，银行业金融机构积极贯彻落实国务院印发的《推进普惠金融</w:t>
      </w:r>
      <w:r>
        <w:rPr>
          <w:spacing w:val="-66"/>
        </w:rPr>
        <w:t> </w:t>
      </w:r>
      <w:r>
        <w:rPr>
          <w:spacing w:val="-66"/>
        </w:rPr>
      </w:r>
      <w:r>
        <w:rPr/>
        <w:t>发展规划（</w:t>
      </w:r>
      <w:r>
        <w:rPr>
          <w:rFonts w:ascii="Times New Roman" w:hAnsi="Times New Roman" w:cs="Times New Roman" w:eastAsia="Times New Roman" w:hint="default"/>
        </w:rPr>
        <w:t>2016-2020</w:t>
      </w:r>
      <w:r>
        <w:rPr/>
        <w:t>年）》</w:t>
      </w:r>
      <w:r>
        <w:rPr>
          <w:rFonts w:ascii="Times New Roman" w:hAnsi="Times New Roman" w:cs="Times New Roman" w:eastAsia="Times New Roman" w:hint="default"/>
        </w:rPr>
        <w:t>,</w:t>
      </w:r>
      <w:r>
        <w:rPr/>
        <w:t>开展金融服务</w:t>
      </w:r>
      <w:r>
        <w:rPr>
          <w:rFonts w:ascii="Times New Roman" w:hAnsi="Times New Roman" w:cs="Times New Roman" w:eastAsia="Times New Roman" w:hint="default"/>
        </w:rPr>
        <w:t>“</w:t>
      </w:r>
      <w:r>
        <w:rPr/>
        <w:t>村村通</w:t>
      </w:r>
      <w:r>
        <w:rPr>
          <w:rFonts w:ascii="Times New Roman" w:hAnsi="Times New Roman" w:cs="Times New Roman" w:eastAsia="Times New Roman" w:hint="default"/>
        </w:rPr>
        <w:t>”</w:t>
      </w:r>
      <w:r>
        <w:rPr/>
        <w:t>工程，推动农村基础金融服务覆盖。提高普惠金融的覆盖面和渗透率； 布放自助设备，加快银行卡助农取款服务点、农民金融自助服务点建设步伐。有力推动了普惠金融发展进程。</w:t>
      </w:r>
    </w:p>
    <w:p>
      <w:pPr>
        <w:pStyle w:val="BodyText"/>
        <w:spacing w:line="309" w:lineRule="auto" w:before="22"/>
        <w:ind w:right="1131" w:firstLine="360"/>
        <w:jc w:val="both"/>
      </w:pPr>
      <w:r>
        <w:rPr>
          <w:spacing w:val="-2"/>
        </w:rPr>
        <w:t>金融机构深入贯彻</w:t>
      </w:r>
      <w:r>
        <w:rPr>
          <w:rFonts w:ascii="Times New Roman" w:hAnsi="Times New Roman" w:cs="Times New Roman" w:eastAsia="Times New Roman" w:hint="default"/>
          <w:spacing w:val="-2"/>
        </w:rPr>
        <w:t>“</w:t>
      </w:r>
      <w:r>
        <w:rPr>
          <w:spacing w:val="-2"/>
        </w:rPr>
        <w:t>普惠金融</w:t>
      </w:r>
      <w:r>
        <w:rPr>
          <w:rFonts w:ascii="Times New Roman" w:hAnsi="Times New Roman" w:cs="Times New Roman" w:eastAsia="Times New Roman" w:hint="default"/>
          <w:spacing w:val="-2"/>
        </w:rPr>
        <w:t>”</w:t>
      </w:r>
      <w:r>
        <w:rPr>
          <w:spacing w:val="-2"/>
        </w:rPr>
        <w:t>国家战略，在农村市场自助设备的投入不断加大，使得农村地区和三四线城市成为金融自</w:t>
      </w:r>
      <w:r>
        <w:rPr/>
        <w:t> </w:t>
      </w:r>
      <w:r>
        <w:rPr>
          <w:spacing w:val="-2"/>
        </w:rPr>
        <w:t>助设备的蓝海市场。为经济社会注入强大的动力，完善基础金融服务与改进重点领域金融服务相结合，不断提高金融服务的</w:t>
      </w:r>
      <w:r>
        <w:rPr>
          <w:spacing w:val="-66"/>
        </w:rPr>
        <w:t> </w:t>
      </w:r>
      <w:r>
        <w:rPr>
          <w:spacing w:val="-66"/>
        </w:rPr>
      </w:r>
      <w:r>
        <w:rPr/>
        <w:t>覆盖率、可得性和满意度，打通农村金融服务最后一公里，使最广大人民群众公平分享金融改革发展的成果。</w:t>
      </w:r>
    </w:p>
    <w:p>
      <w:pPr>
        <w:pStyle w:val="BodyText"/>
        <w:spacing w:line="300" w:lineRule="auto" w:before="24"/>
        <w:ind w:left="1493" w:right="0"/>
        <w:jc w:val="left"/>
      </w:pPr>
      <w:r>
        <w:rPr>
          <w:rFonts w:ascii="Times New Roman" w:hAnsi="Times New Roman" w:cs="Times New Roman" w:eastAsia="Times New Roman" w:hint="default"/>
        </w:rPr>
        <w:t>2.ATM</w:t>
      </w:r>
      <w:r>
        <w:rPr/>
        <w:t>行业竞争格局 </w:t>
      </w:r>
      <w:r>
        <w:rPr>
          <w:spacing w:val="-2"/>
        </w:rPr>
        <w:t>在金融信息系统日益发展，信息集中化及规模化扩大的趋势下，国家对自主安全可控技术支持力度不断加强，以及在国</w:t>
      </w:r>
    </w:p>
    <w:p>
      <w:pPr>
        <w:pStyle w:val="BodyText"/>
        <w:spacing w:line="309" w:lineRule="auto" w:before="31"/>
        <w:ind w:right="1133"/>
        <w:jc w:val="both"/>
      </w:pPr>
      <w:r>
        <w:rPr>
          <w:spacing w:val="-2"/>
        </w:rPr>
        <w:t>内品牌自主创新的扶持下，使得国内品牌产品的市场份额在不断增加；同时国外厂商在国内的销量受到一定冲击，在中国市</w:t>
      </w:r>
      <w:r>
        <w:rPr>
          <w:spacing w:val="-66"/>
        </w:rPr>
        <w:t> </w:t>
      </w:r>
      <w:r>
        <w:rPr>
          <w:spacing w:val="-66"/>
        </w:rPr>
      </w:r>
      <w:r>
        <w:rPr/>
        <w:t>场均出现销量下滑。目前，中国作为全球第一大</w:t>
      </w:r>
      <w:r>
        <w:rPr>
          <w:rFonts w:ascii="Times New Roman" w:hAnsi="Times New Roman" w:cs="Times New Roman" w:eastAsia="Times New Roman" w:hint="default"/>
        </w:rPr>
        <w:t>ATM</w:t>
      </w:r>
      <w:r>
        <w:rPr/>
        <w:t>市场，主要的设备供应商有：本公司、广电运通、深圳怡化、恒银金 融、中钞科堡、东方通信、新达通、</w:t>
      </w:r>
      <w:r>
        <w:rPr>
          <w:rFonts w:ascii="Times New Roman" w:hAnsi="Times New Roman" w:cs="Times New Roman" w:eastAsia="Times New Roman" w:hint="default"/>
        </w:rPr>
        <w:t>OKI</w:t>
      </w:r>
      <w:r>
        <w:rPr/>
        <w:t>、日本</w:t>
      </w:r>
      <w:r>
        <w:rPr>
          <w:rFonts w:ascii="Times New Roman" w:hAnsi="Times New Roman" w:cs="Times New Roman" w:eastAsia="Times New Roman" w:hint="default"/>
        </w:rPr>
        <w:t>Hitachi</w:t>
      </w:r>
      <w:r>
        <w:rPr/>
        <w:t>、</w:t>
      </w:r>
      <w:r>
        <w:rPr>
          <w:rFonts w:ascii="Times New Roman" w:hAnsi="Times New Roman" w:cs="Times New Roman" w:eastAsia="Times New Roman" w:hint="default"/>
        </w:rPr>
        <w:t>Diebold</w:t>
      </w:r>
      <w:r>
        <w:rPr/>
        <w:t>、美国</w:t>
      </w:r>
      <w:r>
        <w:rPr>
          <w:rFonts w:ascii="Times New Roman" w:hAnsi="Times New Roman" w:cs="Times New Roman" w:eastAsia="Times New Roman" w:hint="default"/>
        </w:rPr>
        <w:t>NCR</w:t>
      </w:r>
      <w:r>
        <w:rPr/>
        <w:t>等。</w:t>
      </w:r>
    </w:p>
    <w:p>
      <w:pPr>
        <w:spacing w:after="0" w:line="30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3</w:t>
      </w:r>
      <w:r>
        <w:rPr/>
        <w:t>、公司发展战略及年度经营计划</w:t>
      </w:r>
    </w:p>
    <w:p>
      <w:pPr>
        <w:pStyle w:val="BodyText"/>
        <w:spacing w:line="307" w:lineRule="auto" w:before="63"/>
        <w:ind w:right="0"/>
        <w:jc w:val="left"/>
      </w:pPr>
      <w:r>
        <w:rPr/>
        <w:t>（</w:t>
      </w:r>
      <w:r>
        <w:rPr>
          <w:rFonts w:ascii="Times New Roman" w:hAnsi="Times New Roman" w:cs="Times New Roman" w:eastAsia="Times New Roman" w:hint="default"/>
        </w:rPr>
        <w:t>1</w:t>
      </w:r>
      <w:r>
        <w:rPr/>
        <w:t>）公司发展战略 随着中国银行业的创新变革和转型升级步伐进一步加快，公司秉承</w:t>
      </w:r>
      <w:r>
        <w:rPr>
          <w:rFonts w:ascii="Times New Roman" w:hAnsi="Times New Roman" w:cs="Times New Roman" w:eastAsia="Times New Roman" w:hint="default"/>
        </w:rPr>
        <w:t>“</w:t>
      </w:r>
      <w:r>
        <w:rPr/>
        <w:t>主营创新</w:t>
      </w:r>
      <w:r>
        <w:rPr>
          <w:rFonts w:ascii="Times New Roman" w:hAnsi="Times New Roman" w:cs="Times New Roman" w:eastAsia="Times New Roman" w:hint="default"/>
        </w:rPr>
        <w:t>+</w:t>
      </w:r>
      <w:r>
        <w:rPr/>
        <w:t>业务转型</w:t>
      </w:r>
      <w:r>
        <w:rPr>
          <w:rFonts w:ascii="Times New Roman" w:hAnsi="Times New Roman" w:cs="Times New Roman" w:eastAsia="Times New Roman" w:hint="default"/>
        </w:rPr>
        <w:t>”</w:t>
      </w:r>
      <w:r>
        <w:rPr/>
        <w:t>双驱动的战略发展方针，在业态布</w:t>
      </w:r>
      <w:r>
        <w:rPr>
          <w:spacing w:val="-76"/>
        </w:rPr>
        <w:t> </w:t>
      </w:r>
      <w:r>
        <w:rPr>
          <w:spacing w:val="-76"/>
        </w:rPr>
      </w:r>
      <w:r>
        <w:rPr>
          <w:spacing w:val="-2"/>
        </w:rPr>
        <w:t>局、产业结构、经营模式方面不断积极探索转型方向和更适宜当前经济环境下的经营管理模式，公司还将在条件许可的情况</w:t>
      </w:r>
      <w:r>
        <w:rPr>
          <w:spacing w:val="-66"/>
        </w:rPr>
        <w:t> </w:t>
      </w:r>
      <w:r>
        <w:rPr>
          <w:spacing w:val="-66"/>
        </w:rPr>
      </w:r>
      <w:r>
        <w:rPr/>
        <w:t>下，积极探索其他投资方向，为公司后续发展寻找新的利润增长点。</w:t>
      </w:r>
    </w:p>
    <w:p>
      <w:pPr>
        <w:pStyle w:val="BodyText"/>
        <w:spacing w:line="240" w:lineRule="auto" w:before="26"/>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年度经营计划</w:t>
      </w:r>
    </w:p>
    <w:p>
      <w:pPr>
        <w:pStyle w:val="BodyText"/>
        <w:spacing w:line="307" w:lineRule="auto" w:before="63"/>
        <w:ind w:right="1028"/>
        <w:jc w:val="left"/>
      </w:pPr>
      <w:r>
        <w:rPr>
          <w:rFonts w:ascii="Times New Roman" w:hAnsi="Times New Roman" w:cs="Times New Roman" w:eastAsia="Times New Roman" w:hint="default"/>
        </w:rPr>
        <w:t>2018 </w:t>
      </w:r>
      <w:r>
        <w:rPr/>
        <w:t>年是大力实施发展战略，持续推进全面深化改革的关键之年。公司将以党的十九大精神为指导，坚持创新驱动、稳中</w:t>
      </w:r>
      <w:r>
        <w:rPr>
          <w:spacing w:val="-83"/>
        </w:rPr>
        <w:t> </w:t>
      </w:r>
      <w:r>
        <w:rPr>
          <w:spacing w:val="-83"/>
        </w:rPr>
      </w:r>
      <w:r>
        <w:rPr>
          <w:spacing w:val="-2"/>
        </w:rPr>
        <w:t>求进，加快企业转型升级步伐，通过再融资及收购兼并，拓展新的业务领域和产业。同时发挥在各投资领域的整合优势，推</w:t>
      </w:r>
      <w:r>
        <w:rPr>
          <w:spacing w:val="-66"/>
        </w:rPr>
        <w:t> </w:t>
      </w:r>
      <w:r>
        <w:rPr>
          <w:spacing w:val="-66"/>
        </w:rPr>
      </w:r>
      <w:r>
        <w:rPr>
          <w:spacing w:val="-2"/>
        </w:rPr>
        <w:t>进围绕公司主营业务的市场价值链延伸，积极布局多方位的发展创新，推动公司整体业绩提升。为实现</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年的经营目标， 公司讲围绕以下重点，抓好各项经营管理工作：</w:t>
      </w:r>
    </w:p>
    <w:p>
      <w:pPr>
        <w:pStyle w:val="BodyText"/>
        <w:spacing w:line="316" w:lineRule="auto" w:before="26"/>
        <w:ind w:left="1494" w:right="0"/>
        <w:jc w:val="left"/>
      </w:pPr>
      <w:r>
        <w:rPr/>
        <w:t>①专注研发，全面推进智慧银行 </w:t>
      </w:r>
      <w:r>
        <w:rPr>
          <w:spacing w:val="-2"/>
        </w:rPr>
        <w:t>公司积极适应数字化时代发展浪潮，开展人工智能、生物识别、区块链等新兴技术发展与应用研究，重点开展人工智能</w:t>
      </w:r>
    </w:p>
    <w:p>
      <w:pPr>
        <w:pStyle w:val="BodyText"/>
        <w:spacing w:line="312" w:lineRule="auto" w:before="19"/>
        <w:ind w:right="0"/>
        <w:jc w:val="left"/>
      </w:pPr>
      <w:r>
        <w:rPr>
          <w:spacing w:val="-2"/>
        </w:rPr>
        <w:t>技术在风险防控、客户体验、业务交易、安全运维等领域的探索运用。继续加大研发投入，不断完善和优化设备的性能，配</w:t>
      </w:r>
      <w:r>
        <w:rPr>
          <w:spacing w:val="-67"/>
        </w:rPr>
        <w:t> </w:t>
      </w:r>
      <w:r>
        <w:rPr>
          <w:spacing w:val="-67"/>
        </w:rPr>
      </w:r>
      <w:r>
        <w:rPr>
          <w:spacing w:val="-2"/>
        </w:rPr>
        <w:t>合智慧网点的建设，不断提升的业务需求和运用场景，推动网点业务的智能化转型。公司继续专研穿墙式大容量高速存取款</w:t>
      </w:r>
      <w:r>
        <w:rPr>
          <w:spacing w:val="-66"/>
        </w:rPr>
        <w:t> </w:t>
      </w:r>
      <w:r>
        <w:rPr>
          <w:spacing w:val="-66"/>
        </w:rPr>
      </w:r>
      <w:r>
        <w:rPr/>
        <w:t>机，此设备一机多用，可实现有人值守时，是大容量高速存取款机，无人值守时，是普通</w:t>
      </w:r>
      <w:r>
        <w:rPr>
          <w:rFonts w:ascii="Times New Roman" w:hAnsi="Times New Roman" w:cs="Times New Roman" w:eastAsia="Times New Roman" w:hint="default"/>
        </w:rPr>
        <w:t>CRS</w:t>
      </w:r>
      <w:r>
        <w:rPr/>
        <w:t>功能。一台大容量高速存款机 </w:t>
      </w:r>
      <w:r>
        <w:rPr>
          <w:spacing w:val="-2"/>
        </w:rPr>
        <w:t>兼具多种功能，新一代高速大容量存取机，提高业务办理效率；智能柜员机，综合了非现金及现金业务功能，帮助银行降低</w:t>
      </w:r>
      <w:r>
        <w:rPr>
          <w:spacing w:val="-66"/>
        </w:rPr>
        <w:t> </w:t>
      </w:r>
      <w:r>
        <w:rPr>
          <w:spacing w:val="-66"/>
        </w:rPr>
      </w:r>
      <w:r>
        <w:rPr>
          <w:spacing w:val="-3"/>
        </w:rPr>
        <w:t>运营成本、提升业务效率的一种多功能设备。同时，各项金融业务场景实现</w:t>
      </w:r>
      <w:r>
        <w:rPr>
          <w:rFonts w:ascii="Times New Roman" w:hAnsi="Times New Roman" w:cs="Times New Roman" w:eastAsia="Times New Roman" w:hint="default"/>
          <w:spacing w:val="-3"/>
        </w:rPr>
        <w:t>“</w:t>
      </w:r>
      <w:r>
        <w:rPr>
          <w:spacing w:val="-3"/>
        </w:rPr>
        <w:t>一站式</w:t>
      </w:r>
      <w:r>
        <w:rPr>
          <w:rFonts w:ascii="Times New Roman" w:hAnsi="Times New Roman" w:cs="Times New Roman" w:eastAsia="Times New Roman" w:hint="default"/>
          <w:spacing w:val="-3"/>
        </w:rPr>
        <w:t>”</w:t>
      </w:r>
      <w:r>
        <w:rPr>
          <w:spacing w:val="-3"/>
        </w:rPr>
        <w:t>智能化上线，继续优化人脸识别、指纹、</w:t>
      </w:r>
      <w:r>
        <w:rPr>
          <w:spacing w:val="-79"/>
        </w:rPr>
        <w:t> </w:t>
      </w:r>
      <w:r>
        <w:rPr>
          <w:spacing w:val="-79"/>
        </w:rPr>
      </w:r>
      <w:r>
        <w:rPr>
          <w:spacing w:val="-4"/>
        </w:rPr>
        <w:t>指静脉及声纹认证等生物认证科技应用，优化语音识别系统，扩大语音识别系统的使用。让人工智能更好地服务于金融领域，</w:t>
      </w:r>
      <w:r>
        <w:rPr>
          <w:spacing w:val="-44"/>
        </w:rPr>
        <w:t> </w:t>
      </w:r>
      <w:r>
        <w:rPr>
          <w:spacing w:val="-44"/>
        </w:rPr>
      </w:r>
      <w:r>
        <w:rPr/>
        <w:t>让客户体验更加便捷和安全的金融服务。从而推动新时代下网点从交易操作型向价值创造型的升级。</w:t>
      </w:r>
    </w:p>
    <w:p>
      <w:pPr>
        <w:pStyle w:val="BodyText"/>
        <w:spacing w:line="316" w:lineRule="auto" w:before="22"/>
        <w:ind w:right="0" w:firstLine="360"/>
        <w:jc w:val="left"/>
      </w:pPr>
      <w:r>
        <w:rPr>
          <w:spacing w:val="-2"/>
        </w:rPr>
        <w:t>公司在智能金融产品及服务领域构建了优秀的技术、品牌及客户基础，顺应外部环境变化，进一步加强在人工智能技术</w:t>
      </w:r>
      <w:r>
        <w:rPr/>
        <w:t> 等核心领域的布局，推动智能产品在金融领域落地应用，实现战略转型和产业升级。</w:t>
      </w:r>
    </w:p>
    <w:p>
      <w:pPr>
        <w:pStyle w:val="BodyText"/>
        <w:spacing w:line="319" w:lineRule="auto" w:before="19"/>
        <w:ind w:left="1493" w:right="0"/>
        <w:jc w:val="left"/>
      </w:pPr>
      <w:r>
        <w:rPr/>
        <w:t>②借助云平台，扩张维保服务市场 </w:t>
      </w:r>
      <w:r>
        <w:rPr>
          <w:spacing w:val="-2"/>
        </w:rPr>
        <w:t>在进一步提高运行效率，保持客户满意度的同时，公司将积极探索新型服务管理模式，实现维修全流程的网络化和智能</w:t>
      </w:r>
    </w:p>
    <w:p>
      <w:pPr>
        <w:pStyle w:val="BodyText"/>
        <w:spacing w:line="316" w:lineRule="auto" w:before="17"/>
        <w:ind w:right="0"/>
        <w:jc w:val="left"/>
      </w:pPr>
      <w:r>
        <w:rPr>
          <w:spacing w:val="-2"/>
        </w:rPr>
        <w:t>化，在部分区域试运行全新的维修模式；公司在努力确保自有品牌维修市场占有率的同时，积极获取更多的多品牌自助设备</w:t>
      </w:r>
      <w:r>
        <w:rPr>
          <w:spacing w:val="-66"/>
        </w:rPr>
        <w:t> </w:t>
      </w:r>
      <w:r>
        <w:rPr>
          <w:spacing w:val="-66"/>
        </w:rPr>
      </w:r>
      <w:r>
        <w:rPr/>
        <w:t>维保服务市场，同时大力推广跨行业技术服务，为成为系统方案解决商奠定扎实的基础。</w:t>
      </w:r>
    </w:p>
    <w:p>
      <w:pPr>
        <w:pStyle w:val="BodyText"/>
        <w:spacing w:line="316" w:lineRule="auto" w:before="19"/>
        <w:ind w:left="1493" w:right="0"/>
        <w:jc w:val="left"/>
      </w:pPr>
      <w:r>
        <w:rPr/>
        <w:t>③延伸市场价值链，积极探索战略转型 </w:t>
      </w:r>
      <w:r>
        <w:rPr>
          <w:spacing w:val="-2"/>
        </w:rPr>
        <w:t>随着国内移动支付的快速发展，</w:t>
      </w:r>
      <w:r>
        <w:rPr>
          <w:rFonts w:ascii="Times New Roman" w:hAnsi="Times New Roman" w:cs="Times New Roman" w:eastAsia="Times New Roman" w:hint="default"/>
          <w:spacing w:val="-2"/>
        </w:rPr>
        <w:t>ATM</w:t>
      </w:r>
      <w:r>
        <w:rPr>
          <w:spacing w:val="-2"/>
        </w:rPr>
        <w:t>行业整体进入深度调整期，导致国内</w:t>
      </w:r>
      <w:r>
        <w:rPr>
          <w:rFonts w:ascii="Times New Roman" w:hAnsi="Times New Roman" w:cs="Times New Roman" w:eastAsia="Times New Roman" w:hint="default"/>
          <w:spacing w:val="-2"/>
        </w:rPr>
        <w:t>ATM</w:t>
      </w:r>
      <w:r>
        <w:rPr>
          <w:spacing w:val="-2"/>
        </w:rPr>
        <w:t>市场需求增速下滑，产品毛利不断下降，</w:t>
      </w:r>
    </w:p>
    <w:p>
      <w:pPr>
        <w:pStyle w:val="BodyText"/>
        <w:spacing w:line="314" w:lineRule="auto"/>
        <w:ind w:right="1033"/>
        <w:jc w:val="left"/>
      </w:pPr>
      <w:r>
        <w:rPr>
          <w:spacing w:val="-2"/>
        </w:rPr>
        <w:t>公司主营业务盈利能力不足日显，在寻求新的利润增长点。公司高度重视金融科技对转变经营模式、拓展金融服务的驱动作</w:t>
      </w:r>
      <w:r>
        <w:rPr>
          <w:spacing w:val="-66"/>
        </w:rPr>
        <w:t> </w:t>
      </w:r>
      <w:r>
        <w:rPr>
          <w:spacing w:val="-66"/>
        </w:rPr>
      </w:r>
      <w:r>
        <w:rPr>
          <w:spacing w:val="-2"/>
        </w:rPr>
        <w:t>用，持续强化信息科技治理体系，积极拥抱金融科技领域的新技术，推动新技术与金融业务的深度融合，推动银行由以传统</w:t>
      </w:r>
      <w:r>
        <w:rPr>
          <w:spacing w:val="-66"/>
        </w:rPr>
        <w:t> </w:t>
      </w:r>
      <w:r>
        <w:rPr>
          <w:spacing w:val="-66"/>
        </w:rPr>
      </w:r>
      <w:r>
        <w:rPr/>
        <w:t>业务为主体向数字化、轻型化、综合化的行业标杆银行转变。围绕银行改革发展的全局性、战略性、长期性问题开展研究， </w:t>
      </w:r>
      <w:r>
        <w:rPr>
          <w:spacing w:val="-3"/>
          <w:w w:val="100"/>
        </w:rPr>
        <w:t>大力加强银行科技金融业务能力建设，提升行业的整体适应能力和金融服务的能力。树立以</w:t>
      </w:r>
      <w:r>
        <w:rPr>
          <w:rFonts w:ascii="Times New Roman" w:hAnsi="Times New Roman" w:cs="Times New Roman" w:eastAsia="Times New Roman" w:hint="default"/>
          <w:spacing w:val="-3"/>
          <w:w w:val="100"/>
        </w:rPr>
        <w:t>“</w:t>
      </w:r>
      <w:r>
        <w:rPr>
          <w:spacing w:val="-3"/>
          <w:w w:val="100"/>
        </w:rPr>
        <w:t>客户价值链为中心</w:t>
      </w:r>
      <w:r>
        <w:rPr>
          <w:rFonts w:ascii="Times New Roman" w:hAnsi="Times New Roman" w:cs="Times New Roman" w:eastAsia="Times New Roman" w:hint="default"/>
          <w:spacing w:val="-3"/>
          <w:w w:val="100"/>
        </w:rPr>
        <w:t>”</w:t>
      </w:r>
      <w:r>
        <w:rPr>
          <w:spacing w:val="-3"/>
          <w:w w:val="100"/>
        </w:rPr>
        <w:t>的服务理念，</w:t>
      </w:r>
      <w:r>
        <w:rPr>
          <w:spacing w:val="-74"/>
          <w:w w:val="100"/>
        </w:rPr>
        <w:t> </w:t>
      </w:r>
      <w:r>
        <w:rPr/>
        <w:t>探索建立基于互联网的</w:t>
      </w:r>
      <w:r>
        <w:rPr>
          <w:rFonts w:ascii="Times New Roman" w:hAnsi="Times New Roman" w:cs="Times New Roman" w:eastAsia="Times New Roman" w:hint="default"/>
        </w:rPr>
        <w:t>“</w:t>
      </w:r>
      <w:r>
        <w:rPr/>
        <w:t>链式服务</w:t>
      </w:r>
      <w:r>
        <w:rPr>
          <w:rFonts w:ascii="Times New Roman" w:hAnsi="Times New Roman" w:cs="Times New Roman" w:eastAsia="Times New Roman" w:hint="default"/>
        </w:rPr>
        <w:t>”</w:t>
      </w:r>
      <w:r>
        <w:rPr/>
        <w:t>体系，整合服务渠道，借助大数据和金融科技的支撑，开展人工智能技术在风险防控、客 </w:t>
      </w:r>
      <w:r>
        <w:rPr>
          <w:spacing w:val="-2"/>
        </w:rPr>
        <w:t>户体验、业务交易、安全运维等领域的探索运用。建设未来智慧银行业务的孵化器和互联网金融平台，让银行服务能够真正</w:t>
      </w:r>
      <w:r>
        <w:rPr>
          <w:spacing w:val="-66"/>
        </w:rPr>
        <w:t> </w:t>
      </w:r>
      <w:r>
        <w:rPr>
          <w:spacing w:val="-66"/>
        </w:rPr>
      </w:r>
      <w:r>
        <w:rPr>
          <w:spacing w:val="-2"/>
        </w:rPr>
        <w:t>切入场景、融入生态、营造更佳客户体验；打通线上线下，利用金融科技提升业务后台流程的自动化水平，优化对公对私全</w:t>
      </w:r>
      <w:r>
        <w:rPr>
          <w:spacing w:val="-66"/>
        </w:rPr>
        <w:t> </w:t>
      </w:r>
      <w:r>
        <w:rPr>
          <w:spacing w:val="-66"/>
        </w:rPr>
      </w:r>
      <w:r>
        <w:rPr>
          <w:spacing w:val="-2"/>
        </w:rPr>
        <w:t>方位服务，简化一线人员的现场操作，提高服务流程的效率。提升网点智能化水平，网点整体生产力显著提高。公司将发挥</w:t>
      </w:r>
      <w:r>
        <w:rPr>
          <w:spacing w:val="-66"/>
        </w:rPr>
        <w:t> </w:t>
      </w:r>
      <w:r>
        <w:rPr>
          <w:spacing w:val="-66"/>
        </w:rPr>
      </w:r>
      <w:r>
        <w:rPr>
          <w:spacing w:val="-2"/>
        </w:rPr>
        <w:t>自身的融资优势、品牌优势、平台优势，积极探索新的发展途径，推动以资本运作为手段的市场切入和扩张方式，为主营业</w:t>
      </w:r>
      <w:r>
        <w:rPr>
          <w:spacing w:val="-66"/>
        </w:rPr>
        <w:t> </w:t>
      </w:r>
      <w:r>
        <w:rPr>
          <w:spacing w:val="-66"/>
        </w:rPr>
      </w:r>
      <w:r>
        <w:rPr/>
        <w:t>务横向、纵向产业链的延伸和整合提供保障。实现转型升级的战略举措。</w:t>
      </w:r>
    </w:p>
    <w:p>
      <w:pPr>
        <w:pStyle w:val="BodyText"/>
        <w:spacing w:line="300" w:lineRule="auto" w:before="20"/>
        <w:ind w:left="1493" w:right="0"/>
        <w:jc w:val="left"/>
      </w:pPr>
      <w:r>
        <w:rPr>
          <w:rFonts w:ascii="Times New Roman" w:hAnsi="Times New Roman" w:cs="Times New Roman" w:eastAsia="Times New Roman" w:hint="default"/>
        </w:rPr>
        <w:t>4</w:t>
      </w:r>
      <w:r>
        <w:rPr/>
        <w:t>、为实现未来发展战略所需求的资金、使用计划及资金来源情况 </w:t>
      </w:r>
      <w:r>
        <w:rPr>
          <w:spacing w:val="-2"/>
        </w:rPr>
        <w:t>公司经营活动产生的现金流入量稳健增长，可以满足公司目前对未来发展战略规划中对资金的大部分需求。同时公司将</w:t>
      </w:r>
    </w:p>
    <w:p>
      <w:pPr>
        <w:pStyle w:val="BodyText"/>
        <w:spacing w:line="319" w:lineRule="auto" w:before="31"/>
        <w:ind w:right="1033"/>
        <w:jc w:val="left"/>
      </w:pPr>
      <w:r>
        <w:rPr/>
        <w:t>继续实行稳健的财务政策，且公司主要客户均为国内外知名、信誉良好的企业，其财务管理制度较为健全，资金链条健康， </w:t>
      </w:r>
      <w:r>
        <w:rPr>
          <w:spacing w:val="-2"/>
        </w:rPr>
        <w:t>能满足其日常生产经营所需的流动资金，客户良好的财务状况有利于公司资金的回笼。公司目前资产结构稳健、偿债能力良</w:t>
      </w:r>
      <w:r>
        <w:rPr>
          <w:spacing w:val="-66"/>
        </w:rPr>
        <w:t> </w:t>
      </w:r>
      <w:r>
        <w:rPr>
          <w:spacing w:val="-66"/>
        </w:rPr>
      </w:r>
      <w:r>
        <w:rPr/>
        <w:t>好、银行信贷信誉优秀、融资渠道畅通，公司的资金来源充足且能保证满足公司及子公司的战略发展需要。</w:t>
      </w:r>
    </w:p>
    <w:p>
      <w:pPr>
        <w:pStyle w:val="BodyText"/>
        <w:spacing w:line="240" w:lineRule="auto" w:before="17"/>
        <w:ind w:left="1493" w:right="0"/>
        <w:jc w:val="left"/>
      </w:pPr>
      <w:r>
        <w:rPr>
          <w:rFonts w:ascii="Times New Roman" w:hAnsi="Times New Roman" w:cs="Times New Roman" w:eastAsia="Times New Roman" w:hint="default"/>
        </w:rPr>
        <w:t>5</w:t>
      </w:r>
      <w:r>
        <w:rPr/>
        <w:t>、对公司未来发展战略和经营目标的实现产生不利影响的风险因素</w:t>
      </w:r>
    </w:p>
    <w:p>
      <w:pPr>
        <w:pStyle w:val="BodyText"/>
        <w:spacing w:line="240" w:lineRule="auto" w:before="63"/>
        <w:ind w:left="1493" w:right="0"/>
        <w:jc w:val="left"/>
      </w:pPr>
      <w:r>
        <w:rPr/>
        <w:t>（</w:t>
      </w:r>
      <w:r>
        <w:rPr>
          <w:rFonts w:ascii="Times New Roman" w:hAnsi="Times New Roman" w:cs="Times New Roman" w:eastAsia="Times New Roman" w:hint="default"/>
        </w:rPr>
        <w:t>1</w:t>
      </w:r>
      <w:r>
        <w:rPr/>
        <w:t>）新型支付工具冲击风险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132" w:firstLine="360"/>
        <w:jc w:val="both"/>
      </w:pPr>
      <w:r>
        <w:rPr/>
        <w:t>央行发布的《</w:t>
      </w:r>
      <w:r>
        <w:rPr>
          <w:rFonts w:ascii="Times New Roman" w:hAnsi="Times New Roman" w:cs="Times New Roman" w:eastAsia="Times New Roman" w:hint="default"/>
        </w:rPr>
        <w:t>2017</w:t>
      </w:r>
      <w:r>
        <w:rPr/>
        <w:t>年支付体系运行总体情况》</w:t>
      </w:r>
      <w:r>
        <w:rPr>
          <w:spacing w:val="-19"/>
        </w:rPr>
        <w:t> </w:t>
      </w:r>
      <w:r>
        <w:rPr/>
        <w:t>，根据统计数据显示，全国支付体系运行平稳，社会资金交易规模不断</w:t>
      </w:r>
      <w:r>
        <w:rPr/>
        <w:t> </w:t>
      </w:r>
      <w:r>
        <w:rPr>
          <w:spacing w:val="-2"/>
        </w:rPr>
        <w:t>扩大，支付业务量保持稳步增长。电子支付方面，移动支付业务量保持较快增长。</w:t>
      </w:r>
      <w:r>
        <w:rPr>
          <w:rFonts w:ascii="Times New Roman" w:hAnsi="Times New Roman" w:cs="Times New Roman" w:eastAsia="Times New Roman" w:hint="default"/>
          <w:spacing w:val="-2"/>
        </w:rPr>
        <w:t>2017</w:t>
      </w:r>
      <w:r>
        <w:rPr>
          <w:spacing w:val="-2"/>
        </w:rPr>
        <w:t>年，银行业金融机构共处理电子支付</w:t>
      </w:r>
      <w:r>
        <w:rPr>
          <w:spacing w:val="-62"/>
        </w:rPr>
        <w:t> </w:t>
      </w:r>
      <w:r>
        <w:rPr>
          <w:spacing w:val="-62"/>
        </w:rPr>
      </w:r>
      <w:r>
        <w:rPr/>
        <w:t>业务</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rFonts w:ascii="Times New Roman" w:hAnsi="Times New Roman" w:cs="Times New Roman" w:eastAsia="Times New Roman" w:hint="default"/>
        </w:rPr>
        <w:t>525.80</w:t>
      </w:r>
      <w:r>
        <w:rPr/>
        <w:t>亿笔，金额</w:t>
      </w:r>
      <w:r>
        <w:rPr>
          <w:rFonts w:ascii="Times New Roman" w:hAnsi="Times New Roman" w:cs="Times New Roman" w:eastAsia="Times New Roman" w:hint="default"/>
        </w:rPr>
        <w:t>2419.20</w:t>
      </w:r>
      <w:r>
        <w:rPr/>
        <w:t>万亿元。其中，网上支付业务</w:t>
      </w:r>
      <w:r>
        <w:rPr>
          <w:rFonts w:ascii="Times New Roman" w:hAnsi="Times New Roman" w:cs="Times New Roman" w:eastAsia="Times New Roman" w:hint="default"/>
        </w:rPr>
        <w:t>485.78</w:t>
      </w:r>
      <w:r>
        <w:rPr/>
        <w:t>亿笔，金额</w:t>
      </w:r>
      <w:r>
        <w:rPr>
          <w:rFonts w:ascii="Times New Roman" w:hAnsi="Times New Roman" w:cs="Times New Roman" w:eastAsia="Times New Roman" w:hint="default"/>
        </w:rPr>
        <w:t>2075.09</w:t>
      </w:r>
      <w:r>
        <w:rPr/>
        <w:t>万亿元，笔数同比增长</w:t>
      </w:r>
      <w:r>
        <w:rPr>
          <w:rFonts w:ascii="Times New Roman" w:hAnsi="Times New Roman" w:cs="Times New Roman" w:eastAsia="Times New Roman" w:hint="default"/>
        </w:rPr>
        <w:t>5.20%</w:t>
      </w:r>
      <w:r>
        <w:rPr/>
        <w:t>，金额 同比下降</w:t>
      </w:r>
      <w:r>
        <w:rPr>
          <w:rFonts w:ascii="Times New Roman" w:hAnsi="Times New Roman" w:cs="Times New Roman" w:eastAsia="Times New Roman" w:hint="default"/>
        </w:rPr>
        <w:t>0.47%</w:t>
      </w:r>
      <w:r>
        <w:rPr/>
        <w:t>；移动支付业务</w:t>
      </w:r>
      <w:r>
        <w:rPr>
          <w:rFonts w:ascii="Times New Roman" w:hAnsi="Times New Roman" w:cs="Times New Roman" w:eastAsia="Times New Roman" w:hint="default"/>
        </w:rPr>
        <w:t>375.52</w:t>
      </w:r>
      <w:r>
        <w:rPr/>
        <w:t>亿笔，金额</w:t>
      </w:r>
      <w:r>
        <w:rPr>
          <w:rFonts w:ascii="Times New Roman" w:hAnsi="Times New Roman" w:cs="Times New Roman" w:eastAsia="Times New Roman" w:hint="default"/>
        </w:rPr>
        <w:t>202.93</w:t>
      </w:r>
      <w:r>
        <w:rPr/>
        <w:t>万亿元，同比分别增长</w:t>
      </w:r>
      <w:r>
        <w:rPr>
          <w:rFonts w:ascii="Times New Roman" w:hAnsi="Times New Roman" w:cs="Times New Roman" w:eastAsia="Times New Roman" w:hint="default"/>
        </w:rPr>
        <w:t>46.06%</w:t>
      </w:r>
      <w:r>
        <w:rPr/>
        <w:t>和</w:t>
      </w:r>
      <w:r>
        <w:rPr>
          <w:rFonts w:ascii="Times New Roman" w:hAnsi="Times New Roman" w:cs="Times New Roman" w:eastAsia="Times New Roman" w:hint="default"/>
        </w:rPr>
        <w:t>28.80%</w:t>
      </w:r>
      <w:r>
        <w:rPr/>
        <w:t>。面对电子支付的冲击，各 </w:t>
      </w:r>
      <w:r>
        <w:rPr>
          <w:spacing w:val="-2"/>
        </w:rPr>
        <w:t>大银行已经在纷纷探索传统物理渠道的智能化转型升级。公司必须要根据市场形势进一步改善产品结构、优化盈利模式、探</w:t>
      </w:r>
      <w:r>
        <w:rPr>
          <w:spacing w:val="-66"/>
        </w:rPr>
        <w:t> </w:t>
      </w:r>
      <w:r>
        <w:rPr>
          <w:spacing w:val="-66"/>
        </w:rPr>
      </w:r>
      <w:r>
        <w:rPr/>
        <w:t>索新的利润增长点，向多渠道盈利方向转型。</w:t>
      </w:r>
    </w:p>
    <w:p>
      <w:pPr>
        <w:pStyle w:val="BodyText"/>
        <w:spacing w:line="300" w:lineRule="auto" w:before="28"/>
        <w:ind w:left="1494" w:right="0"/>
        <w:jc w:val="left"/>
      </w:pPr>
      <w:r>
        <w:rPr/>
        <w:t>（</w:t>
      </w:r>
      <w:r>
        <w:rPr>
          <w:rFonts w:ascii="Times New Roman" w:hAnsi="Times New Roman" w:cs="Times New Roman" w:eastAsia="Times New Roman" w:hint="default"/>
        </w:rPr>
        <w:t>2</w:t>
      </w:r>
      <w:r>
        <w:rPr/>
        <w:t>）人力资源风险 </w:t>
      </w:r>
      <w:r>
        <w:rPr>
          <w:spacing w:val="-2"/>
        </w:rPr>
        <w:t>随着金融自助设备布放量的不断增加，自助设备免费维保逐步届满，产生大量的有偿维保需求，由于维保中人力成本在</w:t>
      </w:r>
    </w:p>
    <w:p>
      <w:pPr>
        <w:pStyle w:val="BodyText"/>
        <w:spacing w:line="316" w:lineRule="auto" w:before="31"/>
        <w:ind w:left="1134" w:right="1130"/>
        <w:jc w:val="both"/>
      </w:pPr>
      <w:r>
        <w:rPr>
          <w:spacing w:val="-2"/>
        </w:rPr>
        <w:t>维护成本中占比较高。同时，公司不断加大技术研发投入力度，人才显得尤其重要。面对人才的需求都在增加，人才储备压</w:t>
      </w:r>
      <w:r>
        <w:rPr>
          <w:spacing w:val="-66"/>
        </w:rPr>
        <w:t> </w:t>
      </w:r>
      <w:r>
        <w:rPr>
          <w:spacing w:val="-66"/>
        </w:rPr>
      </w:r>
      <w:r>
        <w:rPr>
          <w:spacing w:val="-2"/>
        </w:rPr>
        <w:t>力加大，对公司人力资源战略提出更大的挑战，如果公司不能吸引、留住或培养出足够的技术、管理、服务和制造人员，或</w:t>
      </w:r>
      <w:r>
        <w:rPr>
          <w:spacing w:val="-67"/>
        </w:rPr>
        <w:t> </w:t>
      </w:r>
      <w:r>
        <w:rPr>
          <w:spacing w:val="-67"/>
        </w:rPr>
      </w:r>
      <w:r>
        <w:rPr>
          <w:spacing w:val="-2"/>
        </w:rPr>
        <w:t>发生大量的人员流失，公司的发展将面临人员短缺的风险。公司将加强人力资源管理，建立健全人才储备机制，及时调整人</w:t>
      </w:r>
      <w:r>
        <w:rPr>
          <w:spacing w:val="-66"/>
        </w:rPr>
        <w:t> </w:t>
      </w:r>
      <w:r>
        <w:rPr>
          <w:spacing w:val="-66"/>
        </w:rPr>
      </w:r>
      <w:r>
        <w:rPr>
          <w:spacing w:val="-2"/>
        </w:rPr>
        <w:t>才引进体系、薪酬体系、激励考核体系以及培训体系等多方面人力资源管理体系，再配套员工持股计划等长期激励计划，以</w:t>
      </w:r>
      <w:r>
        <w:rPr>
          <w:spacing w:val="-66"/>
        </w:rPr>
        <w:t> </w:t>
      </w:r>
      <w:r>
        <w:rPr>
          <w:spacing w:val="-66"/>
        </w:rPr>
      </w:r>
      <w:r>
        <w:rPr/>
        <w:t>确保人才的供应和管理机制满足公司发展的需要。</w:t>
      </w:r>
    </w:p>
    <w:p>
      <w:pPr>
        <w:pStyle w:val="BodyText"/>
        <w:spacing w:line="300" w:lineRule="auto" w:before="19"/>
        <w:ind w:left="1494" w:right="0"/>
        <w:jc w:val="left"/>
      </w:pPr>
      <w:r>
        <w:rPr/>
        <w:t>（</w:t>
      </w:r>
      <w:r>
        <w:rPr>
          <w:rFonts w:ascii="Times New Roman" w:hAnsi="Times New Roman" w:cs="Times New Roman" w:eastAsia="Times New Roman" w:hint="default"/>
        </w:rPr>
        <w:t>3</w:t>
      </w:r>
      <w:r>
        <w:rPr/>
        <w:t>）投资收益风险 </w:t>
      </w:r>
      <w:r>
        <w:rPr>
          <w:spacing w:val="-2"/>
        </w:rPr>
        <w:t>目前公司有闲置资金投资于股票二级市场，若公司证券投资出现损失，将对公司业绩产生不利影响。面对上述风险，公</w:t>
      </w:r>
    </w:p>
    <w:p>
      <w:pPr>
        <w:pStyle w:val="BodyText"/>
        <w:spacing w:line="316" w:lineRule="auto" w:before="31"/>
        <w:ind w:left="1134" w:right="1042"/>
        <w:jc w:val="both"/>
      </w:pPr>
      <w:r>
        <w:rPr>
          <w:spacing w:val="-4"/>
        </w:rPr>
        <w:t>司将密切关注政策层而变化，积极汇集各方信息，加强风险控制水平，积极做好项目调研分析，加强对资本市场的分析研判，</w:t>
      </w:r>
      <w:r>
        <w:rPr>
          <w:spacing w:val="-45"/>
        </w:rPr>
        <w:t> </w:t>
      </w:r>
      <w:r>
        <w:rPr>
          <w:spacing w:val="-45"/>
        </w:rPr>
      </w:r>
      <w:r>
        <w:rPr/>
        <w:t>及时根据经济形势以及金融市场的变化，严格筛选投资对象，审慎进行证券投资。</w:t>
      </w:r>
    </w:p>
    <w:p>
      <w:pPr>
        <w:pStyle w:val="BodyText"/>
        <w:spacing w:line="300" w:lineRule="auto" w:before="19"/>
        <w:ind w:left="1494" w:right="0"/>
        <w:jc w:val="left"/>
      </w:pPr>
      <w:r>
        <w:rPr/>
        <w:t>（</w:t>
      </w:r>
      <w:r>
        <w:rPr>
          <w:rFonts w:ascii="Times New Roman" w:hAnsi="Times New Roman" w:cs="Times New Roman" w:eastAsia="Times New Roman" w:hint="default"/>
        </w:rPr>
        <w:t>4</w:t>
      </w:r>
      <w:r>
        <w:rPr/>
        <w:t>）资本市场风险 </w:t>
      </w:r>
      <w:r>
        <w:rPr>
          <w:spacing w:val="-4"/>
        </w:rPr>
        <w:t>在不断加大投入、推进产品升级、构建并优化市场平台的基础上，积极提升资源整合利用的能力。努力寻找具有互补性、</w:t>
      </w:r>
    </w:p>
    <w:p>
      <w:pPr>
        <w:pStyle w:val="BodyText"/>
        <w:spacing w:line="319" w:lineRule="auto" w:before="31"/>
        <w:ind w:left="1134" w:right="1130"/>
        <w:jc w:val="both"/>
      </w:pPr>
      <w:r>
        <w:rPr>
          <w:spacing w:val="-2"/>
        </w:rPr>
        <w:t>协同性的优质资源，通过并购重组、基金投资等方式，实现公司在技术突破、渠道扩张、业务扩展等方面的快速提升，助力</w:t>
      </w:r>
      <w:r>
        <w:rPr>
          <w:spacing w:val="-68"/>
        </w:rPr>
        <w:t> </w:t>
      </w:r>
      <w:r>
        <w:rPr>
          <w:spacing w:val="-68"/>
        </w:rPr>
      </w:r>
      <w:r>
        <w:rPr>
          <w:spacing w:val="-2"/>
        </w:rPr>
        <w:t>公司战略目标达成，持续推动通合做大做强。近年来公司为进一步整合优质资源，寻求和拓展外延式发展项目及新兴领域项</w:t>
      </w:r>
      <w:r>
        <w:rPr>
          <w:spacing w:val="-66"/>
        </w:rPr>
        <w:t> </w:t>
      </w:r>
      <w:r>
        <w:rPr>
          <w:spacing w:val="-66"/>
        </w:rPr>
      </w:r>
      <w:r>
        <w:rPr>
          <w:spacing w:val="-2"/>
        </w:rPr>
        <w:t>目，而该类资源整合行为往往周期较长，且整合、协同效应发挥无法明确，如何更好地有效推进资源整合、实现效益最优将</w:t>
      </w:r>
      <w:r>
        <w:rPr>
          <w:spacing w:val="-66"/>
        </w:rPr>
        <w:t> </w:t>
      </w:r>
      <w:r>
        <w:rPr>
          <w:spacing w:val="-66"/>
        </w:rPr>
      </w:r>
      <w:r>
        <w:rPr/>
        <w:t>对公司形成挑战。</w:t>
      </w:r>
    </w:p>
    <w:p>
      <w:pPr>
        <w:pStyle w:val="BodyText"/>
        <w:spacing w:line="240" w:lineRule="auto" w:before="17"/>
        <w:ind w:left="1493" w:right="0"/>
        <w:jc w:val="left"/>
      </w:pPr>
      <w:r>
        <w:rPr/>
        <w:t>（</w:t>
      </w:r>
      <w:r>
        <w:rPr>
          <w:rFonts w:ascii="Times New Roman" w:hAnsi="Times New Roman" w:cs="Times New Roman" w:eastAsia="Times New Roman" w:hint="default"/>
        </w:rPr>
        <w:t>5</w:t>
      </w:r>
      <w:r>
        <w:rPr/>
        <w:t>）证券投资风险</w:t>
      </w:r>
    </w:p>
    <w:p>
      <w:pPr>
        <w:pStyle w:val="BodyText"/>
        <w:spacing w:line="309" w:lineRule="auto" w:before="63"/>
        <w:ind w:right="0" w:firstLine="360"/>
        <w:jc w:val="left"/>
      </w:pPr>
      <w:r>
        <w:rPr>
          <w:rFonts w:ascii="Times New Roman" w:hAnsi="Times New Roman" w:cs="Times New Roman" w:eastAsia="Times New Roman" w:hint="default"/>
        </w:rPr>
        <w:t>2017</w:t>
      </w:r>
      <w:r>
        <w:rPr/>
        <w:t>年公司投资腾讯控股等股票，实现公允价值变动损益和投资收益合计</w:t>
      </w:r>
      <w:r>
        <w:rPr>
          <w:rFonts w:ascii="Times New Roman" w:hAnsi="Times New Roman" w:cs="Times New Roman" w:eastAsia="Times New Roman" w:hint="default"/>
        </w:rPr>
        <w:t>5,643.67</w:t>
      </w:r>
      <w:r>
        <w:rPr/>
        <w:t>万元，占利润总额的</w:t>
      </w:r>
      <w:r>
        <w:rPr>
          <w:rFonts w:ascii="Times New Roman" w:hAnsi="Times New Roman" w:cs="Times New Roman" w:eastAsia="Times New Roman" w:hint="default"/>
        </w:rPr>
        <w:t>259.66%</w:t>
      </w:r>
      <w:r>
        <w:rPr/>
        <w:t>，股票 </w:t>
      </w:r>
      <w:r>
        <w:rPr>
          <w:spacing w:val="-2"/>
        </w:rPr>
        <w:t>的股价变动对公司当年经营业绩的影响较大，后续公司主营创新和业务转型若未能得到有效实施，在无法获得较高投资收益</w:t>
      </w:r>
      <w:r>
        <w:rPr>
          <w:spacing w:val="-64"/>
        </w:rPr>
        <w:t> </w:t>
      </w:r>
      <w:r>
        <w:rPr>
          <w:spacing w:val="-64"/>
        </w:rPr>
      </w:r>
      <w:r>
        <w:rPr/>
        <w:t>情况下，经营业绩存在下滑的风险，提请投资者注意投资风险。</w:t>
      </w:r>
    </w:p>
    <w:p>
      <w:pPr>
        <w:pStyle w:val="BodyText"/>
        <w:spacing w:line="240" w:lineRule="auto" w:before="24"/>
        <w:ind w:left="1494" w:right="0"/>
        <w:jc w:val="left"/>
      </w:pPr>
      <w:r>
        <w:rPr/>
        <w:t>公司的证券投资存在不确定因素，具有以下有关风险：</w:t>
      </w:r>
    </w:p>
    <w:p>
      <w:pPr>
        <w:pStyle w:val="BodyText"/>
        <w:spacing w:line="240" w:lineRule="auto" w:before="76"/>
        <w:ind w:left="1494" w:right="0"/>
        <w:jc w:val="left"/>
      </w:pPr>
      <w:r>
        <w:rPr>
          <w:spacing w:val="-4"/>
        </w:rPr>
        <w:t>①证券市场受宏观经济形势、财政及货币政策、汇率及资金面等变化的影响较大，公司证券投资会受到市场波动的影响。</w:t>
      </w:r>
    </w:p>
    <w:p>
      <w:pPr>
        <w:pStyle w:val="BodyText"/>
        <w:spacing w:line="240" w:lineRule="auto" w:before="76"/>
        <w:ind w:left="1494" w:right="0"/>
        <w:jc w:val="left"/>
      </w:pPr>
      <w:r>
        <w:rPr/>
        <w:t>②公司将根据经济形势以及金融市场的变化适时适量的介入，公司证券投资的实际收益不可预期。</w:t>
      </w:r>
    </w:p>
    <w:p>
      <w:pPr>
        <w:pStyle w:val="BodyText"/>
        <w:spacing w:line="316" w:lineRule="auto" w:before="76"/>
        <w:ind w:left="1493" w:right="6793"/>
        <w:jc w:val="left"/>
      </w:pPr>
      <w:r>
        <w:rPr/>
        <w:t>③公司相关工作人员的操作风险。 针对证券投资风险，公司拟采取的措施如下：</w:t>
      </w:r>
    </w:p>
    <w:p>
      <w:pPr>
        <w:pStyle w:val="BodyText"/>
        <w:spacing w:line="316" w:lineRule="auto" w:before="19"/>
        <w:ind w:right="0" w:firstLine="360"/>
        <w:jc w:val="left"/>
      </w:pPr>
      <w:r>
        <w:rPr>
          <w:spacing w:val="-2"/>
        </w:rPr>
        <w:t>①公司严格按照《深圳证券交易所股票上市规则》、《深圳证券交易所中小板上市公司规范运作指引》及公司《证券投</w:t>
      </w:r>
      <w:r>
        <w:rPr/>
        <w:t> 资内控制度》等相关规定进行证券投资操作，规范管理，控制风险。</w:t>
      </w:r>
    </w:p>
    <w:p>
      <w:pPr>
        <w:pStyle w:val="BodyText"/>
        <w:spacing w:line="316" w:lineRule="auto" w:before="19"/>
        <w:ind w:left="1134" w:right="0" w:firstLine="360"/>
        <w:jc w:val="left"/>
      </w:pPr>
      <w:r>
        <w:rPr>
          <w:spacing w:val="-2"/>
        </w:rPr>
        <w:t>②参与和实施证券投资计划的人员须具备较强的证券投资理论知识及丰富的证券投资管理经验，保证公司在证券投资前</w:t>
      </w:r>
      <w:r>
        <w:rPr/>
        <w:t> 进行严格和科学的论证，为正确决策提供合理建议。</w:t>
      </w:r>
    </w:p>
    <w:p>
      <w:pPr>
        <w:pStyle w:val="BodyText"/>
        <w:spacing w:line="316" w:lineRule="auto" w:before="19"/>
        <w:ind w:left="1134" w:right="0" w:firstLine="360"/>
        <w:jc w:val="left"/>
      </w:pPr>
      <w:r>
        <w:rPr>
          <w:spacing w:val="-2"/>
        </w:rPr>
        <w:t>③为防范风险，投资前应进行充分分析及调研，投资操作人员应建立投资盈亏情况台账，定期报送公司董事长，并抄报</w:t>
      </w:r>
      <w:r>
        <w:rPr/>
        <w:t> 财务总监、董事会秘书。</w:t>
      </w:r>
    </w:p>
    <w:p>
      <w:pPr>
        <w:pStyle w:val="BodyText"/>
        <w:spacing w:line="319" w:lineRule="auto" w:before="19"/>
        <w:ind w:left="1134" w:right="1131" w:firstLine="360"/>
        <w:jc w:val="both"/>
      </w:pPr>
      <w:r>
        <w:rPr>
          <w:spacing w:val="-2"/>
        </w:rPr>
        <w:t>④公司审计部负责证券投资情况的日常监督，每季度对资金使用情况进行审计和核实，对存在的问题应立即向董事长汇</w:t>
      </w:r>
      <w:r>
        <w:rPr/>
        <w:t> </w:t>
      </w:r>
      <w:r>
        <w:rPr>
          <w:spacing w:val="-2"/>
        </w:rPr>
        <w:t>报。公司董事会审计委员会有权随时调查跟踪公司证券投资情况，以此加强对公司证券投资项目的前期与跟踪管理，控制风</w:t>
      </w:r>
      <w:r>
        <w:rPr>
          <w:spacing w:val="-66"/>
        </w:rPr>
        <w:t> </w:t>
      </w:r>
      <w:r>
        <w:rPr>
          <w:spacing w:val="-66"/>
        </w:rPr>
      </w:r>
      <w:r>
        <w:rPr>
          <w:spacing w:val="-2"/>
        </w:rPr>
        <w:t>险。独立董事、公司监事会有权对公司证券投资情况进行定期或不定期的检查，如发现违规操作情况，可提议召开董事会审</w:t>
      </w:r>
      <w:r>
        <w:rPr>
          <w:spacing w:val="-66"/>
        </w:rPr>
        <w:t> </w:t>
      </w:r>
      <w:r>
        <w:rPr>
          <w:spacing w:val="-66"/>
        </w:rPr>
      </w:r>
      <w:r>
        <w:rPr/>
        <w:t>议停止公司的证券投资活动。</w:t>
      </w:r>
    </w:p>
    <w:p>
      <w:pPr>
        <w:pStyle w:val="BodyText"/>
        <w:spacing w:line="240" w:lineRule="auto" w:before="17"/>
        <w:ind w:left="1494" w:right="0"/>
        <w:jc w:val="left"/>
      </w:pPr>
      <w:r>
        <w:rPr/>
        <w:t>⑤在定期报告中，对短期理财事项及其收益情况进行披露，接受公众投资者的监督。</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五节 重要事项" w:id="58"/>
      <w:bookmarkEnd w:id="58"/>
      <w:r>
        <w:rPr>
          <w:b w:val="0"/>
          <w:bCs w:val="0"/>
        </w:rPr>
      </w:r>
      <w:bookmarkStart w:name="_bookmark3"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left="149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年度利润分配及资本公积金转增股本预案</w:t>
      </w:r>
    </w:p>
    <w:p>
      <w:pPr>
        <w:pStyle w:val="BodyText"/>
        <w:spacing w:line="300" w:lineRule="auto" w:before="63"/>
        <w:ind w:right="0" w:firstLine="360"/>
        <w:jc w:val="left"/>
      </w:pPr>
      <w:r>
        <w:rPr>
          <w:rFonts w:ascii="Times New Roman" w:hAnsi="Times New Roman" w:cs="Times New Roman" w:eastAsia="Times New Roman" w:hint="default"/>
        </w:rPr>
        <w:t>2017</w:t>
      </w:r>
      <w:r>
        <w:rPr/>
        <w:t>年度经营情况经立信会计师事务所（特殊普通合伙）有限公司审计，母公司</w:t>
      </w:r>
      <w:r>
        <w:rPr>
          <w:rFonts w:ascii="Times New Roman" w:hAnsi="Times New Roman" w:cs="Times New Roman" w:eastAsia="Times New Roman" w:hint="default"/>
        </w:rPr>
        <w:t>2017</w:t>
      </w:r>
      <w:r>
        <w:rPr/>
        <w:t>年度实现净利润</w:t>
      </w:r>
      <w:r>
        <w:rPr>
          <w:rFonts w:ascii="Times New Roman" w:hAnsi="Times New Roman" w:cs="Times New Roman" w:eastAsia="Times New Roman" w:hint="default"/>
        </w:rPr>
        <w:t>7,157.17</w:t>
      </w:r>
      <w:r>
        <w:rPr/>
        <w:t>万元，按 </w:t>
      </w:r>
      <w:r>
        <w:rPr>
          <w:spacing w:val="-2"/>
        </w:rPr>
        <w:t>母公司净利润的</w:t>
      </w:r>
      <w:r>
        <w:rPr>
          <w:rFonts w:ascii="Times New Roman" w:hAnsi="Times New Roman" w:cs="Times New Roman" w:eastAsia="Times New Roman" w:hint="default"/>
          <w:spacing w:val="-2"/>
        </w:rPr>
        <w:t>10%</w:t>
      </w:r>
      <w:r>
        <w:rPr>
          <w:spacing w:val="-2"/>
        </w:rPr>
        <w:t>提取法定盈余公积</w:t>
      </w:r>
      <w:r>
        <w:rPr>
          <w:rFonts w:ascii="Times New Roman" w:hAnsi="Times New Roman" w:cs="Times New Roman" w:eastAsia="Times New Roman" w:hint="default"/>
          <w:spacing w:val="-2"/>
        </w:rPr>
        <w:t>715.72</w:t>
      </w:r>
      <w:r>
        <w:rPr>
          <w:spacing w:val="-2"/>
        </w:rPr>
        <w:t>万元，加年初未分配利润</w:t>
      </w:r>
      <w:r>
        <w:rPr>
          <w:rFonts w:ascii="Times New Roman" w:hAnsi="Times New Roman" w:cs="Times New Roman" w:eastAsia="Times New Roman" w:hint="default"/>
          <w:spacing w:val="-2"/>
        </w:rPr>
        <w:t>32,082.35</w:t>
      </w:r>
      <w:r>
        <w:rPr>
          <w:spacing w:val="-2"/>
        </w:rPr>
        <w:t>万元，可供股东分配的利润为</w:t>
      </w:r>
      <w:r>
        <w:rPr>
          <w:rFonts w:ascii="Times New Roman" w:hAnsi="Times New Roman" w:cs="Times New Roman" w:eastAsia="Times New Roman" w:hint="default"/>
          <w:spacing w:val="-2"/>
        </w:rPr>
        <w:t>38,523.80</w:t>
      </w:r>
      <w:r>
        <w:rPr>
          <w:spacing w:val="-2"/>
        </w:rPr>
        <w:t>万元。</w:t>
      </w:r>
    </w:p>
    <w:p>
      <w:pPr>
        <w:pStyle w:val="BodyText"/>
        <w:spacing w:line="240" w:lineRule="auto" w:before="13"/>
        <w:ind w:left="1493" w:right="0"/>
        <w:jc w:val="left"/>
      </w:pPr>
      <w:r>
        <w:rPr>
          <w:rFonts w:ascii="Times New Roman" w:hAnsi="Times New Roman" w:cs="Times New Roman" w:eastAsia="Times New Roman" w:hint="default"/>
        </w:rPr>
        <w:t>2017</w:t>
      </w:r>
      <w:r>
        <w:rPr/>
        <w:t>年度利润分配及资本公积金转增预案如下：</w:t>
      </w:r>
    </w:p>
    <w:p>
      <w:pPr>
        <w:pStyle w:val="BodyText"/>
        <w:spacing w:line="300" w:lineRule="auto" w:before="63"/>
        <w:ind w:left="1134" w:right="1167"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761,191,294</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0.15</w:t>
      </w:r>
      <w:r>
        <w:rPr/>
        <w:t>元（含税），共 计</w:t>
      </w:r>
      <w:r>
        <w:rPr>
          <w:rFonts w:ascii="Times New Roman" w:hAnsi="Times New Roman" w:cs="Times New Roman" w:eastAsia="Times New Roman" w:hint="default"/>
        </w:rPr>
        <w:t>11,417,869.41</w:t>
      </w:r>
      <w:r>
        <w:rPr/>
        <w:t>元；</w:t>
      </w:r>
    </w:p>
    <w:p>
      <w:pPr>
        <w:pStyle w:val="BodyText"/>
        <w:spacing w:line="240" w:lineRule="auto" w:before="13"/>
        <w:ind w:left="1493" w:right="0"/>
        <w:jc w:val="left"/>
      </w:pPr>
      <w:r>
        <w:rPr/>
        <w:t>（</w:t>
      </w:r>
      <w:r>
        <w:rPr>
          <w:rFonts w:ascii="Times New Roman" w:hAnsi="Times New Roman" w:cs="Times New Roman" w:eastAsia="Times New Roman" w:hint="default"/>
        </w:rPr>
        <w:t>2</w:t>
      </w:r>
      <w:r>
        <w:rPr/>
        <w:t>）资本公积金转增股本预案：不送股，不进行资本公积转增股本。</w:t>
      </w:r>
    </w:p>
    <w:p>
      <w:pPr>
        <w:pStyle w:val="BodyText"/>
        <w:spacing w:line="240" w:lineRule="auto" w:before="63"/>
        <w:ind w:left="149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年度利润分配及资本公积金转增股本预案</w:t>
      </w:r>
    </w:p>
    <w:p>
      <w:pPr>
        <w:pStyle w:val="BodyText"/>
        <w:spacing w:line="300" w:lineRule="auto" w:before="63"/>
        <w:ind w:right="1139" w:firstLine="360"/>
        <w:jc w:val="both"/>
      </w:pPr>
      <w:r>
        <w:rPr>
          <w:rFonts w:ascii="Times New Roman" w:hAnsi="Times New Roman" w:cs="Times New Roman" w:eastAsia="Times New Roman" w:hint="default"/>
        </w:rPr>
        <w:t>2016</w:t>
      </w:r>
      <w:r>
        <w:rPr/>
        <w:t>年度经营情况经立信会计师事务所（特殊普通合伙）有限公司审计，母公司</w:t>
      </w:r>
      <w:r>
        <w:rPr>
          <w:rFonts w:ascii="Times New Roman" w:hAnsi="Times New Roman" w:cs="Times New Roman" w:eastAsia="Times New Roman" w:hint="default"/>
        </w:rPr>
        <w:t>2016</w:t>
      </w:r>
      <w:r>
        <w:rPr/>
        <w:t>年度实现净利润</w:t>
      </w:r>
      <w:r>
        <w:rPr>
          <w:rFonts w:ascii="Times New Roman" w:hAnsi="Times New Roman" w:cs="Times New Roman" w:eastAsia="Times New Roman" w:hint="default"/>
        </w:rPr>
        <w:t>3,559.40</w:t>
      </w:r>
      <w:r>
        <w:rPr/>
        <w:t>万元，按 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355.94</w:t>
      </w:r>
      <w:r>
        <w:rPr/>
        <w:t>万元，加年初未分配利润</w:t>
      </w:r>
      <w:r>
        <w:rPr>
          <w:rFonts w:ascii="Times New Roman" w:hAnsi="Times New Roman" w:cs="Times New Roman" w:eastAsia="Times New Roman" w:hint="default"/>
        </w:rPr>
        <w:t>28,878.89</w:t>
      </w:r>
      <w:r>
        <w:rPr/>
        <w:t>万元，减除</w:t>
      </w:r>
      <w:r>
        <w:rPr>
          <w:rFonts w:ascii="Times New Roman" w:hAnsi="Times New Roman" w:cs="Times New Roman" w:eastAsia="Times New Roman" w:hint="default"/>
        </w:rPr>
        <w:t>2015</w:t>
      </w:r>
      <w:r>
        <w:rPr/>
        <w:t>年度现金分红</w:t>
      </w:r>
      <w:r>
        <w:rPr>
          <w:rFonts w:ascii="Times New Roman" w:hAnsi="Times New Roman" w:cs="Times New Roman" w:eastAsia="Times New Roman" w:hint="default"/>
        </w:rPr>
        <w:t>0.00</w:t>
      </w:r>
      <w:r>
        <w:rPr/>
        <w:t>万元，可 供股东分配的利润为</w:t>
      </w:r>
      <w:r>
        <w:rPr>
          <w:rFonts w:ascii="Times New Roman" w:hAnsi="Times New Roman" w:cs="Times New Roman" w:eastAsia="Times New Roman" w:hint="default"/>
        </w:rPr>
        <w:t>32,082.35</w:t>
      </w:r>
      <w:r>
        <w:rPr/>
        <w:t>万元。</w:t>
      </w:r>
    </w:p>
    <w:p>
      <w:pPr>
        <w:pStyle w:val="BodyText"/>
        <w:spacing w:line="300" w:lineRule="auto" w:before="13"/>
        <w:ind w:left="1134" w:right="0" w:firstLine="360"/>
        <w:jc w:val="left"/>
      </w:pPr>
      <w:r>
        <w:rPr>
          <w:spacing w:val="-2"/>
        </w:rPr>
        <w:t>结合公司</w:t>
      </w:r>
      <w:r>
        <w:rPr>
          <w:rFonts w:ascii="Times New Roman" w:hAnsi="Times New Roman" w:cs="Times New Roman" w:eastAsia="Times New Roman" w:hint="default"/>
          <w:spacing w:val="-2"/>
        </w:rPr>
        <w:t>2017</w:t>
      </w:r>
      <w:r>
        <w:rPr>
          <w:spacing w:val="-2"/>
        </w:rPr>
        <w:t>年度发展规划及资金使用安排，公司</w:t>
      </w:r>
      <w:r>
        <w:rPr>
          <w:rFonts w:ascii="Times New Roman" w:hAnsi="Times New Roman" w:cs="Times New Roman" w:eastAsia="Times New Roman" w:hint="default"/>
          <w:spacing w:val="-2"/>
        </w:rPr>
        <w:t>2016</w:t>
      </w:r>
      <w:r>
        <w:rPr>
          <w:spacing w:val="-2"/>
        </w:rPr>
        <w:t>年度利润分配预案为：</w:t>
      </w:r>
      <w:r>
        <w:rPr>
          <w:rFonts w:ascii="Times New Roman" w:hAnsi="Times New Roman" w:cs="Times New Roman" w:eastAsia="Times New Roman" w:hint="default"/>
          <w:spacing w:val="-2"/>
        </w:rPr>
        <w:t>2016</w:t>
      </w:r>
      <w:r>
        <w:rPr>
          <w:spacing w:val="-2"/>
        </w:rPr>
        <w:t>年度不进行利润分配，也不进行资本</w:t>
      </w:r>
      <w:r>
        <w:rPr/>
        <w:t> 公积金转增股本，公司未分配利润结转下一年度。</w:t>
      </w:r>
    </w:p>
    <w:p>
      <w:pPr>
        <w:pStyle w:val="BodyText"/>
        <w:spacing w:line="240" w:lineRule="auto" w:before="31"/>
        <w:ind w:left="149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年度利润分配及资本公积金转增股本预案</w:t>
      </w:r>
    </w:p>
    <w:p>
      <w:pPr>
        <w:pStyle w:val="BodyText"/>
        <w:spacing w:line="300" w:lineRule="auto" w:before="63"/>
        <w:ind w:right="0" w:firstLine="360"/>
        <w:jc w:val="left"/>
      </w:pPr>
      <w:r>
        <w:rPr>
          <w:rFonts w:ascii="Times New Roman" w:hAnsi="Times New Roman" w:cs="Times New Roman" w:eastAsia="Times New Roman" w:hint="default"/>
        </w:rPr>
        <w:t>2015</w:t>
      </w:r>
      <w:r>
        <w:rPr/>
        <w:t>年度经营情况经立信会计师事务所（特殊普通合伙）有限公司审计，母公司</w:t>
      </w:r>
      <w:r>
        <w:rPr>
          <w:rFonts w:ascii="Times New Roman" w:hAnsi="Times New Roman" w:cs="Times New Roman" w:eastAsia="Times New Roman" w:hint="default"/>
        </w:rPr>
        <w:t>2015</w:t>
      </w:r>
      <w:r>
        <w:rPr/>
        <w:t>年度实现净利润</w:t>
      </w:r>
      <w:r>
        <w:rPr>
          <w:rFonts w:ascii="Times New Roman" w:hAnsi="Times New Roman" w:cs="Times New Roman" w:eastAsia="Times New Roman" w:hint="default"/>
        </w:rPr>
        <w:t>6,274.20</w:t>
      </w:r>
      <w:r>
        <w:rPr/>
        <w:t>万元，按 </w:t>
      </w:r>
      <w:r>
        <w:rPr>
          <w:spacing w:val="-1"/>
        </w:rPr>
        <w:t>母公司净利润的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627.42</w:t>
      </w:r>
      <w:r>
        <w:rPr>
          <w:spacing w:val="-1"/>
        </w:rPr>
        <w:t>万元，加年初未分配利润</w:t>
      </w:r>
      <w:r>
        <w:rPr>
          <w:rFonts w:ascii="Times New Roman" w:hAnsi="Times New Roman" w:cs="Times New Roman" w:eastAsia="Times New Roman" w:hint="default"/>
          <w:spacing w:val="-1"/>
        </w:rPr>
        <w:t>25,744.05</w:t>
      </w:r>
      <w:r>
        <w:rPr>
          <w:spacing w:val="-1"/>
        </w:rPr>
        <w:t>万元，减除</w:t>
      </w:r>
      <w:r>
        <w:rPr>
          <w:rFonts w:ascii="Times New Roman" w:hAnsi="Times New Roman" w:cs="Times New Roman" w:eastAsia="Times New Roman" w:hint="default"/>
          <w:spacing w:val="-1"/>
        </w:rPr>
        <w:t>2014</w:t>
      </w:r>
      <w:r>
        <w:rPr>
          <w:spacing w:val="-1"/>
        </w:rPr>
        <w:t>年度现金分红</w:t>
      </w:r>
      <w:r>
        <w:rPr>
          <w:rFonts w:ascii="Times New Roman" w:hAnsi="Times New Roman" w:cs="Times New Roman" w:eastAsia="Times New Roman" w:hint="default"/>
          <w:spacing w:val="-1"/>
        </w:rPr>
        <w:t>2,511.93</w:t>
      </w:r>
      <w:r>
        <w:rPr>
          <w:spacing w:val="-1"/>
        </w:rPr>
        <w:t>万元，</w:t>
      </w:r>
      <w:r>
        <w:rPr>
          <w:spacing w:val="-31"/>
        </w:rPr>
        <w:t> </w:t>
      </w:r>
      <w:r>
        <w:rPr/>
        <w:t>可供股东分配的利润为</w:t>
      </w:r>
      <w:r>
        <w:rPr>
          <w:rFonts w:ascii="Times New Roman" w:hAnsi="Times New Roman" w:cs="Times New Roman" w:eastAsia="Times New Roman" w:hint="default"/>
        </w:rPr>
        <w:t>28,878.89</w:t>
      </w:r>
      <w:r>
        <w:rPr/>
        <w:t>万元。</w:t>
      </w:r>
    </w:p>
    <w:p>
      <w:pPr>
        <w:pStyle w:val="BodyText"/>
        <w:spacing w:line="300" w:lineRule="auto" w:before="13"/>
        <w:ind w:left="1134" w:right="0" w:firstLine="360"/>
        <w:jc w:val="left"/>
      </w:pPr>
      <w:r>
        <w:rPr>
          <w:spacing w:val="-2"/>
        </w:rPr>
        <w:t>结合公司</w:t>
      </w:r>
      <w:r>
        <w:rPr>
          <w:rFonts w:ascii="Times New Roman" w:hAnsi="Times New Roman" w:cs="Times New Roman" w:eastAsia="Times New Roman" w:hint="default"/>
          <w:spacing w:val="-2"/>
        </w:rPr>
        <w:t>2016</w:t>
      </w:r>
      <w:r>
        <w:rPr>
          <w:spacing w:val="-2"/>
        </w:rPr>
        <w:t>年度发展规划及资金使用安排，公司</w:t>
      </w:r>
      <w:r>
        <w:rPr>
          <w:rFonts w:ascii="Times New Roman" w:hAnsi="Times New Roman" w:cs="Times New Roman" w:eastAsia="Times New Roman" w:hint="default"/>
          <w:spacing w:val="-2"/>
        </w:rPr>
        <w:t>2015</w:t>
      </w:r>
      <w:r>
        <w:rPr>
          <w:spacing w:val="-2"/>
        </w:rPr>
        <w:t>年度利润分配预案为：</w:t>
      </w:r>
      <w:r>
        <w:rPr>
          <w:rFonts w:ascii="Times New Roman" w:hAnsi="Times New Roman" w:cs="Times New Roman" w:eastAsia="Times New Roman" w:hint="default"/>
          <w:spacing w:val="-2"/>
        </w:rPr>
        <w:t>2015</w:t>
      </w:r>
      <w:r>
        <w:rPr>
          <w:spacing w:val="-2"/>
        </w:rPr>
        <w:t>年度不进行利润分配，也不进行资本</w:t>
      </w:r>
      <w:r>
        <w:rPr/>
        <w:t> 公积金转增股本，公司未分配利润结转下一年度。</w:t>
      </w:r>
    </w:p>
    <w:p>
      <w:pPr>
        <w:pStyle w:val="BodyText"/>
        <w:spacing w:line="240" w:lineRule="auto" w:before="72"/>
        <w:ind w:left="149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686"/>
        <w:gridCol w:w="1146"/>
        <w:gridCol w:w="2835"/>
        <w:gridCol w:w="2411"/>
        <w:gridCol w:w="1276"/>
        <w:gridCol w:w="1202"/>
      </w:tblGrid>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1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2" w:right="60" w:hanging="450"/>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分红年度合并报表中归属于上市公 司普通股股东的净利润</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1" w:right="28"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5"/>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11,417,869.41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13,767,025.88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23,246,241.18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69,446,758.01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1"/>
      <w:bookmarkEnd w:id="61"/>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761,191,294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11,417,869.41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385,238,095.09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公司发展阶段成期且无重大资全支出安排的</w:t>
            </w:r>
            <w:r>
              <w:rPr>
                <w:rFonts w:ascii="Times New Roman" w:hAnsi="Times New Roman" w:cs="Times New Roman" w:eastAsia="Times New Roman" w:hint="default"/>
                <w:sz w:val="18"/>
                <w:szCs w:val="18"/>
              </w:rPr>
              <w:t>,</w:t>
            </w:r>
            <w:r>
              <w:rPr>
                <w:rFonts w:ascii="宋体" w:hAnsi="宋体" w:cs="宋体" w:eastAsia="宋体" w:hint="default"/>
                <w:sz w:val="18"/>
                <w:szCs w:val="18"/>
              </w:rPr>
              <w:t>进行利润分配时</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现金分红在本次利润分配中所占比例最低应达到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）利润分配预案：以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761,191,294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股为基数，拟按每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1,417,869.41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）资本公积金转增股本预案：不送股，不进行资本公积转增股本。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702"/>
        <w:gridCol w:w="426"/>
        <w:gridCol w:w="566"/>
        <w:gridCol w:w="5671"/>
        <w:gridCol w:w="456"/>
        <w:gridCol w:w="536"/>
        <w:gridCol w:w="566"/>
      </w:tblGrid>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7" w:right="26" w:hanging="90"/>
              <w:jc w:val="left"/>
              <w:rPr>
                <w:rFonts w:ascii="宋体" w:hAnsi="宋体" w:cs="宋体" w:eastAsia="宋体" w:hint="default"/>
                <w:sz w:val="18"/>
                <w:szCs w:val="18"/>
              </w:rPr>
            </w:pPr>
            <w:r>
              <w:rPr>
                <w:rFonts w:ascii="宋体" w:hAnsi="宋体" w:cs="宋体" w:eastAsia="宋体" w:hint="default"/>
                <w:sz w:val="18"/>
                <w:szCs w:val="18"/>
              </w:rPr>
              <w:t>承诺 方</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71" w:type="dxa"/>
            <w:tcBorders>
              <w:top w:val="single" w:sz="4" w:space="0" w:color="000000"/>
              <w:left w:val="single" w:sz="4" w:space="0" w:color="000000"/>
              <w:bottom w:val="nil" w:sz="6" w:space="0" w:color="auto"/>
              <w:right w:val="single" w:sz="4" w:space="0" w:color="000000"/>
            </w:tcBorders>
            <w:shd w:val="clear" w:color="auto" w:fill="D2D2D2"/>
          </w:tcPr>
          <w:p>
            <w:pP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 w:right="42"/>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42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56" w:type="dxa"/>
            <w:vMerge/>
            <w:tcBorders>
              <w:left w:val="single" w:sz="4" w:space="0" w:color="000000"/>
              <w:right w:val="single" w:sz="4" w:space="0" w:color="000000"/>
            </w:tcBorders>
            <w:shd w:val="clear" w:color="auto" w:fill="D2D2D2"/>
          </w:tcPr>
          <w:p>
            <w:pPr/>
          </w:p>
        </w:tc>
        <w:tc>
          <w:tcPr>
            <w:tcW w:w="53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71" w:type="dxa"/>
            <w:tcBorders>
              <w:top w:val="nil" w:sz="6" w:space="0" w:color="auto"/>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53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42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42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42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014"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6" w:right="31"/>
              <w:jc w:val="left"/>
              <w:rPr>
                <w:rFonts w:ascii="宋体" w:hAnsi="宋体" w:cs="宋体" w:eastAsia="宋体" w:hint="default"/>
                <w:sz w:val="18"/>
                <w:szCs w:val="18"/>
              </w:rPr>
            </w:pPr>
            <w:r>
              <w:rPr>
                <w:rFonts w:ascii="宋体" w:hAnsi="宋体" w:cs="宋体" w:eastAsia="宋体" w:hint="default"/>
                <w:sz w:val="18"/>
                <w:szCs w:val="18"/>
              </w:rPr>
              <w:t>杨文 江</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7"/>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67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本人目前不存在自营、与他人共同经营或为他人经营与发行人相同、相 似业务的情形。除发行人及发行人的控股子公司外，本人目前并未直接 </w:t>
            </w:r>
            <w:r>
              <w:rPr>
                <w:rFonts w:ascii="宋体" w:hAnsi="宋体" w:cs="宋体" w:eastAsia="宋体" w:hint="default"/>
                <w:spacing w:val="-3"/>
                <w:sz w:val="18"/>
                <w:szCs w:val="18"/>
              </w:rPr>
              <w:t>或间接控制任何其他企业；（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）在本人直接或间接持有发行人股权的相</w:t>
            </w:r>
            <w:r>
              <w:rPr>
                <w:rFonts w:ascii="宋体" w:hAnsi="宋体" w:cs="宋体" w:eastAsia="宋体" w:hint="default"/>
                <w:spacing w:val="-84"/>
                <w:sz w:val="18"/>
                <w:szCs w:val="18"/>
              </w:rPr>
              <w:t> </w:t>
            </w:r>
            <w:r>
              <w:rPr>
                <w:rFonts w:ascii="宋体" w:hAnsi="宋体" w:cs="宋体" w:eastAsia="宋体" w:hint="default"/>
                <w:sz w:val="18"/>
                <w:szCs w:val="18"/>
              </w:rPr>
              <w:t>关期间内，本人将不会采取参股、控股、联营、合营、合作或者其他任 何方式直接或间接从事与发行人现在和将来业务范围相同、相似或构成 实质竞争的业务，也不会协助、促使或代表任何第三方以任何方式直接 或间接从事与发行人现在和将来业务范围相同、相似或构成实质竞争的 业务；并将促使本人控制的其他企业（如有）比照前述规定履行不竞争 </w:t>
            </w:r>
            <w:r>
              <w:rPr>
                <w:rFonts w:ascii="宋体" w:hAnsi="宋体" w:cs="宋体" w:eastAsia="宋体" w:hint="default"/>
                <w:spacing w:val="-3"/>
                <w:sz w:val="18"/>
                <w:szCs w:val="18"/>
              </w:rPr>
              <w:t>的义务；（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）如因国家政策调整等不可抗力原因导致本人或本人控制的</w:t>
            </w:r>
            <w:r>
              <w:rPr>
                <w:rFonts w:ascii="宋体" w:hAnsi="宋体" w:cs="宋体" w:eastAsia="宋体" w:hint="default"/>
                <w:spacing w:val="-84"/>
                <w:sz w:val="18"/>
                <w:szCs w:val="18"/>
              </w:rPr>
              <w:t> </w:t>
            </w:r>
            <w:r>
              <w:rPr>
                <w:rFonts w:ascii="宋体" w:hAnsi="宋体" w:cs="宋体" w:eastAsia="宋体" w:hint="default"/>
                <w:sz w:val="18"/>
                <w:szCs w:val="18"/>
              </w:rPr>
              <w:t>其他企业（如有）将来从事的业务与发行人之间的同业竞争可能构成或 不可避免时，则本人将在发行人提出异议后及时转让或终止上述业务或 促使本人控制的其他企业及时转让或终止上述业务；如发行人进一步要 </w:t>
            </w:r>
            <w:r>
              <w:rPr>
                <w:rFonts w:ascii="宋体" w:hAnsi="宋体" w:cs="宋体" w:eastAsia="宋体" w:hint="default"/>
                <w:spacing w:val="-3"/>
                <w:sz w:val="18"/>
                <w:szCs w:val="18"/>
              </w:rPr>
              <w:t>求，发行人并享有上述业务在同等条件下的优先受让权；（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）如本人违</w:t>
            </w:r>
            <w:r>
              <w:rPr>
                <w:rFonts w:ascii="宋体" w:hAnsi="宋体" w:cs="宋体" w:eastAsia="宋体" w:hint="default"/>
                <w:spacing w:val="-84"/>
                <w:sz w:val="18"/>
                <w:szCs w:val="18"/>
              </w:rPr>
              <w:t> </w:t>
            </w:r>
            <w:r>
              <w:rPr>
                <w:rFonts w:ascii="宋体" w:hAnsi="宋体" w:cs="宋体" w:eastAsia="宋体" w:hint="default"/>
                <w:sz w:val="18"/>
                <w:szCs w:val="18"/>
              </w:rPr>
              <w:t>反上述承诺，发行人及发行人其他股东有权根据本承诺书依法申请强制 本人履行上述承诺，并赔偿发行人及发行人其他股东因此遭受的全部损</w:t>
            </w:r>
          </w:p>
        </w:tc>
        <w:tc>
          <w:tcPr>
            <w:tcW w:w="4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43"/>
              <w:jc w:val="both"/>
              <w:rPr>
                <w:rFonts w:ascii="宋体" w:hAnsi="宋体" w:cs="宋体" w:eastAsia="宋体" w:hint="default"/>
                <w:sz w:val="18"/>
                <w:szCs w:val="18"/>
              </w:rPr>
            </w:pPr>
            <w:r>
              <w:rPr>
                <w:rFonts w:ascii="宋体" w:hAnsi="宋体" w:cs="宋体" w:eastAsia="宋体" w:hint="default"/>
                <w:sz w:val="18"/>
                <w:szCs w:val="18"/>
              </w:rPr>
              <w:t>至从 发行 人离 职后 三年 期间</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426"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71" w:type="dxa"/>
            <w:vMerge/>
            <w:tcBorders>
              <w:left w:val="single" w:sz="4" w:space="0" w:color="000000"/>
              <w:right w:val="single" w:sz="4" w:space="0" w:color="000000"/>
            </w:tcBorders>
          </w:tcPr>
          <w:p>
            <w:pPr/>
          </w:p>
        </w:tc>
        <w:tc>
          <w:tcPr>
            <w:tcW w:w="456"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r>
      <w:tr>
        <w:trPr>
          <w:trHeight w:val="2014"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71"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53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91"/>
        <w:gridCol w:w="426"/>
        <w:gridCol w:w="566"/>
        <w:gridCol w:w="5671"/>
        <w:gridCol w:w="456"/>
        <w:gridCol w:w="536"/>
        <w:gridCol w:w="566"/>
      </w:tblGrid>
      <w:tr>
        <w:trPr>
          <w:trHeight w:val="36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失；同时本人因违反上述承诺所取得的利益归发行人所有。</w:t>
            </w:r>
          </w:p>
        </w:tc>
        <w:tc>
          <w:tcPr>
            <w:tcW w:w="45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42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杨文 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日止的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个月期间内不再减持</w:t>
            </w:r>
          </w:p>
          <w:p>
            <w:pPr>
              <w:pStyle w:val="TableParagraph"/>
              <w:spacing w:line="309" w:lineRule="auto" w:before="61"/>
              <w:ind w:left="22" w:right="56"/>
              <w:jc w:val="both"/>
              <w:rPr>
                <w:rFonts w:ascii="宋体" w:hAnsi="宋体" w:cs="宋体" w:eastAsia="宋体" w:hint="default"/>
                <w:sz w:val="18"/>
                <w:szCs w:val="18"/>
              </w:rPr>
            </w:pPr>
            <w:r>
              <w:rPr>
                <w:rFonts w:ascii="宋体" w:hAnsi="宋体" w:cs="宋体" w:eastAsia="宋体" w:hint="default"/>
                <w:sz w:val="18"/>
                <w:szCs w:val="18"/>
              </w:rPr>
              <w:t>本人于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日通过定向资产管理计划的方式在深圳证券交易 所交易系统以集合竞价增持的公司股份。本人将严格遵守承诺，若违反 承诺减持股份，本人将遵照有关规定承担责任。</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07-15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664"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11" w:right="47"/>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426"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31"/>
              <w:jc w:val="both"/>
              <w:rPr>
                <w:rFonts w:ascii="宋体" w:hAnsi="宋体" w:cs="宋体" w:eastAsia="宋体" w:hint="default"/>
                <w:sz w:val="18"/>
                <w:szCs w:val="18"/>
              </w:rPr>
            </w:pPr>
            <w:r>
              <w:rPr>
                <w:rFonts w:ascii="宋体" w:hAnsi="宋体" w:cs="宋体" w:eastAsia="宋体" w:hint="default"/>
                <w:sz w:val="18"/>
                <w:szCs w:val="18"/>
              </w:rPr>
              <w:t>广州 御银 科技 股份 有限 公司</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分红 承诺</w:t>
            </w:r>
          </w:p>
        </w:tc>
        <w:tc>
          <w:tcPr>
            <w:tcW w:w="56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6"/>
              <w:jc w:val="both"/>
              <w:rPr>
                <w:rFonts w:ascii="宋体" w:hAnsi="宋体" w:cs="宋体" w:eastAsia="宋体" w:hint="default"/>
                <w:sz w:val="18"/>
                <w:szCs w:val="18"/>
              </w:rPr>
            </w:pPr>
            <w:r>
              <w:rPr>
                <w:rFonts w:ascii="宋体" w:hAnsi="宋体" w:cs="宋体" w:eastAsia="宋体" w:hint="default"/>
                <w:sz w:val="18"/>
                <w:szCs w:val="18"/>
              </w:rPr>
              <w:t>在公司盈利状态良好且现金流能够满足公司正常经营和可持续发展的前 提下，如无重大投资计划或重大现金支出等事项发生，公司原则上应当 采取现金方式分配股利，公司最近三年以现金方式累计分配的利润不少 于最近三年实现的年均可分配利润的百分之三十。</w:t>
            </w:r>
          </w:p>
        </w:tc>
        <w:tc>
          <w:tcPr>
            <w:tcW w:w="4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经营 期间</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1298"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71"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53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402" w:hRule="exact"/>
        </w:trPr>
        <w:tc>
          <w:tcPr>
            <w:tcW w:w="83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55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3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155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494" w:right="1032" w:hanging="360"/>
        <w:jc w:val="left"/>
      </w:pPr>
      <w:r>
        <w:rPr>
          <w:rFonts w:ascii="Times New Roman" w:hAnsi="Times New Roman" w:cs="Times New Roman" w:eastAsia="Times New Roman" w:hint="default"/>
        </w:rPr>
        <w:t>1</w:t>
      </w:r>
      <w:r>
        <w:rPr/>
        <w:t>、重要会计政策变更 执行《企业会计准则第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p>
    <w:p>
      <w:pPr>
        <w:pStyle w:val="BodyText"/>
        <w:spacing w:line="316" w:lineRule="auto" w:before="13"/>
        <w:ind w:left="1494" w:right="1122" w:hanging="360"/>
        <w:jc w:val="left"/>
      </w:pPr>
      <w:r>
        <w:rPr/>
        <w:t>和《财政部关于修订印发一般企业财务报表格式的通知》。 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p>
    <w:p>
      <w:pPr>
        <w:pStyle w:val="BodyText"/>
        <w:spacing w:line="316" w:lineRule="auto"/>
        <w:ind w:left="1493" w:right="0" w:hanging="360"/>
        <w:jc w:val="left"/>
        <w:rPr>
          <w:rFonts w:ascii="Times New Roman" w:hAnsi="Times New Roman" w:cs="Times New Roman" w:eastAsia="Times New Roman" w:hint="default"/>
        </w:rPr>
      </w:pPr>
      <w:r>
        <w:rPr/>
        <w:t>起施行，对于施行日存在的持有待售的非流动资产、处置组和终止经营，要求采用未来适用法处理。 </w:t>
      </w:r>
      <w:r>
        <w:rPr>
          <w:spacing w:val="-2"/>
        </w:rPr>
        <w:t>财政部于</w:t>
      </w:r>
      <w:r>
        <w:rPr>
          <w:rFonts w:ascii="Times New Roman" w:hAnsi="Times New Roman" w:cs="Times New Roman" w:eastAsia="Times New Roman" w:hint="default"/>
          <w:spacing w:val="-2"/>
        </w:rPr>
        <w:t>2017</w:t>
      </w:r>
      <w:r>
        <w:rPr>
          <w:spacing w:val="-2"/>
        </w:rPr>
        <w:t>年度修订了《企业会计准则第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政府补助》，修订后的准则自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日起施行，对于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p>
    <w:p>
      <w:pPr>
        <w:pStyle w:val="BodyText"/>
        <w:spacing w:line="300" w:lineRule="auto"/>
        <w:ind w:right="1123"/>
        <w:jc w:val="left"/>
      </w:pPr>
      <w:r>
        <w:rPr/>
        <w:t>月</w:t>
      </w:r>
      <w:r>
        <w:rPr>
          <w:rFonts w:ascii="Times New Roman" w:hAnsi="Times New Roman" w:cs="Times New Roman" w:eastAsia="Times New Roman" w:hint="default"/>
        </w:rPr>
        <w:t>1</w:t>
      </w:r>
      <w:r>
        <w:rPr/>
        <w:t>日存在的政府补助，要求采用未来适用法处理；对于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日至施行日新增的政府补助，也要求按照修订后的准则 进行调整。</w:t>
      </w:r>
    </w:p>
    <w:p>
      <w:pPr>
        <w:pStyle w:val="BodyText"/>
        <w:spacing w:line="300" w:lineRule="auto" w:before="31"/>
        <w:ind w:left="1134" w:right="0" w:firstLine="360"/>
        <w:jc w:val="left"/>
      </w:pPr>
      <w:r>
        <w:rPr>
          <w:spacing w:val="-4"/>
        </w:rPr>
        <w:t>财政部于</w:t>
      </w:r>
      <w:r>
        <w:rPr>
          <w:rFonts w:ascii="Times New Roman" w:hAnsi="Times New Roman" w:cs="Times New Roman" w:eastAsia="Times New Roman" w:hint="default"/>
          <w:spacing w:val="-4"/>
        </w:rPr>
        <w:t>2017</w:t>
      </w:r>
      <w:r>
        <w:rPr>
          <w:spacing w:val="-4"/>
        </w:rPr>
        <w:t>年度发布了《财政部关于修订印发一般企业财务报表格式的通知》，对一般企业财务报表格式进行了修订，</w:t>
      </w:r>
      <w:r>
        <w:rPr/>
        <w:t> 适用于</w:t>
      </w:r>
      <w:r>
        <w:rPr>
          <w:rFonts w:ascii="Times New Roman" w:hAnsi="Times New Roman" w:cs="Times New Roman" w:eastAsia="Times New Roman" w:hint="default"/>
        </w:rPr>
        <w:t>2017</w:t>
      </w:r>
      <w:r>
        <w:rPr/>
        <w:t>年度及以后期间的财务报表。</w:t>
      </w:r>
    </w:p>
    <w:p>
      <w:pPr>
        <w:pStyle w:val="BodyText"/>
        <w:spacing w:line="240" w:lineRule="auto" w:before="13"/>
        <w:ind w:right="0"/>
        <w:jc w:val="left"/>
      </w:pPr>
      <w:r>
        <w:rPr/>
        <w:t>本公司执行上述三项规定的主要影响如下：</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791"/>
        <w:jc w:val="right"/>
      </w:pPr>
      <w:r>
        <w:rPr/>
        <w:pict>
          <v:shape style="position:absolute;margin-left:38.340pt;margin-top:-16.298252pt;width:514.15pt;height:131.9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1"/>
                    <w:gridCol w:w="6120"/>
                  </w:tblGrid>
                  <w:tr>
                    <w:trPr>
                      <w:trHeight w:val="334" w:hRule="exact"/>
                    </w:trPr>
                    <w:tc>
                      <w:tcPr>
                        <w:tcW w:w="4141" w:type="dxa"/>
                        <w:tcBorders>
                          <w:top w:val="single" w:sz="6" w:space="0" w:color="000000"/>
                          <w:left w:val="single" w:sz="6" w:space="0" w:color="000000"/>
                          <w:bottom w:val="single" w:sz="6" w:space="0" w:color="000000"/>
                          <w:right w:val="single" w:sz="6" w:space="0" w:color="000000"/>
                        </w:tcBorders>
                        <w:shd w:val="clear" w:color="auto" w:fill="DBD2E4"/>
                      </w:tcPr>
                      <w:p>
                        <w:pPr>
                          <w:pStyle w:val="TableParagraph"/>
                          <w:spacing w:line="240" w:lineRule="auto" w:before="8"/>
                          <w:ind w:left="98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6120" w:type="dxa"/>
                        <w:tcBorders>
                          <w:top w:val="single" w:sz="6" w:space="0" w:color="000000"/>
                          <w:left w:val="single" w:sz="6" w:space="0" w:color="000000"/>
                          <w:bottom w:val="single" w:sz="6" w:space="0" w:color="000000"/>
                          <w:right w:val="single" w:sz="6" w:space="0" w:color="000000"/>
                        </w:tcBorders>
                        <w:shd w:val="clear" w:color="auto" w:fill="DBD2E4"/>
                      </w:tcPr>
                      <w:p>
                        <w:pPr>
                          <w:pStyle w:val="TableParagraph"/>
                          <w:spacing w:line="240" w:lineRule="auto" w:before="8"/>
                          <w:ind w:left="1881"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59"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 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92"/>
                          <w:jc w:val="left"/>
                          <w:rPr>
                            <w:rFonts w:ascii="宋体" w:hAnsi="宋体" w:cs="宋体" w:eastAsia="宋体" w:hint="default"/>
                            <w:sz w:val="18"/>
                            <w:szCs w:val="18"/>
                          </w:rPr>
                        </w:pPr>
                        <w:r>
                          <w:rPr>
                            <w:rFonts w:ascii="宋体" w:hAnsi="宋体" w:cs="宋体" w:eastAsia="宋体" w:hint="default"/>
                            <w:spacing w:val="-1"/>
                            <w:sz w:val="18"/>
                            <w:szCs w:val="18"/>
                          </w:rPr>
                          <w:t>列示持续经营净利润</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年金额</w:t>
                        </w:r>
                        <w:r>
                          <w:rPr>
                            <w:rFonts w:ascii="Times New Roman" w:hAnsi="Times New Roman" w:cs="Times New Roman" w:eastAsia="Times New Roman" w:hint="default"/>
                            <w:spacing w:val="-1"/>
                            <w:sz w:val="18"/>
                            <w:szCs w:val="18"/>
                          </w:rPr>
                          <w:t>13,767,025.88</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年金额</w:t>
                        </w:r>
                        <w:r>
                          <w:rPr>
                            <w:rFonts w:ascii="Times New Roman" w:hAnsi="Times New Roman" w:cs="Times New Roman" w:eastAsia="Times New Roman" w:hint="default"/>
                            <w:spacing w:val="-1"/>
                            <w:sz w:val="18"/>
                            <w:szCs w:val="18"/>
                          </w:rPr>
                          <w:t>23,246,241.18</w:t>
                        </w:r>
                        <w:r>
                          <w:rPr>
                            <w:rFonts w:ascii="宋体" w:hAnsi="宋体" w:cs="宋体" w:eastAsia="宋体" w:hint="default"/>
                            <w:spacing w:val="-1"/>
                            <w:sz w:val="18"/>
                            <w:szCs w:val="18"/>
                          </w:rPr>
                          <w:t>元</w:t>
                        </w:r>
                        <w:r>
                          <w:rPr>
                            <w:rFonts w:ascii="宋体" w:hAnsi="宋体" w:cs="宋体" w:eastAsia="宋体" w:hint="default"/>
                            <w:spacing w:val="-65"/>
                            <w:sz w:val="18"/>
                            <w:szCs w:val="18"/>
                          </w:rPr>
                          <w:t> </w:t>
                        </w:r>
                        <w:r>
                          <w:rPr>
                            <w:rFonts w:ascii="宋体" w:hAnsi="宋体" w:cs="宋体" w:eastAsia="宋体" w:hint="default"/>
                            <w:sz w:val="18"/>
                            <w:szCs w:val="18"/>
                          </w:rPr>
                          <w:t>列示终止经营净利润</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659"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）与本公司日常活动相关的政府补助，计入其他 收益，不再计入营业外收入。比较数据不调整。</w:t>
                        </w:r>
                      </w:p>
                    </w:tc>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25,149,748.76</w:t>
                        </w:r>
                        <w:r>
                          <w:rPr>
                            <w:rFonts w:ascii="宋体" w:hAnsi="宋体" w:cs="宋体" w:eastAsia="宋体" w:hint="default"/>
                            <w:sz w:val="18"/>
                            <w:szCs w:val="18"/>
                          </w:rPr>
                          <w:t>元。</w:t>
                        </w:r>
                      </w:p>
                    </w:tc>
                  </w:tr>
                  <w:tr>
                    <w:trPr>
                      <w:trHeight w:val="972"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）在利润表中新增</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资产处置收益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项目，将部分原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 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年营业外收入减少</w:t>
                        </w:r>
                        <w:r>
                          <w:rPr>
                            <w:rFonts w:ascii="Times New Roman" w:hAnsi="Times New Roman" w:cs="Times New Roman" w:eastAsia="Times New Roman" w:hint="default"/>
                            <w:sz w:val="18"/>
                            <w:szCs w:val="18"/>
                          </w:rPr>
                          <w:t>82,831.33</w:t>
                        </w:r>
                        <w:r>
                          <w:rPr>
                            <w:rFonts w:ascii="宋体" w:hAnsi="宋体" w:cs="宋体" w:eastAsia="宋体" w:hint="default"/>
                            <w:sz w:val="18"/>
                            <w:szCs w:val="18"/>
                          </w:rPr>
                          <w:t>元、营业外支出减少</w:t>
                        </w:r>
                        <w:r>
                          <w:rPr>
                            <w:rFonts w:ascii="Times New Roman" w:hAnsi="Times New Roman" w:cs="Times New Roman" w:eastAsia="Times New Roman" w:hint="default"/>
                            <w:sz w:val="18"/>
                            <w:szCs w:val="18"/>
                          </w:rPr>
                          <w:t>261,560.26</w:t>
                        </w:r>
                        <w:r>
                          <w:rPr>
                            <w:rFonts w:ascii="宋体" w:hAnsi="宋体" w:cs="宋体" w:eastAsia="宋体" w:hint="default"/>
                            <w:sz w:val="18"/>
                            <w:szCs w:val="18"/>
                          </w:rPr>
                          <w:t>元，相应增加</w:t>
                        </w:r>
                      </w:p>
                      <w:p>
                        <w:pPr>
                          <w:pStyle w:val="TableParagraph"/>
                          <w:spacing w:line="300" w:lineRule="auto" w:before="63"/>
                          <w:ind w:left="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年资产处置收益</w:t>
                        </w:r>
                        <w:r>
                          <w:rPr>
                            <w:rFonts w:ascii="Times New Roman" w:hAnsi="Times New Roman" w:cs="Times New Roman" w:eastAsia="Times New Roman" w:hint="default"/>
                            <w:spacing w:val="-2"/>
                            <w:sz w:val="18"/>
                            <w:szCs w:val="18"/>
                          </w:rPr>
                          <w:t>-178,728.93</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年营业外收入减少</w:t>
                        </w:r>
                        <w:r>
                          <w:rPr>
                            <w:rFonts w:ascii="Times New Roman" w:hAnsi="Times New Roman" w:cs="Times New Roman" w:eastAsia="Times New Roman" w:hint="default"/>
                            <w:spacing w:val="-2"/>
                            <w:sz w:val="18"/>
                            <w:szCs w:val="18"/>
                          </w:rPr>
                          <w:t>246,582.90</w:t>
                        </w:r>
                        <w:r>
                          <w:rPr>
                            <w:rFonts w:ascii="宋体" w:hAnsi="宋体" w:cs="宋体" w:eastAsia="宋体" w:hint="default"/>
                            <w:spacing w:val="-2"/>
                            <w:sz w:val="18"/>
                            <w:szCs w:val="18"/>
                          </w:rPr>
                          <w:t>元，营业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外支出减少</w:t>
                        </w:r>
                        <w:r>
                          <w:rPr>
                            <w:rFonts w:ascii="Times New Roman" w:hAnsi="Times New Roman" w:cs="Times New Roman" w:eastAsia="Times New Roman" w:hint="default"/>
                            <w:sz w:val="18"/>
                            <w:szCs w:val="18"/>
                          </w:rPr>
                          <w:t>297,853.16</w:t>
                        </w:r>
                        <w:r>
                          <w:rPr>
                            <w:rFonts w:ascii="宋体" w:hAnsi="宋体" w:cs="宋体" w:eastAsia="宋体" w:hint="default"/>
                            <w:sz w:val="18"/>
                            <w:szCs w:val="18"/>
                          </w:rPr>
                          <w:t>元，相应增加</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年资产处置收益</w:t>
                        </w:r>
                        <w:r>
                          <w:rPr>
                            <w:rFonts w:ascii="Times New Roman" w:hAnsi="Times New Roman" w:cs="Times New Roman" w:eastAsia="Times New Roman" w:hint="default"/>
                            <w:sz w:val="18"/>
                            <w:szCs w:val="18"/>
                          </w:rPr>
                          <w:t>-51,270.26</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00" w:lineRule="auto"/>
        <w:ind w:left="1134" w:right="7512"/>
        <w:jc w:val="left"/>
      </w:pPr>
      <w:r>
        <w:rPr>
          <w:rFonts w:ascii="Times New Roman" w:hAnsi="Times New Roman" w:cs="Times New Roman" w:eastAsia="Times New Roman" w:hint="default"/>
        </w:rPr>
        <w:t>2</w:t>
      </w:r>
      <w:r>
        <w:rPr/>
        <w:t>、重要会计估计变更 本报告期公司重要会计估计未发生变更。</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134" w:right="0"/>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6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26</w:t>
      </w:r>
      <w:r>
        <w:rPr/>
        <w:t>日，本公司认缴出资</w:t>
      </w:r>
      <w:r>
        <w:rPr>
          <w:rFonts w:ascii="Times New Roman" w:hAnsi="Times New Roman" w:cs="Times New Roman" w:eastAsia="Times New Roman" w:hint="default"/>
        </w:rPr>
        <w:t>2,500.00</w:t>
      </w:r>
      <w:r>
        <w:rPr/>
        <w:t>万元设立了广州十方软件科技有限公司全资子公司，持有其</w:t>
      </w:r>
      <w:r>
        <w:rPr>
          <w:rFonts w:ascii="Times New Roman" w:hAnsi="Times New Roman" w:cs="Times New Roman" w:eastAsia="Times New Roman" w:hint="default"/>
        </w:rPr>
        <w:t>100%</w:t>
      </w:r>
      <w:r>
        <w:rPr/>
        <w:t>股权。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日，本公司合计支付投资款</w:t>
      </w:r>
      <w:r>
        <w:rPr>
          <w:rFonts w:ascii="Times New Roman" w:hAnsi="Times New Roman" w:cs="Times New Roman" w:eastAsia="Times New Roman" w:hint="default"/>
        </w:rPr>
        <w:t>170.00</w:t>
      </w:r>
      <w:r>
        <w:rPr/>
        <w:t>万元。从成立日起，广州十方软件科技有限公司纳入合并范围。</w:t>
      </w:r>
    </w:p>
    <w:p>
      <w:pPr>
        <w:pStyle w:val="BodyText"/>
        <w:spacing w:line="300" w:lineRule="auto" w:before="13"/>
        <w:ind w:right="1040"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08</w:t>
      </w:r>
      <w:r>
        <w:rPr>
          <w:spacing w:val="-1"/>
        </w:rPr>
        <w:t>月</w:t>
      </w:r>
      <w:r>
        <w:rPr>
          <w:rFonts w:ascii="Times New Roman" w:hAnsi="Times New Roman" w:cs="Times New Roman" w:eastAsia="Times New Roman" w:hint="default"/>
          <w:spacing w:val="-1"/>
        </w:rPr>
        <w:t>25</w:t>
      </w:r>
      <w:r>
        <w:rPr>
          <w:spacing w:val="-1"/>
        </w:rPr>
        <w:t>日，本公司以自有资金</w:t>
      </w:r>
      <w:r>
        <w:rPr>
          <w:rFonts w:ascii="Times New Roman" w:hAnsi="Times New Roman" w:cs="Times New Roman" w:eastAsia="Times New Roman" w:hint="default"/>
          <w:spacing w:val="-1"/>
        </w:rPr>
        <w:t>1,100.00</w:t>
      </w:r>
      <w:r>
        <w:rPr>
          <w:spacing w:val="-1"/>
        </w:rPr>
        <w:t>万元投资设立了广州御联软件有限公司全资子公司，持有其</w:t>
      </w:r>
      <w:r>
        <w:rPr>
          <w:rFonts w:ascii="Times New Roman" w:hAnsi="Times New Roman" w:cs="Times New Roman" w:eastAsia="Times New Roman" w:hint="default"/>
          <w:spacing w:val="-1"/>
        </w:rPr>
        <w:t>100%</w:t>
      </w:r>
      <w:r>
        <w:rPr>
          <w:spacing w:val="-1"/>
        </w:rPr>
        <w:t>股权。</w:t>
      </w:r>
      <w:r>
        <w:rPr/>
        <w:t> 从成立日起，广州御联软件有限公司纳入合并范围。</w:t>
      </w:r>
    </w:p>
    <w:p>
      <w:pPr>
        <w:pStyle w:val="BodyText"/>
        <w:spacing w:line="300" w:lineRule="auto" w:before="31"/>
        <w:ind w:right="113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02</w:t>
      </w:r>
      <w:r>
        <w:rPr>
          <w:spacing w:val="-2"/>
        </w:rPr>
        <w:t>月</w:t>
      </w:r>
      <w:r>
        <w:rPr>
          <w:rFonts w:ascii="Times New Roman" w:hAnsi="Times New Roman" w:cs="Times New Roman" w:eastAsia="Times New Roman" w:hint="default"/>
          <w:spacing w:val="-2"/>
        </w:rPr>
        <w:t>27</w:t>
      </w:r>
      <w:r>
        <w:rPr>
          <w:spacing w:val="-2"/>
        </w:rPr>
        <w:t>日，子公司御银（中国）科技国际有限公司和广州御银自动柜员机科技有限公司合计认缴出资</w:t>
      </w:r>
      <w:r>
        <w:rPr>
          <w:rFonts w:ascii="Times New Roman" w:hAnsi="Times New Roman" w:cs="Times New Roman" w:eastAsia="Times New Roman" w:hint="default"/>
          <w:spacing w:val="-2"/>
        </w:rPr>
        <w:t>5,000.00</w:t>
      </w:r>
      <w:r>
        <w:rPr>
          <w:rFonts w:ascii="Times New Roman" w:hAnsi="Times New Roman" w:cs="Times New Roman" w:eastAsia="Times New Roman" w:hint="default"/>
        </w:rPr>
        <w:t> </w:t>
      </w:r>
      <w:r>
        <w:rPr/>
        <w:t>万美元投资设立了广州御银金融电子设备有限公司全资子公司，合计持有其</w:t>
      </w:r>
      <w:r>
        <w:rPr>
          <w:rFonts w:ascii="Times New Roman" w:hAnsi="Times New Roman" w:cs="Times New Roman" w:eastAsia="Times New Roman" w:hint="default"/>
        </w:rPr>
        <w:t>100%</w:t>
      </w:r>
      <w:r>
        <w:rPr/>
        <w:t>股权。从成立日起，广州御银金融电子设 备有限公司纳入合并范围。</w:t>
      </w:r>
    </w:p>
    <w:p>
      <w:pPr>
        <w:pStyle w:val="BodyText"/>
        <w:spacing w:line="300" w:lineRule="auto" w:before="31"/>
        <w:ind w:right="1129" w:firstLine="36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日，子公司广东小炬人创业园有限公司认缴出资设立了广州同位素智能科技有限公司，持有其</w:t>
      </w:r>
      <w:r>
        <w:rPr>
          <w:rFonts w:ascii="Times New Roman" w:hAnsi="Times New Roman" w:cs="Times New Roman" w:eastAsia="Times New Roman" w:hint="default"/>
          <w:spacing w:val="-1"/>
        </w:rPr>
        <w:t>100%</w:t>
      </w:r>
      <w:r>
        <w:rPr>
          <w:spacing w:val="-1"/>
        </w:rPr>
        <w:t>股</w:t>
      </w:r>
      <w:r>
        <w:rPr/>
        <w:t> </w:t>
      </w:r>
      <w:r>
        <w:rPr>
          <w:spacing w:val="-2"/>
        </w:rPr>
        <w:t>权。</w:t>
      </w:r>
      <w:r>
        <w:rPr>
          <w:rFonts w:ascii="Times New Roman" w:hAnsi="Times New Roman" w:cs="Times New Roman" w:eastAsia="Times New Roman" w:hint="default"/>
          <w:spacing w:val="-2"/>
        </w:rPr>
        <w:t>2016</w:t>
      </w:r>
      <w:r>
        <w:rPr>
          <w:spacing w:val="-2"/>
        </w:rPr>
        <w:t>年未支付投资款且广州同位素智能科技有限公司尚未开始经营活动故未纳入合并范围。</w:t>
      </w:r>
      <w:r>
        <w:rPr>
          <w:rFonts w:ascii="Times New Roman" w:hAnsi="Times New Roman" w:cs="Times New Roman" w:eastAsia="Times New Roman" w:hint="default"/>
          <w:spacing w:val="-2"/>
        </w:rPr>
        <w:t>2017</w:t>
      </w:r>
      <w:r>
        <w:rPr>
          <w:spacing w:val="-2"/>
        </w:rPr>
        <w:t>年子公司广东小炬人创</w:t>
      </w:r>
      <w:r>
        <w:rPr>
          <w:spacing w:val="-56"/>
        </w:rPr>
        <w:t> </w:t>
      </w:r>
      <w:r>
        <w:rPr/>
        <w:t>业园有限公司已支付</w:t>
      </w:r>
      <w:r>
        <w:rPr>
          <w:rFonts w:ascii="Times New Roman" w:hAnsi="Times New Roman" w:cs="Times New Roman" w:eastAsia="Times New Roman" w:hint="default"/>
        </w:rPr>
        <w:t>500.00</w:t>
      </w:r>
      <w:r>
        <w:rPr/>
        <w:t>万元投资款，自</w:t>
      </w:r>
      <w:r>
        <w:rPr>
          <w:rFonts w:ascii="Times New Roman" w:hAnsi="Times New Roman" w:cs="Times New Roman" w:eastAsia="Times New Roman" w:hint="default"/>
        </w:rPr>
        <w:t>2017</w:t>
      </w:r>
      <w:r>
        <w:rPr/>
        <w:t>年起广州同位素智能科技有限公司纳入合并范围。</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漆江燕、张锦坤</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left="113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4"/>
      <w:bookmarkEnd w:id="74"/>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493" w:right="1120"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2016</w:t>
      </w:r>
      <w:r>
        <w:rPr>
          <w:spacing w:val="-2"/>
        </w:rPr>
        <w:t>年第一次临时股东大会审议通过了《关于</w:t>
      </w:r>
      <w:r>
        <w:rPr>
          <w:rFonts w:ascii="Times New Roman" w:hAnsi="Times New Roman" w:cs="Times New Roman" w:eastAsia="Times New Roman" w:hint="default"/>
          <w:spacing w:val="-2"/>
        </w:rPr>
        <w:t>&lt;</w:t>
      </w:r>
      <w:r>
        <w:rPr>
          <w:spacing w:val="-2"/>
        </w:rPr>
        <w:t>广州御银科技股份有限公司第二期员工持股计划（草案）修订稿</w:t>
      </w:r>
      <w:r>
        <w:rPr>
          <w:rFonts w:ascii="Times New Roman" w:hAnsi="Times New Roman" w:cs="Times New Roman" w:eastAsia="Times New Roman" w:hint="default"/>
          <w:spacing w:val="-2"/>
        </w:rPr>
        <w:t>&gt;</w:t>
      </w:r>
    </w:p>
    <w:p>
      <w:pPr>
        <w:pStyle w:val="BodyText"/>
        <w:spacing w:line="217" w:lineRule="exact"/>
        <w:ind w:left="1134" w:right="0"/>
        <w:jc w:val="left"/>
      </w:pPr>
      <w:r>
        <w:rPr/>
        <w:t>及其摘要的议案》、《关于提请股东大会授权董事会办理公司第二期员工持股计划相关事宜的议案》。主要内容为：员工持</w:t>
      </w:r>
    </w:p>
    <w:p>
      <w:pPr>
        <w:pStyle w:val="BodyText"/>
        <w:spacing w:line="304" w:lineRule="auto" w:before="76"/>
        <w:ind w:right="1118"/>
        <w:jc w:val="left"/>
      </w:pPr>
      <w:r>
        <w:rPr>
          <w:spacing w:val="-2"/>
        </w:rPr>
        <w:t>股计划设立后，公司委托具有资产管理资质的资产管理机构进行管理，通过二级市场购买等法律法规许可的方式取得并持有</w:t>
      </w:r>
      <w:r>
        <w:rPr>
          <w:spacing w:val="-64"/>
        </w:rPr>
        <w:t> </w:t>
      </w:r>
      <w:r>
        <w:rPr>
          <w:spacing w:val="-64"/>
        </w:rPr>
      </w:r>
      <w:r>
        <w:rPr/>
        <w:t>御银股份股票，参与对象为御银股份及其控股子公司的员工，总人数不超过</w:t>
      </w:r>
      <w:r>
        <w:rPr>
          <w:rFonts w:ascii="Times New Roman" w:hAnsi="Times New Roman" w:cs="Times New Roman" w:eastAsia="Times New Roman" w:hint="default"/>
        </w:rPr>
        <w:t>48</w:t>
      </w:r>
      <w:r>
        <w:rPr/>
        <w:t>人，资金总额不超过</w:t>
      </w:r>
      <w:r>
        <w:rPr>
          <w:rFonts w:ascii="Times New Roman" w:hAnsi="Times New Roman" w:cs="Times New Roman" w:eastAsia="Times New Roman" w:hint="default"/>
        </w:rPr>
        <w:t>3,470</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 </w:t>
      </w:r>
      <w:r>
        <w:rPr/>
        <w:t>日，公司第二期员工持股计划的管理人广证资管通过二级市场买入的方式完成股票购买，购买均价</w:t>
      </w:r>
      <w:r>
        <w:rPr>
          <w:rFonts w:ascii="Times New Roman" w:hAnsi="Times New Roman" w:cs="Times New Roman" w:eastAsia="Times New Roman" w:hint="default"/>
        </w:rPr>
        <w:t>7.62</w:t>
      </w:r>
      <w:r>
        <w:rPr/>
        <w:t>元</w:t>
      </w:r>
      <w:r>
        <w:rPr>
          <w:rFonts w:ascii="Times New Roman" w:hAnsi="Times New Roman" w:cs="Times New Roman" w:eastAsia="Times New Roman" w:hint="default"/>
        </w:rPr>
        <w:t>/</w:t>
      </w:r>
      <w:r>
        <w:rPr/>
        <w:t>股，购买数量 </w:t>
      </w:r>
      <w:r>
        <w:rPr>
          <w:rFonts w:ascii="Times New Roman" w:hAnsi="Times New Roman" w:cs="Times New Roman" w:eastAsia="Times New Roman" w:hint="default"/>
        </w:rPr>
        <w:t>4,390,437</w:t>
      </w:r>
      <w:r>
        <w:rPr/>
        <w:t>股，占公司总股本的比例为</w:t>
      </w:r>
      <w:r>
        <w:rPr>
          <w:rFonts w:ascii="Times New Roman" w:hAnsi="Times New Roman" w:cs="Times New Roman" w:eastAsia="Times New Roman" w:hint="default"/>
        </w:rPr>
        <w:t>0.58%</w:t>
      </w:r>
      <w:r>
        <w:rPr/>
        <w:t>，累计不超过公司股本总额的</w:t>
      </w:r>
      <w:r>
        <w:rPr>
          <w:rFonts w:ascii="Times New Roman" w:hAnsi="Times New Roman" w:cs="Times New Roman" w:eastAsia="Times New Roman" w:hint="default"/>
        </w:rPr>
        <w:t>10%</w:t>
      </w:r>
      <w:r>
        <w:rPr/>
        <w:t>，任意持有人持有的员工持股计划份额所对应 的标的股票数量不超过公司股本总额的</w:t>
      </w:r>
      <w:r>
        <w:rPr>
          <w:rFonts w:ascii="Times New Roman" w:hAnsi="Times New Roman" w:cs="Times New Roman" w:eastAsia="Times New Roman" w:hint="default"/>
        </w:rPr>
        <w:t>1%</w:t>
      </w:r>
      <w:r>
        <w:rPr/>
        <w:t>。该计划所购买的股票锁定期至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日。存续期为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w:t>
      </w:r>
    </w:p>
    <w:p>
      <w:pPr>
        <w:pStyle w:val="BodyText"/>
        <w:spacing w:line="309" w:lineRule="auto" w:before="9"/>
        <w:ind w:right="1131" w:firstLine="360"/>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日，广州证券鲲鹏御银二期定向资产管理计划所持公司股票</w:t>
      </w:r>
      <w:r>
        <w:rPr>
          <w:rFonts w:ascii="Times New Roman" w:hAnsi="Times New Roman" w:cs="Times New Roman" w:eastAsia="Times New Roman" w:hint="default"/>
        </w:rPr>
        <w:t>4,390,437</w:t>
      </w:r>
      <w:r>
        <w:rPr/>
        <w:t>股已全部出售，根据《广州御银 </w:t>
      </w:r>
      <w:r>
        <w:rPr>
          <w:spacing w:val="-2"/>
        </w:rPr>
        <w:t>科技股份有限公司第二期员工持股计划》的有关规定，公司第二期员工持股计划实施完毕并终止，已进行财产清算、分配工</w:t>
      </w:r>
      <w:r>
        <w:rPr>
          <w:spacing w:val="-66"/>
        </w:rPr>
        <w:t> </w:t>
      </w:r>
      <w:r>
        <w:rPr>
          <w:spacing w:val="-66"/>
        </w:rPr>
      </w:r>
      <w:r>
        <w:rPr/>
        <w:t>作。</w:t>
      </w:r>
    </w:p>
    <w:p>
      <w:pPr>
        <w:pStyle w:val="BodyText"/>
        <w:spacing w:line="300" w:lineRule="auto" w:before="24"/>
        <w:ind w:right="1131" w:firstLine="360"/>
        <w:jc w:val="both"/>
      </w:pPr>
      <w:r>
        <w:rPr>
          <w:spacing w:val="-2"/>
          <w:w w:val="99"/>
        </w:rPr>
        <w:t>具体内容详见</w:t>
      </w:r>
      <w:r>
        <w:rPr>
          <w:rFonts w:ascii="Times New Roman" w:hAnsi="Times New Roman" w:cs="Times New Roman" w:eastAsia="Times New Roman" w:hint="default"/>
          <w:spacing w:val="-2"/>
          <w:w w:val="99"/>
        </w:rPr>
        <w:t>2017</w:t>
      </w:r>
      <w:r>
        <w:rPr>
          <w:spacing w:val="-2"/>
          <w:w w:val="99"/>
        </w:rPr>
        <w:t>年</w:t>
      </w:r>
      <w:r>
        <w:rPr>
          <w:rFonts w:ascii="Times New Roman" w:hAnsi="Times New Roman" w:cs="Times New Roman" w:eastAsia="Times New Roman" w:hint="default"/>
          <w:spacing w:val="-2"/>
          <w:w w:val="99"/>
        </w:rPr>
        <w:t>5</w:t>
      </w:r>
      <w:r>
        <w:rPr>
          <w:spacing w:val="-2"/>
          <w:w w:val="99"/>
        </w:rPr>
        <w:t>月</w:t>
      </w:r>
      <w:r>
        <w:rPr>
          <w:rFonts w:ascii="Times New Roman" w:hAnsi="Times New Roman" w:cs="Times New Roman" w:eastAsia="Times New Roman" w:hint="default"/>
          <w:spacing w:val="-2"/>
          <w:w w:val="99"/>
        </w:rPr>
        <w:t>20</w:t>
      </w:r>
      <w:r>
        <w:rPr>
          <w:spacing w:val="-2"/>
          <w:w w:val="99"/>
        </w:rPr>
        <w:t>日于巨潮资讯网</w:t>
      </w:r>
      <w:hyperlink r:id="rId13">
        <w:r>
          <w:rPr>
            <w:rFonts w:ascii="Times New Roman" w:hAnsi="Times New Roman" w:cs="Times New Roman" w:eastAsia="Times New Roman" w:hint="default"/>
            <w:spacing w:val="-2"/>
            <w:w w:val="99"/>
          </w:rPr>
          <w:t>http://www.cninfo.com.cn</w:t>
        </w:r>
        <w:r>
          <w:rPr>
            <w:spacing w:val="-2"/>
            <w:w w:val="99"/>
          </w:rPr>
          <w:t>刊登的</w:t>
        </w:r>
      </w:hyperlink>
      <w:r>
        <w:rPr>
          <w:spacing w:val="-2"/>
          <w:w w:val="99"/>
        </w:rPr>
        <w:t>《关于第二期员工持股计划股票出售完毕及终</w:t>
      </w:r>
      <w:r>
        <w:rPr/>
        <w:t> 止的公告》（公告编号：</w:t>
      </w:r>
      <w:r>
        <w:rPr>
          <w:rFonts w:ascii="Times New Roman" w:hAnsi="Times New Roman" w:cs="Times New Roman" w:eastAsia="Times New Roman" w:hint="default"/>
        </w:rPr>
        <w:t>2017-035</w:t>
      </w:r>
      <w:r>
        <w:rPr/>
        <w:t>）。</w:t>
      </w:r>
    </w:p>
    <w:p>
      <w:pPr>
        <w:spacing w:after="0" w:line="300"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77"/>
      <w:bookmarkEnd w:id="77"/>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589" w:type="dxa"/>
        <w:tblLayout w:type="fixed"/>
        <w:tblCellMar>
          <w:top w:w="0" w:type="dxa"/>
          <w:left w:w="0" w:type="dxa"/>
          <w:bottom w:w="0" w:type="dxa"/>
          <w:right w:w="0" w:type="dxa"/>
        </w:tblCellMar>
        <w:tblLook w:val="01E0"/>
      </w:tblPr>
      <w:tblGrid>
        <w:gridCol w:w="720"/>
        <w:gridCol w:w="900"/>
        <w:gridCol w:w="900"/>
        <w:gridCol w:w="1620"/>
        <w:gridCol w:w="540"/>
        <w:gridCol w:w="360"/>
        <w:gridCol w:w="720"/>
        <w:gridCol w:w="720"/>
        <w:gridCol w:w="720"/>
        <w:gridCol w:w="360"/>
        <w:gridCol w:w="360"/>
        <w:gridCol w:w="540"/>
        <w:gridCol w:w="360"/>
        <w:gridCol w:w="1980"/>
      </w:tblGrid>
      <w:tr>
        <w:trPr>
          <w:trHeight w:val="2585"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3" w:right="84"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关 联 交 易 价 格</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4"/>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20"/>
              <w:ind w:left="22" w:right="-33"/>
              <w:jc w:val="left"/>
              <w:rPr>
                <w:rFonts w:ascii="宋体" w:hAnsi="宋体" w:cs="宋体" w:eastAsia="宋体" w:hint="default"/>
                <w:sz w:val="18"/>
                <w:szCs w:val="18"/>
              </w:rPr>
            </w:pP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4"/>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3" w:right="84"/>
              <w:jc w:val="both"/>
              <w:rPr>
                <w:rFonts w:ascii="宋体" w:hAnsi="宋体" w:cs="宋体" w:eastAsia="宋体" w:hint="default"/>
                <w:sz w:val="18"/>
                <w:szCs w:val="18"/>
              </w:rPr>
            </w:pPr>
            <w:r>
              <w:rPr>
                <w:rFonts w:ascii="宋体" w:hAnsi="宋体" w:cs="宋体" w:eastAsia="宋体" w:hint="default"/>
                <w:sz w:val="18"/>
                <w:szCs w:val="18"/>
              </w:rPr>
              <w:t>是 否 超 过 获 批 额 度</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3" w:right="84"/>
              <w:jc w:val="both"/>
              <w:rPr>
                <w:rFonts w:ascii="宋体" w:hAnsi="宋体" w:cs="宋体" w:eastAsia="宋体" w:hint="default"/>
                <w:sz w:val="18"/>
                <w:szCs w:val="18"/>
              </w:rPr>
            </w:pPr>
            <w:r>
              <w:rPr>
                <w:rFonts w:ascii="宋体" w:hAnsi="宋体" w:cs="宋体" w:eastAsia="宋体" w:hint="default"/>
                <w:sz w:val="18"/>
                <w:szCs w:val="18"/>
              </w:rPr>
              <w:t>关 联 交 易 结 算 方 式</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45"/>
              <w:jc w:val="both"/>
              <w:rPr>
                <w:rFonts w:ascii="宋体" w:hAnsi="宋体" w:cs="宋体" w:eastAsia="宋体" w:hint="default"/>
                <w:sz w:val="18"/>
                <w:szCs w:val="18"/>
              </w:rPr>
            </w:pPr>
            <w:r>
              <w:rPr>
                <w:rFonts w:ascii="宋体" w:hAnsi="宋体" w:cs="宋体" w:eastAsia="宋体" w:hint="default"/>
                <w:sz w:val="18"/>
                <w:szCs w:val="18"/>
              </w:rPr>
              <w:t>广州智 萃电子 科技有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本公司控 股股东控 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采购以及 委托加工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采购原材料及委托 加工半成品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依市 场公 允价 格定 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5"/>
              <w:jc w:val="both"/>
              <w:rPr>
                <w:rFonts w:ascii="宋体" w:hAnsi="宋体" w:cs="宋体" w:eastAsia="宋体" w:hint="default"/>
                <w:sz w:val="18"/>
                <w:szCs w:val="18"/>
              </w:rPr>
            </w:pPr>
            <w:r>
              <w:rPr>
                <w:rFonts w:ascii="宋体" w:hAnsi="宋体" w:cs="宋体" w:eastAsia="宋体" w:hint="default"/>
                <w:sz w:val="18"/>
                <w:szCs w:val="18"/>
              </w:rPr>
              <w:t>市 场 公 允 价 格</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6,872.71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7"/>
              <w:jc w:val="right"/>
              <w:rPr>
                <w:rFonts w:ascii="宋体" w:hAnsi="宋体" w:cs="宋体" w:eastAsia="宋体" w:hint="default"/>
                <w:sz w:val="18"/>
                <w:szCs w:val="18"/>
              </w:rPr>
            </w:pPr>
            <w:r>
              <w:rPr>
                <w:rFonts w:ascii="宋体" w:hAnsi="宋体" w:cs="宋体" w:eastAsia="宋体" w:hint="default"/>
                <w:sz w:val="18"/>
                <w:szCs w:val="18"/>
              </w:rPr>
              <w:t>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转 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具体内容详见巨潮资讯 网</w:t>
            </w:r>
          </w:p>
          <w:p>
            <w:pPr>
              <w:pStyle w:val="TableParagraph"/>
              <w:spacing w:line="307" w:lineRule="auto" w:before="19"/>
              <w:ind w:left="22" w:right="52"/>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http://www.cninfo.com.</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 </w:t>
            </w:r>
            <w:r>
              <w:rPr>
                <w:rFonts w:ascii="宋体" w:hAnsi="宋体" w:cs="宋体" w:eastAsia="宋体" w:hint="default"/>
                <w:spacing w:val="-9"/>
                <w:sz w:val="18"/>
                <w:szCs w:val="18"/>
              </w:rPr>
              <w:t>关联交易预计公告》）公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9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45"/>
              <w:jc w:val="both"/>
              <w:rPr>
                <w:rFonts w:ascii="宋体" w:hAnsi="宋体" w:cs="宋体" w:eastAsia="宋体" w:hint="default"/>
                <w:sz w:val="18"/>
                <w:szCs w:val="18"/>
              </w:rPr>
            </w:pPr>
            <w:r>
              <w:rPr>
                <w:rFonts w:ascii="宋体" w:hAnsi="宋体" w:cs="宋体" w:eastAsia="宋体" w:hint="default"/>
                <w:sz w:val="18"/>
                <w:szCs w:val="18"/>
              </w:rPr>
              <w:t>广州一 贯机电 设备有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47"/>
              <w:jc w:val="both"/>
              <w:rPr>
                <w:rFonts w:ascii="宋体" w:hAnsi="宋体" w:cs="宋体" w:eastAsia="宋体" w:hint="default"/>
                <w:sz w:val="18"/>
                <w:szCs w:val="18"/>
              </w:rPr>
            </w:pPr>
            <w:r>
              <w:rPr>
                <w:rFonts w:ascii="宋体" w:hAnsi="宋体" w:cs="宋体" w:eastAsia="宋体" w:hint="default"/>
                <w:sz w:val="18"/>
                <w:szCs w:val="18"/>
              </w:rPr>
              <w:t>本公司控 股股东亲 属控制的 企业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采购以及 委托加工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采购及委托加工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机柜与</w:t>
            </w:r>
            <w:r>
              <w:rPr>
                <w:rFonts w:ascii="宋体" w:hAnsi="宋体" w:cs="宋体" w:eastAsia="宋体" w:hint="default"/>
                <w:spacing w:val="-62"/>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电 子柜</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47"/>
              <w:jc w:val="both"/>
              <w:rPr>
                <w:rFonts w:ascii="宋体" w:hAnsi="宋体" w:cs="宋体" w:eastAsia="宋体" w:hint="default"/>
                <w:sz w:val="18"/>
                <w:szCs w:val="18"/>
              </w:rPr>
            </w:pPr>
            <w:r>
              <w:rPr>
                <w:rFonts w:ascii="宋体" w:hAnsi="宋体" w:cs="宋体" w:eastAsia="宋体" w:hint="default"/>
                <w:sz w:val="18"/>
                <w:szCs w:val="18"/>
              </w:rPr>
              <w:t>依市 场公 允价 格定 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5"/>
              <w:jc w:val="both"/>
              <w:rPr>
                <w:rFonts w:ascii="宋体" w:hAnsi="宋体" w:cs="宋体" w:eastAsia="宋体" w:hint="default"/>
                <w:sz w:val="18"/>
                <w:szCs w:val="18"/>
              </w:rPr>
            </w:pPr>
            <w:r>
              <w:rPr>
                <w:rFonts w:ascii="宋体" w:hAnsi="宋体" w:cs="宋体" w:eastAsia="宋体" w:hint="default"/>
                <w:sz w:val="18"/>
                <w:szCs w:val="18"/>
              </w:rPr>
              <w:t>市 场 公 允 价 格</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1,314.13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7"/>
              <w:jc w:val="right"/>
              <w:rPr>
                <w:rFonts w:ascii="宋体" w:hAnsi="宋体" w:cs="宋体" w:eastAsia="宋体" w:hint="default"/>
                <w:sz w:val="18"/>
                <w:szCs w:val="18"/>
              </w:rPr>
            </w:pPr>
            <w:r>
              <w:rPr>
                <w:rFonts w:ascii="宋体" w:hAnsi="宋体" w:cs="宋体" w:eastAsia="宋体" w:hint="default"/>
                <w:sz w:val="18"/>
                <w:szCs w:val="18"/>
              </w:rPr>
              <w:t>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转 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具体内容详见巨潮资讯 网</w:t>
            </w:r>
          </w:p>
          <w:p>
            <w:pPr>
              <w:pStyle w:val="TableParagraph"/>
              <w:spacing w:line="307" w:lineRule="auto" w:before="19"/>
              <w:ind w:left="22" w:right="52"/>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http://www.cninfo.com.</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 </w:t>
            </w:r>
            <w:r>
              <w:rPr>
                <w:rFonts w:ascii="宋体" w:hAnsi="宋体" w:cs="宋体" w:eastAsia="宋体" w:hint="default"/>
                <w:spacing w:val="-9"/>
                <w:sz w:val="18"/>
                <w:szCs w:val="18"/>
              </w:rPr>
              <w:t>关联交易预计公告》）公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2017-023</w:t>
            </w:r>
            <w:r>
              <w:rPr>
                <w:rFonts w:ascii="宋体" w:hAnsi="宋体" w:cs="宋体" w:eastAsia="宋体" w:hint="default"/>
                <w:sz w:val="18"/>
                <w:szCs w:val="18"/>
              </w:rPr>
              <w:t>）</w:t>
            </w:r>
          </w:p>
        </w:tc>
      </w:tr>
      <w:tr>
        <w:trPr>
          <w:trHeight w:val="403" w:hRule="exact"/>
        </w:trPr>
        <w:tc>
          <w:tcPr>
            <w:tcW w:w="41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3"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8,186.84</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4"/>
              <w:jc w:val="righ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3" w:right="0"/>
              <w:jc w:val="lef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3" w:right="0"/>
              <w:jc w:val="lef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661"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41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 计的，在报告期内的实际履行情况（如有）</w:t>
            </w:r>
          </w:p>
        </w:tc>
        <w:tc>
          <w:tcPr>
            <w:tcW w:w="6661"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报告期内，公司与以上关联方发生的日常关联交易总额在预计范围内</w:t>
            </w:r>
          </w:p>
        </w:tc>
      </w:tr>
      <w:tr>
        <w:trPr>
          <w:trHeight w:val="403" w:hRule="exact"/>
        </w:trPr>
        <w:tc>
          <w:tcPr>
            <w:tcW w:w="4140" w:type="dxa"/>
            <w:gridSpan w:val="4"/>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6661" w:type="dxa"/>
            <w:gridSpan w:val="10"/>
            <w:tcBorders>
              <w:top w:val="single" w:sz="4" w:space="0" w:color="000000"/>
              <w:left w:val="single" w:sz="22" w:space="0" w:color="FFFFFF"/>
              <w:bottom w:val="single" w:sz="4" w:space="0" w:color="000000"/>
              <w:right w:val="single" w:sz="4"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4"/>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公司参股公司前海股权交易中心（深圳）有限公司于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日变更名称及经营范围，变更后的公司名称为：前海</w:t>
      </w:r>
    </w:p>
    <w:p>
      <w:pPr>
        <w:pStyle w:val="BodyText"/>
        <w:spacing w:line="230" w:lineRule="exact"/>
        <w:ind w:right="0"/>
        <w:jc w:val="left"/>
      </w:pPr>
      <w:r>
        <w:rPr/>
        <w:t>股交投资控股（深圳）有限公司；经营范围变更为：区域股权市场运营机构的投资及管理</w:t>
      </w:r>
      <w:r>
        <w:rPr>
          <w:rFonts w:ascii="Times New Roman" w:hAnsi="Times New Roman" w:cs="Times New Roman" w:eastAsia="Times New Roman" w:hint="default"/>
        </w:rPr>
        <w:t>;</w:t>
      </w:r>
      <w:r>
        <w:rPr/>
        <w:t>开发区域股权市场中介机构，提</w:t>
      </w:r>
    </w:p>
    <w:p>
      <w:pPr>
        <w:pStyle w:val="BodyText"/>
        <w:spacing w:line="316" w:lineRule="auto" w:before="63"/>
        <w:ind w:right="1033"/>
        <w:jc w:val="left"/>
      </w:pPr>
      <w:r>
        <w:rPr/>
        <w:t>供融资、并购、资本运作等服务，提供与前述业务相关的查询、信息服务、培训、咨询、评级、财务顾问服务，融资理财、 </w:t>
      </w:r>
      <w:r>
        <w:rPr>
          <w:spacing w:val="-4"/>
        </w:rPr>
        <w:t>委托投资，</w:t>
      </w:r>
      <w:r>
        <w:rPr>
          <w:rFonts w:ascii="Times New Roman" w:hAnsi="Times New Roman" w:cs="Times New Roman" w:eastAsia="Times New Roman" w:hint="default"/>
          <w:spacing w:val="-4"/>
        </w:rPr>
        <w:t>;</w:t>
      </w:r>
      <w:r>
        <w:rPr>
          <w:spacing w:val="-4"/>
        </w:rPr>
        <w:t>项目投资、投资管理，提供跨境人民币业务服务，其它相关业务</w:t>
      </w:r>
      <w:r>
        <w:rPr>
          <w:rFonts w:ascii="Times New Roman" w:hAnsi="Times New Roman" w:cs="Times New Roman" w:eastAsia="Times New Roman" w:hint="default"/>
          <w:spacing w:val="-4"/>
        </w:rPr>
        <w:t>(</w:t>
      </w:r>
      <w:r>
        <w:rPr>
          <w:spacing w:val="-4"/>
        </w:rPr>
        <w:t>法律法规规定应经审批的</w:t>
      </w:r>
      <w:r>
        <w:rPr>
          <w:rFonts w:ascii="Times New Roman" w:hAnsi="Times New Roman" w:cs="Times New Roman" w:eastAsia="Times New Roman" w:hint="default"/>
          <w:spacing w:val="-4"/>
        </w:rPr>
        <w:t>,</w:t>
      </w:r>
      <w:r>
        <w:rPr>
          <w:spacing w:val="-4"/>
        </w:rPr>
        <w:t>未获审批前不得经营</w:t>
      </w:r>
      <w:r>
        <w:rPr>
          <w:rFonts w:ascii="Times New Roman" w:hAnsi="Times New Roman" w:cs="Times New Roman" w:eastAsia="Times New Roman" w:hint="default"/>
          <w:spacing w:val="-4"/>
        </w:rPr>
        <w:t>)</w:t>
      </w:r>
      <w:r>
        <w:rPr>
          <w:spacing w:val="-4"/>
        </w:rPr>
        <w:t>。</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报告期内委托理财概况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582.66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53,882.66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338" w:lineRule="auto" w:before="117"/>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3"/>
      <w:bookmarkEnd w:id="93"/>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4"/>
      <w:bookmarkEnd w:id="94"/>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2"/>
        </w:rPr>
        <w:t>公司在发展壮大的过程中始终坚持积极履行社会责任。</w:t>
      </w:r>
      <w:r>
        <w:rPr>
          <w:rFonts w:ascii="Times New Roman" w:hAnsi="Times New Roman" w:cs="Times New Roman" w:eastAsia="Times New Roman" w:hint="default"/>
          <w:spacing w:val="-2"/>
        </w:rPr>
        <w:t>2017</w:t>
      </w:r>
      <w:r>
        <w:rPr>
          <w:spacing w:val="-2"/>
        </w:rPr>
        <w:t>年，公司切实履行对股东、债权人、员工、客户、供应商等</w:t>
      </w:r>
      <w:r>
        <w:rPr/>
        <w:t> </w:t>
      </w:r>
      <w:r>
        <w:rPr>
          <w:spacing w:val="-2"/>
        </w:rPr>
        <w:t>利益相关方的权益保护，促进企业成长和社会责任之间的协调可持续发展，共同推动公司持续、健康的发展，为构建社会主</w:t>
      </w:r>
      <w:r>
        <w:rPr>
          <w:spacing w:val="-66"/>
        </w:rPr>
        <w:t> </w:t>
      </w:r>
      <w:r>
        <w:rPr>
          <w:spacing w:val="-66"/>
        </w:rPr>
      </w:r>
      <w:r>
        <w:rPr/>
        <w:t>义和谐社会贡献力量。</w:t>
      </w:r>
    </w:p>
    <w:p>
      <w:pPr>
        <w:pStyle w:val="BodyText"/>
        <w:spacing w:line="314" w:lineRule="auto" w:before="24"/>
        <w:ind w:left="1134" w:right="1032" w:firstLine="360"/>
        <w:jc w:val="left"/>
      </w:pPr>
      <w:r>
        <w:rPr/>
        <w:t>（</w:t>
      </w:r>
      <w:r>
        <w:rPr>
          <w:rFonts w:ascii="Times New Roman" w:hAnsi="Times New Roman" w:cs="Times New Roman" w:eastAsia="Times New Roman" w:hint="default"/>
        </w:rPr>
        <w:t>1</w:t>
      </w:r>
      <w:r>
        <w:rPr/>
        <w:t>）公司按照《公司法》和《证券法》等有关法律法规的要求，不断完善公司治理结构，建立了包括股东大会、董事 </w:t>
      </w:r>
      <w:r>
        <w:rPr>
          <w:spacing w:val="-2"/>
        </w:rPr>
        <w:t>会、监事会在内的公司治理结构，分别行使决策权、执行权和监督权。公司严格按照有关法律、法规、《公司章程》和公司</w:t>
      </w:r>
      <w:r>
        <w:rPr>
          <w:spacing w:val="-67"/>
        </w:rPr>
        <w:t> </w:t>
      </w:r>
      <w:r>
        <w:rPr>
          <w:spacing w:val="-67"/>
        </w:rPr>
      </w:r>
      <w:r>
        <w:rPr>
          <w:spacing w:val="-2"/>
        </w:rPr>
        <w:t>相关制度的要求，始终坚持真实、准确、及时、完整、公平的披露原则，秉持公平、公正、公开的原则对待全体投资者，保</w:t>
      </w:r>
      <w:r>
        <w:rPr>
          <w:spacing w:val="-69"/>
        </w:rPr>
        <w:t> </w:t>
      </w:r>
      <w:r>
        <w:rPr>
          <w:spacing w:val="-69"/>
        </w:rPr>
      </w:r>
      <w:r>
        <w:rPr/>
        <w:t>障全体股东的合法权益。公司通过网上业绩说明会、投资者关系互动平台、投资者电话等多种方式与投资者进行沟通交流，</w:t>
      </w:r>
      <w:r>
        <w:rPr/>
        <w:t> 建立了良好的互动平台，提高了公司的透明度和诚信度。</w:t>
      </w:r>
    </w:p>
    <w:p>
      <w:pPr>
        <w:pStyle w:val="BodyText"/>
        <w:spacing w:line="307" w:lineRule="auto" w:before="20"/>
        <w:ind w:left="1134" w:right="1130" w:firstLine="360"/>
        <w:jc w:val="both"/>
      </w:pPr>
      <w:r>
        <w:rPr/>
        <w:t>（</w:t>
      </w:r>
      <w:r>
        <w:rPr>
          <w:rFonts w:ascii="Times New Roman" w:hAnsi="Times New Roman" w:cs="Times New Roman" w:eastAsia="Times New Roman" w:hint="default"/>
        </w:rPr>
        <w:t>2</w:t>
      </w:r>
      <w:r>
        <w:rPr/>
        <w:t>）公司严格遵守《劳动法》、《劳动合同法》等相关法律法规，坚持以人为本的人才发展战略，尊重和维护员工的 个人利益。通过组织年度全员健康检查</w:t>
      </w:r>
      <w:r>
        <w:rPr>
          <w:rFonts w:ascii="Times New Roman" w:hAnsi="Times New Roman" w:cs="Times New Roman" w:eastAsia="Times New Roman" w:hint="default"/>
        </w:rPr>
        <w:t>,</w:t>
      </w:r>
      <w:r>
        <w:rPr/>
        <w:t>精心策划组织各项文体活动，丰富员工精神文化生活。通过制定科学的绩效考评制 </w:t>
      </w:r>
      <w:r>
        <w:rPr>
          <w:spacing w:val="-2"/>
        </w:rPr>
        <w:t>度，营造良性竞争氛围；在引进人才的同时，重视员工培训，开展多种形式的员工入职培训、技能培训，为员工提供平等的</w:t>
      </w:r>
      <w:r>
        <w:rPr>
          <w:spacing w:val="-68"/>
        </w:rPr>
        <w:t> </w:t>
      </w:r>
      <w:r>
        <w:rPr>
          <w:spacing w:val="-68"/>
        </w:rPr>
      </w:r>
      <w:r>
        <w:rPr/>
        <w:t>发展机会和晋升渠道，实现员工与公司的共同成长，构建温馨和谐的企业氛围。</w:t>
      </w:r>
    </w:p>
    <w:p>
      <w:pPr>
        <w:pStyle w:val="BodyText"/>
        <w:spacing w:line="309" w:lineRule="auto" w:before="26"/>
        <w:ind w:left="1134" w:right="0" w:firstLine="360"/>
        <w:jc w:val="left"/>
      </w:pPr>
      <w:r>
        <w:rPr>
          <w:spacing w:val="-2"/>
        </w:rPr>
        <w:t>（</w:t>
      </w:r>
      <w:r>
        <w:rPr>
          <w:rFonts w:ascii="Times New Roman" w:hAnsi="Times New Roman" w:cs="Times New Roman" w:eastAsia="Times New Roman" w:hint="default"/>
          <w:spacing w:val="-2"/>
        </w:rPr>
        <w:t>3</w:t>
      </w:r>
      <w:r>
        <w:rPr>
          <w:spacing w:val="-2"/>
        </w:rPr>
        <w:t>）公司在经济活动中秉承诚实守信原则，重视与客户、供应商的沟通与协调，实现互惠共赢，树立良好的企业形象，</w:t>
      </w:r>
      <w:r>
        <w:rPr/>
        <w:t> </w:t>
      </w:r>
      <w:r>
        <w:rPr>
          <w:spacing w:val="-2"/>
        </w:rPr>
        <w:t>促进公司能够平稳持续健康发展。公司高度重视质量管理工作，不断提高公司质量管理水平，建立了较完善的质量管理体系</w:t>
      </w:r>
      <w:r>
        <w:rPr>
          <w:spacing w:val="-66"/>
        </w:rPr>
        <w:t> </w:t>
      </w:r>
      <w:r>
        <w:rPr>
          <w:spacing w:val="-66"/>
        </w:rPr>
      </w:r>
      <w:r>
        <w:rPr/>
        <w:t>及相应的程序文件，在生产过程中严格把控产品质量，注重产品安全，保护消费者利益。</w:t>
      </w:r>
    </w:p>
    <w:p>
      <w:pPr>
        <w:spacing w:after="0" w:line="309"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履行精准扶贫社会责任情况" w:id="95"/>
      <w:bookmarkEnd w:id="9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公司报告期内暂未开展精准扶贫工作，也暂无精准扶贫规划。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96"/>
      <w:bookmarkEnd w:id="9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不适用 上市公司及其子公司不属于环境保护部门公布的重点排污单位。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九、其他重大事项的说明" w:id="97"/>
      <w:bookmarkEnd w:id="97"/>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98"/>
      <w:bookmarkEnd w:id="9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tabs>
          <w:tab w:pos="4463" w:val="left" w:leader="none"/>
          <w:tab w:pos="9329" w:val="left" w:leader="none"/>
        </w:tabs>
        <w:spacing w:line="240" w:lineRule="auto" w:before="126"/>
        <w:ind w:left="862" w:right="0"/>
        <w:jc w:val="left"/>
      </w:pPr>
      <w:r>
        <w:rPr/>
        <w:pict>
          <v:group style="position:absolute;margin-left:29.34pt;margin-top:4.211718pt;width:559.4pt;height:389.9pt;mso-position-horizontal-relative:page;mso-position-vertical-relative:paragraph;z-index:-800848" coordorigin="587,84" coordsize="11188,7798">
            <v:group style="position:absolute;left:601;top:111;width:1426;height:2" coordorigin="601,111" coordsize="1426,2">
              <v:shape style="position:absolute;left:601;top:111;width:1426;height:2" coordorigin="601,111" coordsize="1426,0" path="m601,111l2027,111e" filled="false" stroked="true" strokeweight=".48pt" strokecolor="#d2d2d2">
                <v:path arrowok="t"/>
              </v:shape>
            </v:group>
            <v:group style="position:absolute;left:602;top:115;width:2;height:312" coordorigin="602,115" coordsize="2,312">
              <v:shape style="position:absolute;left:602;top:115;width:2;height:312" coordorigin="602,115" coordsize="0,312" path="m602,115l602,427e" filled="false" stroked="true" strokeweight=".12pt" strokecolor="#d2d2d2">
                <v:path arrowok="t"/>
              </v:shape>
            </v:group>
            <v:group style="position:absolute;left:2026;top:115;width:2;height:312" coordorigin="2026,115" coordsize="2,312">
              <v:shape style="position:absolute;left:2026;top:115;width:2;height:312" coordorigin="2026,115" coordsize="0,312" path="m2026,115l2026,427e" filled="false" stroked="true" strokeweight=".12pt" strokecolor="#d2d2d2">
                <v:path arrowok="t"/>
              </v:shape>
            </v:group>
            <v:group style="position:absolute;left:601;top:432;width:1426;height:2" coordorigin="601,432" coordsize="1426,2">
              <v:shape style="position:absolute;left:601;top:432;width:1426;height:2" coordorigin="601,432" coordsize="1426,0" path="m601,432l2027,432e" filled="false" stroked="true" strokeweight=".48pt" strokecolor="#d2d2d2">
                <v:path arrowok="t"/>
              </v:shape>
            </v:group>
            <v:group style="position:absolute;left:604;top:115;width:1422;height:312" coordorigin="604,115" coordsize="1422,312">
              <v:shape style="position:absolute;left:604;top:115;width:1422;height:312" coordorigin="604,115" coordsize="1422,312" path="m604,427l2025,427,2025,115,604,115,604,427xe" filled="true" fillcolor="#d2d2d2" stroked="false">
                <v:path arrowok="t"/>
                <v:fill type="solid"/>
              </v:shape>
            </v:group>
            <v:group style="position:absolute;left:2042;top:111;width:5566;height:2" coordorigin="2042,111" coordsize="5566,2">
              <v:shape style="position:absolute;left:2042;top:111;width:5566;height:2" coordorigin="2042,111" coordsize="5566,0" path="m2042,111l7608,111e" filled="false" stroked="true" strokeweight=".48pt" strokecolor="#d2d2d2">
                <v:path arrowok="t"/>
              </v:shape>
            </v:group>
            <v:group style="position:absolute;left:2043;top:115;width:2;height:312" coordorigin="2043,115" coordsize="2,312">
              <v:shape style="position:absolute;left:2043;top:115;width:2;height:312" coordorigin="2043,115" coordsize="0,312" path="m2043,115l2043,427e" filled="false" stroked="true" strokeweight=".12pt" strokecolor="#d2d2d2">
                <v:path arrowok="t"/>
              </v:shape>
            </v:group>
            <v:group style="position:absolute;left:7606;top:115;width:2;height:312" coordorigin="7606,115" coordsize="2,312">
              <v:shape style="position:absolute;left:7606;top:115;width:2;height:312" coordorigin="7606,115" coordsize="0,312" path="m7606,115l7606,427e" filled="false" stroked="true" strokeweight=".12pt" strokecolor="#d2d2d2">
                <v:path arrowok="t"/>
              </v:shape>
            </v:group>
            <v:group style="position:absolute;left:2042;top:432;width:5566;height:2" coordorigin="2042,432" coordsize="5566,2">
              <v:shape style="position:absolute;left:2042;top:432;width:5566;height:2" coordorigin="2042,432" coordsize="5566,0" path="m2042,432l7608,432e" filled="false" stroked="true" strokeweight=".48pt" strokecolor="#d2d2d2">
                <v:path arrowok="t"/>
              </v:shape>
            </v:group>
            <v:group style="position:absolute;left:2044;top:115;width:5562;height:312" coordorigin="2044,115" coordsize="5562,312">
              <v:shape style="position:absolute;left:2044;top:115;width:5562;height:312" coordorigin="2044,115" coordsize="5562,312" path="m2044,427l7605,427,7605,115,2044,115,2044,427xe" filled="true" fillcolor="#d2d2d2" stroked="false">
                <v:path arrowok="t"/>
                <v:fill type="solid"/>
              </v:shape>
            </v:group>
            <v:group style="position:absolute;left:7622;top:111;width:4139;height:2" coordorigin="7622,111" coordsize="4139,2">
              <v:shape style="position:absolute;left:7622;top:111;width:4139;height:2" coordorigin="7622,111" coordsize="4139,0" path="m7622,111l11760,111e" filled="false" stroked="true" strokeweight=".48pt" strokecolor="#d2d2d2">
                <v:path arrowok="t"/>
              </v:shape>
            </v:group>
            <v:group style="position:absolute;left:7623;top:115;width:2;height:312" coordorigin="7623,115" coordsize="2,312">
              <v:shape style="position:absolute;left:7623;top:115;width:2;height:312" coordorigin="7623,115" coordsize="0,312" path="m7623,115l7623,427e" filled="false" stroked="true" strokeweight=".12pt" strokecolor="#d2d2d2">
                <v:path arrowok="t"/>
              </v:shape>
            </v:group>
            <v:group style="position:absolute;left:11759;top:115;width:2;height:312" coordorigin="11759,115" coordsize="2,312">
              <v:shape style="position:absolute;left:11759;top:115;width:2;height:312" coordorigin="11759,115" coordsize="0,312" path="m11759,115l11759,427e" filled="false" stroked="true" strokeweight=".12pt" strokecolor="#d2d2d2">
                <v:path arrowok="t"/>
              </v:shape>
            </v:group>
            <v:group style="position:absolute;left:7622;top:432;width:4139;height:2" coordorigin="7622,432" coordsize="4139,2">
              <v:shape style="position:absolute;left:7622;top:432;width:4139;height:2" coordorigin="7622,432" coordsize="4139,0" path="m7622,432l11760,432e" filled="false" stroked="true" strokeweight=".48pt" strokecolor="#d2d2d2">
                <v:path arrowok="t"/>
              </v:shape>
            </v:group>
            <v:group style="position:absolute;left:7624;top:115;width:4134;height:312" coordorigin="7624,115" coordsize="4134,312">
              <v:shape style="position:absolute;left:7624;top:115;width:4134;height:312" coordorigin="7624,115" coordsize="4134,312" path="m7624,427l11758,427,11758,115,7624,115,7624,427xe" filled="true" fillcolor="#d2d2d2" stroked="false">
                <v:path arrowok="t"/>
                <v:fill type="solid"/>
              </v:shape>
            </v:group>
            <v:group style="position:absolute;left:601;top:99;width:1426;height:2" coordorigin="601,99" coordsize="1426,2">
              <v:shape style="position:absolute;left:601;top:99;width:1426;height:2" coordorigin="601,99" coordsize="1426,0" path="m601,99l2027,99e" filled="false" stroked="true" strokeweight=".72pt" strokecolor="#000000">
                <v:path arrowok="t"/>
              </v:shape>
            </v:group>
            <v:group style="position:absolute;left:601;top:111;width:1426;height:2" coordorigin="601,111" coordsize="1426,2">
              <v:shape style="position:absolute;left:601;top:111;width:1426;height:2" coordorigin="601,111" coordsize="1426,0" path="m601,111l2027,111e" filled="false" stroked="true" strokeweight=".54pt" strokecolor="#d2d2d2">
                <v:path arrowok="t"/>
              </v:shape>
            </v:group>
            <v:group style="position:absolute;left:2042;top:99;width:5566;height:2" coordorigin="2042,99" coordsize="5566,2">
              <v:shape style="position:absolute;left:2042;top:99;width:5566;height:2" coordorigin="2042,99" coordsize="5566,0" path="m2042,99l7608,99e" filled="false" stroked="true" strokeweight=".72pt" strokecolor="#000000">
                <v:path arrowok="t"/>
              </v:shape>
            </v:group>
            <v:group style="position:absolute;left:2042;top:111;width:5566;height:2" coordorigin="2042,111" coordsize="5566,2">
              <v:shape style="position:absolute;left:2042;top:111;width:5566;height:2" coordorigin="2042,111" coordsize="5566,0" path="m2042,111l7608,111e" filled="false" stroked="true" strokeweight=".54pt" strokecolor="#d2d2d2">
                <v:path arrowok="t"/>
              </v:shape>
            </v:group>
            <v:group style="position:absolute;left:7622;top:99;width:4139;height:2" coordorigin="7622,99" coordsize="4139,2">
              <v:shape style="position:absolute;left:7622;top:99;width:4139;height:2" coordorigin="7622,99" coordsize="4139,0" path="m7622,99l11760,99e" filled="false" stroked="true" strokeweight=".72pt" strokecolor="#000000">
                <v:path arrowok="t"/>
              </v:shape>
            </v:group>
            <v:group style="position:absolute;left:7622;top:111;width:4139;height:2" coordorigin="7622,111" coordsize="4139,2">
              <v:shape style="position:absolute;left:7622;top:111;width:4139;height:2" coordorigin="7622,111" coordsize="4139,0" path="m7622,111l11760,111e" filled="false" stroked="true" strokeweight=".54pt" strokecolor="#d2d2d2">
                <v:path arrowok="t"/>
              </v:shape>
            </v:group>
            <v:group style="position:absolute;left:594;top:432;width:1441;height:2" coordorigin="594,432" coordsize="1441,2">
              <v:shape style="position:absolute;left:594;top:432;width:1441;height:2" coordorigin="594,432" coordsize="1441,0" path="m594,432l2034,432e" filled="false" stroked="true" strokeweight=".48pt" strokecolor="#d2d2d2">
                <v:path arrowok="t"/>
              </v:shape>
            </v:group>
            <v:group style="position:absolute;left:2034;top:432;width:5581;height:2" coordorigin="2034,432" coordsize="5581,2">
              <v:shape style="position:absolute;left:2034;top:432;width:5581;height:2" coordorigin="2034,432" coordsize="5581,0" path="m2034,432l7615,432e" filled="false" stroked="true" strokeweight=".48pt" strokecolor="#d2d2d2">
                <v:path arrowok="t"/>
              </v:shape>
            </v:group>
            <v:group style="position:absolute;left:7615;top:432;width:4153;height:2" coordorigin="7615,432" coordsize="4153,2">
              <v:shape style="position:absolute;left:7615;top:432;width:4153;height:2" coordorigin="7615,432" coordsize="4153,0" path="m7615,432l11768,432e" filled="false" stroked="true" strokeweight=".48pt" strokecolor="#d2d2d2">
                <v:path arrowok="t"/>
              </v:shape>
            </v:group>
            <v:group style="position:absolute;left:601;top:445;width:1426;height:2" coordorigin="601,445" coordsize="1426,2">
              <v:shape style="position:absolute;left:601;top:445;width:1426;height:2" coordorigin="601,445" coordsize="1426,0" path="m601,445l2027,445e" filled="false" stroked="true" strokeweight=".72pt" strokecolor="#000000">
                <v:path arrowok="t"/>
              </v:shape>
            </v:group>
            <v:group style="position:absolute;left:2042;top:445;width:5566;height:2" coordorigin="2042,445" coordsize="5566,2">
              <v:shape style="position:absolute;left:2042;top:445;width:5566;height:2" coordorigin="2042,445" coordsize="5566,0" path="m2042,445l7608,445e" filled="false" stroked="true" strokeweight=".72pt" strokecolor="#000000">
                <v:path arrowok="t"/>
              </v:shape>
            </v:group>
            <v:group style="position:absolute;left:7622;top:445;width:4139;height:2" coordorigin="7622,445" coordsize="4139,2">
              <v:shape style="position:absolute;left:7622;top:445;width:4139;height:2" coordorigin="7622,445" coordsize="4139,0" path="m7622,445l11760,445e" filled="false" stroked="true" strokeweight=".72pt" strokecolor="#000000">
                <v:path arrowok="t"/>
              </v:shape>
            </v:group>
            <v:group style="position:absolute;left:601;top:2041;width:1426;height:2" coordorigin="601,2041" coordsize="1426,2">
              <v:shape style="position:absolute;left:601;top:2041;width:1426;height:2" coordorigin="601,2041" coordsize="1426,0" path="m601,2041l2027,2041e" filled="false" stroked="true" strokeweight=".72pt" strokecolor="#000000">
                <v:path arrowok="t"/>
              </v:shape>
            </v:group>
            <v:group style="position:absolute;left:2042;top:2041;width:5566;height:2" coordorigin="2042,2041" coordsize="5566,2">
              <v:shape style="position:absolute;left:2042;top:2041;width:5566;height:2" coordorigin="2042,2041" coordsize="5566,0" path="m2042,2041l7608,2041e" filled="false" stroked="true" strokeweight=".72pt" strokecolor="#000000">
                <v:path arrowok="t"/>
              </v:shape>
            </v:group>
            <v:group style="position:absolute;left:7622;top:2041;width:4139;height:2" coordorigin="7622,2041" coordsize="4139,2">
              <v:shape style="position:absolute;left:7622;top:2041;width:4139;height:2" coordorigin="7622,2041" coordsize="4139,0" path="m7622,2041l11760,2041e" filled="false" stroked="true" strokeweight=".72pt" strokecolor="#000000">
                <v:path arrowok="t"/>
              </v:shape>
            </v:group>
            <v:group style="position:absolute;left:601;top:3011;width:1426;height:2" coordorigin="601,3011" coordsize="1426,2">
              <v:shape style="position:absolute;left:601;top:3011;width:1426;height:2" coordorigin="601,3011" coordsize="1426,0" path="m601,3011l2027,3011e" filled="false" stroked="true" strokeweight=".72pt" strokecolor="#000000">
                <v:path arrowok="t"/>
              </v:shape>
            </v:group>
            <v:group style="position:absolute;left:2042;top:3011;width:5566;height:2" coordorigin="2042,3011" coordsize="5566,2">
              <v:shape style="position:absolute;left:2042;top:3011;width:5566;height:2" coordorigin="2042,3011" coordsize="5566,0" path="m2042,3011l7608,3011e" filled="false" stroked="true" strokeweight=".72pt" strokecolor="#000000">
                <v:path arrowok="t"/>
              </v:shape>
            </v:group>
            <v:group style="position:absolute;left:7622;top:3011;width:4139;height:2" coordorigin="7622,3011" coordsize="4139,2">
              <v:shape style="position:absolute;left:7622;top:3011;width:4139;height:2" coordorigin="7622,3011" coordsize="4139,0" path="m7622,3011l11760,3011e" filled="false" stroked="true" strokeweight=".72pt" strokecolor="#000000">
                <v:path arrowok="t"/>
              </v:shape>
            </v:group>
            <v:group style="position:absolute;left:601;top:3982;width:1426;height:2" coordorigin="601,3982" coordsize="1426,2">
              <v:shape style="position:absolute;left:601;top:3982;width:1426;height:2" coordorigin="601,3982" coordsize="1426,0" path="m601,3982l2027,3982e" filled="false" stroked="true" strokeweight=".72pt" strokecolor="#000000">
                <v:path arrowok="t"/>
              </v:shape>
            </v:group>
            <v:group style="position:absolute;left:2042;top:3982;width:5566;height:2" coordorigin="2042,3982" coordsize="5566,2">
              <v:shape style="position:absolute;left:2042;top:3982;width:5566;height:2" coordorigin="2042,3982" coordsize="5566,0" path="m2042,3982l7608,3982e" filled="false" stroked="true" strokeweight=".72pt" strokecolor="#000000">
                <v:path arrowok="t"/>
              </v:shape>
            </v:group>
            <v:group style="position:absolute;left:7622;top:3982;width:4139;height:2" coordorigin="7622,3982" coordsize="4139,2">
              <v:shape style="position:absolute;left:7622;top:3982;width:4139;height:2" coordorigin="7622,3982" coordsize="4139,0" path="m7622,3982l11760,3982e" filled="false" stroked="true" strokeweight=".72pt" strokecolor="#000000">
                <v:path arrowok="t"/>
              </v:shape>
            </v:group>
            <v:group style="position:absolute;left:601;top:4953;width:1426;height:2" coordorigin="601,4953" coordsize="1426,2">
              <v:shape style="position:absolute;left:601;top:4953;width:1426;height:2" coordorigin="601,4953" coordsize="1426,0" path="m601,4953l2027,4953e" filled="false" stroked="true" strokeweight=".72pt" strokecolor="#000000">
                <v:path arrowok="t"/>
              </v:shape>
            </v:group>
            <v:group style="position:absolute;left:2042;top:4953;width:5566;height:2" coordorigin="2042,4953" coordsize="5566,2">
              <v:shape style="position:absolute;left:2042;top:4953;width:5566;height:2" coordorigin="2042,4953" coordsize="5566,0" path="m2042,4953l7608,4953e" filled="false" stroked="true" strokeweight=".72pt" strokecolor="#000000">
                <v:path arrowok="t"/>
              </v:shape>
            </v:group>
            <v:group style="position:absolute;left:7622;top:4953;width:4139;height:2" coordorigin="7622,4953" coordsize="4139,2">
              <v:shape style="position:absolute;left:7622;top:4953;width:4139;height:2" coordorigin="7622,4953" coordsize="4139,0" path="m7622,4953l11760,4953e" filled="false" stroked="true" strokeweight=".72pt" strokecolor="#000000">
                <v:path arrowok="t"/>
              </v:shape>
            </v:group>
            <v:group style="position:absolute;left:601;top:5925;width:1426;height:2" coordorigin="601,5925" coordsize="1426,2">
              <v:shape style="position:absolute;left:601;top:5925;width:1426;height:2" coordorigin="601,5925" coordsize="1426,0" path="m601,5925l2027,5925e" filled="false" stroked="true" strokeweight=".72pt" strokecolor="#000000">
                <v:path arrowok="t"/>
              </v:shape>
            </v:group>
            <v:group style="position:absolute;left:2042;top:5925;width:5566;height:2" coordorigin="2042,5925" coordsize="5566,2">
              <v:shape style="position:absolute;left:2042;top:5925;width:5566;height:2" coordorigin="2042,5925" coordsize="5566,0" path="m2042,5925l7608,5925e" filled="false" stroked="true" strokeweight=".72pt" strokecolor="#000000">
                <v:path arrowok="t"/>
              </v:shape>
            </v:group>
            <v:group style="position:absolute;left:7622;top:5925;width:4139;height:2" coordorigin="7622,5925" coordsize="4139,2">
              <v:shape style="position:absolute;left:7622;top:5925;width:4139;height:2" coordorigin="7622,5925" coordsize="4139,0" path="m7622,5925l11760,5925e" filled="false" stroked="true" strokeweight=".72pt" strokecolor="#000000">
                <v:path arrowok="t"/>
              </v:shape>
            </v:group>
            <v:group style="position:absolute;left:594;top:91;width:2;height:7783" coordorigin="594,91" coordsize="2,7783">
              <v:shape style="position:absolute;left:594;top:91;width:2;height:7783" coordorigin="594,91" coordsize="0,7783" path="m594,91l594,7874e" filled="false" stroked="true" strokeweight=".72pt" strokecolor="#000000">
                <v:path arrowok="t"/>
              </v:shape>
            </v:group>
            <v:group style="position:absolute;left:601;top:7867;width:1426;height:2" coordorigin="601,7867" coordsize="1426,2">
              <v:shape style="position:absolute;left:601;top:7867;width:1426;height:2" coordorigin="601,7867" coordsize="1426,0" path="m601,7867l2027,7867e" filled="false" stroked="true" strokeweight=".72pt" strokecolor="#000000">
                <v:path arrowok="t"/>
              </v:shape>
            </v:group>
            <v:group style="position:absolute;left:2042;top:6896;width:5566;height:2" coordorigin="2042,6896" coordsize="5566,2">
              <v:shape style="position:absolute;left:2042;top:6896;width:5566;height:2" coordorigin="2042,6896" coordsize="5566,0" path="m2042,6896l7608,6896e" filled="false" stroked="true" strokeweight=".72pt" strokecolor="#000000">
                <v:path arrowok="t"/>
              </v:shape>
            </v:group>
            <v:group style="position:absolute;left:7622;top:6896;width:4139;height:2" coordorigin="7622,6896" coordsize="4139,2">
              <v:shape style="position:absolute;left:7622;top:6896;width:4139;height:2" coordorigin="7622,6896" coordsize="4139,0" path="m7622,6896l11760,6896e" filled="false" stroked="true" strokeweight=".72pt" strokecolor="#000000">
                <v:path arrowok="t"/>
              </v:shape>
            </v:group>
            <v:group style="position:absolute;left:2034;top:91;width:2;height:7783" coordorigin="2034,91" coordsize="2,7783">
              <v:shape style="position:absolute;left:2034;top:91;width:2;height:7783" coordorigin="2034,91" coordsize="0,7783" path="m2034,91l2034,7874e" filled="false" stroked="true" strokeweight=".72pt" strokecolor="#000000">
                <v:path arrowok="t"/>
              </v:shape>
            </v:group>
            <v:group style="position:absolute;left:2042;top:7867;width:5566;height:2" coordorigin="2042,7867" coordsize="5566,2">
              <v:shape style="position:absolute;left:2042;top:7867;width:5566;height:2" coordorigin="2042,7867" coordsize="5566,0" path="m2042,7867l7608,7867e" filled="false" stroked="true" strokeweight=".72pt" strokecolor="#000000">
                <v:path arrowok="t"/>
              </v:shape>
            </v:group>
            <v:group style="position:absolute;left:7615;top:91;width:2;height:7783" coordorigin="7615,91" coordsize="2,7783">
              <v:shape style="position:absolute;left:7615;top:91;width:2;height:7783" coordorigin="7615,91" coordsize="0,7783" path="m7615,91l7615,7874e" filled="false" stroked="true" strokeweight=".72pt" strokecolor="#000000">
                <v:path arrowok="t"/>
              </v:shape>
            </v:group>
            <v:group style="position:absolute;left:7622;top:7867;width:4139;height:2" coordorigin="7622,7867" coordsize="4139,2">
              <v:shape style="position:absolute;left:7622;top:7867;width:4139;height:2" coordorigin="7622,7867" coordsize="4139,0" path="m7622,7867l11760,7867e" filled="false" stroked="true" strokeweight=".72pt" strokecolor="#000000">
                <v:path arrowok="t"/>
              </v:shape>
            </v:group>
            <v:group style="position:absolute;left:11768;top:91;width:2;height:7783" coordorigin="11768,91" coordsize="2,7783">
              <v:shape style="position:absolute;left:11768;top:91;width:2;height:7783" coordorigin="11768,91" coordsize="0,7783" path="m11768,91l11768,7874e" filled="false" stroked="true" strokeweight=".72pt" strokecolor="#000000">
                <v:path arrowok="t"/>
              </v:shape>
            </v:group>
            <w10:wrap type="none"/>
          </v:group>
        </w:pict>
      </w:r>
      <w:r>
        <w:rPr/>
        <w:t>子公司名称</w:t>
        <w:tab/>
        <w:t>重要事项</w:t>
        <w:tab/>
        <w:t>披露索引</w:t>
      </w:r>
    </w:p>
    <w:p>
      <w:pPr>
        <w:pStyle w:val="BodyText"/>
        <w:spacing w:line="300" w:lineRule="atLeast" w:before="61"/>
        <w:ind w:left="2044" w:right="51"/>
        <w:jc w:val="left"/>
      </w:pPr>
      <w:r>
        <w:rPr>
          <w:spacing w:val="-1"/>
          <w:w w:val="99"/>
        </w:rPr>
        <w:t>公司全资子公司御银（中国）科技国际有限公司与广州御银自动柜员机具体内容详见巨潮资讯网（</w:t>
      </w:r>
      <w:r>
        <w:rPr>
          <w:rFonts w:ascii="Times New Roman" w:hAnsi="Times New Roman" w:cs="Times New Roman" w:eastAsia="Times New Roman" w:hint="default"/>
          <w:spacing w:val="-1"/>
          <w:w w:val="99"/>
        </w:rPr>
        <w:t>http://www.cninfo,.com.cn</w:t>
      </w:r>
      <w:r>
        <w:rPr>
          <w:spacing w:val="-1"/>
          <w:w w:val="99"/>
        </w:rPr>
        <w:t>）</w:t>
      </w:r>
      <w:r>
        <w:rPr>
          <w:spacing w:val="-82"/>
          <w:w w:val="99"/>
        </w:rPr>
        <w:t> </w:t>
      </w:r>
      <w:r>
        <w:rPr>
          <w:spacing w:val="4"/>
        </w:rPr>
        <w:t>科技有限公司共同出资设立全资孙公司广州御银金融电子设备有限公</w:t>
      </w:r>
      <w:r>
        <w:rPr>
          <w:spacing w:val="-61"/>
        </w:rPr>
        <w:t> </w:t>
      </w:r>
      <w:r>
        <w:rPr/>
        <w:t>的《关于全资孙公司完成工商注册登记的公告》）公</w:t>
      </w:r>
    </w:p>
    <w:p>
      <w:pPr>
        <w:spacing w:after="0" w:line="300" w:lineRule="atLeast"/>
        <w:jc w:val="left"/>
        <w:sectPr>
          <w:pgSz w:w="11910" w:h="16840"/>
          <w:pgMar w:header="747" w:footer="979" w:top="1060" w:bottom="1160" w:left="0" w:right="0"/>
        </w:sectPr>
      </w:pPr>
    </w:p>
    <w:p>
      <w:pPr>
        <w:pStyle w:val="BodyText"/>
        <w:spacing w:line="156" w:lineRule="exact"/>
        <w:ind w:left="603" w:right="-18"/>
        <w:jc w:val="left"/>
      </w:pPr>
      <w:r>
        <w:rPr/>
        <w:t>广</w:t>
      </w:r>
      <w:r>
        <w:rPr>
          <w:spacing w:val="-64"/>
        </w:rPr>
        <w:t> </w:t>
      </w:r>
      <w:r>
        <w:rPr/>
        <w:t>州</w:t>
      </w:r>
      <w:r>
        <w:rPr>
          <w:spacing w:val="-64"/>
        </w:rPr>
        <w:t> </w:t>
      </w:r>
      <w:r>
        <w:rPr/>
        <w:t>御</w:t>
      </w:r>
      <w:r>
        <w:rPr>
          <w:spacing w:val="-64"/>
        </w:rPr>
        <w:t> </w:t>
      </w:r>
      <w:r>
        <w:rPr/>
        <w:t>银</w:t>
      </w:r>
      <w:r>
        <w:rPr>
          <w:spacing w:val="-64"/>
        </w:rPr>
        <w:t> </w:t>
      </w:r>
      <w:r>
        <w:rPr/>
        <w:t>金</w:t>
      </w:r>
      <w:r>
        <w:rPr>
          <w:spacing w:val="-63"/>
        </w:rPr>
        <w:t> </w:t>
      </w:r>
      <w:r>
        <w:rPr/>
        <w:t>融</w:t>
      </w:r>
      <w:r>
        <w:rPr>
          <w:spacing w:val="-64"/>
        </w:rPr>
        <w:t> </w:t>
      </w:r>
      <w:r>
        <w:rPr/>
        <w:t>电</w:t>
      </w:r>
    </w:p>
    <w:p>
      <w:pPr>
        <w:pStyle w:val="BodyText"/>
        <w:spacing w:line="240" w:lineRule="auto" w:before="77"/>
        <w:ind w:left="603" w:right="-18"/>
        <w:jc w:val="left"/>
      </w:pPr>
      <w:r>
        <w:rPr/>
        <w:t>子设备有限公司</w:t>
      </w:r>
    </w:p>
    <w:p>
      <w:pPr>
        <w:pStyle w:val="BodyText"/>
        <w:spacing w:line="300" w:lineRule="auto" w:before="76"/>
        <w:ind w:left="-19" w:right="2683"/>
        <w:jc w:val="left"/>
      </w:pPr>
      <w:r>
        <w:rPr>
          <w:spacing w:val="-2"/>
        </w:rPr>
        <w:br w:type="column"/>
      </w:r>
      <w:r>
        <w:rPr>
          <w:spacing w:val="-2"/>
        </w:rPr>
        <w:t>司，注册资本</w:t>
      </w:r>
      <w:r>
        <w:rPr>
          <w:rFonts w:ascii="Times New Roman" w:hAnsi="Times New Roman" w:cs="Times New Roman" w:eastAsia="Times New Roman" w:hint="default"/>
          <w:spacing w:val="-2"/>
        </w:rPr>
        <w:t>5,000</w:t>
      </w:r>
      <w:r>
        <w:rPr>
          <w:spacing w:val="-2"/>
        </w:rPr>
        <w:t>万美元：其中御银国际以货币方式出资</w:t>
      </w:r>
      <w:r>
        <w:rPr>
          <w:rFonts w:ascii="Times New Roman" w:hAnsi="Times New Roman" w:cs="Times New Roman" w:eastAsia="Times New Roman" w:hint="default"/>
          <w:spacing w:val="-2"/>
        </w:rPr>
        <w:t>4,500</w:t>
      </w:r>
      <w:r>
        <w:rPr>
          <w:spacing w:val="-2"/>
        </w:rPr>
        <w:t>万美元，告编号</w:t>
      </w:r>
      <w:r>
        <w:rPr>
          <w:rFonts w:ascii="Times New Roman" w:hAnsi="Times New Roman" w:cs="Times New Roman" w:eastAsia="Times New Roman" w:hint="default"/>
          <w:spacing w:val="-2"/>
        </w:rPr>
        <w:t>2017-014</w:t>
      </w:r>
      <w:r>
        <w:rPr>
          <w:spacing w:val="-2"/>
        </w:rPr>
        <w:t>号）</w:t>
      </w:r>
      <w:r>
        <w:rPr>
          <w:spacing w:val="-85"/>
        </w:rPr>
        <w:t> </w:t>
      </w:r>
      <w:r>
        <w:rPr>
          <w:spacing w:val="2"/>
        </w:rPr>
        <w:t>持有其</w:t>
      </w:r>
      <w:r>
        <w:rPr>
          <w:rFonts w:ascii="Times New Roman" w:hAnsi="Times New Roman" w:cs="Times New Roman" w:eastAsia="Times New Roman" w:hint="default"/>
          <w:spacing w:val="2"/>
        </w:rPr>
        <w:t>90%</w:t>
      </w:r>
      <w:r>
        <w:rPr>
          <w:spacing w:val="2"/>
        </w:rPr>
        <w:t>股权；自动柜员机科技以货币方式出资</w:t>
      </w:r>
      <w:r>
        <w:rPr>
          <w:rFonts w:ascii="Times New Roman" w:hAnsi="Times New Roman" w:cs="Times New Roman" w:eastAsia="Times New Roman" w:hint="default"/>
          <w:spacing w:val="2"/>
        </w:rPr>
        <w:t>500</w:t>
      </w:r>
      <w:r>
        <w:rPr>
          <w:spacing w:val="2"/>
        </w:rPr>
        <w:t>万美元，持有其</w:t>
      </w:r>
      <w:r>
        <w:rPr/>
      </w:r>
    </w:p>
    <w:p>
      <w:pPr>
        <w:pStyle w:val="BodyText"/>
        <w:spacing w:line="240" w:lineRule="auto" w:before="13"/>
        <w:ind w:left="-19" w:right="2683"/>
        <w:jc w:val="left"/>
      </w:pPr>
      <w:r>
        <w:rPr>
          <w:rFonts w:ascii="Times New Roman" w:hAnsi="Times New Roman" w:cs="Times New Roman" w:eastAsia="Times New Roman" w:hint="default"/>
        </w:rPr>
        <w:t>10%</w:t>
      </w:r>
      <w:r>
        <w:rPr/>
        <w:t>股权</w:t>
      </w:r>
    </w:p>
    <w:p>
      <w:pPr>
        <w:spacing w:after="0" w:line="240" w:lineRule="auto"/>
        <w:jc w:val="left"/>
        <w:sectPr>
          <w:type w:val="continuous"/>
          <w:pgSz w:w="11910" w:h="16840"/>
          <w:pgMar w:top="1060" w:bottom="1160" w:left="0" w:right="0"/>
          <w:cols w:num="2" w:equalWidth="0">
            <w:col w:w="2023" w:space="40"/>
            <w:col w:w="9847"/>
          </w:cols>
        </w:sectPr>
      </w:pPr>
    </w:p>
    <w:p>
      <w:pPr>
        <w:pStyle w:val="BodyText"/>
        <w:spacing w:line="300" w:lineRule="auto" w:before="97"/>
        <w:ind w:left="603" w:right="51"/>
        <w:jc w:val="left"/>
      </w:pPr>
      <w:r>
        <w:rPr/>
        <w:t>广</w:t>
      </w:r>
      <w:r>
        <w:rPr>
          <w:spacing w:val="-64"/>
        </w:rPr>
        <w:t> </w:t>
      </w:r>
      <w:r>
        <w:rPr/>
        <w:t>州</w:t>
      </w:r>
      <w:r>
        <w:rPr>
          <w:spacing w:val="-64"/>
        </w:rPr>
        <w:t> </w:t>
      </w:r>
      <w:r>
        <w:rPr/>
        <w:t>御</w:t>
      </w:r>
      <w:r>
        <w:rPr>
          <w:spacing w:val="-64"/>
        </w:rPr>
        <w:t> </w:t>
      </w:r>
      <w:r>
        <w:rPr/>
        <w:t>银</w:t>
      </w:r>
      <w:r>
        <w:rPr>
          <w:spacing w:val="-64"/>
        </w:rPr>
        <w:t> </w:t>
      </w:r>
      <w:r>
        <w:rPr/>
        <w:t>自</w:t>
      </w:r>
      <w:r>
        <w:rPr>
          <w:spacing w:val="-63"/>
        </w:rPr>
        <w:t> </w:t>
      </w:r>
      <w:r>
        <w:rPr/>
        <w:t>动</w:t>
      </w:r>
      <w:r>
        <w:rPr>
          <w:spacing w:val="-64"/>
        </w:rPr>
        <w:t> </w:t>
      </w:r>
      <w:r>
        <w:rPr>
          <w:w w:val="99"/>
        </w:rPr>
        <w:t>柜公司将通过现金出资方式对全资子公司自动柜员机科技增资</w:t>
      </w:r>
      <w:r>
        <w:rPr>
          <w:rFonts w:ascii="Times New Roman" w:hAnsi="Times New Roman" w:cs="Times New Roman" w:eastAsia="Times New Roman" w:hint="default"/>
          <w:w w:val="99"/>
        </w:rPr>
        <w:t>20,000</w:t>
      </w:r>
      <w:r>
        <w:rPr>
          <w:w w:val="99"/>
        </w:rPr>
        <w:t>万元具体内容详见巨潮资讯网（</w:t>
      </w:r>
      <w:r>
        <w:rPr>
          <w:rFonts w:ascii="Times New Roman" w:hAnsi="Times New Roman" w:cs="Times New Roman" w:eastAsia="Times New Roman" w:hint="default"/>
          <w:w w:val="99"/>
        </w:rPr>
        <w:t>http://www.cninfo,.com.cn</w:t>
      </w:r>
      <w:r>
        <w:rPr>
          <w:w w:val="99"/>
        </w:rPr>
        <w:t>）</w:t>
      </w:r>
      <w:r>
        <w:rPr>
          <w:w w:val="99"/>
        </w:rPr>
        <w:t> </w:t>
      </w:r>
      <w:r>
        <w:rPr/>
        <w:t>员</w:t>
      </w:r>
      <w:r>
        <w:rPr>
          <w:spacing w:val="-56"/>
        </w:rPr>
        <w:t> </w:t>
      </w:r>
      <w:r>
        <w:rPr/>
        <w:t>机</w:t>
      </w:r>
      <w:r>
        <w:rPr>
          <w:spacing w:val="-56"/>
        </w:rPr>
        <w:t> </w:t>
      </w:r>
      <w:r>
        <w:rPr/>
        <w:t>科</w:t>
      </w:r>
      <w:r>
        <w:rPr>
          <w:spacing w:val="-56"/>
        </w:rPr>
        <w:t> </w:t>
      </w:r>
      <w:r>
        <w:rPr/>
        <w:t>技</w:t>
      </w:r>
      <w:r>
        <w:rPr>
          <w:spacing w:val="-56"/>
        </w:rPr>
        <w:t> </w:t>
      </w:r>
      <w:r>
        <w:rPr/>
        <w:t>有</w:t>
      </w:r>
      <w:r>
        <w:rPr>
          <w:spacing w:val="-54"/>
        </w:rPr>
        <w:t> </w:t>
      </w:r>
      <w:r>
        <w:rPr/>
        <w:t>限</w:t>
      </w:r>
      <w:r>
        <w:rPr>
          <w:spacing w:val="-56"/>
        </w:rPr>
        <w:t> </w:t>
      </w:r>
      <w:r>
        <w:rPr/>
        <w:t>公人民币。本次增资完成后，自动柜员机科技的注册资本将增至</w:t>
      </w:r>
      <w:r>
        <w:rPr>
          <w:rFonts w:ascii="Times New Roman" w:hAnsi="Times New Roman" w:cs="Times New Roman" w:eastAsia="Times New Roman" w:hint="default"/>
        </w:rPr>
        <w:t>50,000</w:t>
      </w:r>
      <w:r>
        <w:rPr/>
        <w:t>万的《关于子公司增资完成工商变更登记的公告》）公</w:t>
      </w:r>
    </w:p>
    <w:p>
      <w:pPr>
        <w:pStyle w:val="BodyText"/>
        <w:tabs>
          <w:tab w:pos="2043" w:val="left" w:leader="none"/>
          <w:tab w:pos="7624" w:val="left" w:leader="none"/>
        </w:tabs>
        <w:spacing w:line="240" w:lineRule="auto" w:before="13"/>
        <w:ind w:left="603" w:right="0"/>
        <w:jc w:val="left"/>
      </w:pPr>
      <w:r>
        <w:rPr/>
        <w:t>司</w:t>
        <w:tab/>
        <w:t>元人民币</w:t>
        <w:tab/>
        <w:t>告编号</w:t>
      </w:r>
      <w:r>
        <w:rPr>
          <w:rFonts w:ascii="Times New Roman" w:hAnsi="Times New Roman" w:cs="Times New Roman" w:eastAsia="Times New Roman" w:hint="default"/>
        </w:rPr>
        <w:t>2017-032</w:t>
      </w:r>
      <w:r>
        <w:rPr/>
        <w:t>号）</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13"/>
          <w:szCs w:val="13"/>
        </w:rPr>
      </w:pPr>
    </w:p>
    <w:p>
      <w:pPr>
        <w:pStyle w:val="BodyText"/>
        <w:spacing w:line="310" w:lineRule="atLeast"/>
        <w:ind w:left="603" w:right="-18"/>
        <w:jc w:val="left"/>
      </w:pPr>
      <w:r>
        <w:rPr/>
        <w:t>广</w:t>
      </w:r>
      <w:r>
        <w:rPr>
          <w:spacing w:val="-64"/>
        </w:rPr>
        <w:t> </w:t>
      </w:r>
      <w:r>
        <w:rPr/>
        <w:t>州</w:t>
      </w:r>
      <w:r>
        <w:rPr>
          <w:spacing w:val="-64"/>
        </w:rPr>
        <w:t> </w:t>
      </w:r>
      <w:r>
        <w:rPr/>
        <w:t>御</w:t>
      </w:r>
      <w:r>
        <w:rPr>
          <w:spacing w:val="-64"/>
        </w:rPr>
        <w:t> </w:t>
      </w:r>
      <w:r>
        <w:rPr/>
        <w:t>新</w:t>
      </w:r>
      <w:r>
        <w:rPr>
          <w:spacing w:val="-64"/>
        </w:rPr>
        <w:t> </w:t>
      </w:r>
      <w:r>
        <w:rPr/>
        <w:t>软</w:t>
      </w:r>
      <w:r>
        <w:rPr>
          <w:spacing w:val="-63"/>
        </w:rPr>
        <w:t> </w:t>
      </w:r>
      <w:r>
        <w:rPr/>
        <w:t>件</w:t>
      </w:r>
      <w:r>
        <w:rPr>
          <w:spacing w:val="-64"/>
        </w:rPr>
        <w:t> </w:t>
      </w:r>
      <w:r>
        <w:rPr/>
        <w:t>有</w:t>
      </w:r>
      <w:r>
        <w:rPr/>
        <w:t> 限公司</w:t>
      </w:r>
    </w:p>
    <w:p>
      <w:pPr>
        <w:pStyle w:val="BodyText"/>
        <w:spacing w:line="300" w:lineRule="auto" w:before="97"/>
        <w:ind w:left="-19" w:right="0"/>
        <w:jc w:val="left"/>
      </w:pPr>
      <w:r>
        <w:rPr>
          <w:spacing w:val="-1"/>
          <w:w w:val="99"/>
        </w:rPr>
        <w:br w:type="column"/>
      </w:r>
      <w:r>
        <w:rPr>
          <w:spacing w:val="-1"/>
          <w:w w:val="99"/>
        </w:rPr>
        <w:t>公司全资子公司御新软件以现金方式向公司分配利润</w:t>
      </w:r>
      <w:r>
        <w:rPr>
          <w:rFonts w:ascii="Times New Roman" w:hAnsi="Times New Roman" w:cs="Times New Roman" w:eastAsia="Times New Roman" w:hint="default"/>
          <w:spacing w:val="-1"/>
          <w:w w:val="99"/>
        </w:rPr>
        <w:t>10,000</w:t>
      </w:r>
      <w:r>
        <w:rPr>
          <w:spacing w:val="-1"/>
          <w:w w:val="99"/>
        </w:rPr>
        <w:t>万元，本次具体内容详见巨潮资讯网（</w:t>
      </w:r>
      <w:r>
        <w:rPr>
          <w:rFonts w:ascii="Times New Roman" w:hAnsi="Times New Roman" w:cs="Times New Roman" w:eastAsia="Times New Roman" w:hint="default"/>
          <w:spacing w:val="-1"/>
          <w:w w:val="99"/>
        </w:rPr>
        <w:t>http://www.cninfo,.com.cn</w:t>
      </w:r>
      <w:r>
        <w:rPr>
          <w:spacing w:val="-1"/>
          <w:w w:val="99"/>
        </w:rPr>
        <w:t>）</w:t>
      </w:r>
      <w:r>
        <w:rPr>
          <w:spacing w:val="-39"/>
          <w:w w:val="99"/>
        </w:rPr>
        <w:t> </w:t>
      </w:r>
      <w:r>
        <w:rPr>
          <w:spacing w:val="-1"/>
        </w:rPr>
        <w:t>所得分红将增加</w:t>
      </w:r>
      <w:r>
        <w:rPr>
          <w:rFonts w:ascii="Times New Roman" w:hAnsi="Times New Roman" w:cs="Times New Roman" w:eastAsia="Times New Roman" w:hint="default"/>
          <w:spacing w:val="-1"/>
        </w:rPr>
        <w:t>2017</w:t>
      </w:r>
      <w:r>
        <w:rPr>
          <w:spacing w:val="-1"/>
        </w:rPr>
        <w:t>年母公司报表利润，但不增加公司</w:t>
      </w:r>
      <w:r>
        <w:rPr>
          <w:rFonts w:ascii="Times New Roman" w:hAnsi="Times New Roman" w:cs="Times New Roman" w:eastAsia="Times New Roman" w:hint="default"/>
          <w:spacing w:val="-1"/>
        </w:rPr>
        <w:t>2017</w:t>
      </w:r>
      <w:r>
        <w:rPr>
          <w:spacing w:val="-1"/>
        </w:rPr>
        <w:t>年合并报表</w:t>
      </w:r>
      <w:r>
        <w:rPr>
          <w:spacing w:val="-43"/>
        </w:rPr>
        <w:t> </w:t>
      </w:r>
      <w:r>
        <w:rPr>
          <w:spacing w:val="-1"/>
        </w:rPr>
        <w:t>的《关于收到全资子公司分红款的公告》）公告编号</w:t>
      </w:r>
    </w:p>
    <w:p>
      <w:pPr>
        <w:spacing w:after="0" w:line="300" w:lineRule="auto"/>
        <w:jc w:val="left"/>
        <w:sectPr>
          <w:type w:val="continuous"/>
          <w:pgSz w:w="11910" w:h="16840"/>
          <w:pgMar w:top="1060" w:bottom="1160" w:left="0" w:right="0"/>
          <w:cols w:num="2" w:equalWidth="0">
            <w:col w:w="2023" w:space="40"/>
            <w:col w:w="9847"/>
          </w:cols>
        </w:sectPr>
      </w:pPr>
    </w:p>
    <w:p>
      <w:pPr>
        <w:pStyle w:val="BodyText"/>
        <w:tabs>
          <w:tab w:pos="7624" w:val="left" w:leader="none"/>
        </w:tabs>
        <w:spacing w:line="170" w:lineRule="exact"/>
        <w:ind w:left="2044" w:right="0"/>
        <w:jc w:val="left"/>
      </w:pPr>
      <w:r>
        <w:rPr/>
        <w:t>的净利润</w:t>
        <w:tab/>
      </w:r>
      <w:r>
        <w:rPr>
          <w:rFonts w:ascii="Times New Roman" w:hAnsi="Times New Roman" w:cs="Times New Roman" w:eastAsia="Times New Roman" w:hint="default"/>
        </w:rPr>
        <w:t>2017-037</w:t>
      </w:r>
      <w:r>
        <w:rPr/>
        <w:t>号）</w:t>
      </w:r>
    </w:p>
    <w:p>
      <w:pPr>
        <w:spacing w:after="0" w:line="170" w:lineRule="exact"/>
        <w:jc w:val="left"/>
        <w:sectPr>
          <w:type w:val="continuous"/>
          <w:pgSz w:w="11910" w:h="16840"/>
          <w:pgMar w:top="1060" w:bottom="1160" w:left="0" w:right="0"/>
        </w:sectPr>
      </w:pPr>
    </w:p>
    <w:p>
      <w:pPr>
        <w:spacing w:line="240" w:lineRule="auto" w:before="9"/>
        <w:rPr>
          <w:rFonts w:ascii="宋体" w:hAnsi="宋体" w:cs="宋体" w:eastAsia="宋体" w:hint="default"/>
          <w:sz w:val="13"/>
          <w:szCs w:val="13"/>
        </w:rPr>
      </w:pPr>
    </w:p>
    <w:p>
      <w:pPr>
        <w:pStyle w:val="BodyText"/>
        <w:spacing w:line="310" w:lineRule="atLeast"/>
        <w:ind w:left="603" w:right="-18"/>
        <w:jc w:val="left"/>
      </w:pPr>
      <w:r>
        <w:rPr/>
        <w:t>广</w:t>
      </w:r>
      <w:r>
        <w:rPr>
          <w:spacing w:val="-64"/>
        </w:rPr>
        <w:t> </w:t>
      </w:r>
      <w:r>
        <w:rPr/>
        <w:t>州</w:t>
      </w:r>
      <w:r>
        <w:rPr>
          <w:spacing w:val="-64"/>
        </w:rPr>
        <w:t> </w:t>
      </w:r>
      <w:r>
        <w:rPr/>
        <w:t>同</w:t>
      </w:r>
      <w:r>
        <w:rPr>
          <w:spacing w:val="-64"/>
        </w:rPr>
        <w:t> </w:t>
      </w:r>
      <w:r>
        <w:rPr/>
        <w:t>位</w:t>
      </w:r>
      <w:r>
        <w:rPr>
          <w:spacing w:val="-64"/>
        </w:rPr>
        <w:t> </w:t>
      </w:r>
      <w:r>
        <w:rPr/>
        <w:t>素</w:t>
      </w:r>
      <w:r>
        <w:rPr>
          <w:spacing w:val="-63"/>
        </w:rPr>
        <w:t> </w:t>
      </w:r>
      <w:r>
        <w:rPr/>
        <w:t>智</w:t>
      </w:r>
      <w:r>
        <w:rPr>
          <w:spacing w:val="-64"/>
        </w:rPr>
        <w:t> </w:t>
      </w:r>
      <w:r>
        <w:rPr/>
        <w:t>能</w:t>
      </w:r>
      <w:r>
        <w:rPr/>
        <w:t> 科技有限公司</w:t>
      </w:r>
    </w:p>
    <w:p>
      <w:pPr>
        <w:pStyle w:val="BodyText"/>
        <w:spacing w:line="240" w:lineRule="auto" w:before="97"/>
        <w:ind w:left="-19" w:right="0"/>
        <w:jc w:val="left"/>
      </w:pPr>
      <w:r>
        <w:rPr/>
        <w:br w:type="column"/>
      </w:r>
      <w:r>
        <w:rPr/>
        <w:t>公司将通过固定资产（评估价值</w:t>
      </w:r>
      <w:r>
        <w:rPr>
          <w:rFonts w:ascii="Times New Roman" w:hAnsi="Times New Roman" w:cs="Times New Roman" w:eastAsia="Times New Roman" w:hint="default"/>
        </w:rPr>
        <w:t>2,333.81</w:t>
      </w:r>
      <w:r>
        <w:rPr/>
        <w:t>万元）出资方式对同位素增资</w:t>
      </w:r>
      <w:r>
        <w:rPr>
          <w:spacing w:val="-67"/>
        </w:rPr>
        <w:t> </w:t>
      </w:r>
      <w:r>
        <w:rPr/>
        <w:t>具体内容详见巨潮资讯网（</w:t>
      </w:r>
      <w:r>
        <w:rPr>
          <w:rFonts w:ascii="Times New Roman" w:hAnsi="Times New Roman" w:cs="Times New Roman" w:eastAsia="Times New Roman" w:hint="default"/>
        </w:rPr>
        <w:t>http://www.cninfo,.com.cn</w:t>
      </w:r>
      <w:r>
        <w:rPr/>
        <w:t>）</w:t>
      </w:r>
    </w:p>
    <w:p>
      <w:pPr>
        <w:pStyle w:val="BodyText"/>
        <w:spacing w:line="240" w:lineRule="auto" w:before="63"/>
        <w:ind w:left="-19" w:right="0"/>
        <w:jc w:val="left"/>
      </w:pPr>
      <w:r>
        <w:rPr>
          <w:rFonts w:ascii="Times New Roman" w:hAnsi="Times New Roman" w:cs="Times New Roman" w:eastAsia="Times New Roman" w:hint="default"/>
        </w:rPr>
        <w:t>2,330</w:t>
      </w:r>
      <w:r>
        <w:rPr/>
        <w:t>万元人民币。本次增资完成后，同位素的注册资本将增至</w:t>
      </w:r>
      <w:r>
        <w:rPr>
          <w:rFonts w:ascii="Times New Roman" w:hAnsi="Times New Roman" w:cs="Times New Roman" w:eastAsia="Times New Roman" w:hint="default"/>
        </w:rPr>
        <w:t>2,830</w:t>
      </w:r>
      <w:r>
        <w:rPr/>
        <w:t>万</w:t>
      </w:r>
      <w:r>
        <w:rPr>
          <w:spacing w:val="5"/>
        </w:rPr>
        <w:t> </w:t>
      </w:r>
      <w:r>
        <w:rPr>
          <w:spacing w:val="-7"/>
        </w:rPr>
        <w:t>的《关于全资子公司增资完成工商变更登记的公告》）</w:t>
      </w:r>
      <w:r>
        <w:rPr/>
      </w:r>
    </w:p>
    <w:p>
      <w:pPr>
        <w:spacing w:after="0" w:line="240" w:lineRule="auto"/>
        <w:jc w:val="left"/>
        <w:sectPr>
          <w:type w:val="continuous"/>
          <w:pgSz w:w="11910" w:h="16840"/>
          <w:pgMar w:top="1060" w:bottom="1160" w:left="0" w:right="0"/>
          <w:cols w:num="2" w:equalWidth="0">
            <w:col w:w="2023" w:space="40"/>
            <w:col w:w="9847"/>
          </w:cols>
        </w:sectPr>
      </w:pPr>
    </w:p>
    <w:p>
      <w:pPr>
        <w:pStyle w:val="BodyText"/>
        <w:tabs>
          <w:tab w:pos="7624" w:val="left" w:leader="none"/>
        </w:tabs>
        <w:spacing w:line="170" w:lineRule="exact"/>
        <w:ind w:left="2044" w:right="0"/>
        <w:jc w:val="left"/>
      </w:pPr>
      <w:r>
        <w:rPr/>
        <w:t>元人民币</w:t>
        <w:tab/>
        <w:t>公告编号</w:t>
      </w:r>
      <w:r>
        <w:rPr>
          <w:rFonts w:ascii="Times New Roman" w:hAnsi="Times New Roman" w:cs="Times New Roman" w:eastAsia="Times New Roman" w:hint="default"/>
        </w:rPr>
        <w:t>2017-038</w:t>
      </w:r>
      <w:r>
        <w:rPr/>
        <w:t>号）</w:t>
      </w:r>
    </w:p>
    <w:p>
      <w:pPr>
        <w:spacing w:after="0" w:line="170" w:lineRule="exact"/>
        <w:jc w:val="left"/>
        <w:sectPr>
          <w:type w:val="continuous"/>
          <w:pgSz w:w="11910" w:h="16840"/>
          <w:pgMar w:top="1060" w:bottom="1160" w:left="0" w:right="0"/>
        </w:sectPr>
      </w:pPr>
    </w:p>
    <w:p>
      <w:pPr>
        <w:spacing w:line="240" w:lineRule="auto" w:before="5"/>
        <w:rPr>
          <w:rFonts w:ascii="宋体" w:hAnsi="宋体" w:cs="宋体" w:eastAsia="宋体" w:hint="default"/>
          <w:sz w:val="19"/>
          <w:szCs w:val="19"/>
        </w:rPr>
      </w:pPr>
    </w:p>
    <w:p>
      <w:pPr>
        <w:pStyle w:val="BodyText"/>
        <w:spacing w:line="212" w:lineRule="exact"/>
        <w:ind w:left="603" w:right="-18"/>
        <w:jc w:val="left"/>
      </w:pPr>
      <w:r>
        <w:rPr/>
        <w:t>广</w:t>
      </w:r>
      <w:r>
        <w:rPr>
          <w:spacing w:val="-64"/>
        </w:rPr>
        <w:t> </w:t>
      </w:r>
      <w:r>
        <w:rPr/>
        <w:t>州</w:t>
      </w:r>
      <w:r>
        <w:rPr>
          <w:spacing w:val="-64"/>
        </w:rPr>
        <w:t> </w:t>
      </w:r>
      <w:r>
        <w:rPr/>
        <w:t>十</w:t>
      </w:r>
      <w:r>
        <w:rPr>
          <w:spacing w:val="-64"/>
        </w:rPr>
        <w:t> </w:t>
      </w:r>
      <w:r>
        <w:rPr/>
        <w:t>方</w:t>
      </w:r>
      <w:r>
        <w:rPr>
          <w:spacing w:val="-64"/>
        </w:rPr>
        <w:t> </w:t>
      </w:r>
      <w:r>
        <w:rPr/>
        <w:t>软</w:t>
      </w:r>
      <w:r>
        <w:rPr>
          <w:spacing w:val="-63"/>
        </w:rPr>
        <w:t> </w:t>
      </w:r>
      <w:r>
        <w:rPr/>
        <w:t>件</w:t>
      </w:r>
      <w:r>
        <w:rPr>
          <w:spacing w:val="-64"/>
        </w:rPr>
        <w:t> </w:t>
      </w:r>
      <w:r>
        <w:rPr/>
        <w:t>科</w:t>
      </w:r>
    </w:p>
    <w:p>
      <w:pPr>
        <w:pStyle w:val="BodyText"/>
        <w:spacing w:line="240" w:lineRule="auto" w:before="97"/>
        <w:ind w:left="-19" w:right="0"/>
        <w:jc w:val="left"/>
      </w:pPr>
      <w:r>
        <w:rPr>
          <w:spacing w:val="4"/>
        </w:rPr>
        <w:br w:type="column"/>
      </w:r>
      <w:r>
        <w:rPr>
          <w:spacing w:val="4"/>
        </w:rPr>
        <w:t>公司将通过固定资产及货币资金出资方式设立全资子公司广州十方软</w:t>
      </w:r>
      <w:r>
        <w:rPr>
          <w:spacing w:val="-36"/>
        </w:rPr>
        <w:t> </w:t>
      </w:r>
      <w:r>
        <w:rPr>
          <w:spacing w:val="-2"/>
        </w:rPr>
        <w:t>具体内容详见巨潮资讯网（</w:t>
      </w:r>
      <w:r>
        <w:rPr>
          <w:rFonts w:ascii="Times New Roman" w:hAnsi="Times New Roman" w:cs="Times New Roman" w:eastAsia="Times New Roman" w:hint="default"/>
          <w:spacing w:val="-2"/>
        </w:rPr>
        <w:t>http://www.cninfo,.com.cn</w:t>
      </w:r>
      <w:r>
        <w:rPr>
          <w:spacing w:val="-2"/>
        </w:rPr>
        <w:t>）</w:t>
      </w:r>
    </w:p>
    <w:p>
      <w:pPr>
        <w:spacing w:after="0" w:line="240" w:lineRule="auto"/>
        <w:jc w:val="left"/>
        <w:sectPr>
          <w:type w:val="continuous"/>
          <w:pgSz w:w="11910" w:h="16840"/>
          <w:pgMar w:top="1060" w:bottom="1160" w:left="0" w:right="0"/>
          <w:cols w:num="2" w:equalWidth="0">
            <w:col w:w="2023" w:space="40"/>
            <w:col w:w="9847"/>
          </w:cols>
        </w:sectPr>
      </w:pPr>
    </w:p>
    <w:p>
      <w:pPr>
        <w:pStyle w:val="BodyText"/>
        <w:spacing w:line="240" w:lineRule="auto" w:before="100"/>
        <w:ind w:left="603" w:right="-20"/>
        <w:jc w:val="left"/>
      </w:pPr>
      <w:r>
        <w:rPr/>
        <w:t>技有限公司</w:t>
      </w:r>
    </w:p>
    <w:p>
      <w:pPr>
        <w:pStyle w:val="BodyText"/>
        <w:spacing w:line="194" w:lineRule="exact"/>
        <w:ind w:left="500" w:right="-20"/>
        <w:jc w:val="left"/>
      </w:pPr>
      <w:r>
        <w:rPr/>
        <w:br w:type="column"/>
      </w:r>
      <w:r>
        <w:rPr/>
        <w:t>件科技有限公司，注册资本为人民币</w:t>
      </w:r>
      <w:r>
        <w:rPr>
          <w:rFonts w:ascii="Times New Roman" w:hAnsi="Times New Roman" w:cs="Times New Roman" w:eastAsia="Times New Roman" w:hint="default"/>
        </w:rPr>
        <w:t>2,500</w:t>
      </w:r>
      <w:r>
        <w:rPr/>
        <w:t>万元人民币</w:t>
      </w:r>
    </w:p>
    <w:p>
      <w:pPr>
        <w:pStyle w:val="BodyText"/>
        <w:spacing w:line="180" w:lineRule="exact"/>
        <w:ind w:left="603" w:right="0"/>
        <w:jc w:val="left"/>
      </w:pPr>
      <w:r>
        <w:rPr/>
        <w:br w:type="column"/>
      </w:r>
      <w:r>
        <w:rPr/>
        <w:t>的《关于全资子公司完成工商注册登记的公告）公告</w:t>
      </w:r>
    </w:p>
    <w:p>
      <w:pPr>
        <w:pStyle w:val="BodyText"/>
        <w:spacing w:line="240" w:lineRule="auto" w:before="76"/>
        <w:ind w:left="603" w:right="0"/>
        <w:jc w:val="left"/>
      </w:pPr>
      <w:r>
        <w:rPr/>
        <w:t>编号</w:t>
      </w:r>
      <w:r>
        <w:rPr>
          <w:rFonts w:ascii="Times New Roman" w:hAnsi="Times New Roman" w:cs="Times New Roman" w:eastAsia="Times New Roman" w:hint="default"/>
        </w:rPr>
        <w:t>2017-039</w:t>
      </w:r>
      <w:r>
        <w:rPr/>
        <w:t>号）</w:t>
      </w:r>
    </w:p>
    <w:p>
      <w:pPr>
        <w:spacing w:after="0" w:line="240" w:lineRule="auto"/>
        <w:jc w:val="left"/>
        <w:sectPr>
          <w:type w:val="continuous"/>
          <w:pgSz w:w="11910" w:h="16840"/>
          <w:pgMar w:top="1060" w:bottom="1160" w:left="0" w:right="0"/>
          <w:cols w:num="3" w:equalWidth="0">
            <w:col w:w="1504" w:space="40"/>
            <w:col w:w="4686" w:space="791"/>
            <w:col w:w="4889"/>
          </w:cols>
        </w:sectPr>
      </w:pPr>
    </w:p>
    <w:p>
      <w:pPr>
        <w:pStyle w:val="BodyText"/>
        <w:spacing w:line="240" w:lineRule="auto" w:before="97"/>
        <w:ind w:left="2044" w:right="0"/>
        <w:jc w:val="left"/>
      </w:pPr>
      <w:r>
        <w:rPr>
          <w:spacing w:val="2"/>
        </w:rPr>
        <w:t>公司以自有资金</w:t>
      </w:r>
      <w:r>
        <w:rPr>
          <w:rFonts w:ascii="Times New Roman" w:hAnsi="Times New Roman" w:cs="Times New Roman" w:eastAsia="Times New Roman" w:hint="default"/>
        </w:rPr>
        <w:t>10</w:t>
      </w:r>
      <w:r>
        <w:rPr>
          <w:rFonts w:ascii="Times New Roman" w:hAnsi="Times New Roman" w:cs="Times New Roman" w:eastAsia="Times New Roman" w:hint="default"/>
          <w:spacing w:val="2"/>
        </w:rPr>
        <w:t>0</w:t>
      </w:r>
      <w:r>
        <w:rPr>
          <w:spacing w:val="2"/>
        </w:rPr>
        <w:t>万元人民币投资设立了全资子公司广州御联软件</w:t>
      </w:r>
      <w:r>
        <w:rPr>
          <w:spacing w:val="20"/>
        </w:rPr>
        <w:t>有</w:t>
      </w:r>
      <w:r>
        <w:rPr/>
        <w:t>具体内容详见巨潮资讯</w:t>
      </w:r>
      <w:r>
        <w:rPr>
          <w:spacing w:val="-58"/>
        </w:rPr>
        <w:t>网</w:t>
      </w:r>
      <w:r>
        <w:rPr/>
        <w:t>（</w:t>
      </w:r>
      <w:r>
        <w:rPr>
          <w:rFonts w:ascii="Times New Roman" w:hAnsi="Times New Roman" w:cs="Times New Roman" w:eastAsia="Times New Roman" w:hint="default"/>
        </w:rPr>
        <w:t>http://</w:t>
      </w:r>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w w:val="99"/>
        </w:rPr>
        <w:t>w.c</w:t>
      </w:r>
      <w:r>
        <w:rPr>
          <w:rFonts w:ascii="Times New Roman" w:hAnsi="Times New Roman" w:cs="Times New Roman" w:eastAsia="Times New Roman" w:hint="default"/>
          <w:w w:val="99"/>
        </w:rPr>
        <w:t>ninf</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com.c</w:t>
      </w:r>
      <w:r>
        <w:rPr>
          <w:rFonts w:ascii="Times New Roman" w:hAnsi="Times New Roman" w:cs="Times New Roman" w:eastAsia="Times New Roman" w:hint="default"/>
          <w:spacing w:val="1"/>
          <w:w w:val="99"/>
        </w:rPr>
        <w:t>n</w:t>
      </w:r>
      <w:r>
        <w:rPr>
          <w:w w:val="99"/>
        </w:rPr>
        <w:t>）</w:t>
      </w:r>
      <w:r>
        <w:rPr/>
      </w:r>
    </w:p>
    <w:p>
      <w:pPr>
        <w:spacing w:after="0" w:line="240" w:lineRule="auto"/>
        <w:jc w:val="left"/>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pStyle w:val="BodyText"/>
        <w:spacing w:line="240" w:lineRule="auto" w:before="157"/>
        <w:ind w:left="603" w:right="-18"/>
        <w:jc w:val="left"/>
      </w:pPr>
      <w:r>
        <w:rPr/>
        <w:t>广</w:t>
      </w:r>
      <w:r>
        <w:rPr>
          <w:spacing w:val="-64"/>
        </w:rPr>
        <w:t> </w:t>
      </w:r>
      <w:r>
        <w:rPr/>
        <w:t>州</w:t>
      </w:r>
      <w:r>
        <w:rPr>
          <w:spacing w:val="-64"/>
        </w:rPr>
        <w:t> </w:t>
      </w:r>
      <w:r>
        <w:rPr/>
        <w:t>御</w:t>
      </w:r>
      <w:r>
        <w:rPr>
          <w:spacing w:val="-64"/>
        </w:rPr>
        <w:t> </w:t>
      </w:r>
      <w:r>
        <w:rPr/>
        <w:t>联</w:t>
      </w:r>
      <w:r>
        <w:rPr>
          <w:spacing w:val="-64"/>
        </w:rPr>
        <w:t> </w:t>
      </w:r>
      <w:r>
        <w:rPr/>
        <w:t>软</w:t>
      </w:r>
      <w:r>
        <w:rPr>
          <w:spacing w:val="-63"/>
        </w:rPr>
        <w:t> </w:t>
      </w:r>
      <w:r>
        <w:rPr/>
        <w:t>件</w:t>
      </w:r>
      <w:r>
        <w:rPr>
          <w:spacing w:val="-64"/>
        </w:rPr>
        <w:t> </w:t>
      </w:r>
      <w:r>
        <w:rPr/>
        <w:t>有</w:t>
      </w:r>
    </w:p>
    <w:p>
      <w:pPr>
        <w:pStyle w:val="BodyText"/>
        <w:spacing w:line="240" w:lineRule="auto" w:before="63"/>
        <w:ind w:left="-19" w:right="-20"/>
        <w:jc w:val="left"/>
      </w:pPr>
      <w:r>
        <w:rPr/>
        <w:br w:type="column"/>
      </w:r>
      <w:r>
        <w:rPr/>
        <w:t>限公司，持有其</w:t>
      </w:r>
      <w:r>
        <w:rPr>
          <w:rFonts w:ascii="Times New Roman" w:hAnsi="Times New Roman" w:cs="Times New Roman" w:eastAsia="Times New Roman" w:hint="default"/>
        </w:rPr>
        <w:t>100%</w:t>
      </w:r>
      <w:r>
        <w:rPr/>
        <w:t>股权</w:t>
      </w:r>
    </w:p>
    <w:p>
      <w:pPr>
        <w:pStyle w:val="BodyText"/>
        <w:spacing w:line="316" w:lineRule="auto" w:before="63"/>
        <w:ind w:left="603" w:right="149"/>
        <w:jc w:val="left"/>
      </w:pPr>
      <w:r>
        <w:rPr>
          <w:spacing w:val="7"/>
        </w:rPr>
        <w:br w:type="column"/>
      </w:r>
      <w:r>
        <w:rPr>
          <w:spacing w:val="7"/>
        </w:rPr>
        <w:t>的《关于投资设立子公司并完成工商注册登记的公</w:t>
      </w:r>
      <w:r>
        <w:rPr>
          <w:spacing w:val="-80"/>
        </w:rPr>
        <w:t> </w:t>
      </w:r>
      <w:r>
        <w:rPr>
          <w:spacing w:val="-80"/>
        </w:rPr>
      </w:r>
      <w:r>
        <w:rPr/>
        <w:t>告》）公告编号</w:t>
      </w:r>
      <w:r>
        <w:rPr>
          <w:rFonts w:ascii="Times New Roman" w:hAnsi="Times New Roman" w:cs="Times New Roman" w:eastAsia="Times New Roman" w:hint="default"/>
        </w:rPr>
        <w:t>2017-046</w:t>
      </w:r>
      <w:r>
        <w:rPr/>
        <w:t>号）</w:t>
      </w:r>
    </w:p>
    <w:p>
      <w:pPr>
        <w:spacing w:after="0" w:line="316" w:lineRule="auto"/>
        <w:jc w:val="left"/>
        <w:sectPr>
          <w:type w:val="continuous"/>
          <w:pgSz w:w="11910" w:h="16840"/>
          <w:pgMar w:top="1060" w:bottom="1160" w:left="0" w:right="0"/>
          <w:cols w:num="3" w:equalWidth="0">
            <w:col w:w="2023" w:space="40"/>
            <w:col w:w="2022" w:space="2936"/>
            <w:col w:w="4889"/>
          </w:cols>
        </w:sectPr>
      </w:pPr>
    </w:p>
    <w:p>
      <w:pPr>
        <w:pStyle w:val="BodyText"/>
        <w:tabs>
          <w:tab w:pos="2043" w:val="left" w:leader="none"/>
        </w:tabs>
        <w:spacing w:line="240" w:lineRule="auto" w:before="15"/>
        <w:ind w:left="603" w:right="0"/>
        <w:jc w:val="left"/>
      </w:pPr>
      <w:r>
        <w:rPr>
          <w:position w:val="2"/>
        </w:rPr>
        <w:t>限公司</w:t>
        <w:tab/>
      </w:r>
      <w:r>
        <w:rPr>
          <w:spacing w:val="-2"/>
        </w:rPr>
        <w:t>公司通过现金出资方式对全资子公司御联软件增资</w:t>
      </w:r>
      <w:r>
        <w:rPr>
          <w:rFonts w:ascii="Times New Roman" w:hAnsi="Times New Roman" w:cs="Times New Roman" w:eastAsia="Times New Roman" w:hint="default"/>
          <w:spacing w:val="-2"/>
        </w:rPr>
        <w:t>1,000</w:t>
      </w:r>
      <w:r>
        <w:rPr>
          <w:spacing w:val="-2"/>
        </w:rPr>
        <w:t>万元人民币。本</w:t>
      </w:r>
      <w:r>
        <w:rPr>
          <w:spacing w:val="-53"/>
        </w:rPr>
        <w:t> </w:t>
      </w:r>
      <w:r>
        <w:rPr>
          <w:spacing w:val="-2"/>
        </w:rPr>
        <w:t>具体内容详见巨潮资讯网（</w:t>
      </w:r>
      <w:r>
        <w:rPr>
          <w:rFonts w:ascii="Times New Roman" w:hAnsi="Times New Roman" w:cs="Times New Roman" w:eastAsia="Times New Roman" w:hint="default"/>
          <w:spacing w:val="-2"/>
        </w:rPr>
        <w:t>http://www.cninfo,.com.cn</w:t>
      </w:r>
      <w:r>
        <w:rPr>
          <w:spacing w:val="-2"/>
        </w:rPr>
        <w:t>）</w:t>
      </w:r>
    </w:p>
    <w:p>
      <w:pPr>
        <w:spacing w:after="0" w:line="240" w:lineRule="auto"/>
        <w:jc w:val="left"/>
        <w:sectPr>
          <w:type w:val="continuous"/>
          <w:pgSz w:w="11910" w:h="16840"/>
          <w:pgMar w:top="1060" w:bottom="1160" w:left="0" w:right="0"/>
        </w:sectPr>
      </w:pPr>
    </w:p>
    <w:p>
      <w:pPr>
        <w:pStyle w:val="BodyText"/>
        <w:spacing w:line="240" w:lineRule="auto" w:before="63"/>
        <w:ind w:left="2044" w:right="0"/>
        <w:jc w:val="left"/>
      </w:pPr>
      <w:r>
        <w:rPr>
          <w:spacing w:val="-1"/>
        </w:rPr>
        <w:t>次增资完成后，其注册资本将增至</w:t>
      </w:r>
      <w:r>
        <w:rPr>
          <w:rFonts w:ascii="Times New Roman" w:hAnsi="Times New Roman" w:cs="Times New Roman" w:eastAsia="Times New Roman" w:hint="default"/>
          <w:spacing w:val="-1"/>
        </w:rPr>
        <w:t>1,100</w:t>
      </w:r>
      <w:r>
        <w:rPr>
          <w:spacing w:val="-1"/>
        </w:rPr>
        <w:t>万元人民币。</w:t>
      </w:r>
    </w:p>
    <w:p>
      <w:pPr>
        <w:pStyle w:val="BodyText"/>
        <w:spacing w:line="316" w:lineRule="auto" w:before="63"/>
        <w:ind w:left="1355" w:right="149"/>
        <w:jc w:val="left"/>
      </w:pPr>
      <w:r>
        <w:rPr>
          <w:spacing w:val="7"/>
        </w:rPr>
        <w:br w:type="column"/>
      </w:r>
      <w:r>
        <w:rPr>
          <w:spacing w:val="7"/>
        </w:rPr>
        <w:t>的《关于全资子公司增资并完成工商变更登记的公</w:t>
      </w:r>
      <w:r>
        <w:rPr>
          <w:spacing w:val="-80"/>
        </w:rPr>
        <w:t> </w:t>
      </w:r>
      <w:r>
        <w:rPr>
          <w:spacing w:val="-80"/>
        </w:rPr>
      </w:r>
      <w:r>
        <w:rPr/>
        <w:t>告》）公告编号</w:t>
      </w:r>
      <w:r>
        <w:rPr>
          <w:rFonts w:ascii="Times New Roman" w:hAnsi="Times New Roman" w:cs="Times New Roman" w:eastAsia="Times New Roman" w:hint="default"/>
        </w:rPr>
        <w:t>2017-053</w:t>
      </w:r>
      <w:r>
        <w:rPr/>
        <w:t>号）</w:t>
      </w:r>
    </w:p>
    <w:p>
      <w:pPr>
        <w:spacing w:after="0" w:line="316" w:lineRule="auto"/>
        <w:jc w:val="left"/>
        <w:sectPr>
          <w:type w:val="continuous"/>
          <w:pgSz w:w="11910" w:h="16840"/>
          <w:pgMar w:top="1060" w:bottom="1160" w:left="0" w:right="0"/>
          <w:cols w:num="2" w:equalWidth="0">
            <w:col w:w="6229" w:space="40"/>
            <w:col w:w="564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99"/>
      <w:bookmarkEnd w:id="99"/>
      <w:r>
        <w:rPr>
          <w:b w:val="0"/>
          <w:bCs w:val="0"/>
        </w:rPr>
      </w:r>
      <w:bookmarkStart w:name="_bookmark4" w:id="100"/>
      <w:bookmarkEnd w:id="100"/>
      <w:r>
        <w:rPr>
          <w:b w:val="0"/>
          <w:bCs w:val="0"/>
        </w:rPr>
      </w:r>
      <w:r>
        <w:rPr/>
        <w:t>第六节</w:t>
      </w:r>
      <w:r>
        <w:rPr>
          <w:spacing w:val="-9"/>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600" w:type="dxa"/>
        <w:tblLayout w:type="fixed"/>
        <w:tblCellMar>
          <w:top w:w="0" w:type="dxa"/>
          <w:left w:w="0" w:type="dxa"/>
          <w:bottom w:w="0" w:type="dxa"/>
          <w:right w:w="0" w:type="dxa"/>
        </w:tblCellMar>
        <w:tblLook w:val="01E0"/>
      </w:tblPr>
      <w:tblGrid>
        <w:gridCol w:w="1958"/>
        <w:gridCol w:w="1124"/>
        <w:gridCol w:w="850"/>
        <w:gridCol w:w="851"/>
        <w:gridCol w:w="568"/>
        <w:gridCol w:w="991"/>
        <w:gridCol w:w="1061"/>
        <w:gridCol w:w="1112"/>
        <w:gridCol w:w="1376"/>
        <w:gridCol w:w="900"/>
      </w:tblGrid>
      <w:tr>
        <w:trPr>
          <w:trHeight w:val="206" w:hRule="exact"/>
        </w:trPr>
        <w:tc>
          <w:tcPr>
            <w:tcW w:w="1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9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958" w:type="dxa"/>
            <w:vMerge w:val="restart"/>
            <w:tcBorders>
              <w:top w:val="nil" w:sz="6" w:space="0" w:color="auto"/>
              <w:left w:val="single" w:sz="4" w:space="0" w:color="000000"/>
              <w:right w:val="single" w:sz="4" w:space="0" w:color="000000"/>
            </w:tcBorders>
            <w:shd w:val="clear" w:color="auto" w:fill="D2D2D2"/>
          </w:tcPr>
          <w:p>
            <w:pPr/>
          </w:p>
        </w:tc>
        <w:tc>
          <w:tcPr>
            <w:tcW w:w="1973" w:type="dxa"/>
            <w:gridSpan w:val="2"/>
            <w:vMerge/>
            <w:tcBorders>
              <w:left w:val="single" w:sz="4" w:space="0" w:color="000000"/>
              <w:bottom w:val="single" w:sz="4" w:space="0" w:color="000000"/>
              <w:right w:val="single" w:sz="4" w:space="0" w:color="000000"/>
            </w:tcBorders>
            <w:shd w:val="clear" w:color="auto" w:fill="D2D2D2"/>
          </w:tcPr>
          <w:p>
            <w:pPr/>
          </w:p>
        </w:tc>
        <w:tc>
          <w:tcPr>
            <w:tcW w:w="4582" w:type="dxa"/>
            <w:gridSpan w:val="5"/>
            <w:vMerge/>
            <w:tcBorders>
              <w:left w:val="single" w:sz="4" w:space="0" w:color="000000"/>
              <w:bottom w:val="single" w:sz="4" w:space="0" w:color="000000"/>
              <w:right w:val="single" w:sz="4" w:space="0" w:color="000000"/>
            </w:tcBorders>
            <w:shd w:val="clear" w:color="auto" w:fill="D2D2D2"/>
          </w:tcPr>
          <w:p>
            <w:pPr/>
          </w:p>
        </w:tc>
        <w:tc>
          <w:tcPr>
            <w:tcW w:w="227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58" w:type="dxa"/>
            <w:vMerge/>
            <w:tcBorders>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12"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139,034,857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18.26%</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-22,362,937</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-22,362,937</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116,671,920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w:t>
            </w: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139,034,857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18.26%</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-22,362,937</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-22,362,937</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116,671,920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w:t>
            </w: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139,034,857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18.26%</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-22,362,937</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-22,362,937</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116,671,920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w:t>
            </w: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622,156,437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81.73%</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22,362,937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22,362,937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644,519,374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84.67%</w:t>
            </w: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622,156,437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81.73%</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22,362,937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22,362,937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644,519,374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84.67%</w:t>
            </w: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761,191,294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761,191,294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股份变动的原因</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本次股份变动的原因系董事、监事及高管的限售股在本期按规定自动进行解锁、买卖所致，董事、监事及高管所持股份的解</w:t>
      </w:r>
      <w:r>
        <w:rPr>
          <w:spacing w:val="-66"/>
        </w:rPr>
        <w:t> </w:t>
      </w:r>
      <w:r>
        <w:rPr>
          <w:spacing w:val="-66"/>
        </w:rPr>
      </w:r>
      <w:r>
        <w:rPr/>
        <w:t>锁及买卖情况按照中国证监会的相关规定执行。</w:t>
      </w:r>
    </w:p>
    <w:p>
      <w:pPr>
        <w:pStyle w:val="BodyText"/>
        <w:spacing w:line="240" w:lineRule="auto" w:before="50"/>
        <w:ind w:right="0"/>
        <w:jc w:val="left"/>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949" w:type="dxa"/>
        <w:tblLayout w:type="fixed"/>
        <w:tblCellMar>
          <w:top w:w="0" w:type="dxa"/>
          <w:left w:w="0" w:type="dxa"/>
          <w:bottom w:w="0" w:type="dxa"/>
          <w:right w:w="0" w:type="dxa"/>
        </w:tblCellMar>
        <w:tblLook w:val="01E0"/>
      </w:tblPr>
      <w:tblGrid>
        <w:gridCol w:w="1080"/>
        <w:gridCol w:w="1440"/>
        <w:gridCol w:w="1620"/>
        <w:gridCol w:w="1510"/>
        <w:gridCol w:w="1368"/>
        <w:gridCol w:w="1367"/>
        <w:gridCol w:w="1696"/>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1"/>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139,034,857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22,362,937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116,671,920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高管离职锁定</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139,034,857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22,362,937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116,671,920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1418"/>
        <w:gridCol w:w="863"/>
        <w:gridCol w:w="409"/>
        <w:gridCol w:w="1080"/>
        <w:gridCol w:w="349"/>
        <w:gridCol w:w="552"/>
        <w:gridCol w:w="191"/>
        <w:gridCol w:w="889"/>
        <w:gridCol w:w="1080"/>
        <w:gridCol w:w="529"/>
        <w:gridCol w:w="203"/>
        <w:gridCol w:w="349"/>
        <w:gridCol w:w="1164"/>
        <w:gridCol w:w="850"/>
        <w:gridCol w:w="855"/>
        <w:gridCol w:w="192"/>
      </w:tblGrid>
      <w:tr>
        <w:trPr>
          <w:trHeight w:val="71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6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99,761</w:t>
            </w:r>
          </w:p>
        </w:tc>
        <w:tc>
          <w:tcPr>
            <w:tcW w:w="183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743"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98,892</w:t>
            </w:r>
          </w:p>
        </w:tc>
        <w:tc>
          <w:tcPr>
            <w:tcW w:w="24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报告期末表决权恢复的优先股 </w:t>
            </w:r>
            <w:r>
              <w:rPr>
                <w:rFonts w:ascii="宋体" w:hAnsi="宋体" w:cs="宋体" w:eastAsia="宋体" w:hint="default"/>
                <w:spacing w:val="-8"/>
                <w:sz w:val="18"/>
                <w:szCs w:val="18"/>
              </w:rPr>
              <w:t>股东总数（如有）（参见注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0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0</w:t>
            </w:r>
          </w:p>
        </w:tc>
        <w:tc>
          <w:tcPr>
            <w:tcW w:w="32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年度报告披露日前上一月末表决权恢复 </w:t>
            </w:r>
            <w:r>
              <w:rPr>
                <w:rFonts w:ascii="宋体" w:hAnsi="宋体" w:cs="宋体" w:eastAsia="宋体" w:hint="default"/>
                <w:spacing w:val="-6"/>
                <w:sz w:val="18"/>
                <w:szCs w:val="18"/>
              </w:rPr>
              <w:t>的优先股股东总数（如有）（参见注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109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690" w:type="dxa"/>
            <w:gridSpan w:val="3"/>
            <w:vMerge w:val="restart"/>
            <w:tcBorders>
              <w:top w:val="single" w:sz="4" w:space="0" w:color="000000"/>
              <w:left w:val="single" w:sz="4" w:space="0" w:color="000000"/>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
        </w:tc>
        <w:tc>
          <w:tcPr>
            <w:tcW w:w="900" w:type="dxa"/>
            <w:gridSpan w:val="2"/>
            <w:vMerge w:val="restart"/>
            <w:tcBorders>
              <w:top w:val="single" w:sz="4" w:space="0" w:color="000000"/>
              <w:left w:val="single" w:sz="4" w:space="0" w:color="000000"/>
              <w:right w:val="single" w:sz="4" w:space="0" w:color="000000"/>
            </w:tcBorders>
            <w:shd w:val="clear" w:color="auto" w:fill="D2D2D2"/>
          </w:tcPr>
          <w:p>
            <w:pPr/>
          </w:p>
        </w:tc>
        <w:tc>
          <w:tcPr>
            <w:tcW w:w="10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3" w:right="8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690" w:type="dxa"/>
            <w:gridSpan w:val="3"/>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900" w:type="dxa"/>
            <w:gridSpan w:val="2"/>
            <w:vMerge/>
            <w:tcBorders>
              <w:left w:val="single" w:sz="4" w:space="0" w:color="000000"/>
              <w:bottom w:val="nil" w:sz="6" w:space="0" w:color="auto"/>
              <w:right w:val="single" w:sz="4" w:space="0" w:color="000000"/>
            </w:tcBorders>
            <w:shd w:val="clear" w:color="auto" w:fill="D2D2D2"/>
          </w:tcPr>
          <w:p>
            <w:pPr/>
          </w:p>
        </w:tc>
        <w:tc>
          <w:tcPr>
            <w:tcW w:w="10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80" w:type="dxa"/>
            <w:gridSpan w:val="3"/>
            <w:vMerge/>
            <w:tcBorders>
              <w:left w:val="single" w:sz="4" w:space="0" w:color="000000"/>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6" w:right="36"/>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896" w:type="dxa"/>
            <w:gridSpan w:val="3"/>
            <w:vMerge/>
            <w:tcBorders>
              <w:left w:val="single" w:sz="4" w:space="0" w:color="000000"/>
              <w:right w:val="single" w:sz="4" w:space="0" w:color="000000"/>
            </w:tcBorders>
            <w:shd w:val="clear" w:color="auto" w:fill="D2D2D2"/>
          </w:tcPr>
          <w:p>
            <w:pPr/>
          </w:p>
        </w:tc>
      </w:tr>
      <w:tr>
        <w:trPr>
          <w:trHeight w:val="141" w:hRule="exact"/>
        </w:trPr>
        <w:tc>
          <w:tcPr>
            <w:tcW w:w="269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0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0" w:type="dxa"/>
            <w:gridSpan w:val="2"/>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080" w:type="dxa"/>
            <w:gridSpan w:val="3"/>
            <w:vMerge/>
            <w:tcBorders>
              <w:left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c>
          <w:tcPr>
            <w:tcW w:w="1896"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690" w:type="dxa"/>
            <w:gridSpan w:val="3"/>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900" w:type="dxa"/>
            <w:gridSpan w:val="2"/>
            <w:vMerge/>
            <w:tcBorders>
              <w:left w:val="single" w:sz="4" w:space="0" w:color="000000"/>
              <w:bottom w:val="nil" w:sz="6" w:space="0" w:color="auto"/>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080" w:type="dxa"/>
            <w:gridSpan w:val="3"/>
            <w:vMerge/>
            <w:tcBorders>
              <w:left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690" w:type="dxa"/>
            <w:gridSpan w:val="3"/>
            <w:vMerge w:val="restart"/>
            <w:tcBorders>
              <w:top w:val="nil" w:sz="6" w:space="0" w:color="auto"/>
              <w:left w:val="single" w:sz="4" w:space="0" w:color="000000"/>
              <w:right w:val="single" w:sz="4" w:space="0" w:color="000000"/>
            </w:tcBorders>
            <w:shd w:val="clear" w:color="auto" w:fill="D2D2D2"/>
          </w:tcPr>
          <w:p>
            <w:pPr/>
          </w:p>
        </w:tc>
        <w:tc>
          <w:tcPr>
            <w:tcW w:w="1080" w:type="dxa"/>
            <w:vMerge w:val="restart"/>
            <w:tcBorders>
              <w:top w:val="nil" w:sz="6" w:space="0" w:color="auto"/>
              <w:left w:val="single" w:sz="4" w:space="0" w:color="000000"/>
              <w:right w:val="single" w:sz="4" w:space="0" w:color="000000"/>
            </w:tcBorders>
            <w:shd w:val="clear" w:color="auto" w:fill="D2D2D2"/>
          </w:tcPr>
          <w:p>
            <w:pPr/>
          </w:p>
        </w:tc>
        <w:tc>
          <w:tcPr>
            <w:tcW w:w="900" w:type="dxa"/>
            <w:gridSpan w:val="2"/>
            <w:vMerge w:val="restart"/>
            <w:tcBorders>
              <w:top w:val="nil" w:sz="6" w:space="0" w:color="auto"/>
              <w:left w:val="single" w:sz="4" w:space="0" w:color="000000"/>
              <w:right w:val="single" w:sz="4" w:space="0" w:color="000000"/>
            </w:tcBorders>
            <w:shd w:val="clear" w:color="auto" w:fill="D2D2D2"/>
          </w:tcPr>
          <w:p>
            <w:pPr/>
          </w:p>
        </w:tc>
        <w:tc>
          <w:tcPr>
            <w:tcW w:w="1080" w:type="dxa"/>
            <w:gridSpan w:val="2"/>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1080" w:type="dxa"/>
            <w:gridSpan w:val="3"/>
            <w:vMerge/>
            <w:tcBorders>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47" w:type="dxa"/>
            <w:gridSpan w:val="2"/>
            <w:vMerge/>
            <w:tcBorders>
              <w:left w:val="single" w:sz="4" w:space="0" w:color="000000"/>
              <w:right w:val="single" w:sz="4" w:space="0" w:color="000000"/>
            </w:tcBorders>
            <w:shd w:val="clear" w:color="auto" w:fill="D2D2D2"/>
          </w:tcPr>
          <w:p>
            <w:pPr/>
          </w:p>
        </w:tc>
      </w:tr>
      <w:tr>
        <w:trPr>
          <w:trHeight w:val="161" w:hRule="exact"/>
        </w:trPr>
        <w:tc>
          <w:tcPr>
            <w:tcW w:w="2690" w:type="dxa"/>
            <w:gridSpan w:val="3"/>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900" w:type="dxa"/>
            <w:gridSpan w:val="2"/>
            <w:vMerge/>
            <w:tcBorders>
              <w:left w:val="single" w:sz="4" w:space="0" w:color="000000"/>
              <w:bottom w:val="single" w:sz="4" w:space="0" w:color="000000"/>
              <w:right w:val="single" w:sz="4" w:space="0" w:color="000000"/>
            </w:tcBorders>
            <w:shd w:val="clear" w:color="auto" w:fill="D2D2D2"/>
          </w:tcPr>
          <w:p>
            <w:pPr/>
          </w:p>
        </w:tc>
        <w:tc>
          <w:tcPr>
            <w:tcW w:w="10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gridSpan w:val="3"/>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47"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20.44%</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155,562,560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-2,817,250</w:t>
            </w:r>
            <w:r>
              <w:rPr>
                <w:rFonts w:ascii="Times New Roman"/>
                <w:sz w:val="18"/>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116,671,920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38,890,640</w:t>
            </w:r>
          </w:p>
        </w:tc>
        <w:tc>
          <w:tcPr>
            <w:tcW w:w="850" w:type="dxa"/>
            <w:tcBorders>
              <w:top w:val="single" w:sz="48" w:space="0" w:color="D2D2D2"/>
              <w:left w:val="single" w:sz="4" w:space="0" w:color="000000"/>
              <w:bottom w:val="single" w:sz="4" w:space="0" w:color="000000"/>
              <w:right w:val="single" w:sz="4" w:space="0" w:color="000000"/>
            </w:tcBorders>
          </w:tcPr>
          <w:p>
            <w:pPr>
              <w:pStyle w:val="TableParagraph"/>
              <w:spacing w:line="231" w:lineRule="exact"/>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7"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5"/>
              <w:ind w:left="113" w:right="0"/>
              <w:jc w:val="left"/>
              <w:rPr>
                <w:rFonts w:ascii="Times New Roman" w:hAnsi="Times New Roman" w:cs="Times New Roman" w:eastAsia="Times New Roman" w:hint="default"/>
                <w:sz w:val="18"/>
                <w:szCs w:val="18"/>
              </w:rPr>
            </w:pPr>
            <w:r>
              <w:rPr>
                <w:rFonts w:ascii="Times New Roman"/>
                <w:sz w:val="18"/>
              </w:rPr>
              <w:t>136,890,000</w:t>
            </w: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0.26%</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2,006,200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0.24%</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1,858,931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1,277,831</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0.21%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1,580,000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赵青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0.15%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1,115,750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-170,800</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程瑞芳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0.14%</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1,051,700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1,051,700</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屠麟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0.13%</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林水良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8" w:right="0"/>
              <w:jc w:val="left"/>
              <w:rPr>
                <w:rFonts w:ascii="Times New Roman" w:hAnsi="Times New Roman" w:cs="Times New Roman" w:eastAsia="Times New Roman" w:hint="default"/>
                <w:sz w:val="18"/>
                <w:szCs w:val="18"/>
              </w:rPr>
            </w:pPr>
            <w:r>
              <w:rPr>
                <w:rFonts w:ascii="Times New Roman"/>
                <w:sz w:val="18"/>
              </w:rPr>
              <w:t>0.11%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871,200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871,200</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领航投资澳洲有限公司－领航新 兴市场股指基金（交易所）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0.11%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817,028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蔡祖彬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8" w:right="0"/>
              <w:jc w:val="left"/>
              <w:rPr>
                <w:rFonts w:ascii="Times New Roman" w:hAnsi="Times New Roman" w:cs="Times New Roman" w:eastAsia="Times New Roman" w:hint="default"/>
                <w:sz w:val="18"/>
                <w:szCs w:val="18"/>
              </w:rPr>
            </w:pPr>
            <w:r>
              <w:rPr>
                <w:rFonts w:ascii="Times New Roman"/>
                <w:sz w:val="18"/>
              </w:rPr>
              <w:t>0.11%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807,652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435,752</w:t>
            </w:r>
          </w:p>
        </w:tc>
        <w:tc>
          <w:tcPr>
            <w:tcW w:w="1080" w:type="dxa"/>
            <w:gridSpan w:val="3"/>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7"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7"/>
                <w:sz w:val="18"/>
                <w:szCs w:val="18"/>
              </w:rPr>
              <w:t>股东的情况（如有）（参见注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2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7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2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公司未知前十名股东之间是否存在关联关系，也未知是否属于《上市公司股东持股变动信息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披露管理办法》中规定的一致行动人</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420" w:type="dxa"/>
        <w:tblLayout w:type="fixed"/>
        <w:tblCellMar>
          <w:top w:w="0" w:type="dxa"/>
          <w:left w:w="0" w:type="dxa"/>
          <w:bottom w:w="0" w:type="dxa"/>
          <w:right w:w="0" w:type="dxa"/>
        </w:tblCellMar>
        <w:tblLook w:val="01E0"/>
      </w:tblPr>
      <w:tblGrid>
        <w:gridCol w:w="4821"/>
        <w:gridCol w:w="2729"/>
        <w:gridCol w:w="1620"/>
        <w:gridCol w:w="1800"/>
      </w:tblGrid>
      <w:tr>
        <w:trPr>
          <w:trHeight w:val="402" w:hRule="exact"/>
        </w:trPr>
        <w:tc>
          <w:tcPr>
            <w:tcW w:w="109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4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68" w:right="98" w:hanging="117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 量</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4821" w:type="dxa"/>
            <w:vMerge/>
            <w:tcBorders>
              <w:left w:val="single" w:sz="4" w:space="0" w:color="000000"/>
              <w:bottom w:val="single" w:sz="4" w:space="0" w:color="000000"/>
              <w:right w:val="single" w:sz="4" w:space="0" w:color="000000"/>
            </w:tcBorders>
            <w:shd w:val="clear" w:color="auto" w:fill="D2D2D2"/>
          </w:tcPr>
          <w:p>
            <w:pPr/>
          </w:p>
        </w:tc>
        <w:tc>
          <w:tcPr>
            <w:tcW w:w="2729"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44"/>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38,890,640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38,890,640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2,006,200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王林</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1,858,931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1,858,931</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郑勇</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1,580,000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赵青</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1,115,750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1,115,750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程瑞芳</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1,051,700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1,051,700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屠麟</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林水良</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871,200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领航投资澳洲有限公司－领航新兴市场股指基金（交易所）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817,028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817,028</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蔡祖彬</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807,652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807,652</w:t>
            </w:r>
          </w:p>
        </w:tc>
      </w:tr>
      <w:tr>
        <w:trPr>
          <w:trHeight w:val="714"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615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公司未知前十名股东之间是否存在关联关系，也未知是否属于《上市公司股东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持股变动信息披露管理办法》中规定的一致行动人</w:t>
            </w:r>
          </w:p>
        </w:tc>
      </w:tr>
      <w:tr>
        <w:trPr>
          <w:trHeight w:val="2274"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5"/>
              <w:ind w:left="22" w:right="10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名普通股股东参与融资融券业务情况说明（如有）（参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1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公司股东王林通过信用交易担保证券账户持有本公司股票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202,431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w:t>
            </w:r>
          </w:p>
          <w:p>
            <w:pPr>
              <w:pStyle w:val="TableParagraph"/>
              <w:spacing w:line="300" w:lineRule="auto" w:before="63"/>
              <w:ind w:left="22" w:right="-3"/>
              <w:jc w:val="left"/>
              <w:rPr>
                <w:rFonts w:ascii="宋体" w:hAnsi="宋体" w:cs="宋体" w:eastAsia="宋体" w:hint="default"/>
                <w:sz w:val="18"/>
                <w:szCs w:val="18"/>
              </w:rPr>
            </w:pPr>
            <w:r>
              <w:rPr>
                <w:rFonts w:ascii="宋体" w:hAnsi="宋体" w:cs="宋体" w:eastAsia="宋体" w:hint="default"/>
                <w:sz w:val="18"/>
                <w:szCs w:val="18"/>
              </w:rPr>
              <w:t>通证券账户持有本公司股票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1,858,931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0.24%</w:t>
            </w:r>
            <w:r>
              <w:rPr>
                <w:rFonts w:ascii="宋体" w:hAnsi="宋体" w:cs="宋体" w:eastAsia="宋体" w:hint="default"/>
                <w:sz w:val="18"/>
                <w:szCs w:val="18"/>
              </w:rPr>
              <w:t>；公司股东赵青通过信用交易担保证券账户持有本公 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股，通过普通证券账户持有本公司股票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 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1,115,750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0.15%</w:t>
            </w:r>
            <w:r>
              <w:rPr>
                <w:rFonts w:ascii="宋体" w:hAnsi="宋体" w:cs="宋体" w:eastAsia="宋体" w:hint="default"/>
                <w:spacing w:val="-3"/>
                <w:sz w:val="18"/>
                <w:szCs w:val="18"/>
              </w:rPr>
              <w:t>；公司股东蔡祖彬通过信用</w:t>
            </w:r>
            <w:r>
              <w:rPr>
                <w:rFonts w:ascii="宋体" w:hAnsi="宋体" w:cs="宋体" w:eastAsia="宋体" w:hint="default"/>
                <w:sz w:val="18"/>
                <w:szCs w:val="18"/>
              </w:rPr>
              <w:t> 交易担保证券账户持有本公司股票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21,900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股，通过普通证券账户持有本公司股</w:t>
            </w:r>
          </w:p>
          <w:p>
            <w:pPr>
              <w:pStyle w:val="TableParagraph"/>
              <w:spacing w:line="240" w:lineRule="auto" w:before="1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785,752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股，合计持有本公司股票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807,652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股，占本公司总股本的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253"/>
        <w:gridCol w:w="389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56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3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56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3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6"/>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公司实际控制人情况" w:id="111"/>
      <w:bookmarkEnd w:id="11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3"/>
          <w:szCs w:val="23"/>
        </w:rPr>
      </w:pPr>
    </w:p>
    <w:p>
      <w:pPr>
        <w:spacing w:line="2873" w:lineRule="exact"/>
        <w:ind w:left="1577"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5555145" cy="182441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5555145" cy="1824418"/>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9"/>
        <w:rPr>
          <w:rFonts w:ascii="宋体" w:hAnsi="宋体" w:cs="宋体" w:eastAsia="宋体" w:hint="default"/>
          <w:sz w:val="25"/>
          <w:szCs w:val="25"/>
        </w:rPr>
      </w:pPr>
    </w:p>
    <w:p>
      <w:pPr>
        <w:pStyle w:val="BodyText"/>
        <w:spacing w:line="240" w:lineRule="auto"/>
        <w:ind w:left="1134"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七节 优先股相关情况" w:id="114"/>
      <w:bookmarkEnd w:id="114"/>
      <w:r>
        <w:rPr>
          <w:b w:val="0"/>
          <w:bCs w:val="0"/>
        </w:rPr>
      </w:r>
      <w:bookmarkStart w:name="_bookmark5" w:id="115"/>
      <w:bookmarkEnd w:id="11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6"/>
      <w:bookmarkEnd w:id="116"/>
      <w:r>
        <w:rPr>
          <w:b w:val="0"/>
          <w:bCs w:val="0"/>
        </w:rPr>
      </w:r>
      <w:bookmarkStart w:name="_bookmark6" w:id="117"/>
      <w:bookmarkEnd w:id="11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pict>
          <v:group style="position:absolute;margin-left:128.960007pt;margin-top:104.43560pt;width:26.55pt;height:7.8pt;mso-position-horizontal-relative:page;mso-position-vertical-relative:paragraph;z-index:-800824" coordorigin="2579,2089" coordsize="531,156">
            <v:shape style="position:absolute;left:2579;top:2089;width:531;height:156" coordorigin="2579,2089" coordsize="531,156" path="m2579,2245l3110,2245,3110,2089,2579,2089,2579,2245xe" filled="true" fillcolor="#ffffff" stroked="false">
              <v:path arrowok="t"/>
              <v:fill type="solid"/>
            </v:shape>
            <w10:wrap type="none"/>
          </v:group>
        </w:pict>
      </w: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420" w:type="dxa"/>
        <w:tblLayout w:type="fixed"/>
        <w:tblCellMar>
          <w:top w:w="0" w:type="dxa"/>
          <w:left w:w="0" w:type="dxa"/>
          <w:bottom w:w="0" w:type="dxa"/>
          <w:right w:w="0" w:type="dxa"/>
        </w:tblCellMar>
        <w:tblLook w:val="01E0"/>
      </w:tblPr>
      <w:tblGrid>
        <w:gridCol w:w="709"/>
        <w:gridCol w:w="1440"/>
        <w:gridCol w:w="540"/>
        <w:gridCol w:w="360"/>
        <w:gridCol w:w="360"/>
        <w:gridCol w:w="1620"/>
        <w:gridCol w:w="1620"/>
        <w:gridCol w:w="1006"/>
        <w:gridCol w:w="795"/>
        <w:gridCol w:w="900"/>
        <w:gridCol w:w="716"/>
        <w:gridCol w:w="992"/>
      </w:tblGrid>
      <w:tr>
        <w:trPr>
          <w:trHeight w:val="1025"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4" w:right="8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4" w:right="84"/>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4" w:right="84"/>
              <w:jc w:val="left"/>
              <w:rPr>
                <w:rFonts w:ascii="宋体" w:hAnsi="宋体" w:cs="宋体" w:eastAsia="宋体" w:hint="default"/>
                <w:sz w:val="18"/>
                <w:szCs w:val="18"/>
              </w:rPr>
            </w:pPr>
            <w:r>
              <w:rPr>
                <w:rFonts w:ascii="宋体" w:hAnsi="宋体" w:cs="宋体" w:eastAsia="宋体" w:hint="default"/>
                <w:sz w:val="18"/>
                <w:szCs w:val="18"/>
              </w:rPr>
              <w:t>年 龄</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 w:right="3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3" w:right="8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7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8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158,379,810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2,817,250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155,562,560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  骅</w:t>
            </w:r>
          </w:p>
        </w:tc>
        <w:tc>
          <w:tcPr>
            <w:tcW w:w="144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董事长；总经理； 董事会秘书</w:t>
            </w:r>
          </w:p>
        </w:tc>
        <w:tc>
          <w:tcPr>
            <w:tcW w:w="54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  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5"/>
              <w:jc w:val="righ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5"/>
              <w:jc w:val="righ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158,379,810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2,817,250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155,562,560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590"/>
        <w:gridCol w:w="398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590"/>
        <w:gridCol w:w="398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0"/>
      <w:bookmarkEnd w:id="12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6"/>
        <w:ind w:left="1493" w:right="0"/>
        <w:jc w:val="left"/>
      </w:pPr>
      <w:r>
        <w:rPr>
          <w:rFonts w:ascii="Times New Roman" w:hAnsi="Times New Roman" w:cs="Times New Roman" w:eastAsia="Times New Roman" w:hint="default"/>
        </w:rPr>
        <w:t>1</w:t>
      </w:r>
      <w:r>
        <w:rPr/>
        <w:t>、实际控制人</w:t>
      </w:r>
    </w:p>
    <w:p>
      <w:pPr>
        <w:pStyle w:val="BodyText"/>
        <w:spacing w:line="300" w:lineRule="auto" w:before="63"/>
        <w:ind w:right="1130" w:firstLine="360"/>
        <w:jc w:val="both"/>
      </w:pPr>
      <w:r>
        <w:rPr/>
        <w:t>（</w:t>
      </w:r>
      <w:r>
        <w:rPr>
          <w:rFonts w:ascii="Times New Roman" w:hAnsi="Times New Roman" w:cs="Times New Roman" w:eastAsia="Times New Roman" w:hint="default"/>
        </w:rPr>
        <w:t>1</w:t>
      </w:r>
      <w:r>
        <w:rPr/>
        <w:t>）杨文江先生：男，</w:t>
      </w:r>
      <w:r>
        <w:rPr>
          <w:rFonts w:ascii="Times New Roman" w:hAnsi="Times New Roman" w:cs="Times New Roman" w:eastAsia="Times New Roman" w:hint="default"/>
        </w:rPr>
        <w:t>1972</w:t>
      </w:r>
      <w:r>
        <w:rPr/>
        <w:t>年生，管理学硕士，公司创始人和控股股东。曾任广东省金安汽车工业制造有限公司副总 </w:t>
      </w:r>
      <w:r>
        <w:rPr>
          <w:spacing w:val="-2"/>
        </w:rPr>
        <w:t>经理、广州市宝龙特种汽车股份有限公司总经理。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日因个人原因辞去公司董事长、总经理职务，辞职后仍为公司</w:t>
      </w:r>
      <w:r>
        <w:rPr>
          <w:spacing w:val="-59"/>
        </w:rPr>
        <w:t> </w:t>
      </w:r>
      <w:r>
        <w:rPr>
          <w:spacing w:val="-59"/>
        </w:rPr>
      </w:r>
      <w:r>
        <w:rPr/>
        <w:t>实际控制人。</w:t>
      </w:r>
    </w:p>
    <w:p>
      <w:pPr>
        <w:pStyle w:val="BodyText"/>
        <w:spacing w:line="240" w:lineRule="auto" w:before="31"/>
        <w:ind w:left="1493" w:right="0"/>
        <w:jc w:val="left"/>
      </w:pPr>
      <w:r>
        <w:rPr>
          <w:rFonts w:ascii="Times New Roman" w:hAnsi="Times New Roman" w:cs="Times New Roman" w:eastAsia="Times New Roman" w:hint="default"/>
        </w:rPr>
        <w:t>2</w:t>
      </w:r>
      <w:r>
        <w:rPr/>
        <w:t>、董事</w:t>
      </w:r>
    </w:p>
    <w:p>
      <w:pPr>
        <w:pStyle w:val="BodyText"/>
        <w:spacing w:line="300" w:lineRule="auto" w:before="63"/>
        <w:ind w:left="1134" w:right="1141" w:firstLine="360"/>
        <w:jc w:val="both"/>
      </w:pPr>
      <w:r>
        <w:rPr/>
        <w:t>（</w:t>
      </w:r>
      <w:r>
        <w:rPr>
          <w:rFonts w:ascii="Times New Roman" w:hAnsi="Times New Roman" w:cs="Times New Roman" w:eastAsia="Times New Roman" w:hint="default"/>
        </w:rPr>
        <w:t>1</w:t>
      </w:r>
      <w:r>
        <w:rPr/>
        <w:t>）谭骅先生：男，</w:t>
      </w:r>
      <w:r>
        <w:rPr>
          <w:rFonts w:ascii="Times New Roman" w:hAnsi="Times New Roman" w:cs="Times New Roman" w:eastAsia="Times New Roman" w:hint="default"/>
        </w:rPr>
        <w:t>1972</w:t>
      </w:r>
      <w:r>
        <w:rPr/>
        <w:t>年生，武汉大学工商管理硕士，经济师。曾任职于中国农业银行，有丰富的金融投资及企业 管理经验。现任本公司董事长、总经理兼董事会秘书。</w:t>
      </w:r>
    </w:p>
    <w:p>
      <w:pPr>
        <w:pStyle w:val="BodyText"/>
        <w:spacing w:line="300" w:lineRule="auto" w:before="31"/>
        <w:ind w:left="1134" w:right="1141" w:firstLine="360"/>
        <w:jc w:val="both"/>
      </w:pPr>
      <w:r>
        <w:rPr/>
        <w:t>（</w:t>
      </w:r>
      <w:r>
        <w:rPr>
          <w:rFonts w:ascii="Times New Roman" w:hAnsi="Times New Roman" w:cs="Times New Roman" w:eastAsia="Times New Roman" w:hint="default"/>
        </w:rPr>
        <w:t>2</w:t>
      </w:r>
      <w:r>
        <w:rPr/>
        <w:t>）陈国军：男，</w:t>
      </w:r>
      <w:r>
        <w:rPr>
          <w:rFonts w:ascii="Times New Roman" w:hAnsi="Times New Roman" w:cs="Times New Roman" w:eastAsia="Times New Roman" w:hint="default"/>
        </w:rPr>
        <w:t>1978</w:t>
      </w:r>
      <w:r>
        <w:rPr/>
        <w:t>年生，本科学历，中国注册会计师。曾任中山大学达安基因股份有限公司财务主管，广东大地 电影院线有限公司财务经理。现任公司董事、财务总监。</w:t>
      </w:r>
    </w:p>
    <w:p>
      <w:pPr>
        <w:pStyle w:val="BodyText"/>
        <w:spacing w:line="240" w:lineRule="auto" w:before="31"/>
        <w:ind w:left="1494" w:right="0"/>
        <w:jc w:val="left"/>
      </w:pPr>
      <w:r>
        <w:rPr/>
        <w:t>（</w:t>
      </w:r>
      <w:r>
        <w:rPr>
          <w:rFonts w:ascii="Times New Roman" w:hAnsi="Times New Roman" w:cs="Times New Roman" w:eastAsia="Times New Roman" w:hint="default"/>
        </w:rPr>
        <w:t>3</w:t>
      </w:r>
      <w:r>
        <w:rPr/>
        <w:t>）梁行先生：男，</w:t>
      </w:r>
      <w:r>
        <w:rPr>
          <w:rFonts w:ascii="Times New Roman" w:hAnsi="Times New Roman" w:cs="Times New Roman" w:eastAsia="Times New Roman" w:hint="default"/>
        </w:rPr>
        <w:t>1973</w:t>
      </w:r>
      <w:r>
        <w:rPr/>
        <w:t>年生，本科学历。现任公司董事，广州市好易达家居网络科技有限公司首席执行官。</w:t>
      </w:r>
    </w:p>
    <w:p>
      <w:pPr>
        <w:pStyle w:val="BodyText"/>
        <w:spacing w:line="240" w:lineRule="auto" w:before="63"/>
        <w:ind w:left="1493" w:right="0"/>
        <w:jc w:val="left"/>
      </w:pPr>
      <w:r>
        <w:rPr/>
        <w:t>（</w:t>
      </w:r>
      <w:r>
        <w:rPr>
          <w:rFonts w:ascii="Times New Roman" w:hAnsi="Times New Roman" w:cs="Times New Roman" w:eastAsia="Times New Roman" w:hint="default"/>
        </w:rPr>
        <w:t>4</w:t>
      </w:r>
      <w:r>
        <w:rPr/>
        <w:t>）徐印州先生：男，</w:t>
      </w:r>
      <w:r>
        <w:rPr>
          <w:rFonts w:ascii="Times New Roman" w:hAnsi="Times New Roman" w:cs="Times New Roman" w:eastAsia="Times New Roman" w:hint="default"/>
        </w:rPr>
        <w:t>1946</w:t>
      </w:r>
      <w:r>
        <w:rPr/>
        <w:t>年出生，北京大学毕业。现任公司独立董事、广东财经大学教授。</w:t>
      </w:r>
    </w:p>
    <w:p>
      <w:pPr>
        <w:pStyle w:val="BodyText"/>
        <w:spacing w:line="312" w:lineRule="auto" w:before="63"/>
        <w:ind w:right="1131" w:firstLine="360"/>
        <w:jc w:val="both"/>
      </w:pPr>
      <w:r>
        <w:rPr>
          <w:spacing w:val="-2"/>
        </w:rPr>
        <w:t>（</w:t>
      </w:r>
      <w:r>
        <w:rPr>
          <w:rFonts w:ascii="Times New Roman" w:hAnsi="Times New Roman" w:cs="Times New Roman" w:eastAsia="Times New Roman" w:hint="default"/>
          <w:spacing w:val="-2"/>
        </w:rPr>
        <w:t>5</w:t>
      </w:r>
      <w:r>
        <w:rPr>
          <w:spacing w:val="-2"/>
        </w:rPr>
        <w:t>）刘国常先生：男，</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7</w:t>
      </w:r>
      <w:r>
        <w:rPr>
          <w:spacing w:val="-2"/>
        </w:rPr>
        <w:t>月出生，博士学历，会计学教授。曾于郑州航空工业管理学院、暨南大学任教。现任公</w:t>
      </w:r>
      <w:r>
        <w:rPr/>
        <w:t> </w:t>
      </w:r>
      <w:r>
        <w:rPr>
          <w:spacing w:val="-2"/>
        </w:rPr>
        <w:t>司独立董事，广东财经大学会计学院教授、院长，广东省审计学会副会长，广州市审计学会副会长，广州博济医药股份有限</w:t>
      </w:r>
      <w:r>
        <w:rPr>
          <w:spacing w:val="-66"/>
        </w:rPr>
        <w:t> </w:t>
      </w:r>
      <w:r>
        <w:rPr>
          <w:spacing w:val="-66"/>
        </w:rPr>
      </w:r>
      <w:r>
        <w:rPr>
          <w:spacing w:val="-2"/>
        </w:rPr>
        <w:t>公司独立董事，大参林医药集团股份有限公司独立董事，广州东陵粮油股份有限公司独立董事，广东威创视讯技术股份有限</w:t>
      </w:r>
      <w:r>
        <w:rPr>
          <w:spacing w:val="-65"/>
        </w:rPr>
        <w:t> </w:t>
      </w:r>
      <w:r>
        <w:rPr>
          <w:spacing w:val="-65"/>
        </w:rPr>
      </w:r>
      <w:r>
        <w:rPr/>
        <w:t>公司监事。</w:t>
      </w:r>
    </w:p>
    <w:p>
      <w:pPr>
        <w:pStyle w:val="BodyText"/>
        <w:spacing w:line="240" w:lineRule="auto" w:before="22"/>
        <w:ind w:left="1494" w:right="0"/>
        <w:jc w:val="left"/>
      </w:pPr>
      <w:r>
        <w:rPr>
          <w:rFonts w:ascii="Times New Roman" w:hAnsi="Times New Roman" w:cs="Times New Roman" w:eastAsia="Times New Roman" w:hint="default"/>
        </w:rPr>
        <w:t>3</w:t>
      </w:r>
      <w:r>
        <w:rPr/>
        <w:t>、监事</w:t>
      </w:r>
    </w:p>
    <w:p>
      <w:pPr>
        <w:pStyle w:val="BodyText"/>
        <w:spacing w:line="300" w:lineRule="auto" w:before="63"/>
        <w:ind w:right="1139" w:firstLine="360"/>
        <w:jc w:val="both"/>
      </w:pPr>
      <w:r>
        <w:rPr/>
        <w:t>（</w:t>
      </w:r>
      <w:r>
        <w:rPr>
          <w:rFonts w:ascii="Times New Roman" w:hAnsi="Times New Roman" w:cs="Times New Roman" w:eastAsia="Times New Roman" w:hint="default"/>
        </w:rPr>
        <w:t>1</w:t>
      </w:r>
      <w:r>
        <w:rPr/>
        <w:t>）梁晓芹女士：女，</w:t>
      </w:r>
      <w:r>
        <w:rPr>
          <w:rFonts w:ascii="Times New Roman" w:hAnsi="Times New Roman" w:cs="Times New Roman" w:eastAsia="Times New Roman" w:hint="default"/>
        </w:rPr>
        <w:t>1977</w:t>
      </w:r>
      <w:r>
        <w:rPr/>
        <w:t>年生，贸易经济和工业分析双专业本科学历。人力资源高级管理师、经济师。</w:t>
      </w:r>
      <w:r>
        <w:rPr>
          <w:rFonts w:ascii="Times New Roman" w:hAnsi="Times New Roman" w:cs="Times New Roman" w:eastAsia="Times New Roman" w:hint="default"/>
        </w:rPr>
        <w:t>2001</w:t>
      </w:r>
      <w:r>
        <w:rPr/>
        <w:t>年加入 公司，现任公司人力行政中心总监，第五届监事会主席。</w:t>
      </w:r>
    </w:p>
    <w:p>
      <w:pPr>
        <w:pStyle w:val="BodyText"/>
        <w:spacing w:line="240" w:lineRule="auto" w:before="31"/>
        <w:ind w:left="1494" w:right="0"/>
        <w:jc w:val="left"/>
      </w:pPr>
      <w:r>
        <w:rPr/>
        <w:t>（</w:t>
      </w:r>
      <w:r>
        <w:rPr>
          <w:rFonts w:ascii="Times New Roman" w:hAnsi="Times New Roman" w:cs="Times New Roman" w:eastAsia="Times New Roman" w:hint="default"/>
        </w:rPr>
        <w:t>2</w:t>
      </w:r>
      <w:r>
        <w:rPr/>
        <w:t>）龚穗娟女士：女，</w:t>
      </w:r>
      <w:r>
        <w:rPr>
          <w:rFonts w:ascii="Times New Roman" w:hAnsi="Times New Roman" w:cs="Times New Roman" w:eastAsia="Times New Roman" w:hint="default"/>
        </w:rPr>
        <w:t>1973</w:t>
      </w:r>
      <w:r>
        <w:rPr/>
        <w:t>年生，大专学历。现任公司股东代表监事，广州利讯汽车配件有限公司财务经理。</w:t>
      </w:r>
    </w:p>
    <w:p>
      <w:pPr>
        <w:pStyle w:val="BodyText"/>
        <w:spacing w:line="300" w:lineRule="auto" w:before="63"/>
        <w:ind w:left="1134" w:right="1040" w:firstLine="360"/>
        <w:jc w:val="both"/>
      </w:pPr>
      <w:r>
        <w:rPr>
          <w:spacing w:val="-2"/>
        </w:rPr>
        <w:t>（</w:t>
      </w:r>
      <w:r>
        <w:rPr>
          <w:rFonts w:ascii="Times New Roman" w:hAnsi="Times New Roman" w:cs="Times New Roman" w:eastAsia="Times New Roman" w:hint="default"/>
          <w:spacing w:val="-2"/>
        </w:rPr>
        <w:t>3</w:t>
      </w:r>
      <w:r>
        <w:rPr>
          <w:spacing w:val="-2"/>
        </w:rPr>
        <w:t>）张成虎先生：男，</w:t>
      </w:r>
      <w:r>
        <w:rPr>
          <w:rFonts w:ascii="Times New Roman" w:hAnsi="Times New Roman" w:cs="Times New Roman" w:eastAsia="Times New Roman" w:hint="default"/>
          <w:spacing w:val="-2"/>
        </w:rPr>
        <w:t>1975</w:t>
      </w:r>
      <w:r>
        <w:rPr>
          <w:spacing w:val="-2"/>
        </w:rPr>
        <w:t>年生，高中学历。曾就职广州宝龙集团有限公司行政部工作。现任公司物业管理部副经理、</w:t>
      </w:r>
      <w:r>
        <w:rPr/>
        <w:t> 职工代表监事。</w:t>
      </w:r>
    </w:p>
    <w:p>
      <w:pPr>
        <w:pStyle w:val="BodyText"/>
        <w:spacing w:line="240" w:lineRule="auto" w:before="31"/>
        <w:ind w:left="1494" w:right="0"/>
        <w:jc w:val="left"/>
      </w:pPr>
      <w:r>
        <w:rPr>
          <w:rFonts w:ascii="Times New Roman" w:hAnsi="Times New Roman" w:cs="Times New Roman" w:eastAsia="Times New Roman" w:hint="default"/>
        </w:rPr>
        <w:t>4</w:t>
      </w:r>
      <w:r>
        <w:rPr/>
        <w:t>、高级管理人员</w:t>
      </w:r>
    </w:p>
    <w:p>
      <w:pPr>
        <w:pStyle w:val="BodyText"/>
        <w:spacing w:line="240" w:lineRule="auto" w:before="63"/>
        <w:ind w:left="1494" w:right="0"/>
        <w:jc w:val="left"/>
      </w:pPr>
      <w:r>
        <w:rPr/>
        <w:t>（</w:t>
      </w:r>
      <w:r>
        <w:rPr>
          <w:rFonts w:ascii="Times New Roman" w:hAnsi="Times New Roman" w:cs="Times New Roman" w:eastAsia="Times New Roman" w:hint="default"/>
        </w:rPr>
        <w:t>1</w:t>
      </w:r>
      <w:r>
        <w:rPr/>
        <w:t>）谭骅先生：公司总经理、董事会秘书（简历见前述董事介绍）</w:t>
      </w:r>
    </w:p>
    <w:p>
      <w:pPr>
        <w:pStyle w:val="BodyText"/>
        <w:spacing w:line="240" w:lineRule="auto" w:before="63"/>
        <w:ind w:left="1493" w:right="0"/>
        <w:jc w:val="left"/>
      </w:pPr>
      <w:r>
        <w:rPr/>
        <w:t>（</w:t>
      </w:r>
      <w:r>
        <w:rPr>
          <w:rFonts w:ascii="Times New Roman" w:hAnsi="Times New Roman" w:cs="Times New Roman" w:eastAsia="Times New Roman" w:hint="default"/>
        </w:rPr>
        <w:t>2</w:t>
      </w:r>
      <w:r>
        <w:rPr/>
        <w:t>）庞泰松先生：男，</w:t>
      </w:r>
      <w:r>
        <w:rPr>
          <w:rFonts w:ascii="Times New Roman" w:hAnsi="Times New Roman" w:cs="Times New Roman" w:eastAsia="Times New Roman" w:hint="default"/>
        </w:rPr>
        <w:t>1971</w:t>
      </w:r>
      <w:r>
        <w:rPr/>
        <w:t>年生，本科学历，加拿大国籍。曾在广州东方宝龙特种汽车股份有限公司、多伦多</w:t>
      </w:r>
    </w:p>
    <w:p>
      <w:pPr>
        <w:pStyle w:val="BodyText"/>
        <w:spacing w:line="240" w:lineRule="auto" w:before="63"/>
        <w:ind w:right="0"/>
        <w:jc w:val="left"/>
      </w:pPr>
      <w:r>
        <w:rPr>
          <w:rFonts w:ascii="Times New Roman" w:hAnsi="Times New Roman" w:cs="Times New Roman" w:eastAsia="Times New Roman" w:hint="default"/>
        </w:rPr>
        <w:t>PC24Company</w:t>
      </w:r>
      <w:r>
        <w:rPr/>
        <w:t>、多伦多</w:t>
      </w:r>
      <w:r>
        <w:rPr>
          <w:rFonts w:ascii="Times New Roman" w:hAnsi="Times New Roman" w:cs="Times New Roman" w:eastAsia="Times New Roman" w:hint="default"/>
        </w:rPr>
        <w:t>ROADSPORT</w:t>
      </w:r>
      <w:r>
        <w:rPr/>
        <w:t>本田车行工作。</w:t>
      </w:r>
      <w:r>
        <w:rPr>
          <w:rFonts w:ascii="Times New Roman" w:hAnsi="Times New Roman" w:cs="Times New Roman" w:eastAsia="Times New Roman" w:hint="default"/>
        </w:rPr>
        <w:t>2011</w:t>
      </w:r>
      <w:r>
        <w:rPr/>
        <w:t>年加入公司，现任公司副总经理。</w:t>
      </w:r>
    </w:p>
    <w:p>
      <w:pPr>
        <w:pStyle w:val="BodyText"/>
        <w:spacing w:line="300" w:lineRule="auto" w:before="63"/>
        <w:ind w:right="1042" w:firstLine="360"/>
        <w:jc w:val="both"/>
      </w:pPr>
      <w:r>
        <w:rPr/>
        <w:t>（</w:t>
      </w:r>
      <w:r>
        <w:rPr>
          <w:rFonts w:ascii="Times New Roman" w:hAnsi="Times New Roman" w:cs="Times New Roman" w:eastAsia="Times New Roman" w:hint="default"/>
        </w:rPr>
        <w:t>3</w:t>
      </w:r>
      <w:r>
        <w:rPr/>
        <w:t>）高永坚先生：男，</w:t>
      </w:r>
      <w:r>
        <w:rPr>
          <w:rFonts w:ascii="Times New Roman" w:hAnsi="Times New Roman" w:cs="Times New Roman" w:eastAsia="Times New Roman" w:hint="default"/>
        </w:rPr>
        <w:t>1968</w:t>
      </w:r>
      <w:r>
        <w:rPr/>
        <w:t>年生，研究生学历。曾在广州石油化工总厂、君兰国际高尔夫发展有限公司、广州德杏苑 </w:t>
      </w:r>
      <w:r>
        <w:rPr>
          <w:spacing w:val="-4"/>
        </w:rPr>
        <w:t>健康发展有限公司等单位任职，历任市场经理助理、销售部经理、市场部经理等职务。</w:t>
      </w:r>
      <w:r>
        <w:rPr>
          <w:rFonts w:ascii="Times New Roman" w:hAnsi="Times New Roman" w:cs="Times New Roman" w:eastAsia="Times New Roman" w:hint="default"/>
          <w:spacing w:val="-4"/>
        </w:rPr>
        <w:t>2001</w:t>
      </w:r>
      <w:r>
        <w:rPr>
          <w:spacing w:val="-4"/>
        </w:rPr>
        <w:t>年加入公司，现任公司副总经理。</w:t>
      </w:r>
    </w:p>
    <w:p>
      <w:pPr>
        <w:pStyle w:val="BodyText"/>
        <w:spacing w:line="300" w:lineRule="auto" w:before="13"/>
        <w:ind w:right="1141" w:firstLine="360"/>
        <w:jc w:val="both"/>
      </w:pPr>
      <w:r>
        <w:rPr/>
        <w:t>（</w:t>
      </w:r>
      <w:r>
        <w:rPr>
          <w:rFonts w:ascii="Times New Roman" w:hAnsi="Times New Roman" w:cs="Times New Roman" w:eastAsia="Times New Roman" w:hint="default"/>
        </w:rPr>
        <w:t>4</w:t>
      </w:r>
      <w:r>
        <w:rPr/>
        <w:t>）徐德银先生：男，</w:t>
      </w:r>
      <w:r>
        <w:rPr>
          <w:rFonts w:ascii="Times New Roman" w:hAnsi="Times New Roman" w:cs="Times New Roman" w:eastAsia="Times New Roman" w:hint="default"/>
        </w:rPr>
        <w:t>1976</w:t>
      </w:r>
      <w:r>
        <w:rPr/>
        <w:t>年生，本科学历。曾任职于雅思商务、广东金宇恒科技有限公司，担任研发中心经理。在 本公司历任公司软件品管部经理、软件总监、客户服务总监，现任公司副总经理。</w:t>
      </w:r>
    </w:p>
    <w:p>
      <w:pPr>
        <w:pStyle w:val="BodyText"/>
        <w:spacing w:line="300" w:lineRule="auto" w:before="31"/>
        <w:ind w:right="1132" w:firstLine="360"/>
        <w:jc w:val="both"/>
      </w:pPr>
      <w:r>
        <w:rPr>
          <w:spacing w:val="-2"/>
        </w:rPr>
        <w:t>（</w:t>
      </w:r>
      <w:r>
        <w:rPr>
          <w:rFonts w:ascii="Times New Roman" w:hAnsi="Times New Roman" w:cs="Times New Roman" w:eastAsia="Times New Roman" w:hint="default"/>
          <w:spacing w:val="-2"/>
        </w:rPr>
        <w:t>5</w:t>
      </w:r>
      <w:r>
        <w:rPr>
          <w:spacing w:val="-2"/>
        </w:rPr>
        <w:t>）李克福先生：男，</w:t>
      </w:r>
      <w:r>
        <w:rPr>
          <w:rFonts w:ascii="Times New Roman" w:hAnsi="Times New Roman" w:cs="Times New Roman" w:eastAsia="Times New Roman" w:hint="default"/>
          <w:spacing w:val="-2"/>
        </w:rPr>
        <w:t>1968</w:t>
      </w:r>
      <w:r>
        <w:rPr>
          <w:spacing w:val="-2"/>
        </w:rPr>
        <w:t>年生，本科学历。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4</w:t>
      </w:r>
      <w:r>
        <w:rPr>
          <w:spacing w:val="-2"/>
        </w:rPr>
        <w:t>月加入公司，历任公司行政主管、行政经理、行政总监，现任公</w:t>
      </w:r>
      <w:r>
        <w:rPr/>
        <w:t> 司公共事务部总监，公司副总经理。</w:t>
      </w:r>
    </w:p>
    <w:p>
      <w:pPr>
        <w:pStyle w:val="BodyText"/>
        <w:spacing w:line="240" w:lineRule="auto" w:before="31"/>
        <w:ind w:left="1494" w:right="0"/>
        <w:jc w:val="left"/>
      </w:pPr>
      <w:r>
        <w:rPr/>
        <w:t>（</w:t>
      </w:r>
      <w:r>
        <w:rPr>
          <w:rFonts w:ascii="Times New Roman" w:hAnsi="Times New Roman" w:cs="Times New Roman" w:eastAsia="Times New Roman" w:hint="default"/>
        </w:rPr>
        <w:t>6</w:t>
      </w:r>
      <w:r>
        <w:rPr/>
        <w:t>）陈国军先生：财务总监（简历见前述董事介绍）</w:t>
      </w:r>
    </w:p>
    <w:p>
      <w:pPr>
        <w:pStyle w:val="BodyText"/>
        <w:spacing w:line="300" w:lineRule="auto" w:before="63"/>
        <w:ind w:right="1139" w:firstLine="360"/>
        <w:jc w:val="both"/>
      </w:pPr>
      <w:r>
        <w:rPr/>
        <w:t>（</w:t>
      </w:r>
      <w:r>
        <w:rPr>
          <w:rFonts w:ascii="Times New Roman" w:hAnsi="Times New Roman" w:cs="Times New Roman" w:eastAsia="Times New Roman" w:hint="default"/>
        </w:rPr>
        <w:t>7</w:t>
      </w:r>
      <w:r>
        <w:rPr/>
        <w:t>）周用芳女士：女，</w:t>
      </w:r>
      <w:r>
        <w:rPr>
          <w:rFonts w:ascii="Times New Roman" w:hAnsi="Times New Roman" w:cs="Times New Roman" w:eastAsia="Times New Roman" w:hint="default"/>
        </w:rPr>
        <w:t>1979</w:t>
      </w:r>
      <w:r>
        <w:rPr/>
        <w:t>年生，本科学历，会计师、审计师、国际注册内部审计师（</w:t>
      </w:r>
      <w:r>
        <w:rPr>
          <w:rFonts w:ascii="Times New Roman" w:hAnsi="Times New Roman" w:cs="Times New Roman" w:eastAsia="Times New Roman" w:hint="default"/>
        </w:rPr>
        <w:t>CIA</w:t>
      </w:r>
      <w:r>
        <w:rPr/>
        <w:t>）。曾在广州番禺得意精 密电子工业有限公司、广州百客蛮好酒店管理有限公司、广州万宝集团有限公司等单位任职，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月加入广州御银科技 股份有限公司，现任公司副总经理。</w:t>
      </w:r>
    </w:p>
    <w:p>
      <w:pPr>
        <w:pStyle w:val="BodyText"/>
        <w:spacing w:line="240" w:lineRule="auto" w:before="72"/>
        <w:ind w:right="0"/>
        <w:jc w:val="left"/>
      </w:pPr>
      <w:r>
        <w:rPr/>
        <w:t>在股东单位任职情况</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589" w:type="dxa"/>
        <w:tblLayout w:type="fixed"/>
        <w:tblCellMar>
          <w:top w:w="0" w:type="dxa"/>
          <w:left w:w="0" w:type="dxa"/>
          <w:bottom w:w="0" w:type="dxa"/>
          <w:right w:w="0" w:type="dxa"/>
        </w:tblCellMar>
        <w:tblLook w:val="01E0"/>
      </w:tblPr>
      <w:tblGrid>
        <w:gridCol w:w="1620"/>
        <w:gridCol w:w="3060"/>
        <w:gridCol w:w="988"/>
        <w:gridCol w:w="1712"/>
        <w:gridCol w:w="1620"/>
        <w:gridCol w:w="1440"/>
      </w:tblGrid>
      <w:tr>
        <w:trPr>
          <w:trHeight w:val="71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3" w:right="8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佛山海晟金融租赁股份有限公司</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6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在其他单位任职情况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589" w:type="dxa"/>
        <w:tblLayout w:type="fixed"/>
        <w:tblCellMar>
          <w:top w:w="0" w:type="dxa"/>
          <w:left w:w="0" w:type="dxa"/>
          <w:bottom w:w="0" w:type="dxa"/>
          <w:right w:w="0" w:type="dxa"/>
        </w:tblCellMar>
        <w:tblLook w:val="01E0"/>
      </w:tblPr>
      <w:tblGrid>
        <w:gridCol w:w="720"/>
        <w:gridCol w:w="3060"/>
        <w:gridCol w:w="1980"/>
        <w:gridCol w:w="1612"/>
        <w:gridCol w:w="1629"/>
        <w:gridCol w:w="1440"/>
      </w:tblGrid>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广州利讯汽车配件有限公司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广东财经大学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广州市好易达家居网络科技有限公司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广东财经大学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广州博济医药股份有限公司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广州东陵粮油股份有限公司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大参林医药集团股份有限公司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广东威创视讯技术股份有限公司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7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66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18"/>
          <w:szCs w:val="18"/>
        </w:rPr>
      </w:pPr>
    </w:p>
    <w:p>
      <w:pPr>
        <w:pStyle w:val="BodyText"/>
        <w:spacing w:line="357" w:lineRule="auto"/>
        <w:ind w:left="1493" w:right="0" w:hanging="360"/>
        <w:jc w:val="left"/>
      </w:pPr>
      <w:r>
        <w:rPr/>
        <w:t>董事、监事、高级管理人员报酬的决策程序、确定依据、实际支付情况 </w:t>
      </w:r>
      <w:r>
        <w:rPr>
          <w:spacing w:val="-2"/>
        </w:rPr>
        <w:t>在公司任职的内部董事、监事和高级管理人员报酬依据公司盈利水平及董事、监事、高级管理人员的职责履行情况并结</w:t>
      </w:r>
    </w:p>
    <w:p>
      <w:pPr>
        <w:pStyle w:val="BodyText"/>
        <w:spacing w:line="224" w:lineRule="exact"/>
        <w:ind w:right="0"/>
        <w:jc w:val="both"/>
      </w:pPr>
      <w:r>
        <w:rPr>
          <w:spacing w:val="-4"/>
        </w:rPr>
        <w:t>合行业平均水平综合确定。根据《公司法》、《公司章程》和《董事会薪酬和考核委员会工作制度》的相关规定，关于董事、</w:t>
      </w:r>
    </w:p>
    <w:p>
      <w:pPr>
        <w:pStyle w:val="BodyText"/>
        <w:spacing w:line="309" w:lineRule="auto" w:before="76"/>
        <w:ind w:right="1132"/>
        <w:jc w:val="both"/>
      </w:pPr>
      <w:r>
        <w:rPr>
          <w:spacing w:val="-1"/>
        </w:rPr>
        <w:t>监事和高级管理人员报酬的议案经公司董事会、股东大会审议批准，公司独立董事津贴为</w:t>
      </w:r>
      <w:r>
        <w:rPr>
          <w:rFonts w:ascii="Times New Roman" w:hAnsi="Times New Roman" w:cs="Times New Roman" w:eastAsia="Times New Roman" w:hint="default"/>
          <w:spacing w:val="-1"/>
        </w:rPr>
        <w:t>8</w:t>
      </w:r>
      <w:r>
        <w:rPr>
          <w:spacing w:val="-1"/>
        </w:rPr>
        <w:t>万元</w:t>
      </w:r>
      <w:r>
        <w:rPr>
          <w:rFonts w:ascii="Times New Roman" w:hAnsi="Times New Roman" w:cs="Times New Roman" w:eastAsia="Times New Roman" w:hint="default"/>
          <w:spacing w:val="-1"/>
        </w:rPr>
        <w:t>/</w:t>
      </w:r>
      <w:r>
        <w:rPr>
          <w:spacing w:val="-1"/>
        </w:rPr>
        <w:t>年（税前），独立董事津贴</w:t>
      </w:r>
      <w:r>
        <w:rPr>
          <w:spacing w:val="-80"/>
        </w:rPr>
        <w:t> </w:t>
      </w:r>
      <w:r>
        <w:rPr>
          <w:spacing w:val="-80"/>
        </w:rPr>
      </w:r>
      <w:r>
        <w:rPr>
          <w:spacing w:val="-2"/>
        </w:rPr>
        <w:t>均按具体任职时间及规定发放。董事、监事、高级管理人员为参加会议发生的差旅费、办公费等由于履职产生的费用均由公</w:t>
      </w:r>
      <w:r>
        <w:rPr>
          <w:spacing w:val="-66"/>
        </w:rPr>
        <w:t> </w:t>
      </w:r>
      <w:r>
        <w:rPr>
          <w:spacing w:val="-66"/>
        </w:rPr>
      </w:r>
      <w:r>
        <w:rPr/>
        <w:t>司承担。</w:t>
      </w:r>
    </w:p>
    <w:p>
      <w:pPr>
        <w:pStyle w:val="BodyText"/>
        <w:spacing w:line="240" w:lineRule="auto" w:before="65"/>
        <w:ind w:right="0"/>
        <w:jc w:val="both"/>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949" w:type="dxa"/>
        <w:tblLayout w:type="fixed"/>
        <w:tblCellMar>
          <w:top w:w="0" w:type="dxa"/>
          <w:left w:w="0" w:type="dxa"/>
          <w:bottom w:w="0" w:type="dxa"/>
          <w:right w:w="0" w:type="dxa"/>
        </w:tblCellMar>
        <w:tblLook w:val="01E0"/>
      </w:tblPr>
      <w:tblGrid>
        <w:gridCol w:w="720"/>
        <w:gridCol w:w="2340"/>
        <w:gridCol w:w="540"/>
        <w:gridCol w:w="540"/>
        <w:gridCol w:w="900"/>
        <w:gridCol w:w="2340"/>
        <w:gridCol w:w="2371"/>
      </w:tblGrid>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right"/>
              <w:rPr>
                <w:rFonts w:ascii="宋体" w:hAnsi="宋体" w:cs="宋体" w:eastAsia="宋体" w:hint="default"/>
                <w:sz w:val="18"/>
                <w:szCs w:val="18"/>
              </w:rPr>
            </w:pPr>
            <w:r>
              <w:rPr>
                <w:rFonts w:ascii="宋体" w:hAnsi="宋体" w:cs="宋体" w:eastAsia="宋体" w:hint="default"/>
                <w:sz w:val="18"/>
                <w:szCs w:val="18"/>
              </w:rPr>
              <w:t>年龄</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righ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2.99</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  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董事长、总经理、董事会秘书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35.78</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37.08</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  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28.56</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15.47</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35.06</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48.74</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50.62</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36.42</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331.32</w:t>
            </w:r>
          </w:p>
        </w:tc>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公司董事、高级管理人员报告期内被授予的股权激励情况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7"/>
        <w:rPr>
          <w:rFonts w:ascii="宋体" w:hAnsi="宋体" w:cs="宋体" w:eastAsia="宋体" w:hint="default"/>
          <w:b/>
          <w:bCs/>
          <w:sz w:val="16"/>
          <w:szCs w:val="16"/>
        </w:rPr>
      </w:pPr>
    </w:p>
    <w:p>
      <w:pPr>
        <w:pStyle w:val="Heading3"/>
        <w:spacing w:line="240" w:lineRule="auto"/>
        <w:ind w:right="0"/>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16"/>
          <w:szCs w:val="1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r>
    </w:tbl>
    <w:p>
      <w:pPr>
        <w:spacing w:line="240" w:lineRule="auto" w:before="13"/>
        <w:rPr>
          <w:rFonts w:ascii="宋体" w:hAnsi="宋体" w:cs="宋体" w:eastAsia="宋体" w:hint="default"/>
          <w:b/>
          <w:bCs/>
          <w:sz w:val="9"/>
          <w:szCs w:val="9"/>
        </w:rPr>
      </w:pPr>
    </w:p>
    <w:p>
      <w:pPr>
        <w:pStyle w:val="Heading3"/>
        <w:spacing w:line="240" w:lineRule="auto" w:before="35"/>
        <w:ind w:left="1134" w:right="0"/>
        <w:jc w:val="left"/>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17"/>
          <w:szCs w:val="17"/>
        </w:rPr>
      </w:pPr>
    </w:p>
    <w:p>
      <w:pPr>
        <w:pStyle w:val="BodyText"/>
        <w:spacing w:line="314" w:lineRule="auto"/>
        <w:ind w:left="1134" w:right="1032" w:firstLine="360"/>
        <w:jc w:val="left"/>
      </w:pPr>
      <w:r>
        <w:rPr>
          <w:spacing w:val="-2"/>
        </w:rPr>
        <w:t>公司依据经营发展情况，在公平客观的情况下，根据市场行情，本着薪酬与个人能力和工作业绩相符合的原则，来确定</w:t>
      </w:r>
      <w:r>
        <w:rPr/>
        <w:t> </w:t>
      </w:r>
      <w:r>
        <w:rPr>
          <w:spacing w:val="-2"/>
        </w:rPr>
        <w:t>公司薪酬体系，以等级化的薪酬激发员工工作积极性。制定具有激励性的绩效考核政策，根据公司经营战略发展目标，确定</w:t>
      </w:r>
      <w:r>
        <w:rPr>
          <w:spacing w:val="-66"/>
        </w:rPr>
        <w:t> </w:t>
      </w:r>
      <w:r>
        <w:rPr>
          <w:spacing w:val="-66"/>
        </w:rPr>
      </w:r>
      <w:r>
        <w:rPr/>
        <w:t>各部门的绩效目标，再将部门目标分解至各岗位员工，依据部门及员工绩效目标达成情况对部门及员工个人进行绩效考核， 绩效考核与奖金发放、薪酬等级评定、职位升迁、培训发展等挂钩。同时，公司为员工提供完善的福利待遇，如餐费津贴、 </w:t>
      </w:r>
      <w:r>
        <w:rPr>
          <w:spacing w:val="-2"/>
        </w:rPr>
        <w:t>交通班车、生日活动费用及庆生</w:t>
      </w:r>
      <w:r>
        <w:rPr>
          <w:rFonts w:ascii="Times New Roman" w:hAnsi="Times New Roman" w:cs="Times New Roman" w:eastAsia="Times New Roman" w:hint="default"/>
          <w:spacing w:val="-2"/>
        </w:rPr>
        <w:t>patty</w:t>
      </w:r>
      <w:r>
        <w:rPr>
          <w:spacing w:val="-2"/>
        </w:rPr>
        <w:t>、生日礼金、团队活动费用、年度旅游、结婚礼金、生育礼金等，传统节假日公司会发</w:t>
      </w:r>
      <w:r>
        <w:rPr>
          <w:spacing w:val="-68"/>
        </w:rPr>
        <w:t> </w:t>
      </w:r>
      <w:r>
        <w:rPr>
          <w:spacing w:val="-68"/>
        </w:rPr>
      </w:r>
      <w:r>
        <w:rPr/>
        <w:t>放礼金或礼品给全体员工等，提高员工的归属感和对企业文化的认同感。</w:t>
      </w: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17"/>
          <w:szCs w:val="17"/>
        </w:rPr>
      </w:pPr>
    </w:p>
    <w:p>
      <w:pPr>
        <w:pStyle w:val="BodyText"/>
        <w:spacing w:line="316" w:lineRule="auto"/>
        <w:ind w:right="0" w:firstLine="360"/>
        <w:jc w:val="left"/>
      </w:pPr>
      <w:r>
        <w:rPr>
          <w:spacing w:val="-2"/>
        </w:rPr>
        <w:t>公司一直高度重视各级员工的培养与发展，通过人力资源组织发展的建设工作，链接战略与执行，在确保人才基础培养</w:t>
      </w:r>
      <w:r>
        <w:rPr/>
        <w:t> 的同时，结合战略充分与业务部门沟通，依托现状，搭建企业内部人力资源的多向发展通道和多维度的人才培养计划。</w:t>
      </w:r>
    </w:p>
    <w:p>
      <w:pPr>
        <w:pStyle w:val="BodyText"/>
        <w:spacing w:line="316" w:lineRule="auto" w:before="19"/>
        <w:ind w:right="1130" w:firstLine="360"/>
        <w:jc w:val="both"/>
      </w:pPr>
      <w:r>
        <w:rPr>
          <w:spacing w:val="-2"/>
        </w:rPr>
        <w:t>在培训方式上，采用内外相结合的模式，用内部培训强化系统与规范，以外部培训提升专业与管理。培训内容方面，从</w:t>
      </w:r>
      <w:r>
        <w:rPr/>
        <w:t> </w:t>
      </w:r>
      <w:r>
        <w:rPr>
          <w:spacing w:val="-2"/>
        </w:rPr>
        <w:t>基础的安全、法规、质量、文化、素养、认知、体系、执行、标准化作业，到提升的专业、管理、系统、绩效改善等，持续</w:t>
      </w:r>
      <w:r>
        <w:rPr>
          <w:spacing w:val="-68"/>
        </w:rPr>
        <w:t> </w:t>
      </w:r>
      <w:r>
        <w:rPr>
          <w:spacing w:val="-68"/>
        </w:rPr>
      </w:r>
      <w:r>
        <w:rPr>
          <w:spacing w:val="-2"/>
        </w:rPr>
        <w:t>对生产一线、工程技术、研发科研、职能业务及各级管理人员开展多角度、多元化的培养，力求一方面夯实基础，提高员工</w:t>
      </w:r>
      <w:r>
        <w:rPr>
          <w:spacing w:val="-68"/>
        </w:rPr>
        <w:t> </w:t>
      </w:r>
      <w:r>
        <w:rPr>
          <w:spacing w:val="-68"/>
        </w:rPr>
      </w:r>
      <w:r>
        <w:rPr/>
        <w:t>的综合素质，另一方面，满足不断变化的外部商业环境，促进企业的可持续发展。</w:t>
      </w: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17"/>
          <w:szCs w:val="17"/>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2,431,696.87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68,508,615.12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九节 公司治理" w:id="127"/>
      <w:bookmarkEnd w:id="127"/>
      <w:r>
        <w:rPr>
          <w:b w:val="0"/>
          <w:bCs w:val="0"/>
        </w:rPr>
      </w:r>
      <w:bookmarkStart w:name="_bookmark7" w:id="128"/>
      <w:bookmarkEnd w:id="12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t>报告期内，</w:t>
      </w:r>
      <w:r>
        <w:rPr>
          <w:spacing w:val="-18"/>
        </w:rPr>
        <w:t> </w:t>
      </w:r>
      <w:r>
        <w:rPr/>
        <w:t>公司严格按照《公司法》、《证券法》、《上市公司治理准则》、《深圳证券交易所中小企业板上市公司</w:t>
      </w:r>
      <w:r>
        <w:rPr/>
        <w:t> </w:t>
      </w:r>
      <w:r>
        <w:rPr>
          <w:spacing w:val="-2"/>
        </w:rPr>
        <w:t>规范运作指引》及《深圳证券交易所股票上市规则》等法律法规的要求规范运作，不断优化公司治理结构，建立健全公司治</w:t>
      </w:r>
      <w:r>
        <w:rPr>
          <w:spacing w:val="-66"/>
        </w:rPr>
        <w:t> </w:t>
      </w:r>
      <w:r>
        <w:rPr>
          <w:spacing w:val="-66"/>
        </w:rPr>
      </w:r>
      <w:r>
        <w:rPr>
          <w:spacing w:val="-4"/>
        </w:rPr>
        <w:t>理及内部控制的各项规章制度，持续深入开展公司治理活动，促进公司规范运作，提高公司治理水平。同时，加强信息披露，</w:t>
      </w:r>
      <w:r>
        <w:rPr>
          <w:spacing w:val="-44"/>
        </w:rPr>
        <w:t> </w:t>
      </w:r>
      <w:r>
        <w:rPr>
          <w:spacing w:val="-44"/>
        </w:rPr>
      </w:r>
      <w:r>
        <w:rPr/>
        <w:t>积极开展投资者关系管理，维护公司及股东的利益，确保公司规范、健康发展。</w:t>
      </w:r>
    </w:p>
    <w:p>
      <w:pPr>
        <w:pStyle w:val="BodyText"/>
        <w:spacing w:line="316" w:lineRule="auto" w:before="19"/>
        <w:ind w:right="0" w:firstLine="360"/>
        <w:jc w:val="left"/>
      </w:pPr>
      <w:r>
        <w:rPr>
          <w:spacing w:val="-2"/>
        </w:rPr>
        <w:t>截止报告期末，公司治理实际情况与《公司法》和中国证监会相关规定的要求不存在差异。公司今后将继续加强信息披</w:t>
      </w:r>
      <w:r>
        <w:rPr/>
        <w:t> 露工作，强化公司治理工作，完善内部控制制度，促进公司可持续发展。</w:t>
      </w:r>
    </w:p>
    <w:p>
      <w:pPr>
        <w:pStyle w:val="BodyText"/>
        <w:spacing w:line="240" w:lineRule="auto" w:before="19"/>
        <w:ind w:left="1493" w:right="0"/>
        <w:jc w:val="left"/>
      </w:pPr>
      <w:r>
        <w:rPr/>
        <w:t>报告期内，公司治理各项具体工作如下：</w:t>
      </w:r>
    </w:p>
    <w:p>
      <w:pPr>
        <w:pStyle w:val="BodyText"/>
        <w:spacing w:line="300" w:lineRule="auto" w:before="76"/>
        <w:ind w:left="1494" w:right="0"/>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公司严格按照《上市公司股东大会规则》、《公司章程》、公司《股东大会议事规则》等法律法规的要求召集、召开股</w:t>
      </w:r>
    </w:p>
    <w:p>
      <w:pPr>
        <w:pStyle w:val="BodyText"/>
        <w:spacing w:line="309" w:lineRule="auto" w:before="31"/>
        <w:ind w:left="1494" w:right="0" w:hanging="360"/>
        <w:jc w:val="left"/>
      </w:pPr>
      <w:r>
        <w:rPr>
          <w:spacing w:val="-4"/>
        </w:rPr>
        <w:t>东大会，平等对待所有股东，保证股东对公司重大事项的知情权与参与权，确保股东特别是中小股东能够充分行使股东权利。</w:t>
      </w:r>
      <w:r>
        <w:rPr>
          <w:spacing w:val="-44"/>
        </w:rPr>
        <w:t> </w:t>
      </w:r>
      <w:r>
        <w:rPr>
          <w:spacing w:val="-44"/>
        </w:rPr>
      </w:r>
      <w:r>
        <w:rPr>
          <w:rFonts w:ascii="Times New Roman" w:hAnsi="Times New Roman" w:cs="Times New Roman" w:eastAsia="Times New Roman" w:hint="default"/>
        </w:rPr>
        <w:t>2</w:t>
      </w:r>
      <w:r>
        <w:rPr/>
        <w:t>、关于公司与控股股东 </w:t>
      </w:r>
      <w:r>
        <w:rPr>
          <w:spacing w:val="-2"/>
        </w:rPr>
        <w:t>公司控股股东严格规范自己的行为，依法行使股东权利并承担相应义务，无超越股东权限直接或间接干预公司的决策和</w:t>
      </w:r>
    </w:p>
    <w:p>
      <w:pPr>
        <w:pStyle w:val="BodyText"/>
        <w:spacing w:line="316" w:lineRule="auto" w:before="24"/>
        <w:ind w:left="1134" w:right="1131"/>
        <w:jc w:val="both"/>
      </w:pPr>
      <w:r>
        <w:rPr>
          <w:spacing w:val="-2"/>
        </w:rPr>
        <w:t>经营活动的行为；公司在业务、人员、资产、机构、财务上独立于控股股东。控股股东不存在非经营性占用上市公司资金行</w:t>
      </w:r>
      <w:r>
        <w:rPr>
          <w:spacing w:val="-70"/>
        </w:rPr>
        <w:t> </w:t>
      </w:r>
      <w:r>
        <w:rPr>
          <w:spacing w:val="-70"/>
        </w:rPr>
      </w:r>
      <w:r>
        <w:rPr>
          <w:spacing w:val="-2"/>
        </w:rPr>
        <w:t>为。控股股东没有损害公司及其他股东的权利，公司董事会、监事会和相关内部机构均独立运作。公司也不存在为控股股东</w:t>
      </w:r>
      <w:r>
        <w:rPr>
          <w:spacing w:val="-66"/>
        </w:rPr>
        <w:t> </w:t>
      </w:r>
      <w:r>
        <w:rPr>
          <w:spacing w:val="-66"/>
        </w:rPr>
      </w:r>
      <w:r>
        <w:rPr/>
        <w:t>提供担保的情形。</w:t>
      </w:r>
    </w:p>
    <w:p>
      <w:pPr>
        <w:pStyle w:val="BodyText"/>
        <w:spacing w:line="300" w:lineRule="auto" w:before="19"/>
        <w:ind w:left="1494" w:right="0"/>
        <w:jc w:val="left"/>
      </w:pPr>
      <w:r>
        <w:rPr>
          <w:rFonts w:ascii="Times New Roman" w:hAnsi="Times New Roman" w:cs="Times New Roman" w:eastAsia="Times New Roman" w:hint="default"/>
        </w:rPr>
        <w:t>3</w:t>
      </w:r>
      <w:r>
        <w:rPr/>
        <w:t>、关于董事与董事会 </w:t>
      </w:r>
      <w:r>
        <w:rPr>
          <w:spacing w:val="-2"/>
        </w:rPr>
        <w:t>公司严格按照《公司法》、《公司章程》规定的选聘程序选举董事；目前董事会由</w:t>
      </w:r>
      <w:r>
        <w:rPr>
          <w:rFonts w:ascii="Times New Roman" w:hAnsi="Times New Roman" w:cs="Times New Roman" w:eastAsia="Times New Roman" w:hint="default"/>
          <w:spacing w:val="-2"/>
        </w:rPr>
        <w:t>5</w:t>
      </w:r>
      <w:r>
        <w:rPr>
          <w:spacing w:val="-2"/>
        </w:rPr>
        <w:t>名董事组成，其中独立董事</w:t>
      </w:r>
      <w:r>
        <w:rPr>
          <w:rFonts w:ascii="Times New Roman" w:hAnsi="Times New Roman" w:cs="Times New Roman" w:eastAsia="Times New Roman" w:hint="default"/>
          <w:spacing w:val="-2"/>
        </w:rPr>
        <w:t>2</w:t>
      </w:r>
      <w:r>
        <w:rPr>
          <w:spacing w:val="-2"/>
        </w:rPr>
        <w:t>名，董</w:t>
      </w:r>
    </w:p>
    <w:p>
      <w:pPr>
        <w:pStyle w:val="BodyText"/>
        <w:spacing w:line="316" w:lineRule="auto" w:before="13"/>
        <w:ind w:left="1134" w:right="1130"/>
        <w:jc w:val="both"/>
      </w:pPr>
      <w:r>
        <w:rPr>
          <w:spacing w:val="-2"/>
        </w:rPr>
        <w:t>事会成员的人数、人员构成符合法律法规和《公司章程》的要求。公司董事会会议的召集、召开和表决程序符合《深圳证券</w:t>
      </w:r>
      <w:r>
        <w:rPr>
          <w:spacing w:val="-68"/>
        </w:rPr>
        <w:t> </w:t>
      </w:r>
      <w:r>
        <w:rPr>
          <w:spacing w:val="-68"/>
        </w:rPr>
      </w:r>
      <w:r>
        <w:rPr>
          <w:spacing w:val="-5"/>
        </w:rPr>
        <w:t>交易所股票上市规则》、《公司章程》及《董事会议事规则》的相关规定；公司全体董事能够依据《董事会议事规则》、《中</w:t>
      </w:r>
      <w:r>
        <w:rPr>
          <w:spacing w:val="-80"/>
        </w:rPr>
        <w:t> </w:t>
      </w:r>
      <w:r>
        <w:rPr>
          <w:spacing w:val="-80"/>
        </w:rPr>
      </w:r>
      <w:r>
        <w:rPr>
          <w:spacing w:val="-2"/>
        </w:rPr>
        <w:t>小企业板块上市公司董事行为指引》等要求认真履行诚实守信，认真出席董事会和股东大会，执行股东大会决议，并依法行</w:t>
      </w:r>
      <w:r>
        <w:rPr>
          <w:spacing w:val="-66"/>
        </w:rPr>
        <w:t> </w:t>
      </w:r>
      <w:r>
        <w:rPr>
          <w:spacing w:val="-66"/>
        </w:rPr>
      </w:r>
      <w:r>
        <w:rPr>
          <w:spacing w:val="-2"/>
        </w:rPr>
        <w:t>使职权。董事会下设战略委员会、审计委员会、薪酬与考核委员会和提名委员会四个专门委员会，各尽其责，大大提高了董</w:t>
      </w:r>
      <w:r>
        <w:rPr>
          <w:spacing w:val="-66"/>
        </w:rPr>
        <w:t> </w:t>
      </w:r>
      <w:r>
        <w:rPr>
          <w:spacing w:val="-66"/>
        </w:rPr>
      </w:r>
      <w:r>
        <w:rPr>
          <w:spacing w:val="-2"/>
        </w:rPr>
        <w:t>事会的办事效率。全体董事积极参加交易所和监管机构组织的相关培训，熟悉新的法律法规要求，做到勤勉尽责，进一步维</w:t>
      </w:r>
      <w:r>
        <w:rPr>
          <w:spacing w:val="-66"/>
        </w:rPr>
        <w:t> </w:t>
      </w:r>
      <w:r>
        <w:rPr>
          <w:spacing w:val="-66"/>
        </w:rPr>
      </w:r>
      <w:r>
        <w:rPr/>
        <w:t>护公司和全体股东的利益。</w:t>
      </w:r>
    </w:p>
    <w:p>
      <w:pPr>
        <w:pStyle w:val="BodyText"/>
        <w:spacing w:line="300" w:lineRule="auto" w:before="19"/>
        <w:ind w:left="1494" w:right="0"/>
        <w:jc w:val="left"/>
      </w:pPr>
      <w:r>
        <w:rPr>
          <w:rFonts w:ascii="Times New Roman" w:hAnsi="Times New Roman" w:cs="Times New Roman" w:eastAsia="Times New Roman" w:hint="default"/>
        </w:rPr>
        <w:t>4</w:t>
      </w:r>
      <w:r>
        <w:rPr/>
        <w:t>、关于监事与监事会 </w:t>
      </w:r>
      <w:r>
        <w:rPr>
          <w:spacing w:val="-2"/>
        </w:rPr>
        <w:t>公司严格按照《公司法》、《公司章程》等有关规定选举监事，公司监事会由</w:t>
      </w:r>
      <w:r>
        <w:rPr>
          <w:rFonts w:ascii="Times New Roman" w:hAnsi="Times New Roman" w:cs="Times New Roman" w:eastAsia="Times New Roman" w:hint="default"/>
          <w:spacing w:val="-2"/>
        </w:rPr>
        <w:t>3</w:t>
      </w:r>
      <w:r>
        <w:rPr>
          <w:spacing w:val="-2"/>
        </w:rPr>
        <w:t>名监事组成，其中股东监事</w:t>
      </w:r>
      <w:r>
        <w:rPr>
          <w:rFonts w:ascii="Times New Roman" w:hAnsi="Times New Roman" w:cs="Times New Roman" w:eastAsia="Times New Roman" w:hint="default"/>
          <w:spacing w:val="-2"/>
        </w:rPr>
        <w:t>2</w:t>
      </w:r>
      <w:r>
        <w:rPr>
          <w:spacing w:val="-2"/>
        </w:rPr>
        <w:t>名、职工代</w:t>
      </w:r>
    </w:p>
    <w:p>
      <w:pPr>
        <w:pStyle w:val="BodyText"/>
        <w:spacing w:line="240" w:lineRule="auto" w:before="13"/>
        <w:ind w:left="1134" w:right="0"/>
        <w:jc w:val="left"/>
      </w:pPr>
      <w:r>
        <w:rPr/>
        <w:t>表监事</w:t>
      </w:r>
      <w:r>
        <w:rPr>
          <w:rFonts w:ascii="Times New Roman" w:hAnsi="Times New Roman" w:cs="Times New Roman" w:eastAsia="Times New Roman" w:hint="default"/>
        </w:rPr>
        <w:t>1</w:t>
      </w:r>
      <w:r>
        <w:rPr/>
        <w:t>名。监事会的人数及结构符合法律法规和公司章程的要求。监事会严格按照《公司章程》、《监事会议事规则》、</w:t>
      </w:r>
    </w:p>
    <w:p>
      <w:pPr>
        <w:pStyle w:val="BodyText"/>
        <w:spacing w:line="316" w:lineRule="auto" w:before="63"/>
        <w:ind w:left="1134" w:right="1043"/>
        <w:jc w:val="both"/>
      </w:pPr>
      <w:r>
        <w:rPr>
          <w:spacing w:val="-4"/>
        </w:rPr>
        <w:t>《深圳证券交易所股票上市规则》的要求履行职责，认真出席监事会和股东大会，列席董事会，监事会独立的行使监督职权，</w:t>
      </w:r>
      <w:r>
        <w:rPr>
          <w:spacing w:val="-46"/>
        </w:rPr>
        <w:t> </w:t>
      </w:r>
      <w:r>
        <w:rPr>
          <w:spacing w:val="-46"/>
        </w:rPr>
      </w:r>
      <w:r>
        <w:rPr/>
        <w:t>各位监事能够认真履行职责，对公司重大事项、财务状况以及董事、高管人员履行职责情况进行监督，对全体股东负责。</w:t>
      </w:r>
    </w:p>
    <w:p>
      <w:pPr>
        <w:pStyle w:val="BodyText"/>
        <w:spacing w:line="300" w:lineRule="auto" w:before="19"/>
        <w:ind w:left="1493" w:right="0"/>
        <w:jc w:val="left"/>
      </w:pPr>
      <w:r>
        <w:rPr>
          <w:rFonts w:ascii="Times New Roman" w:hAnsi="Times New Roman" w:cs="Times New Roman" w:eastAsia="Times New Roman" w:hint="default"/>
        </w:rPr>
        <w:t>5</w:t>
      </w:r>
      <w:r>
        <w:rPr/>
        <w:t>、关于绩效评价和激励约束机制 </w:t>
      </w:r>
      <w:r>
        <w:rPr>
          <w:spacing w:val="-4"/>
        </w:rPr>
        <w:t>公司根据自身业务、经营情况，建立了合理的绩效评价与激励体系，将经营管理层和员工的收入与企业经营业绩相挂钩，</w:t>
      </w:r>
    </w:p>
    <w:p>
      <w:pPr>
        <w:pStyle w:val="BodyText"/>
        <w:spacing w:line="240" w:lineRule="auto" w:before="31"/>
        <w:ind w:right="0"/>
        <w:jc w:val="left"/>
      </w:pPr>
      <w:r>
        <w:rPr/>
        <w:t>公司高级管理人员的聘任公开、透明，高管薪酬由薪酬考核委员会核定并经董事会审核通过。</w:t>
      </w:r>
    </w:p>
    <w:p>
      <w:pPr>
        <w:pStyle w:val="BodyText"/>
        <w:spacing w:line="300" w:lineRule="auto" w:before="76"/>
        <w:ind w:left="1494" w:right="0"/>
        <w:jc w:val="left"/>
      </w:pPr>
      <w:r>
        <w:rPr>
          <w:rFonts w:ascii="Times New Roman" w:hAnsi="Times New Roman" w:cs="Times New Roman" w:eastAsia="Times New Roman" w:hint="default"/>
        </w:rPr>
        <w:t>6</w:t>
      </w:r>
      <w:r>
        <w:rPr/>
        <w:t>、关于相关利益者 </w:t>
      </w:r>
      <w:r>
        <w:rPr>
          <w:spacing w:val="-2"/>
        </w:rPr>
        <w:t>公司在注重企业经营的同时，充分尊重和维护利益相关者的合法权利，诚信对待供应商和客户，加强与各方的沟通和合</w:t>
      </w:r>
    </w:p>
    <w:p>
      <w:pPr>
        <w:pStyle w:val="BodyText"/>
        <w:spacing w:line="309" w:lineRule="auto" w:before="31"/>
        <w:ind w:left="1494" w:right="1032" w:hanging="360"/>
        <w:jc w:val="left"/>
      </w:pPr>
      <w:r>
        <w:rPr/>
        <w:t>作，努力实现公司、股东、员工、客户、供应商、最终用户、社会等各方利益的协调平衡，共同推动公司持续、稳健发展。 </w:t>
      </w:r>
      <w:r>
        <w:rPr>
          <w:rFonts w:ascii="Times New Roman" w:hAnsi="Times New Roman" w:cs="Times New Roman" w:eastAsia="Times New Roman" w:hint="default"/>
        </w:rPr>
        <w:t>7</w:t>
      </w:r>
      <w:r>
        <w:rPr/>
        <w:t>、关于信息披露与透明度 </w:t>
      </w:r>
      <w:r>
        <w:rPr>
          <w:spacing w:val="-2"/>
        </w:rPr>
        <w:t>公司严格按照《深圳证券交易所股票上市规则》等相关法律法规及《信息披露管理制度》、《投资者关系管理制度》等</w:t>
      </w:r>
    </w:p>
    <w:p>
      <w:pPr>
        <w:pStyle w:val="BodyText"/>
        <w:spacing w:line="316" w:lineRule="auto" w:before="24"/>
        <w:ind w:left="1134" w:right="1131"/>
        <w:jc w:val="both"/>
      </w:pPr>
      <w:r>
        <w:rPr>
          <w:spacing w:val="-2"/>
        </w:rPr>
        <w:t>制度的要求，真实、准确、完整、及时、公平地履行信息披露义务。公司指定《证券时报》、《中国证券报》、《上海证券</w:t>
      </w:r>
      <w:r>
        <w:rPr>
          <w:spacing w:val="-68"/>
        </w:rPr>
        <w:t> </w:t>
      </w:r>
      <w:r>
        <w:rPr>
          <w:spacing w:val="-68"/>
        </w:rPr>
      </w:r>
      <w:r>
        <w:rPr/>
        <w:t>报》和巨潮资讯网（</w:t>
      </w:r>
      <w:hyperlink r:id="rId11">
        <w:r>
          <w:rPr>
            <w:rFonts w:ascii="Times New Roman" w:hAnsi="Times New Roman" w:cs="Times New Roman" w:eastAsia="Times New Roman" w:hint="default"/>
          </w:rPr>
          <w:t>www.cninfo.com.cn</w:t>
        </w:r>
      </w:hyperlink>
      <w:r>
        <w:rPr/>
        <w:t>）为公司信息披露的报纸和网站，通过网上说明会、投资者关系互动平台、电话接</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听、专用电子信箱、接待投资者和调研机构的来访和咨询等多种方式，与投资者进行沟通、交流，提高公司运作的公开性和</w:t>
      </w:r>
      <w:r>
        <w:rPr>
          <w:spacing w:val="-66"/>
        </w:rPr>
        <w:t> </w:t>
      </w:r>
      <w:r>
        <w:rPr>
          <w:spacing w:val="-66"/>
        </w:rPr>
      </w:r>
      <w:r>
        <w:rPr/>
        <w:t>透明度，确保公司所有股东以平等的机会获取公司信息。</w:t>
      </w:r>
    </w:p>
    <w:p>
      <w:pPr>
        <w:pStyle w:val="BodyText"/>
        <w:spacing w:line="300" w:lineRule="auto" w:before="19"/>
        <w:ind w:left="1494" w:right="1032"/>
        <w:jc w:val="left"/>
      </w:pPr>
      <w:r>
        <w:rPr>
          <w:rFonts w:ascii="Times New Roman" w:hAnsi="Times New Roman" w:cs="Times New Roman" w:eastAsia="Times New Roman" w:hint="default"/>
        </w:rPr>
        <w:t>8</w:t>
      </w:r>
      <w:r>
        <w:rPr/>
        <w:t>、内部审计制度 公司设立了内审部，配置了专职审计人员，在董事会审计委员会的指导下对公司及子公司的经济运行质量、经济效益、</w:t>
      </w:r>
    </w:p>
    <w:p>
      <w:pPr>
        <w:pStyle w:val="BodyText"/>
        <w:spacing w:line="316" w:lineRule="auto" w:before="32"/>
        <w:ind w:right="1033"/>
        <w:jc w:val="left"/>
      </w:pPr>
      <w:r>
        <w:rPr>
          <w:spacing w:val="-2"/>
        </w:rPr>
        <w:t>内控的制度和执行、各项费用的使用以及资产情况进行审计和监督。报告期内，结合公司的实际情况，按照各项规章制度的</w:t>
      </w:r>
      <w:r>
        <w:rPr>
          <w:spacing w:val="-66"/>
        </w:rPr>
        <w:t> </w:t>
      </w:r>
      <w:r>
        <w:rPr>
          <w:spacing w:val="-66"/>
        </w:rPr>
      </w:r>
      <w:r>
        <w:rPr/>
        <w:t>规定，在内部审计制度的指导下，顺利完成了本年度的内部审计工作。同时，对对会计师事务所审计工作进行检查和监督， 对审计中遇到的相关事项进行沟通和交流，按计划完成了各项工作。</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报告期内，公司严格按照《公司法》、《证券法》等法律法规的要求规范运作，公司与控股股东在业务、人员、资产、 </w:t>
      </w:r>
      <w:r>
        <w:rPr>
          <w:spacing w:val="-2"/>
        </w:rPr>
        <w:t>机构、财务等方面完全分开，具有独立完整的业务及自主经营能力。公司所有的生产经营或重大事项均根据《公司章程》及</w:t>
      </w:r>
      <w:r>
        <w:rPr>
          <w:spacing w:val="-66"/>
        </w:rPr>
        <w:t> </w:t>
      </w:r>
      <w:r>
        <w:rPr>
          <w:spacing w:val="-66"/>
        </w:rPr>
      </w:r>
      <w:r>
        <w:rPr/>
        <w:t>相关制度的规定由经营层、董事会、股东大会讨论确定，不存在受控于控股股东的情形。</w:t>
      </w:r>
    </w:p>
    <w:p>
      <w:pPr>
        <w:pStyle w:val="BodyText"/>
        <w:spacing w:line="309" w:lineRule="auto" w:before="19"/>
        <w:ind w:left="1134" w:right="1131" w:firstLine="360"/>
        <w:jc w:val="both"/>
      </w:pPr>
      <w:r>
        <w:rPr>
          <w:rFonts w:ascii="Times New Roman" w:hAnsi="Times New Roman" w:cs="Times New Roman" w:eastAsia="Times New Roman" w:hint="default"/>
        </w:rPr>
        <w:t>1</w:t>
      </w:r>
      <w:r>
        <w:rPr/>
        <w:t>、业务独立情况：公司业务独立于控股股东、实际控制人及其控制的其他企业，拥有独立完整的研发、生产、采购、 </w:t>
      </w:r>
      <w:r>
        <w:rPr>
          <w:spacing w:val="-2"/>
        </w:rPr>
        <w:t>销售和服务系统，具备独立面向市场经营的能力，不依赖于股东或其它任何关联方，与控股股东、实际控制人及其控制的其</w:t>
      </w:r>
      <w:r>
        <w:rPr>
          <w:spacing w:val="-66"/>
        </w:rPr>
        <w:t> </w:t>
      </w:r>
      <w:r>
        <w:rPr>
          <w:spacing w:val="-66"/>
        </w:rPr>
      </w:r>
      <w:r>
        <w:rPr/>
        <w:t>他企业不存在同业竞争或者显失公平的关联交易。</w:t>
      </w:r>
    </w:p>
    <w:p>
      <w:pPr>
        <w:pStyle w:val="BodyText"/>
        <w:spacing w:line="314" w:lineRule="auto" w:before="24"/>
        <w:ind w:left="1134" w:right="1130"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和人事管理制度，拥有独立的劳动用工权利，不存在受控股股东干涉的现象。公司董事、监事、高级管理人员的任职，均严</w:t>
      </w:r>
      <w:r>
        <w:rPr>
          <w:spacing w:val="-67"/>
        </w:rPr>
        <w:t> </w:t>
      </w:r>
      <w:r>
        <w:rPr>
          <w:spacing w:val="-67"/>
        </w:rPr>
      </w:r>
      <w:r>
        <w:rPr>
          <w:spacing w:val="-2"/>
        </w:rPr>
        <w:t>格按照《公司法》、《公司章程》的有关规定经选举产生和聘任。公司董事长、总经理、副总经理、财务负责人、董事会秘</w:t>
      </w:r>
      <w:r>
        <w:rPr>
          <w:spacing w:val="-69"/>
        </w:rPr>
        <w:t> </w:t>
      </w:r>
      <w:r>
        <w:rPr>
          <w:spacing w:val="-69"/>
        </w:rPr>
      </w:r>
      <w:r>
        <w:rPr>
          <w:spacing w:val="-2"/>
        </w:rPr>
        <w:t>书等高级管理人员未在控股股东及其控制的其他企业担任除董事、监事以外的任何职务，未在控股股东及其控制的其他企业</w:t>
      </w:r>
      <w:r>
        <w:rPr>
          <w:spacing w:val="-64"/>
        </w:rPr>
        <w:t> </w:t>
      </w:r>
      <w:r>
        <w:rPr>
          <w:spacing w:val="-64"/>
        </w:rPr>
      </w:r>
      <w:r>
        <w:rPr/>
        <w:t>领取薪酬。</w:t>
      </w:r>
    </w:p>
    <w:p>
      <w:pPr>
        <w:pStyle w:val="BodyText"/>
        <w:spacing w:line="312" w:lineRule="auto" w:before="20"/>
        <w:ind w:left="1134" w:right="1130" w:firstLine="360"/>
        <w:jc w:val="both"/>
      </w:pPr>
      <w:r>
        <w:rPr>
          <w:rFonts w:ascii="Times New Roman" w:hAnsi="Times New Roman" w:cs="Times New Roman" w:eastAsia="Times New Roman" w:hint="default"/>
        </w:rPr>
        <w:t>3</w:t>
      </w:r>
      <w:r>
        <w:rPr/>
        <w:t>、资产独立情况：公司与控股股东其关联方之间的资产产权界定清晰。公司拥有独立于控股股东的生产经营场所，拥 </w:t>
      </w:r>
      <w:r>
        <w:rPr>
          <w:spacing w:val="-2"/>
        </w:rPr>
        <w:t>有独立完整的资产结构，拥有独立的生产系统、采购系统、销售系统、服务系统以及配套设施、土地使用权、房屋所有权等</w:t>
      </w:r>
      <w:r>
        <w:rPr>
          <w:spacing w:val="-68"/>
        </w:rPr>
        <w:t> </w:t>
      </w:r>
      <w:r>
        <w:rPr>
          <w:spacing w:val="-68"/>
        </w:rPr>
      </w:r>
      <w:r>
        <w:rPr>
          <w:spacing w:val="-2"/>
        </w:rPr>
        <w:t>资产，对全部资产拥有完整的控制支配权，不存在为控股股东提供担保的情形。公司不存在资产、资金被控股股东、实际控</w:t>
      </w:r>
      <w:r>
        <w:rPr>
          <w:spacing w:val="-66"/>
        </w:rPr>
        <w:t> </w:t>
      </w:r>
      <w:r>
        <w:rPr>
          <w:spacing w:val="-66"/>
        </w:rPr>
      </w:r>
      <w:r>
        <w:rPr/>
        <w:t>制人及其控制的其他企业违规占用而损害公司利益的情况。</w:t>
      </w:r>
    </w:p>
    <w:p>
      <w:pPr>
        <w:pStyle w:val="BodyText"/>
        <w:spacing w:line="314" w:lineRule="auto" w:before="22"/>
        <w:ind w:left="1134" w:right="0" w:firstLine="360"/>
        <w:jc w:val="left"/>
      </w:pPr>
      <w:r>
        <w:rPr>
          <w:rFonts w:ascii="Times New Roman" w:hAnsi="Times New Roman" w:cs="Times New Roman" w:eastAsia="Times New Roman" w:hint="default"/>
        </w:rPr>
        <w:t>4</w:t>
      </w:r>
      <w:r>
        <w:rPr/>
        <w:t>、财务独立情况：公司设有独立的财务会计部门和内部审计部门，配备独立的财务会计人员及内部审计人员，不存在 </w:t>
      </w:r>
      <w:r>
        <w:rPr>
          <w:spacing w:val="-4"/>
        </w:rPr>
        <w:t>控股股东及其控制的其它企业兼职的情况。公司制定了独立的财务管理制度和内部审计制度，并建立了独立的会计核算体系，</w:t>
      </w:r>
      <w:r>
        <w:rPr>
          <w:spacing w:val="-44"/>
        </w:rPr>
        <w:t> </w:t>
      </w:r>
      <w:r>
        <w:rPr>
          <w:spacing w:val="-44"/>
        </w:rPr>
      </w:r>
      <w:r>
        <w:rPr>
          <w:spacing w:val="-2"/>
        </w:rPr>
        <w:t>独立进行财务决策，并严格实施内部审计制度；公司开设了独立银行账户，独立支配自有资金和资产，依法进行纳税申报和</w:t>
      </w:r>
      <w:r>
        <w:rPr>
          <w:spacing w:val="-66"/>
        </w:rPr>
        <w:t> </w:t>
      </w:r>
      <w:r>
        <w:rPr>
          <w:spacing w:val="-66"/>
        </w:rPr>
      </w:r>
      <w:r>
        <w:rPr>
          <w:spacing w:val="-2"/>
        </w:rPr>
        <w:t>履行纳税义务，独立对外签订合同，不存在与控股股东、实际控制人及其控制的其它企业共用银行账户的情形。不存在控股</w:t>
      </w:r>
      <w:r>
        <w:rPr>
          <w:spacing w:val="-66"/>
        </w:rPr>
        <w:t> </w:t>
      </w:r>
      <w:r>
        <w:rPr>
          <w:spacing w:val="-66"/>
        </w:rPr>
      </w:r>
      <w:r>
        <w:rPr/>
        <w:t>股东任意干预公司资金运用及占用公司资金的情况。</w:t>
      </w:r>
    </w:p>
    <w:p>
      <w:pPr>
        <w:pStyle w:val="BodyText"/>
        <w:spacing w:line="314" w:lineRule="auto" w:before="20"/>
        <w:ind w:left="1134" w:right="1133" w:firstLine="360"/>
        <w:jc w:val="both"/>
      </w:pPr>
      <w:r>
        <w:rPr>
          <w:rFonts w:ascii="Times New Roman" w:hAnsi="Times New Roman" w:cs="Times New Roman" w:eastAsia="Times New Roman" w:hint="default"/>
        </w:rPr>
        <w:t>5</w:t>
      </w:r>
      <w:r>
        <w:rPr/>
        <w:t>、机构独立情况：公司根据《公司法》和《公司章程》及其他有关法律法规的规定，建立健全的法人治理机构、组织 </w:t>
      </w:r>
      <w:r>
        <w:rPr>
          <w:spacing w:val="-2"/>
        </w:rPr>
        <w:t>结构，设立了股东大会、董事会、监事会以及经营管理层，并制定了相关议事规则和工作细则。公司建立了适合公司生产经</w:t>
      </w:r>
      <w:r>
        <w:rPr>
          <w:spacing w:val="-66"/>
        </w:rPr>
        <w:t> </w:t>
      </w:r>
      <w:r>
        <w:rPr>
          <w:spacing w:val="-66"/>
        </w:rPr>
      </w:r>
      <w:r>
        <w:rPr>
          <w:spacing w:val="-2"/>
        </w:rPr>
        <w:t>营所需的独立完整的组织机构，公司机构及生产经营场所与控股股东完全分开，独立于控股股东和其他关联方，具有健全的</w:t>
      </w:r>
      <w:r>
        <w:rPr>
          <w:spacing w:val="-66"/>
        </w:rPr>
        <w:t> </w:t>
      </w:r>
      <w:r>
        <w:rPr>
          <w:spacing w:val="-66"/>
        </w:rPr>
      </w:r>
      <w:r>
        <w:rPr>
          <w:spacing w:val="-2"/>
        </w:rPr>
        <w:t>内部经营管理机构，独立行使经营管理职权，公司及其职能部门与控股股东及其职能部门之间不存在上下级关系，不存在与</w:t>
      </w:r>
      <w:r>
        <w:rPr>
          <w:spacing w:val="-66"/>
        </w:rPr>
        <w:t> </w:t>
      </w:r>
      <w:r>
        <w:rPr>
          <w:spacing w:val="-66"/>
        </w:rPr>
      </w:r>
      <w:r>
        <w:rPr/>
        <w:t>控股股东及其下属企业机构混同或从属的情形。</w:t>
      </w:r>
    </w:p>
    <w:p>
      <w:pPr>
        <w:spacing w:line="240" w:lineRule="auto" w:before="12"/>
        <w:rPr>
          <w:rFonts w:ascii="宋体" w:hAnsi="宋体" w:cs="宋体" w:eastAsia="宋体" w:hint="default"/>
          <w:sz w:val="20"/>
          <w:szCs w:val="20"/>
        </w:rPr>
      </w:pPr>
    </w:p>
    <w:p>
      <w:pPr>
        <w:pStyle w:val="Heading2"/>
        <w:spacing w:line="240" w:lineRule="auto"/>
        <w:ind w:left="1134" w:right="0"/>
        <w:jc w:val="left"/>
        <w:rPr>
          <w:b w:val="0"/>
          <w:bCs w:val="0"/>
        </w:rPr>
      </w:pPr>
      <w:bookmarkStart w:name="三、同业竞争情况" w:id="131"/>
      <w:bookmarkEnd w:id="131"/>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pStyle w:val="BodyText"/>
        <w:spacing w:line="240" w:lineRule="auto" w:before="44"/>
        <w:ind w:left="0" w:right="806"/>
        <w:jc w:val="right"/>
      </w:pPr>
      <w:r>
        <w:rPr/>
        <w:pict>
          <v:shape style="position:absolute;margin-left:38.459999pt;margin-top:-67.768288pt;width:513.8pt;height:185.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1"/>
                    <w:gridCol w:w="1277"/>
                    <w:gridCol w:w="1416"/>
                    <w:gridCol w:w="1560"/>
                    <w:gridCol w:w="1560"/>
                    <w:gridCol w:w="3237"/>
                  </w:tblGrid>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p>
                      <w:p>
                        <w:pPr>
                          <w:pStyle w:val="TableParagraph"/>
                          <w:spacing w:line="300" w:lineRule="auto" w:before="76"/>
                          <w:ind w:left="22" w:right="20"/>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）及《证券时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sz w:val="18"/>
                            <w:szCs w:val="18"/>
                          </w:rPr>
                          <w:t>报》、《中国证券报》、《上海证券报》上的</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年第一次临时股东大会决议公告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2017-008</w:t>
                        </w:r>
                        <w:r>
                          <w:rPr>
                            <w:rFonts w:ascii="宋体" w:hAnsi="宋体" w:cs="宋体" w:eastAsia="宋体" w:hint="default"/>
                            <w:sz w:val="18"/>
                            <w:szCs w:val="18"/>
                          </w:rPr>
                          <w:t>）</w:t>
                        </w:r>
                      </w:p>
                    </w:tc>
                  </w:tr>
                  <w:tr>
                    <w:trPr>
                      <w:trHeight w:val="1650" w:hRule="exact"/>
                    </w:trPr>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p>
                      <w:p>
                        <w:pPr>
                          <w:pStyle w:val="TableParagraph"/>
                          <w:spacing w:line="300" w:lineRule="auto" w:before="76"/>
                          <w:ind w:left="22" w:right="20"/>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）及《证券时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sz w:val="18"/>
                            <w:szCs w:val="18"/>
                          </w:rPr>
                          <w:t>报》、《中国证券报》、《上海证券报》上的</w:t>
                        </w:r>
                      </w:p>
                      <w:p>
                        <w:pPr>
                          <w:pStyle w:val="TableParagraph"/>
                          <w:spacing w:line="302" w:lineRule="auto" w:before="31"/>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年度股东大会决议公告》（公告编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2017-034</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240" w:lineRule="auto" w:before="35"/>
        <w:ind w:left="1134" w:right="0"/>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10"/>
        <w:gridCol w:w="1276"/>
        <w:gridCol w:w="1134"/>
        <w:gridCol w:w="1277"/>
        <w:gridCol w:w="1134"/>
        <w:gridCol w:w="991"/>
        <w:gridCol w:w="2127"/>
        <w:gridCol w:w="92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独立董 事姓名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1" w:right="110"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1" w:right="110"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0" w:right="38"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7" w:right="67" w:hanging="541"/>
              <w:jc w:val="left"/>
              <w:rPr>
                <w:rFonts w:ascii="宋体" w:hAnsi="宋体" w:cs="宋体" w:eastAsia="宋体" w:hint="default"/>
                <w:sz w:val="18"/>
                <w:szCs w:val="18"/>
              </w:rPr>
            </w:pPr>
            <w:r>
              <w:rPr>
                <w:rFonts w:ascii="宋体" w:hAnsi="宋体" w:cs="宋体" w:eastAsia="宋体" w:hint="default"/>
                <w:sz w:val="18"/>
                <w:szCs w:val="18"/>
              </w:rPr>
              <w:t>是否连续两次未亲自参加 董事会会议</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left="1494" w:right="1216" w:hanging="360"/>
        <w:jc w:val="left"/>
      </w:pPr>
      <w:r>
        <w:rPr/>
        <w:t>连续两次未亲自出席董事会的说明 </w:t>
      </w:r>
      <w:r>
        <w:rPr>
          <w:spacing w:val="-5"/>
        </w:rPr>
        <w:t>根据《公司法》、《公司章程》以及中国证监会《上市公司独立董事指导意见》的有关规定，于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日召开</w:t>
      </w:r>
    </w:p>
    <w:p>
      <w:pPr>
        <w:pStyle w:val="BodyText"/>
        <w:spacing w:line="214" w:lineRule="exact"/>
        <w:ind w:left="11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年第一次临时股东大会</w:t>
      </w:r>
      <w:r>
        <w:rPr>
          <w:spacing w:val="-13"/>
        </w:rPr>
        <w:t>，</w:t>
      </w:r>
      <w:r>
        <w:rPr/>
        <w:t>审议通</w:t>
      </w:r>
      <w:r>
        <w:rPr>
          <w:spacing w:val="-13"/>
        </w:rPr>
        <w:t>过</w:t>
      </w:r>
      <w:r>
        <w:rPr>
          <w:spacing w:val="-2"/>
        </w:rPr>
        <w:t>《</w:t>
      </w:r>
      <w:r>
        <w:rPr/>
        <w:t>关于选举刘国常先生为公司第五届董事会独立董事的议案</w:t>
      </w:r>
      <w:r>
        <w:rPr>
          <w:spacing w:val="-90"/>
        </w:rPr>
        <w:t>》</w:t>
      </w:r>
      <w:r>
        <w:rPr>
          <w:spacing w:val="-13"/>
        </w:rPr>
        <w:t>，</w:t>
      </w:r>
      <w:r>
        <w:rPr/>
        <w:t>刘国常先生任期自股</w:t>
      </w:r>
    </w:p>
    <w:p>
      <w:pPr>
        <w:pStyle w:val="BodyText"/>
        <w:spacing w:line="240" w:lineRule="auto" w:before="64"/>
        <w:ind w:left="1134" w:right="0"/>
        <w:jc w:val="left"/>
      </w:pPr>
      <w:r>
        <w:rPr/>
        <w:t>东大会审议通过之日起至第五届董事会任期届满时止。</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130" w:firstLine="360"/>
        <w:jc w:val="both"/>
      </w:pPr>
      <w:r>
        <w:rPr>
          <w:spacing w:val="-2"/>
        </w:rPr>
        <w:t>公司独立董事在任职期间严格按照《公司法》、《证券法》、《公司章程》、《独立董事工作制度》和《深圳证券交易</w:t>
      </w:r>
      <w:r>
        <w:rPr/>
        <w:t> </w:t>
      </w:r>
      <w:r>
        <w:rPr>
          <w:spacing w:val="-2"/>
        </w:rPr>
        <w:t>所中小企业板上市公司规范运作指引》等法律法规的规定，勤勉尽责地履行职责，及时了解公司各项运营情况，全面关注公</w:t>
      </w:r>
      <w:r>
        <w:rPr>
          <w:spacing w:val="-66"/>
        </w:rPr>
        <w:t> </w:t>
      </w:r>
      <w:r>
        <w:rPr>
          <w:spacing w:val="-66"/>
        </w:rPr>
      </w:r>
      <w:r>
        <w:rPr>
          <w:spacing w:val="-2"/>
        </w:rPr>
        <w:t>司的发展，积极参加公司召开的相关会议，利用自己的专业知识做出独立、客观的判断。对关联交易、对外担保、关联方占</w:t>
      </w:r>
      <w:r>
        <w:rPr>
          <w:spacing w:val="-68"/>
        </w:rPr>
        <w:t> </w:t>
      </w:r>
      <w:r>
        <w:rPr>
          <w:spacing w:val="-68"/>
        </w:rPr>
      </w:r>
      <w:r>
        <w:rPr>
          <w:spacing w:val="-2"/>
        </w:rPr>
        <w:t>用资金情况、年度利润分配预案、聘请年度报告审计机构、内部控制自我评价等相关事项发表独立意见，对各项议案进行认</w:t>
      </w:r>
      <w:r>
        <w:rPr>
          <w:spacing w:val="-66"/>
        </w:rPr>
        <w:t> </w:t>
      </w:r>
      <w:r>
        <w:rPr>
          <w:spacing w:val="-66"/>
        </w:rPr>
      </w:r>
      <w:r>
        <w:rPr/>
        <w:t>真审议，切实维护全体股东尤其是中小股东的合法权益，充分发挥独立董事的独立作用。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2" w:firstLine="360"/>
        <w:jc w:val="both"/>
      </w:pPr>
      <w:r>
        <w:rPr>
          <w:spacing w:val="-2"/>
        </w:rPr>
        <w:t>公司董事会下设四个专门委员会，分别为审计委员会、提名委员会、薪酬与考核委员会以及战略委员会。</w:t>
      </w:r>
      <w:r>
        <w:rPr>
          <w:rFonts w:ascii="Times New Roman" w:hAnsi="Times New Roman" w:cs="Times New Roman" w:eastAsia="Times New Roman" w:hint="default"/>
          <w:spacing w:val="-2"/>
        </w:rPr>
        <w:t>2017</w:t>
      </w:r>
      <w:r>
        <w:rPr>
          <w:spacing w:val="-2"/>
        </w:rPr>
        <w:t>年，各专</w:t>
      </w:r>
      <w:r>
        <w:rPr/>
        <w:t> 门委员会本着勤勉尽责的原则，按照有关法律法规、公司章程及各专门委员会工作细则的有关规定开展相关工作。</w:t>
      </w:r>
    </w:p>
    <w:p>
      <w:pPr>
        <w:pStyle w:val="BodyText"/>
        <w:spacing w:line="300" w:lineRule="auto" w:before="31"/>
        <w:ind w:left="1494" w:right="0"/>
        <w:jc w:val="left"/>
      </w:pPr>
      <w:r>
        <w:rPr>
          <w:rFonts w:ascii="Times New Roman" w:hAnsi="Times New Roman" w:cs="Times New Roman" w:eastAsia="Times New Roman" w:hint="default"/>
        </w:rPr>
        <w:t>1</w:t>
      </w:r>
      <w:r>
        <w:rPr/>
        <w:t>、审计委员会履职情况 </w:t>
      </w:r>
      <w:r>
        <w:rPr>
          <w:spacing w:val="-4"/>
        </w:rPr>
        <w:t>报告期内，审计委员会根据相关规定积极开展工作，认真履行职责，审议公司定期报告、了解公司财务状况和经营情况，</w:t>
      </w:r>
    </w:p>
    <w:p>
      <w:pPr>
        <w:pStyle w:val="BodyText"/>
        <w:spacing w:line="309" w:lineRule="auto" w:before="31"/>
        <w:ind w:left="1494" w:right="1032" w:hanging="360"/>
        <w:jc w:val="left"/>
      </w:pPr>
      <w:r>
        <w:rPr>
          <w:spacing w:val="-4"/>
        </w:rPr>
        <w:t>督促和指导内部审计部门对公司的内部控制体系建设、运行情况及财务管理运行情况进行检查，以提高公司规范化运作水平。</w:t>
      </w:r>
      <w:r>
        <w:rPr>
          <w:spacing w:val="-44"/>
        </w:rPr>
        <w:t> </w:t>
      </w:r>
      <w:r>
        <w:rPr>
          <w:spacing w:val="-44"/>
        </w:rPr>
      </w:r>
      <w:r>
        <w:rPr>
          <w:rFonts w:ascii="Times New Roman" w:hAnsi="Times New Roman" w:cs="Times New Roman" w:eastAsia="Times New Roman" w:hint="default"/>
        </w:rPr>
        <w:t>2</w:t>
      </w:r>
      <w:r>
        <w:rPr/>
        <w:t>、提名委员会履职情况 报告期内，提名委员会认真履行职责，对公司董事长、总经理、副总经理候选人的任职资格进行了讨论和审查；同时，</w:t>
      </w:r>
    </w:p>
    <w:p>
      <w:pPr>
        <w:pStyle w:val="BodyText"/>
        <w:spacing w:line="240" w:lineRule="auto" w:before="24"/>
        <w:ind w:left="1134" w:right="0"/>
        <w:jc w:val="left"/>
      </w:pPr>
      <w:r>
        <w:rPr/>
        <w:t>结合公司的发展战略和实际情况物色、筛选符合条件的人员，为公司的发展储备各类人才。</w:t>
      </w:r>
    </w:p>
    <w:p>
      <w:pPr>
        <w:pStyle w:val="BodyText"/>
        <w:spacing w:line="300" w:lineRule="auto" w:before="76"/>
        <w:ind w:left="1494" w:right="0"/>
        <w:jc w:val="left"/>
      </w:pPr>
      <w:r>
        <w:rPr>
          <w:rFonts w:ascii="Times New Roman" w:hAnsi="Times New Roman" w:cs="Times New Roman" w:eastAsia="Times New Roman" w:hint="default"/>
        </w:rPr>
        <w:t>3</w:t>
      </w:r>
      <w:r>
        <w:rPr/>
        <w:t>、薪酬与考核委员会履职情况 </w:t>
      </w:r>
      <w:r>
        <w:rPr>
          <w:spacing w:val="-2"/>
        </w:rPr>
        <w:t>报告期内，薪酬与考核委员会严格按照《董事会议事规则》履行职责，对公司高级管理人员的薪酬和激励制度提出了专</w:t>
      </w:r>
    </w:p>
    <w:p>
      <w:pPr>
        <w:pStyle w:val="BodyText"/>
        <w:spacing w:line="240" w:lineRule="auto" w:before="31"/>
        <w:ind w:left="1134" w:right="0"/>
        <w:jc w:val="left"/>
      </w:pPr>
      <w:r>
        <w:rPr/>
        <w:t>业性意见和建议，对董事及公司高级管理人员薪酬及考核进行了审查。</w:t>
      </w:r>
    </w:p>
    <w:p>
      <w:pPr>
        <w:pStyle w:val="BodyText"/>
        <w:spacing w:line="300" w:lineRule="auto" w:before="76"/>
        <w:ind w:left="1494" w:right="0"/>
        <w:jc w:val="left"/>
      </w:pPr>
      <w:r>
        <w:rPr>
          <w:rFonts w:ascii="Times New Roman" w:hAnsi="Times New Roman" w:cs="Times New Roman" w:eastAsia="Times New Roman" w:hint="default"/>
        </w:rPr>
        <w:t>4</w:t>
      </w:r>
      <w:r>
        <w:rPr/>
        <w:t>、战略委员会履职情况 </w:t>
      </w:r>
      <w:r>
        <w:rPr>
          <w:spacing w:val="-2"/>
        </w:rPr>
        <w:t>报告期内，公司战略委员会勤勉尽责地履行职责，结合国内经济形势和公司行业特点，对公司经营状况和发展前景进行</w:t>
      </w:r>
    </w:p>
    <w:p>
      <w:pPr>
        <w:pStyle w:val="BodyText"/>
        <w:spacing w:line="316" w:lineRule="auto" w:before="31"/>
        <w:ind w:left="1134" w:right="0"/>
        <w:jc w:val="left"/>
      </w:pPr>
      <w:r>
        <w:rPr>
          <w:spacing w:val="-2"/>
        </w:rPr>
        <w:t>深入地分析，及时对公司战略规划、对外投资等事项进行了研究，提出企业应重点关注的经营事项，为公司发展规划提出积</w:t>
      </w:r>
      <w:r>
        <w:rPr>
          <w:spacing w:val="-66"/>
        </w:rPr>
        <w:t> </w:t>
      </w:r>
      <w:r>
        <w:rPr>
          <w:spacing w:val="-66"/>
        </w:rPr>
      </w:r>
      <w:r>
        <w:rPr/>
        <w:t>极的建设性意见。</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公司建立健全的高级管理人员绩效考评体系以及薪酬制度。公司董事会薪酬与考核委员会是对高管人员进行考核以及确</w:t>
      </w:r>
      <w:r>
        <w:rPr/>
        <w:t> </w:t>
      </w:r>
      <w:r>
        <w:rPr>
          <w:spacing w:val="-2"/>
        </w:rPr>
        <w:t>定薪酬分配的管理机构。公司高管人员的分配与考核以企业经济效益为出发点，根据公司年度经营计划和高管人员分管工作</w:t>
      </w:r>
      <w:r>
        <w:rPr>
          <w:spacing w:val="-64"/>
        </w:rPr>
        <w:t> </w:t>
      </w:r>
      <w:r>
        <w:rPr>
          <w:spacing w:val="-64"/>
        </w:rPr>
      </w:r>
      <w:r>
        <w:rPr>
          <w:spacing w:val="-2"/>
        </w:rPr>
        <w:t>的工作目标，进行综合考核，根据考核结果确定高管人员的年度薪酬分配。薪酬与考核委员会将最终考核结果以及高管人员</w:t>
      </w:r>
      <w:r>
        <w:rPr>
          <w:spacing w:val="-66"/>
        </w:rPr>
        <w:t> </w:t>
      </w:r>
      <w:r>
        <w:rPr>
          <w:spacing w:val="-66"/>
        </w:rPr>
      </w:r>
      <w:r>
        <w:rPr>
          <w:spacing w:val="-2"/>
        </w:rPr>
        <w:t>的薪酬实施具体方案，经董事会审议批准后，由公司统一实施。报告期内，公司已按照关键业绩指标对高级管理人员的工作</w:t>
      </w:r>
      <w:r>
        <w:rPr>
          <w:spacing w:val="-66"/>
        </w:rPr>
        <w:t> </w:t>
      </w:r>
      <w:r>
        <w:rPr>
          <w:spacing w:val="-66"/>
        </w:rPr>
      </w:r>
      <w:r>
        <w:rPr/>
        <w:t>能力、履职情况、责任目标完成情况等进行了考核和评价，其薪酬水平与公司经营业绩紧密挂钩。</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r>
        <w:rPr/>
        <w:pict>
          <v:shape style="position:absolute;margin-left:229.643005pt;margin-top:331.339996pt;width:305.3pt;height:70.4pt;mso-position-horizontal-relative:page;mso-position-vertical-relative:page;z-index:-8007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240" w:lineRule="auto"/>
                    <w:ind w:left="0" w:right="0"/>
                    <w:jc w:val="left"/>
                  </w:pPr>
                  <w:r>
                    <w:rPr/>
                    <w:t>监事和高级管理人员的舞弊行为；</w:t>
                  </w:r>
                </w:p>
              </w:txbxContent>
            </v:textbox>
            <w10:wrap type="none"/>
          </v:shape>
        </w:pict>
      </w:r>
      <w:r>
        <w:rPr/>
        <w:pict>
          <v:group style="position:absolute;margin-left:362.920013pt;margin-top:669.820007pt;width:170.85pt;height:35.25pt;mso-position-horizontal-relative:page;mso-position-vertical-relative:page;z-index:-800728" coordorigin="7258,13396" coordsize="3417,705">
            <v:group style="position:absolute;left:7258;top:13396;width:3417;height:353" coordorigin="7258,13396" coordsize="3417,353">
              <v:shape style="position:absolute;left:7258;top:13396;width:3417;height:353" coordorigin="7258,13396" coordsize="3417,353" path="m7258,13749l10675,13749,10675,13396,7258,13396,7258,13749xe" filled="true" fillcolor="#ffffff" stroked="false">
                <v:path arrowok="t"/>
                <v:fill type="solid"/>
              </v:shape>
            </v:group>
            <v:group style="position:absolute;left:7258;top:13749;width:3417;height:352" coordorigin="7258,13749" coordsize="3417,352">
              <v:shape style="position:absolute;left:7258;top:13749;width:3417;height:352" coordorigin="7258,13749" coordsize="3417,352" path="m7258,14101l10675,14101,10675,13749,7258,13749,7258,14101xe" filled="true" fillcolor="#ffffff" stroked="false">
                <v:path arrowok="t"/>
                <v:fill type="solid"/>
              </v:shape>
            </v:group>
            <w10:wrap type="none"/>
          </v:group>
        </w:pict>
      </w:r>
    </w:p>
    <w:p>
      <w:pPr>
        <w:pStyle w:val="Heading2"/>
        <w:spacing w:line="240" w:lineRule="auto" w:before="26"/>
        <w:ind w:right="0"/>
        <w:jc w:val="left"/>
        <w:rPr>
          <w:b w:val="0"/>
          <w:bCs w:val="0"/>
        </w:rPr>
      </w:pPr>
      <w:bookmarkStart w:name="九、内部控制评价报告" w:id="142"/>
      <w:bookmarkEnd w:id="14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410"/>
        <w:gridCol w:w="2799"/>
        <w:gridCol w:w="887"/>
        <w:gridCol w:w="3472"/>
      </w:tblGrid>
      <w:tr>
        <w:trPr>
          <w:trHeight w:val="403" w:hRule="exact"/>
        </w:trPr>
        <w:tc>
          <w:tcPr>
            <w:tcW w:w="52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35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8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520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359" w:type="dxa"/>
            <w:gridSpan w:val="2"/>
            <w:vMerge w:val="restart"/>
            <w:tcBorders>
              <w:top w:val="single" w:sz="4" w:space="0" w:color="000000"/>
              <w:left w:val="single" w:sz="9" w:space="0" w:color="D2D2D2"/>
              <w:right w:val="single" w:sz="4" w:space="0" w:color="000000"/>
            </w:tcBorders>
          </w:tcPr>
          <w:p>
            <w:pPr>
              <w:pStyle w:val="TableParagraph"/>
              <w:spacing w:line="300" w:lineRule="auto" w:before="52"/>
              <w:ind w:left="27" w:right="38"/>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 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391" w:hRule="exact"/>
        </w:trPr>
        <w:tc>
          <w:tcPr>
            <w:tcW w:w="520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359" w:type="dxa"/>
            <w:gridSpan w:val="2"/>
            <w:vMerge/>
            <w:tcBorders>
              <w:left w:val="single" w:sz="9" w:space="0" w:color="D2D2D2"/>
              <w:right w:val="single" w:sz="4" w:space="0" w:color="000000"/>
            </w:tcBorders>
          </w:tcPr>
          <w:p>
            <w:pPr/>
          </w:p>
        </w:tc>
      </w:tr>
      <w:tr>
        <w:trPr>
          <w:trHeight w:val="161" w:hRule="exact"/>
        </w:trPr>
        <w:tc>
          <w:tcPr>
            <w:tcW w:w="52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359" w:type="dxa"/>
            <w:gridSpan w:val="2"/>
            <w:vMerge/>
            <w:tcBorders>
              <w:left w:val="single" w:sz="9" w:space="0" w:color="D2D2D2"/>
              <w:bottom w:val="single" w:sz="4" w:space="0" w:color="000000"/>
              <w:right w:val="single" w:sz="4" w:space="0" w:color="000000"/>
            </w:tcBorders>
          </w:tcPr>
          <w:p>
            <w:pPr/>
          </w:p>
        </w:tc>
      </w:tr>
      <w:tr>
        <w:trPr>
          <w:trHeight w:val="402" w:hRule="exact"/>
        </w:trPr>
        <w:tc>
          <w:tcPr>
            <w:tcW w:w="52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35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52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35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90"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17" w:right="0"/>
              <w:jc w:val="both"/>
              <w:rPr>
                <w:rFonts w:ascii="宋体" w:hAnsi="宋体" w:cs="宋体" w:eastAsia="宋体" w:hint="default"/>
                <w:sz w:val="18"/>
                <w:szCs w:val="18"/>
              </w:rPr>
            </w:pPr>
            <w:r>
              <w:rPr>
                <w:rFonts w:ascii="宋体" w:hAnsi="宋体" w:cs="宋体" w:eastAsia="宋体" w:hint="default"/>
                <w:sz w:val="18"/>
                <w:szCs w:val="18"/>
              </w:rPr>
              <w:t>财务报告重大缺陷的迹象包括：</w:t>
            </w:r>
          </w:p>
          <w:p>
            <w:pPr>
              <w:pStyle w:val="TableParagraph"/>
              <w:spacing w:line="240" w:lineRule="auto" w:before="116"/>
              <w:ind w:left="17" w:right="0"/>
              <w:jc w:val="both"/>
              <w:rPr>
                <w:rFonts w:ascii="宋体" w:hAnsi="宋体" w:cs="宋体" w:eastAsia="宋体" w:hint="default"/>
                <w:sz w:val="18"/>
                <w:szCs w:val="18"/>
              </w:rPr>
            </w:pPr>
            <w:r>
              <w:rPr>
                <w:rFonts w:ascii="宋体" w:hAnsi="宋体" w:cs="宋体" w:eastAsia="宋体" w:hint="default"/>
                <w:sz w:val="18"/>
                <w:szCs w:val="18"/>
              </w:rPr>
              <w:t>①控制环境无效；</w:t>
            </w:r>
          </w:p>
          <w:p>
            <w:pPr>
              <w:pStyle w:val="TableParagraph"/>
              <w:spacing w:line="240" w:lineRule="auto" w:before="117"/>
              <w:ind w:left="17" w:right="0"/>
              <w:jc w:val="both"/>
              <w:rPr>
                <w:rFonts w:ascii="宋体" w:hAnsi="宋体" w:cs="宋体" w:eastAsia="宋体" w:hint="default"/>
                <w:sz w:val="18"/>
                <w:szCs w:val="18"/>
              </w:rPr>
            </w:pPr>
            <w:r>
              <w:rPr>
                <w:rFonts w:ascii="宋体" w:hAnsi="宋体" w:cs="宋体" w:eastAsia="宋体" w:hint="default"/>
                <w:sz w:val="18"/>
                <w:szCs w:val="18"/>
              </w:rPr>
              <w:t>②公司董事、</w:t>
            </w:r>
          </w:p>
          <w:p>
            <w:pPr>
              <w:pStyle w:val="TableParagraph"/>
              <w:spacing w:line="319" w:lineRule="auto" w:before="115"/>
              <w:ind w:left="17" w:right="51"/>
              <w:jc w:val="both"/>
              <w:rPr>
                <w:rFonts w:ascii="宋体" w:hAnsi="宋体" w:cs="宋体" w:eastAsia="宋体" w:hint="default"/>
                <w:sz w:val="18"/>
                <w:szCs w:val="18"/>
              </w:rPr>
            </w:pPr>
            <w:r>
              <w:rPr>
                <w:rFonts w:ascii="宋体" w:hAnsi="宋体" w:cs="宋体" w:eastAsia="宋体" w:hint="default"/>
                <w:sz w:val="18"/>
                <w:szCs w:val="18"/>
              </w:rPr>
              <w:t>③外部审计发现的却未被公司内部控制识别的 当期财务报告中的重大错报；</w:t>
            </w:r>
          </w:p>
          <w:p>
            <w:pPr>
              <w:pStyle w:val="TableParagraph"/>
              <w:spacing w:line="319" w:lineRule="auto" w:before="56"/>
              <w:ind w:left="17" w:right="51"/>
              <w:jc w:val="both"/>
              <w:rPr>
                <w:rFonts w:ascii="宋体" w:hAnsi="宋体" w:cs="宋体" w:eastAsia="宋体" w:hint="default"/>
                <w:sz w:val="18"/>
                <w:szCs w:val="18"/>
              </w:rPr>
            </w:pPr>
            <w:r>
              <w:rPr>
                <w:rFonts w:ascii="宋体" w:hAnsi="宋体" w:cs="宋体" w:eastAsia="宋体" w:hint="default"/>
                <w:sz w:val="18"/>
                <w:szCs w:val="18"/>
              </w:rPr>
              <w:t>④已经发现并报告给管理层的重大缺陷在合理 的时间内未加以改正；</w:t>
            </w:r>
          </w:p>
          <w:p>
            <w:pPr>
              <w:pStyle w:val="TableParagraph"/>
              <w:spacing w:line="319" w:lineRule="auto" w:before="56"/>
              <w:ind w:left="17" w:right="51"/>
              <w:jc w:val="both"/>
              <w:rPr>
                <w:rFonts w:ascii="宋体" w:hAnsi="宋体" w:cs="宋体" w:eastAsia="宋体" w:hint="default"/>
                <w:sz w:val="18"/>
                <w:szCs w:val="18"/>
              </w:rPr>
            </w:pPr>
            <w:r>
              <w:rPr>
                <w:rFonts w:ascii="宋体" w:hAnsi="宋体" w:cs="宋体" w:eastAsia="宋体" w:hint="default"/>
                <w:sz w:val="18"/>
                <w:szCs w:val="18"/>
              </w:rPr>
              <w:t>⑤审计委员会和审计部门对内部控制的监督无 效。</w:t>
            </w:r>
          </w:p>
          <w:p>
            <w:pPr>
              <w:pStyle w:val="TableParagraph"/>
              <w:spacing w:line="240" w:lineRule="auto" w:before="56"/>
              <w:ind w:left="17" w:right="0"/>
              <w:jc w:val="both"/>
              <w:rPr>
                <w:rFonts w:ascii="宋体" w:hAnsi="宋体" w:cs="宋体" w:eastAsia="宋体" w:hint="default"/>
                <w:sz w:val="18"/>
                <w:szCs w:val="18"/>
              </w:rPr>
            </w:pPr>
            <w:r>
              <w:rPr>
                <w:rFonts w:ascii="宋体" w:hAnsi="宋体" w:cs="宋体" w:eastAsia="宋体" w:hint="default"/>
                <w:sz w:val="18"/>
                <w:szCs w:val="18"/>
              </w:rPr>
              <w:t>财务报告重要缺陷的迹象包括：</w:t>
            </w:r>
          </w:p>
          <w:p>
            <w:pPr>
              <w:pStyle w:val="TableParagraph"/>
              <w:spacing w:line="240" w:lineRule="auto" w:before="116"/>
              <w:ind w:left="17" w:right="0"/>
              <w:jc w:val="both"/>
              <w:rPr>
                <w:rFonts w:ascii="宋体" w:hAnsi="宋体" w:cs="宋体" w:eastAsia="宋体" w:hint="default"/>
                <w:sz w:val="18"/>
                <w:szCs w:val="18"/>
              </w:rPr>
            </w:pPr>
            <w:r>
              <w:rPr>
                <w:rFonts w:ascii="宋体" w:hAnsi="宋体" w:cs="宋体" w:eastAsia="宋体" w:hint="default"/>
                <w:sz w:val="18"/>
                <w:szCs w:val="18"/>
              </w:rPr>
              <w:t>①未依照公认会计准则选择和应用会计政策；</w:t>
            </w:r>
          </w:p>
          <w:p>
            <w:pPr>
              <w:pStyle w:val="TableParagraph"/>
              <w:spacing w:line="240" w:lineRule="auto" w:before="117"/>
              <w:ind w:left="17" w:right="0"/>
              <w:jc w:val="both"/>
              <w:rPr>
                <w:rFonts w:ascii="宋体" w:hAnsi="宋体" w:cs="宋体" w:eastAsia="宋体" w:hint="default"/>
                <w:sz w:val="18"/>
                <w:szCs w:val="18"/>
              </w:rPr>
            </w:pPr>
            <w:r>
              <w:rPr>
                <w:rFonts w:ascii="宋体" w:hAnsi="宋体" w:cs="宋体" w:eastAsia="宋体" w:hint="default"/>
                <w:sz w:val="18"/>
                <w:szCs w:val="18"/>
              </w:rPr>
              <w:t>②未建立反舞弊程序和控制措施；</w:t>
            </w:r>
          </w:p>
          <w:p>
            <w:pPr>
              <w:pStyle w:val="TableParagraph"/>
              <w:spacing w:line="319" w:lineRule="auto" w:before="115"/>
              <w:ind w:left="17" w:right="51"/>
              <w:jc w:val="both"/>
              <w:rPr>
                <w:rFonts w:ascii="宋体" w:hAnsi="宋体" w:cs="宋体" w:eastAsia="宋体" w:hint="default"/>
                <w:sz w:val="18"/>
                <w:szCs w:val="18"/>
              </w:rPr>
            </w:pPr>
            <w:r>
              <w:rPr>
                <w:rFonts w:ascii="宋体" w:hAnsi="宋体" w:cs="宋体" w:eastAsia="宋体" w:hint="default"/>
                <w:sz w:val="18"/>
                <w:szCs w:val="18"/>
              </w:rPr>
              <w:t>③对于非常规或特殊交易的账务处理没有建立 相应的控制机制或没有实施且没有相应的补偿 性控制；</w:t>
            </w:r>
          </w:p>
          <w:p>
            <w:pPr>
              <w:pStyle w:val="TableParagraph"/>
              <w:spacing w:line="319" w:lineRule="auto" w:before="55"/>
              <w:ind w:left="17" w:right="50"/>
              <w:jc w:val="both"/>
              <w:rPr>
                <w:rFonts w:ascii="宋体" w:hAnsi="宋体" w:cs="宋体" w:eastAsia="宋体" w:hint="default"/>
                <w:sz w:val="18"/>
                <w:szCs w:val="18"/>
              </w:rPr>
            </w:pPr>
            <w:r>
              <w:rPr>
                <w:rFonts w:ascii="宋体" w:hAnsi="宋体" w:cs="宋体" w:eastAsia="宋体" w:hint="default"/>
                <w:sz w:val="18"/>
                <w:szCs w:val="18"/>
              </w:rPr>
              <w:t>④对于期末财务报告过程的控制存在一项或多 项缺陷且不能合理保证编制的财务报表达到真 实、完整的目标。</w:t>
            </w:r>
          </w:p>
          <w:p>
            <w:pPr>
              <w:pStyle w:val="TableParagraph"/>
              <w:spacing w:line="319" w:lineRule="auto" w:before="56"/>
              <w:ind w:left="17" w:right="51"/>
              <w:jc w:val="both"/>
              <w:rPr>
                <w:rFonts w:ascii="宋体" w:hAnsi="宋体" w:cs="宋体" w:eastAsia="宋体" w:hint="default"/>
                <w:sz w:val="18"/>
                <w:szCs w:val="18"/>
              </w:rPr>
            </w:pPr>
            <w:r>
              <w:rPr>
                <w:rFonts w:ascii="宋体" w:hAnsi="宋体" w:cs="宋体" w:eastAsia="宋体" w:hint="default"/>
                <w:sz w:val="18"/>
                <w:szCs w:val="18"/>
              </w:rPr>
              <w:t>一般缺陷：未构成重大缺陷、重要缺陷标准的 其他内部控制缺陷。</w:t>
            </w:r>
          </w:p>
        </w:tc>
        <w:tc>
          <w:tcPr>
            <w:tcW w:w="3472" w:type="dxa"/>
            <w:vMerge w:val="restart"/>
            <w:tcBorders>
              <w:top w:val="single" w:sz="4" w:space="0" w:color="000000"/>
              <w:left w:val="single" w:sz="4" w:space="0" w:color="000000"/>
              <w:right w:val="single" w:sz="4" w:space="0" w:color="000000"/>
            </w:tcBorders>
          </w:tcPr>
          <w:p>
            <w:pPr>
              <w:pStyle w:val="TableParagraph"/>
              <w:spacing w:line="1407" w:lineRule="exact"/>
              <w:ind w:right="-51"/>
              <w:jc w:val="left"/>
              <w:rPr>
                <w:rFonts w:ascii="宋体" w:hAnsi="宋体" w:cs="宋体" w:eastAsia="宋体" w:hint="default"/>
                <w:sz w:val="20"/>
                <w:szCs w:val="20"/>
              </w:rPr>
            </w:pPr>
            <w:r>
              <w:rPr>
                <w:rFonts w:ascii="宋体" w:hAnsi="宋体" w:cs="宋体" w:eastAsia="宋体" w:hint="default"/>
                <w:position w:val="-27"/>
                <w:sz w:val="20"/>
                <w:szCs w:val="20"/>
              </w:rPr>
              <w:pict>
                <v:group style="width:173.15pt;height:70.4pt;mso-position-horizontal-relative:char;mso-position-vertical-relative:line" coordorigin="0,0" coordsize="3463,1408">
                  <v:group style="position:absolute;left:0;top:0;width:3463;height:1408" coordorigin="0,0" coordsize="3463,1408">
                    <v:shape style="position:absolute;left:0;top:0;width:3463;height:1408" coordorigin="0,0" coordsize="3463,1408" path="m0,1408l3462,1408,3462,0,0,0,0,1408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非财务报告缺陷认定主要以缺陷对业务流 程有效性的影响程度、发生的可能性作判 定。</w:t>
            </w:r>
          </w:p>
          <w:p>
            <w:pPr>
              <w:pStyle w:val="TableParagraph"/>
              <w:spacing w:line="319" w:lineRule="auto" w:before="56"/>
              <w:ind w:left="22" w:right="21"/>
              <w:jc w:val="both"/>
              <w:rPr>
                <w:rFonts w:ascii="宋体" w:hAnsi="宋体" w:cs="宋体" w:eastAsia="宋体" w:hint="default"/>
                <w:sz w:val="18"/>
                <w:szCs w:val="18"/>
              </w:rPr>
            </w:pPr>
            <w:r>
              <w:rPr>
                <w:rFonts w:ascii="宋体" w:hAnsi="宋体" w:cs="宋体" w:eastAsia="宋体" w:hint="default"/>
                <w:sz w:val="18"/>
                <w:szCs w:val="18"/>
              </w:rPr>
              <w:t>如果缺陷发生的可能性较小，会降低工作效 率或效果、或加大效果的不确定性、或使之 偏离预期目标为一般缺陷；</w:t>
            </w:r>
          </w:p>
          <w:p>
            <w:pPr>
              <w:pStyle w:val="TableParagraph"/>
              <w:spacing w:line="319" w:lineRule="auto" w:before="55"/>
              <w:ind w:left="22" w:right="17"/>
              <w:jc w:val="left"/>
              <w:rPr>
                <w:rFonts w:ascii="宋体" w:hAnsi="宋体" w:cs="宋体" w:eastAsia="宋体" w:hint="default"/>
                <w:sz w:val="18"/>
                <w:szCs w:val="18"/>
              </w:rPr>
            </w:pPr>
            <w:r>
              <w:rPr>
                <w:rFonts w:ascii="宋体" w:hAnsi="宋体" w:cs="宋体" w:eastAsia="宋体" w:hint="default"/>
                <w:sz w:val="18"/>
                <w:szCs w:val="18"/>
              </w:rPr>
              <w:t>如果缺陷发生的可能性较高，会显著降低工 作效率或效果、或显著加大效果的不确定 性、或使之显著偏离预期目标为重要缺陷；</w:t>
            </w:r>
          </w:p>
          <w:p>
            <w:pPr>
              <w:pStyle w:val="TableParagraph"/>
              <w:spacing w:line="319" w:lineRule="auto" w:before="55"/>
              <w:ind w:left="22" w:right="17"/>
              <w:jc w:val="both"/>
              <w:rPr>
                <w:rFonts w:ascii="宋体" w:hAnsi="宋体" w:cs="宋体" w:eastAsia="宋体" w:hint="default"/>
                <w:sz w:val="18"/>
                <w:szCs w:val="18"/>
              </w:rPr>
            </w:pPr>
            <w:r>
              <w:rPr>
                <w:rFonts w:ascii="宋体" w:hAnsi="宋体" w:cs="宋体" w:eastAsia="宋体" w:hint="default"/>
                <w:sz w:val="18"/>
                <w:szCs w:val="18"/>
              </w:rPr>
              <w:t>如果缺陷发生的可能性高，会严重降低工作 效率或效果、或严重加大效果的不确定性、 或使之严重偏离预期目标为重大缺陷。</w:t>
            </w:r>
          </w:p>
        </w:tc>
      </w:tr>
      <w:tr>
        <w:trPr>
          <w:trHeight w:val="392"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7" w:type="dxa"/>
            <w:gridSpan w:val="2"/>
            <w:vMerge/>
            <w:tcBorders>
              <w:left w:val="single" w:sz="9" w:space="0" w:color="D2D2D2"/>
              <w:right w:val="single" w:sz="4" w:space="0" w:color="000000"/>
            </w:tcBorders>
          </w:tcPr>
          <w:p>
            <w:pPr/>
          </w:p>
        </w:tc>
        <w:tc>
          <w:tcPr>
            <w:tcW w:w="3472" w:type="dxa"/>
            <w:vMerge/>
            <w:tcBorders>
              <w:left w:val="single" w:sz="4" w:space="0" w:color="000000"/>
              <w:right w:val="single" w:sz="4" w:space="0" w:color="000000"/>
            </w:tcBorders>
          </w:tcPr>
          <w:p>
            <w:pPr/>
          </w:p>
        </w:tc>
      </w:tr>
      <w:tr>
        <w:trPr>
          <w:trHeight w:val="3188"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gridSpan w:val="2"/>
            <w:vMerge/>
            <w:tcBorders>
              <w:left w:val="single" w:sz="9" w:space="0" w:color="D2D2D2"/>
              <w:bottom w:val="single" w:sz="4" w:space="0" w:color="000000"/>
              <w:right w:val="single" w:sz="4" w:space="0" w:color="000000"/>
            </w:tcBorders>
          </w:tcPr>
          <w:p>
            <w:pPr/>
          </w:p>
        </w:tc>
        <w:tc>
          <w:tcPr>
            <w:tcW w:w="3472" w:type="dxa"/>
            <w:vMerge/>
            <w:tcBorders>
              <w:left w:val="single" w:sz="4" w:space="0" w:color="000000"/>
              <w:bottom w:val="single" w:sz="4" w:space="0" w:color="000000"/>
              <w:right w:val="single" w:sz="4" w:space="0" w:color="000000"/>
            </w:tcBorders>
          </w:tcPr>
          <w:p>
            <w:pPr/>
          </w:p>
        </w:tc>
      </w:tr>
      <w:tr>
        <w:trPr>
          <w:trHeight w:val="806"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gridSpan w:val="2"/>
            <w:vMerge w:val="restart"/>
            <w:tcBorders>
              <w:top w:val="single" w:sz="4" w:space="0" w:color="000000"/>
              <w:left w:val="single" w:sz="9" w:space="0" w:color="D2D2D2"/>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57" w:lineRule="auto"/>
              <w:ind w:left="17" w:right="44"/>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定量标准以营业收入、资产总额作为衡量指标</w:t>
            </w:r>
            <w:r>
              <w:rPr>
                <w:rFonts w:ascii="宋体" w:hAnsi="宋体" w:cs="宋体" w:eastAsia="宋体" w:hint="default"/>
                <w:sz w:val="18"/>
                <w:szCs w:val="18"/>
              </w:rPr>
              <w:t> 内部控制缺陷可能导致或导致的损失与利润表</w:t>
            </w:r>
          </w:p>
          <w:p>
            <w:pPr>
              <w:pStyle w:val="TableParagraph"/>
              <w:spacing w:line="338" w:lineRule="auto"/>
              <w:ind w:left="17" w:right="14"/>
              <w:jc w:val="left"/>
              <w:rPr>
                <w:rFonts w:ascii="宋体" w:hAnsi="宋体" w:cs="宋体" w:eastAsia="宋体" w:hint="default"/>
                <w:sz w:val="18"/>
                <w:szCs w:val="18"/>
              </w:rPr>
            </w:pPr>
            <w:r>
              <w:rPr>
                <w:rFonts w:ascii="宋体" w:hAnsi="宋体" w:cs="宋体" w:eastAsia="宋体" w:hint="default"/>
                <w:sz w:val="18"/>
                <w:szCs w:val="18"/>
              </w:rPr>
              <w:t>相关的，以营业收入指标衡量。 如果该缺陷单独或连同其他缺陷可能导致的财 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w:t>
            </w:r>
          </w:p>
        </w:tc>
        <w:tc>
          <w:tcPr>
            <w:tcW w:w="3472" w:type="dxa"/>
            <w:vMerge w:val="restart"/>
            <w:tcBorders>
              <w:top w:val="single" w:sz="4" w:space="0" w:color="000000"/>
              <w:left w:val="single" w:sz="9" w:space="0" w:color="FFFFFF"/>
              <w:right w:val="single" w:sz="4" w:space="0" w:color="000000"/>
            </w:tcBorders>
          </w:tcPr>
          <w:p>
            <w:pPr>
              <w:pStyle w:val="TableParagraph"/>
              <w:spacing w:line="196" w:lineRule="exact" w:before="51"/>
              <w:ind w:left="16" w:right="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定量标准以营业收入、资产总额作为衡量指</w:t>
            </w:r>
          </w:p>
          <w:p>
            <w:pPr>
              <w:pStyle w:val="TableParagraph"/>
              <w:spacing w:line="157"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标。</w:t>
            </w:r>
          </w:p>
          <w:p>
            <w:pPr>
              <w:pStyle w:val="TableParagraph"/>
              <w:spacing w:line="319" w:lineRule="auto" w:before="115"/>
              <w:ind w:left="16" w:right="-41"/>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w:t>
            </w:r>
          </w:p>
          <w:p>
            <w:pPr>
              <w:pStyle w:val="TableParagraph"/>
              <w:spacing w:line="316" w:lineRule="auto" w:before="55"/>
              <w:ind w:left="16" w:right="-41"/>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 的财务报告错报金额小于营业收入的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1"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7" w:type="dxa"/>
            <w:gridSpan w:val="2"/>
            <w:vMerge/>
            <w:tcBorders>
              <w:left w:val="single" w:sz="9" w:space="0" w:color="D2D2D2"/>
              <w:right w:val="single" w:sz="9" w:space="0" w:color="FFFFFF"/>
            </w:tcBorders>
          </w:tcPr>
          <w:p>
            <w:pPr/>
          </w:p>
        </w:tc>
        <w:tc>
          <w:tcPr>
            <w:tcW w:w="3472" w:type="dxa"/>
            <w:vMerge/>
            <w:tcBorders>
              <w:left w:val="single" w:sz="9" w:space="0" w:color="FFFFFF"/>
              <w:right w:val="single" w:sz="4" w:space="0" w:color="000000"/>
            </w:tcBorders>
          </w:tcPr>
          <w:p>
            <w:pPr/>
          </w:p>
        </w:tc>
      </w:tr>
      <w:tr>
        <w:trPr>
          <w:trHeight w:val="805"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gridSpan w:val="2"/>
            <w:vMerge/>
            <w:tcBorders>
              <w:left w:val="single" w:sz="9" w:space="0" w:color="D2D2D2"/>
              <w:bottom w:val="single" w:sz="4" w:space="0" w:color="000000"/>
              <w:right w:val="single" w:sz="9" w:space="0" w:color="FFFFFF"/>
            </w:tcBorders>
          </w:tcPr>
          <w:p>
            <w:pPr/>
          </w:p>
        </w:tc>
        <w:tc>
          <w:tcPr>
            <w:tcW w:w="3472"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r>
        <w:rPr/>
        <w:pict>
          <v:group style="position:absolute;margin-left:362.920013pt;margin-top:123.29998pt;width:170.85pt;height:15.6pt;mso-position-horizontal-relative:page;mso-position-vertical-relative:page;z-index:-800704" coordorigin="7258,2466" coordsize="3417,312">
            <v:shape style="position:absolute;left:7258;top:2466;width:3417;height:312" coordorigin="7258,2466" coordsize="3417,312" path="m7258,2778l10675,2778,10675,2466,7258,2466,7258,2778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2410"/>
        <w:gridCol w:w="3698"/>
        <w:gridCol w:w="3461"/>
      </w:tblGrid>
      <w:tr>
        <w:trPr>
          <w:trHeight w:val="430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为一般缺陷；</w:t>
            </w:r>
          </w:p>
          <w:p>
            <w:pPr>
              <w:pStyle w:val="TableParagraph"/>
              <w:spacing w:line="302" w:lineRule="auto" w:before="116"/>
              <w:ind w:left="23" w:right="71"/>
              <w:jc w:val="both"/>
              <w:rPr>
                <w:rFonts w:ascii="宋体" w:hAnsi="宋体" w:cs="宋体" w:eastAsia="宋体" w:hint="default"/>
                <w:sz w:val="18"/>
                <w:szCs w:val="18"/>
              </w:rPr>
            </w:pP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为重要缺陷；</w:t>
            </w:r>
          </w:p>
          <w:p>
            <w:pPr>
              <w:pStyle w:val="TableParagraph"/>
              <w:spacing w:line="309" w:lineRule="auto" w:before="68"/>
              <w:ind w:left="23" w:right="-47"/>
              <w:jc w:val="left"/>
              <w:rPr>
                <w:rFonts w:ascii="宋体" w:hAnsi="宋体" w:cs="宋体" w:eastAsia="宋体" w:hint="default"/>
                <w:sz w:val="18"/>
                <w:szCs w:val="18"/>
              </w:rPr>
            </w:pP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 内部控制缺陷可能导致或导致的损失与资产管 理相关的，以资产总额指标衡量。</w:t>
            </w:r>
          </w:p>
          <w:p>
            <w:pPr>
              <w:pStyle w:val="TableParagraph"/>
              <w:spacing w:line="309" w:lineRule="auto" w:before="62"/>
              <w:ind w:left="23" w:right="25"/>
              <w:jc w:val="both"/>
              <w:rPr>
                <w:rFonts w:ascii="宋体" w:hAnsi="宋体" w:cs="宋体" w:eastAsia="宋体" w:hint="default"/>
                <w:sz w:val="18"/>
                <w:szCs w:val="18"/>
              </w:rPr>
            </w:pPr>
            <w:r>
              <w:rPr>
                <w:rFonts w:ascii="宋体" w:hAnsi="宋体" w:cs="宋体" w:eastAsia="宋体" w:hint="default"/>
                <w:sz w:val="18"/>
                <w:szCs w:val="18"/>
              </w:rPr>
              <w:t>如果该缺陷单独或连同其他缺陷可能导致的财 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w:t>
            </w:r>
            <w:r>
              <w:rPr>
                <w:rFonts w:ascii="宋体" w:hAnsi="宋体" w:cs="宋体" w:eastAsia="宋体" w:hint="default"/>
                <w:sz w:val="18"/>
                <w:szCs w:val="18"/>
              </w:rPr>
              <w:t> 为一般缺陷；</w:t>
            </w:r>
          </w:p>
          <w:p>
            <w:pPr>
              <w:pStyle w:val="TableParagraph"/>
              <w:spacing w:line="300" w:lineRule="auto" w:before="64"/>
              <w:ind w:left="23" w:right="25"/>
              <w:jc w:val="both"/>
              <w:rPr>
                <w:rFonts w:ascii="宋体" w:hAnsi="宋体" w:cs="宋体" w:eastAsia="宋体" w:hint="default"/>
                <w:sz w:val="18"/>
                <w:szCs w:val="18"/>
              </w:rPr>
            </w:pPr>
            <w:r>
              <w:rPr>
                <w:rFonts w:ascii="宋体" w:hAnsi="宋体" w:cs="宋体" w:eastAsia="宋体" w:hint="default"/>
                <w:sz w:val="18"/>
                <w:szCs w:val="18"/>
              </w:rPr>
              <w:t>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w:t>
            </w:r>
            <w:r>
              <w:rPr>
                <w:rFonts w:ascii="宋体" w:hAnsi="宋体" w:cs="宋体" w:eastAsia="宋体" w:hint="default"/>
                <w:spacing w:val="-3"/>
                <w:sz w:val="18"/>
                <w:szCs w:val="18"/>
              </w:rPr>
              <w:t>为重要缺陷；如果超过资产总额</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w:t>
            </w:r>
          </w:p>
        </w:tc>
        <w:tc>
          <w:tcPr>
            <w:tcW w:w="346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则认定为一般缺陷；</w:t>
            </w:r>
          </w:p>
          <w:p>
            <w:pPr>
              <w:pStyle w:val="TableParagraph"/>
              <w:spacing w:line="302" w:lineRule="auto" w:before="116"/>
              <w:ind w:left="4" w:right="32"/>
              <w:jc w:val="left"/>
              <w:rPr>
                <w:rFonts w:ascii="宋体" w:hAnsi="宋体" w:cs="宋体" w:eastAsia="宋体" w:hint="default"/>
                <w:sz w:val="18"/>
                <w:szCs w:val="18"/>
              </w:rPr>
            </w:pP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定为重要缺陷；</w:t>
            </w:r>
          </w:p>
          <w:p>
            <w:pPr>
              <w:pStyle w:val="TableParagraph"/>
              <w:spacing w:line="302" w:lineRule="auto" w:before="68"/>
              <w:ind w:left="4" w:right="92"/>
              <w:jc w:val="left"/>
              <w:rPr>
                <w:rFonts w:ascii="宋体" w:hAnsi="宋体" w:cs="宋体" w:eastAsia="宋体" w:hint="default"/>
                <w:sz w:val="18"/>
                <w:szCs w:val="18"/>
              </w:rPr>
            </w:pP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 陷。</w:t>
            </w:r>
          </w:p>
          <w:p>
            <w:pPr>
              <w:pStyle w:val="TableParagraph"/>
              <w:spacing w:line="319" w:lineRule="auto" w:before="68"/>
              <w:ind w:left="4" w:right="-41"/>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内部控制缺陷可能导致或导致的损失与资 产管理相关的，以资产总额指标衡量。</w:t>
            </w:r>
          </w:p>
          <w:p>
            <w:pPr>
              <w:pStyle w:val="TableParagraph"/>
              <w:spacing w:line="309" w:lineRule="auto" w:before="56"/>
              <w:ind w:left="4" w:right="-41"/>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 的财务报告错报金额小于资产总额的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则认定为一般缺陷；</w:t>
            </w:r>
          </w:p>
          <w:p>
            <w:pPr>
              <w:pStyle w:val="TableParagraph"/>
              <w:spacing w:line="300" w:lineRule="auto" w:before="62"/>
              <w:ind w:left="4" w:right="32"/>
              <w:jc w:val="both"/>
              <w:rPr>
                <w:rFonts w:ascii="宋体" w:hAnsi="宋体" w:cs="宋体" w:eastAsia="宋体" w:hint="default"/>
                <w:sz w:val="18"/>
                <w:szCs w:val="18"/>
              </w:rPr>
            </w:pPr>
            <w:r>
              <w:rPr>
                <w:rFonts w:ascii="宋体" w:hAnsi="宋体" w:cs="宋体" w:eastAsia="宋体" w:hint="default"/>
                <w:sz w:val="18"/>
                <w:szCs w:val="18"/>
              </w:rPr>
              <w:t>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定为重要缺陷；如果超过资产总额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认定为重大缺陷。</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3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4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3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4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r>
        <w:rPr/>
        <w:pict>
          <v:group style="position:absolute;margin-left:177.440002pt;margin-top:-72.764374pt;width:356.35pt;height:20.8pt;mso-position-horizontal-relative:page;mso-position-vertical-relative:paragraph;z-index:-800680" coordorigin="3549,-1455" coordsize="7127,416">
            <v:group style="position:absolute;left:3561;top:-1443;width:2;height:392" coordorigin="3561,-1443" coordsize="2,392">
              <v:shape style="position:absolute;left:3561;top:-1443;width:2;height:392" coordorigin="3561,-1443" coordsize="0,392" path="m3561,-1443l3561,-1052e" filled="false" stroked="true" strokeweight="1.2pt" strokecolor="#ffffff">
                <v:path arrowok="t"/>
              </v:shape>
            </v:group>
            <v:group style="position:absolute;left:3573;top:-1443;width:7103;height:392" coordorigin="3573,-1443" coordsize="7103,392">
              <v:shape style="position:absolute;left:3573;top:-1443;width:7103;height:392" coordorigin="3573,-1443" coordsize="7103,392" path="m3573,-1052l10675,-1052,10675,-1443,3573,-1443,3573,-1052xe" filled="true" fillcolor="#ffffff" stroked="false">
                <v:path arrowok="t"/>
                <v:fill type="solid"/>
              </v:shape>
            </v:group>
            <w10:wrap type="none"/>
          </v:group>
        </w:pict>
      </w:r>
      <w:r>
        <w:rPr/>
        <w:pict>
          <v:group style="position:absolute;margin-left:177.440002pt;margin-top:-32.564377pt;width:356.35pt;height:20.8pt;mso-position-horizontal-relative:page;mso-position-vertical-relative:paragraph;z-index:-800656" coordorigin="3549,-651" coordsize="7127,416">
            <v:group style="position:absolute;left:3561;top:-639;width:2;height:392" coordorigin="3561,-639" coordsize="2,392">
              <v:shape style="position:absolute;left:3561;top:-639;width:2;height:392" coordorigin="3561,-639" coordsize="0,392" path="m3561,-639l3561,-248e" filled="false" stroked="true" strokeweight="1.2pt" strokecolor="#ffffff">
                <v:path arrowok="t"/>
              </v:shape>
            </v:group>
            <v:group style="position:absolute;left:3573;top:-639;width:7103;height:392" coordorigin="3573,-639" coordsize="7103,392">
              <v:shape style="position:absolute;left:3573;top:-639;width:7103;height:392" coordorigin="3573,-639" coordsize="7103,392" path="m3573,-248l10675,-248,10675,-639,3573,-639,3573,-248xe" filled="true" fillcolor="#ffffff" stroked="false">
                <v:path arrowok="t"/>
                <v:fill type="solid"/>
              </v:shape>
            </v:group>
            <w10:wrap type="none"/>
          </v:group>
        </w:pict>
      </w:r>
      <w:bookmarkStart w:name="十、内部控制审计报告或鉴证报告" w:id="145"/>
      <w:bookmarkEnd w:id="145"/>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6">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sz w:val="18"/>
                <w:szCs w:val="18"/>
              </w:rPr>
              <w:t>w</w:t>
            </w:r>
            <w:hyperlink r:id="rId16">
              <w:r>
                <w:rPr>
                  <w:rFonts w:ascii="Times New Roman" w:hAnsi="Times New Roman" w:cs="Times New Roman" w:eastAsia="Times New Roman" w:hint="default"/>
                  <w:sz w:val="18"/>
                  <w:szCs w:val="18"/>
                </w:rPr>
                <w:t>.cninfo.com.cn/)</w:t>
              </w:r>
              <w:r>
                <w:rPr>
                  <w:rFonts w:ascii="宋体" w:hAnsi="宋体" w:cs="宋体" w:eastAsia="宋体" w:hint="default"/>
                  <w:sz w:val="18"/>
                  <w:szCs w:val="18"/>
                </w:rPr>
                <w:t>的《内</w:t>
              </w:r>
            </w:hyperlink>
            <w:r>
              <w:rPr>
                <w:rFonts w:ascii="宋体" w:hAnsi="宋体" w:cs="宋体" w:eastAsia="宋体" w:hint="default"/>
                <w:sz w:val="18"/>
                <w:szCs w:val="18"/>
              </w:rPr>
              <w:t>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十节 公司债券相关情况" w:id="146"/>
      <w:bookmarkEnd w:id="146"/>
      <w:r>
        <w:rPr>
          <w:b w:val="0"/>
          <w:bCs w:val="0"/>
        </w:rPr>
      </w:r>
      <w:bookmarkStart w:name="_bookmark8" w:id="147"/>
      <w:bookmarkEnd w:id="14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第十一节 财务报告" w:id="148"/>
      <w:bookmarkEnd w:id="148"/>
      <w:r>
        <w:rPr>
          <w:b w:val="0"/>
          <w:bCs w:val="0"/>
        </w:rPr>
      </w:r>
      <w:bookmarkStart w:name="_bookmark9" w:id="149"/>
      <w:bookmarkEnd w:id="14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ZC10342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张锦坤、漆江燕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16" w:lineRule="auto"/>
        <w:ind w:left="1493" w:right="-19" w:hanging="360"/>
        <w:jc w:val="left"/>
      </w:pPr>
      <w:r>
        <w:rPr/>
        <w:t>广州御银科技股份有限公司全体股东： 对财务报表出具的审计报告</w:t>
      </w:r>
    </w:p>
    <w:p>
      <w:pPr>
        <w:pStyle w:val="Heading4"/>
        <w:spacing w:line="240" w:lineRule="auto" w:before="19"/>
        <w:ind w:right="-19"/>
        <w:jc w:val="left"/>
        <w:rPr>
          <w:b w:val="0"/>
          <w:bCs w:val="0"/>
        </w:rPr>
      </w:pPr>
      <w:r>
        <w:rPr/>
        <w:t>一、审计意见</w:t>
      </w:r>
      <w:r>
        <w:rPr>
          <w:b w:val="0"/>
          <w:bCs w:val="0"/>
        </w:rPr>
      </w:r>
    </w:p>
    <w:p>
      <w:pPr>
        <w:pStyle w:val="Heading4"/>
        <w:spacing w:line="240" w:lineRule="auto" w:before="51"/>
        <w:ind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0" w:right="0"/>
          <w:cols w:num="2" w:equalWidth="0">
            <w:col w:w="4195" w:space="83"/>
            <w:col w:w="7632"/>
          </w:cols>
        </w:sectPr>
      </w:pPr>
    </w:p>
    <w:p>
      <w:pPr>
        <w:pStyle w:val="BodyText"/>
        <w:spacing w:line="300" w:lineRule="auto" w:before="76"/>
        <w:ind w:right="0" w:firstLine="360"/>
        <w:jc w:val="left"/>
      </w:pPr>
      <w:r>
        <w:rPr>
          <w:spacing w:val="-2"/>
        </w:rPr>
        <w:t>我们审计了广州御银科技股份有限公司（以下简称御银股份）财务报表，包括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2017</w:t>
      </w:r>
      <w:r>
        <w:rPr/>
        <w:t>年度的合并及母公司利润表、合并及母公司现金流量表、合并及母公司股东权益变动表以及相关财务报表附注。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我们认为，后附的财务报表在所有重大方面按照企业会计准则的规定编制，公允反映了御银股份</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9" w:lineRule="auto" w:before="13"/>
        <w:ind w:left="1493" w:right="0"/>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阐述了我们在这些准则下的责任。按照中国注册会计师职业道德守则，我们独立于御银股份，并履行了职业道德方面的其他</w:t>
      </w:r>
      <w:r>
        <w:rPr>
          <w:spacing w:val="-66"/>
        </w:rPr>
        <w:t> </w:t>
      </w:r>
      <w:r>
        <w:rPr>
          <w:spacing w:val="-66"/>
        </w:rPr>
      </w:r>
      <w:r>
        <w:rPr/>
        <w:t>责任。我们相信，我们获取的审计证据是充分、适当的，为发表审计意见提供了基础。</w:t>
      </w:r>
    </w:p>
    <w:p>
      <w:pPr>
        <w:pStyle w:val="BodyText"/>
        <w:spacing w:line="316" w:lineRule="auto" w:before="19"/>
        <w:ind w:left="1493" w:right="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4821"/>
        <w:gridCol w:w="4724"/>
      </w:tblGrid>
      <w:tr>
        <w:trPr>
          <w:trHeight w:val="347" w:hRule="exact"/>
        </w:trPr>
        <w:tc>
          <w:tcPr>
            <w:tcW w:w="4821"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2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1179"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9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（一）关联方关系及其交易披露的完整性</w:t>
            </w:r>
            <w:r>
              <w:rPr>
                <w:rFonts w:ascii="宋体" w:hAnsi="宋体" w:cs="宋体" w:eastAsia="宋体" w:hint="default"/>
                <w:sz w:val="18"/>
                <w:szCs w:val="18"/>
              </w:rPr>
            </w:r>
          </w:p>
        </w:tc>
      </w:tr>
      <w:tr>
        <w:trPr>
          <w:trHeight w:val="4403"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请参阅</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财务报告十二、关联方及关联交易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日，御银股份存在与关联方之间的涉及不同</w:t>
            </w:r>
            <w:r>
              <w:rPr>
                <w:rFonts w:ascii="宋体" w:hAnsi="宋体" w:cs="宋体" w:eastAsia="宋体" w:hint="default"/>
                <w:sz w:val="18"/>
                <w:szCs w:val="18"/>
              </w:rPr>
              <w:t> </w:t>
            </w:r>
            <w:r>
              <w:rPr>
                <w:rFonts w:ascii="宋体" w:hAnsi="宋体" w:cs="宋体" w:eastAsia="宋体" w:hint="default"/>
                <w:spacing w:val="-3"/>
                <w:sz w:val="18"/>
                <w:szCs w:val="18"/>
              </w:rPr>
              <w:t>交易类别的关联方交易，包括向关联方采购原材料、委托关联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方加工和向关联方出租等。 </w:t>
            </w:r>
            <w:r>
              <w:rPr>
                <w:rFonts w:ascii="宋体" w:hAnsi="宋体" w:cs="宋体" w:eastAsia="宋体" w:hint="default"/>
                <w:spacing w:val="-2"/>
                <w:sz w:val="18"/>
                <w:szCs w:val="18"/>
              </w:rPr>
              <w:t>由于御银股份关联方数量较多、涉及的关联方交易种类多样，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存在没有在财务报表附注中披露所有关联方关系和关联方交</w:t>
            </w:r>
            <w:r>
              <w:rPr>
                <w:rFonts w:ascii="宋体" w:hAnsi="宋体" w:cs="宋体" w:eastAsia="宋体" w:hint="default"/>
                <w:sz w:val="18"/>
                <w:szCs w:val="18"/>
              </w:rPr>
              <w:t> </w:t>
            </w:r>
            <w:r>
              <w:rPr>
                <w:rFonts w:ascii="宋体" w:hAnsi="宋体" w:cs="宋体" w:eastAsia="宋体" w:hint="default"/>
                <w:spacing w:val="-3"/>
                <w:sz w:val="18"/>
                <w:szCs w:val="18"/>
              </w:rPr>
              <w:t>易的风险，同时由于关联方交易金额重大，我们将关联方关系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及其交易披露的完整性确认为关键审计事项。</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针对关联方关系及关联方交易，我们实施了以下审计程序：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、了解御银股份识别关联方的程序，评估并测试了御银股份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识别和披露关联方关系及其交易的内部控制； </w:t>
            </w:r>
            <w:r>
              <w:rPr>
                <w:rFonts w:ascii="Times New Roman" w:hAnsi="Times New Roman" w:cs="Times New Roman" w:eastAsia="Times New Roman" w:hint="default"/>
                <w:sz w:val="18"/>
                <w:szCs w:val="18"/>
              </w:rPr>
              <w:t>2</w:t>
            </w:r>
            <w:r>
              <w:rPr>
                <w:rFonts w:ascii="宋体" w:hAnsi="宋体" w:cs="宋体" w:eastAsia="宋体" w:hint="default"/>
                <w:sz w:val="18"/>
                <w:szCs w:val="18"/>
              </w:rPr>
              <w:t>、向管理层和治理层获取信息以识别所有已知关联方的名 字，并就该信息的完整性执行以下的审计程序：</w:t>
            </w:r>
          </w:p>
          <w:p>
            <w:pPr>
              <w:pStyle w:val="TableParagraph"/>
              <w:spacing w:line="302" w:lineRule="auto" w:before="24"/>
              <w:ind w:left="2" w:right="45"/>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将其与财务系统中导出的关联方关系清单以及从其他公开 渠道获取的信息进行核对；</w:t>
            </w:r>
          </w:p>
          <w:p>
            <w:pPr>
              <w:pStyle w:val="TableParagraph"/>
              <w:spacing w:line="302" w:lineRule="auto" w:before="29"/>
              <w:ind w:left="2" w:right="45"/>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复核重大的采购和其他合同，以识别是否存在未披露的关 联方关系；</w:t>
            </w:r>
          </w:p>
          <w:p>
            <w:pPr>
              <w:pStyle w:val="TableParagraph"/>
              <w:spacing w:line="307" w:lineRule="auto" w:before="29"/>
              <w:ind w:left="2" w:right="2"/>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复核股东记录、股东名册、股东或治理层会议纪要等法定 记录，识别是否存在管理层未告知的关联方。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、取得管理层提供的关联方交易发生额及余额明细，实施了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以下程序：</w:t>
            </w:r>
          </w:p>
          <w:p>
            <w:pPr>
              <w:pStyle w:val="TableParagraph"/>
              <w:spacing w:line="240" w:lineRule="auto" w:before="26"/>
              <w:ind w:left="2" w:right="0"/>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将其与财务记录进行核对；</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821"/>
        <w:gridCol w:w="4724"/>
      </w:tblGrid>
      <w:tr>
        <w:trPr>
          <w:trHeight w:val="1907" w:hRule="exact"/>
        </w:trPr>
        <w:tc>
          <w:tcPr>
            <w:tcW w:w="4821" w:type="dxa"/>
            <w:tcBorders>
              <w:top w:val="single" w:sz="6" w:space="0" w:color="000000"/>
              <w:left w:val="single" w:sz="6" w:space="0" w:color="000000"/>
              <w:bottom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45"/>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抽样检查关联方交易发生时的合同及关联方交易及余额的 对账结果；</w:t>
            </w:r>
          </w:p>
          <w:p>
            <w:pPr>
              <w:pStyle w:val="TableParagraph"/>
              <w:spacing w:line="240" w:lineRule="auto" w:before="29"/>
              <w:ind w:left="2" w:right="0"/>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抽样函证关联方交易发生额及余额；</w:t>
            </w:r>
          </w:p>
          <w:p>
            <w:pPr>
              <w:pStyle w:val="TableParagraph"/>
              <w:spacing w:line="302" w:lineRule="auto" w:before="63"/>
              <w:ind w:left="2" w:right="0"/>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现场走访和访谈重要的关联方；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、检查关联方关系及交易是否已按照企会计准则的要求进行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了充分披露。</w:t>
            </w:r>
          </w:p>
        </w:tc>
      </w:tr>
      <w:tr>
        <w:trPr>
          <w:trHeight w:val="350" w:hRule="exact"/>
        </w:trPr>
        <w:tc>
          <w:tcPr>
            <w:tcW w:w="9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（二）以公允价值计量且其变动计入当期损益的金融资产</w:t>
            </w:r>
            <w:r>
              <w:rPr>
                <w:rFonts w:ascii="宋体" w:hAnsi="宋体" w:cs="宋体" w:eastAsia="宋体" w:hint="default"/>
                <w:sz w:val="18"/>
                <w:szCs w:val="18"/>
              </w:rPr>
            </w:r>
          </w:p>
        </w:tc>
      </w:tr>
      <w:tr>
        <w:trPr>
          <w:trHeight w:val="4715"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以公允价值计量且其变动计入当期损益的金融资产的会计政 策详情请参阅</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财务报告五、</w:t>
            </w:r>
            <w:r>
              <w:rPr>
                <w:rFonts w:ascii="Times New Roman" w:hAnsi="Times New Roman" w:cs="Times New Roman" w:eastAsia="Times New Roman" w:hint="default"/>
                <w:sz w:val="18"/>
                <w:szCs w:val="18"/>
              </w:rPr>
              <w:t>9</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2</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 御银股份</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以公允价值计量且其变动计入当期损益的金融资 产</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（以下简称为</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）为公司在证券交易所购买的股 </w:t>
            </w:r>
            <w:r>
              <w:rPr>
                <w:rFonts w:ascii="宋体" w:hAnsi="宋体" w:cs="宋体" w:eastAsia="宋体" w:hint="default"/>
                <w:spacing w:val="-3"/>
                <w:sz w:val="18"/>
                <w:szCs w:val="18"/>
              </w:rPr>
              <w:t>票、基金等金融资产，在取得时以该资产的实际成交价作为初</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始确认金额，相关的交易税费计入当期损益；出售时，以其成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交价与初始确认金额之间的差额和出售时发生的交易税费确 </w:t>
            </w:r>
            <w:r>
              <w:rPr>
                <w:rFonts w:ascii="宋体" w:hAnsi="宋体" w:cs="宋体" w:eastAsia="宋体" w:hint="default"/>
                <w:spacing w:val="-2"/>
                <w:sz w:val="18"/>
                <w:szCs w:val="18"/>
              </w:rPr>
              <w:t>认为投资收益。如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财务报告七、</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以公允价值计量且其变动计</w:t>
            </w:r>
            <w:r>
              <w:rPr>
                <w:rFonts w:ascii="宋体" w:hAnsi="宋体" w:cs="宋体" w:eastAsia="宋体" w:hint="default"/>
                <w:spacing w:val="-86"/>
                <w:sz w:val="18"/>
                <w:szCs w:val="18"/>
              </w:rPr>
              <w:t> </w:t>
            </w:r>
            <w:r>
              <w:rPr>
                <w:rFonts w:ascii="宋体" w:hAnsi="宋体" w:cs="宋体" w:eastAsia="宋体" w:hint="default"/>
                <w:sz w:val="18"/>
                <w:szCs w:val="18"/>
              </w:rPr>
              <w:t>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所述，截至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日，御银股 份持有的</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为</w:t>
            </w:r>
            <w:r>
              <w:rPr>
                <w:rFonts w:ascii="Times New Roman" w:hAnsi="Times New Roman" w:cs="Times New Roman" w:eastAsia="Times New Roman" w:hint="default"/>
                <w:sz w:val="18"/>
                <w:szCs w:val="18"/>
              </w:rPr>
              <w:t>31,630.17</w:t>
            </w:r>
            <w:r>
              <w:rPr>
                <w:rFonts w:ascii="宋体" w:hAnsi="宋体" w:cs="宋体" w:eastAsia="宋体" w:hint="default"/>
                <w:sz w:val="18"/>
                <w:szCs w:val="18"/>
              </w:rPr>
              <w:t>万元，本年度已出售的</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1"/>
                <w:sz w:val="18"/>
                <w:szCs w:val="18"/>
              </w:rPr>
              <w:t> </w:t>
            </w:r>
            <w:r>
              <w:rPr>
                <w:rFonts w:ascii="宋体" w:hAnsi="宋体" w:cs="宋体" w:eastAsia="宋体" w:hint="default"/>
                <w:spacing w:val="-2"/>
                <w:sz w:val="18"/>
                <w:szCs w:val="18"/>
              </w:rPr>
              <w:t>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的投资收益已计入本年度利润表的金额</w:t>
            </w:r>
            <w:r>
              <w:rPr>
                <w:rFonts w:ascii="Times New Roman" w:hAnsi="Times New Roman" w:cs="Times New Roman" w:eastAsia="Times New Roman" w:hint="default"/>
                <w:spacing w:val="-2"/>
                <w:sz w:val="18"/>
                <w:szCs w:val="18"/>
              </w:rPr>
              <w:t>3,252.29</w:t>
            </w:r>
            <w:r>
              <w:rPr>
                <w:rFonts w:ascii="宋体" w:hAnsi="宋体" w:cs="宋体" w:eastAsia="宋体" w:hint="default"/>
                <w:spacing w:val="-2"/>
                <w:sz w:val="18"/>
                <w:szCs w:val="18"/>
              </w:rPr>
              <w:t>万元，期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末持有的</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公允价值变动收益</w:t>
            </w:r>
            <w:r>
              <w:rPr>
                <w:rFonts w:ascii="Times New Roman" w:hAnsi="Times New Roman" w:cs="Times New Roman" w:eastAsia="Times New Roman" w:hint="default"/>
                <w:sz w:val="18"/>
                <w:szCs w:val="18"/>
              </w:rPr>
              <w:t>”</w:t>
            </w:r>
            <w:r>
              <w:rPr>
                <w:rFonts w:ascii="宋体" w:hAnsi="宋体" w:cs="宋体" w:eastAsia="宋体" w:hint="default"/>
                <w:sz w:val="18"/>
                <w:szCs w:val="18"/>
              </w:rPr>
              <w:t>计入本年度利润 表金额</w:t>
            </w:r>
            <w:r>
              <w:rPr>
                <w:rFonts w:ascii="Times New Roman" w:hAnsi="Times New Roman" w:cs="Times New Roman" w:eastAsia="Times New Roman" w:hint="default"/>
                <w:sz w:val="18"/>
                <w:szCs w:val="18"/>
              </w:rPr>
              <w:t>2,362.10</w:t>
            </w:r>
            <w:r>
              <w:rPr>
                <w:rFonts w:ascii="宋体" w:hAnsi="宋体" w:cs="宋体" w:eastAsia="宋体" w:hint="default"/>
                <w:sz w:val="18"/>
                <w:szCs w:val="18"/>
              </w:rPr>
              <w:t>万元。 </w:t>
            </w:r>
            <w:r>
              <w:rPr>
                <w:rFonts w:ascii="宋体" w:hAnsi="宋体" w:cs="宋体" w:eastAsia="宋体" w:hint="default"/>
                <w:spacing w:val="-2"/>
                <w:sz w:val="18"/>
                <w:szCs w:val="18"/>
              </w:rPr>
              <w:t>由于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本期出售和期末金额对本期报表影响重大，我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们将其确定为关键审计事项。</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针对</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，我们实施了以下审计程序：</w:t>
            </w:r>
          </w:p>
          <w:p>
            <w:pPr>
              <w:pStyle w:val="TableParagraph"/>
              <w:spacing w:line="302" w:lineRule="auto" w:before="63"/>
              <w:ind w:left="2" w:right="45"/>
              <w:jc w:val="both"/>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查阅了御银股份重大的对外投资的股东大会、董事会决议 和相关的会议纪要等资料；</w:t>
            </w:r>
          </w:p>
          <w:p>
            <w:pPr>
              <w:pStyle w:val="TableParagraph"/>
              <w:spacing w:line="302" w:lineRule="auto" w:before="29"/>
              <w:ind w:left="2" w:right="45"/>
              <w:jc w:val="both"/>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了解御银股份买卖公开市场股票等金融资产的程序，评估 并测试了御银股份针对该等买卖金融资产的内部控制；</w:t>
            </w:r>
          </w:p>
          <w:p>
            <w:pPr>
              <w:pStyle w:val="TableParagraph"/>
              <w:spacing w:line="309" w:lineRule="auto" w:before="29"/>
              <w:ind w:left="2" w:right="24"/>
              <w:jc w:val="both"/>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取得御银股份在证券交易公司的开户信息、交易流水和资 金流水等重要资料，并将交易流水和资金流水与御银股份的 会计记录抽样进行核对；</w:t>
            </w:r>
          </w:p>
          <w:p>
            <w:pPr>
              <w:pStyle w:val="TableParagraph"/>
              <w:spacing w:line="302" w:lineRule="auto" w:before="24"/>
              <w:ind w:left="2" w:right="45"/>
              <w:jc w:val="both"/>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向御银股份开户的证券交易公司询证金融资产的交易和余 额；</w:t>
            </w:r>
          </w:p>
          <w:p>
            <w:pPr>
              <w:pStyle w:val="TableParagraph"/>
              <w:spacing w:line="240" w:lineRule="auto" w:before="29"/>
              <w:ind w:left="2" w:right="0"/>
              <w:jc w:val="both"/>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重新计算报表披露金额</w:t>
            </w:r>
          </w:p>
        </w:tc>
      </w:tr>
      <w:tr>
        <w:trPr>
          <w:trHeight w:val="350" w:hRule="exact"/>
        </w:trPr>
        <w:tc>
          <w:tcPr>
            <w:tcW w:w="9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（三）政府补助</w:t>
            </w:r>
            <w:r>
              <w:rPr>
                <w:rFonts w:ascii="宋体" w:hAnsi="宋体" w:cs="宋体" w:eastAsia="宋体" w:hint="default"/>
                <w:sz w:val="18"/>
                <w:szCs w:val="18"/>
              </w:rPr>
            </w:r>
          </w:p>
        </w:tc>
      </w:tr>
      <w:tr>
        <w:trPr>
          <w:trHeight w:val="2843"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7"/>
              <w:jc w:val="left"/>
              <w:rPr>
                <w:rFonts w:ascii="宋体" w:hAnsi="宋体" w:cs="宋体" w:eastAsia="宋体" w:hint="default"/>
                <w:sz w:val="18"/>
                <w:szCs w:val="18"/>
              </w:rPr>
            </w:pPr>
            <w:r>
              <w:rPr>
                <w:rFonts w:ascii="宋体" w:hAnsi="宋体" w:cs="宋体" w:eastAsia="宋体" w:hint="default"/>
                <w:spacing w:val="-1"/>
                <w:sz w:val="18"/>
                <w:szCs w:val="18"/>
              </w:rPr>
              <w:t>政府补助的会计政策详情请参阅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财务报告五、</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政府补助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宋体" w:hAnsi="宋体" w:cs="宋体" w:eastAsia="宋体" w:hint="default"/>
                <w:spacing w:val="-82"/>
                <w:sz w:val="18"/>
                <w:szCs w:val="18"/>
              </w:rPr>
              <w:t> </w:t>
            </w:r>
            <w:r>
              <w:rPr>
                <w:rFonts w:ascii="宋体" w:hAnsi="宋体" w:cs="宋体" w:eastAsia="宋体" w:hint="default"/>
                <w:spacing w:val="-3"/>
                <w:sz w:val="18"/>
                <w:szCs w:val="18"/>
              </w:rPr>
              <w:t>御银股份在收到政府补助的资金时，按照地方政府补助文件的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内容在合并财务报表中确认为其他收益（与企业日常活动相关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的）和营业外收入（与企业日常活动无关的）。 </w:t>
            </w:r>
            <w:r>
              <w:rPr>
                <w:rFonts w:ascii="宋体" w:hAnsi="宋体" w:cs="宋体" w:eastAsia="宋体" w:hint="default"/>
                <w:spacing w:val="-2"/>
                <w:sz w:val="18"/>
                <w:szCs w:val="18"/>
              </w:rPr>
              <w:t>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财务报告七、</w:t>
            </w:r>
            <w:r>
              <w:rPr>
                <w:rFonts w:ascii="Times New Roman" w:hAnsi="Times New Roman" w:cs="Times New Roman" w:eastAsia="Times New Roman" w:hint="default"/>
                <w:spacing w:val="-2"/>
                <w:sz w:val="18"/>
                <w:szCs w:val="18"/>
              </w:rPr>
              <w:t>44</w:t>
            </w:r>
            <w:r>
              <w:rPr>
                <w:rFonts w:ascii="宋体" w:hAnsi="宋体" w:cs="宋体" w:eastAsia="宋体" w:hint="default"/>
                <w:spacing w:val="-2"/>
                <w:sz w:val="18"/>
                <w:szCs w:val="18"/>
              </w:rPr>
              <w:t>其他收益及</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营业外收入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所述，</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宋体" w:hAnsi="宋体" w:cs="宋体" w:eastAsia="宋体" w:hint="default"/>
                <w:spacing w:val="-66"/>
                <w:sz w:val="18"/>
                <w:szCs w:val="18"/>
              </w:rPr>
              <w:t> </w:t>
            </w:r>
            <w:r>
              <w:rPr>
                <w:rFonts w:ascii="宋体" w:hAnsi="宋体" w:cs="宋体" w:eastAsia="宋体" w:hint="default"/>
                <w:sz w:val="18"/>
                <w:szCs w:val="18"/>
              </w:rPr>
              <w:t>御银股份收到的政府补助计入利润表的金额为人民币</w:t>
            </w:r>
            <w:r>
              <w:rPr>
                <w:rFonts w:ascii="Times New Roman" w:hAnsi="Times New Roman" w:cs="Times New Roman" w:eastAsia="Times New Roman" w:hint="default"/>
                <w:sz w:val="18"/>
                <w:szCs w:val="18"/>
              </w:rPr>
              <w:t>2,514.97 </w:t>
            </w:r>
            <w:r>
              <w:rPr>
                <w:rFonts w:ascii="宋体" w:hAnsi="宋体" w:cs="宋体" w:eastAsia="宋体" w:hint="default"/>
                <w:sz w:val="18"/>
                <w:szCs w:val="18"/>
              </w:rPr>
              <w:t>万元。 </w:t>
            </w:r>
            <w:r>
              <w:rPr>
                <w:rFonts w:ascii="宋体" w:hAnsi="宋体" w:cs="宋体" w:eastAsia="宋体" w:hint="default"/>
                <w:spacing w:val="-3"/>
                <w:sz w:val="18"/>
                <w:szCs w:val="18"/>
              </w:rPr>
              <w:t>因为政府补助对合并财务报表的重要性，我们将其确定为关键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审计事项。</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针对政府补助，我们实施了以下审计程序：</w:t>
            </w:r>
          </w:p>
          <w:p>
            <w:pPr>
              <w:pStyle w:val="TableParagraph"/>
              <w:spacing w:line="240" w:lineRule="auto" w:before="76"/>
              <w:ind w:left="2" w:right="0"/>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检查御银股份申请政府补助提交的相关文件的具体内容；</w:t>
            </w:r>
          </w:p>
          <w:p>
            <w:pPr>
              <w:pStyle w:val="TableParagraph"/>
              <w:spacing w:line="240" w:lineRule="auto" w:before="63"/>
              <w:ind w:left="2" w:right="0"/>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逐个核对政府补助的相关文件，确定政府补助的性质；</w:t>
            </w:r>
          </w:p>
          <w:p>
            <w:pPr>
              <w:pStyle w:val="TableParagraph"/>
              <w:spacing w:line="240" w:lineRule="auto" w:before="63"/>
              <w:ind w:left="2" w:right="0"/>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检查御银股份收到政府补助时的资金入账情况；</w:t>
            </w:r>
          </w:p>
          <w:p>
            <w:pPr>
              <w:pStyle w:val="TableParagraph"/>
              <w:spacing w:line="240" w:lineRule="auto" w:before="63"/>
              <w:ind w:left="2" w:right="0"/>
              <w:jc w:val="left"/>
              <w:rPr>
                <w:rFonts w:ascii="宋体" w:hAnsi="宋体" w:cs="宋体" w:eastAsia="宋体" w:hint="default"/>
                <w:sz w:val="18"/>
                <w:szCs w:val="18"/>
              </w:rPr>
            </w:pPr>
            <w:r>
              <w:rPr>
                <w:rFonts w:ascii="Wingdings 2" w:hAnsi="Wingdings 2" w:cs="Wingdings 2" w:eastAsia="Wingdings 2" w:hint="default"/>
                <w:sz w:val="18"/>
                <w:szCs w:val="18"/>
              </w:rPr>
              <w:t></w:t>
            </w:r>
            <w:r>
              <w:rPr>
                <w:rFonts w:ascii="宋体" w:hAnsi="宋体" w:cs="宋体" w:eastAsia="宋体" w:hint="default"/>
                <w:sz w:val="18"/>
                <w:szCs w:val="18"/>
              </w:rPr>
              <w:t>重新计算本年度在利润表中确认的政府补助金额。</w:t>
            </w:r>
          </w:p>
        </w:tc>
      </w:tr>
    </w:tbl>
    <w:p>
      <w:pPr>
        <w:spacing w:line="240" w:lineRule="auto" w:before="3"/>
        <w:rPr>
          <w:rFonts w:ascii="宋体" w:hAnsi="宋体" w:cs="宋体" w:eastAsia="宋体" w:hint="default"/>
          <w:sz w:val="21"/>
          <w:szCs w:val="21"/>
        </w:rPr>
      </w:pPr>
    </w:p>
    <w:p>
      <w:pPr>
        <w:pStyle w:val="Heading4"/>
        <w:spacing w:line="240" w:lineRule="auto" w:before="44"/>
        <w:ind w:left="1134" w:right="0"/>
        <w:jc w:val="left"/>
        <w:rPr>
          <w:b w:val="0"/>
          <w:bCs w:val="0"/>
        </w:rPr>
      </w:pPr>
      <w:r>
        <w:rPr/>
        <w:t>四、其他信息</w:t>
      </w:r>
      <w:r>
        <w:rPr>
          <w:b w:val="0"/>
          <w:bCs w:val="0"/>
        </w:rPr>
      </w:r>
    </w:p>
    <w:p>
      <w:pPr>
        <w:pStyle w:val="BodyText"/>
        <w:spacing w:line="300" w:lineRule="auto" w:before="76"/>
        <w:ind w:right="0" w:firstLine="360"/>
        <w:jc w:val="left"/>
      </w:pPr>
      <w:r>
        <w:rPr>
          <w:spacing w:val="-2"/>
        </w:rPr>
        <w:t>御银股份管理层（以下简称管理层）对其他信息负责。其他信息包括御银股份</w:t>
      </w:r>
      <w:r>
        <w:rPr>
          <w:rFonts w:ascii="Times New Roman" w:hAnsi="Times New Roman" w:cs="Times New Roman" w:eastAsia="Times New Roman" w:hint="default"/>
          <w:spacing w:val="-2"/>
        </w:rPr>
        <w:t>2017</w:t>
      </w:r>
      <w:r>
        <w:rPr>
          <w:spacing w:val="-2"/>
        </w:rPr>
        <w:t>年年度报告中涵盖的信息，但不包括</w:t>
      </w:r>
      <w:r>
        <w:rPr/>
        <w:t> 财务报表和我们的审计报告。</w:t>
      </w:r>
    </w:p>
    <w:p>
      <w:pPr>
        <w:pStyle w:val="BodyText"/>
        <w:spacing w:line="316" w:lineRule="auto" w:before="31"/>
        <w:ind w:left="149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9" w:lineRule="auto" w:before="19"/>
        <w:ind w:left="149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7"/>
        <w:ind w:left="1134" w:right="0"/>
        <w:jc w:val="left"/>
      </w:pPr>
      <w:r>
        <w:rPr/>
        <w:t>报告。</w:t>
      </w:r>
    </w:p>
    <w:p>
      <w:pPr>
        <w:spacing w:line="240" w:lineRule="auto" w:before="0"/>
        <w:rPr>
          <w:rFonts w:ascii="宋体" w:hAnsi="宋体" w:cs="宋体" w:eastAsia="宋体" w:hint="default"/>
          <w:sz w:val="18"/>
          <w:szCs w:val="18"/>
        </w:rPr>
      </w:pPr>
    </w:p>
    <w:p>
      <w:pPr>
        <w:spacing w:line="316" w:lineRule="auto" w:before="153"/>
        <w:ind w:left="1494" w:right="0" w:hanging="36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0" w:hanging="360"/>
        <w:jc w:val="left"/>
      </w:pPr>
      <w:r>
        <w:rPr/>
        <w:t>务报表不存在由于舞弊或错误导致的重大错报。 </w:t>
      </w:r>
      <w:r>
        <w:rPr>
          <w:spacing w:val="-2"/>
        </w:rPr>
        <w:t>在编制财务报表时，管理层负责评估御银股份的持续经营能力，披露与持续经营相关的事项（如适用），并运用持续经</w:t>
      </w:r>
    </w:p>
    <w:p>
      <w:pPr>
        <w:pStyle w:val="BodyText"/>
        <w:spacing w:line="316" w:lineRule="auto" w:before="19"/>
        <w:ind w:left="1493" w:right="5713" w:hanging="360"/>
        <w:jc w:val="left"/>
      </w:pPr>
      <w:r>
        <w:rPr/>
        <w:t>营假设，除非计划进行清算、终止运营或别无其他现实的选择。 治理层负责监督御银股份的财务报告过程。</w:t>
      </w:r>
    </w:p>
    <w:p>
      <w:pPr>
        <w:spacing w:line="240" w:lineRule="auto" w:before="4"/>
        <w:rPr>
          <w:rFonts w:ascii="宋体" w:hAnsi="宋体" w:cs="宋体" w:eastAsia="宋体" w:hint="default"/>
          <w:sz w:val="25"/>
          <w:szCs w:val="25"/>
        </w:rPr>
      </w:pPr>
    </w:p>
    <w:p>
      <w:pPr>
        <w:spacing w:line="316" w:lineRule="auto" w:before="0"/>
        <w:ind w:left="1493" w:right="0" w:hanging="36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9"/>
        <w:ind w:right="1130"/>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3"/>
        </w:rPr>
        <w:t> </w:t>
      </w:r>
      <w:r>
        <w:rPr>
          <w:spacing w:val="-63"/>
        </w:rPr>
      </w:r>
      <w:r>
        <w:rPr/>
        <w:t>重大的。</w:t>
      </w:r>
    </w:p>
    <w:p>
      <w:pPr>
        <w:pStyle w:val="BodyText"/>
        <w:spacing w:line="240" w:lineRule="auto" w:before="19"/>
        <w:ind w:left="1493" w:right="0"/>
        <w:jc w:val="left"/>
      </w:pPr>
      <w:r>
        <w:rPr/>
        <w:t>在按照审计准则执行审计工作的过程中，我们运用职业判断，并保持职业怀疑。同时，我们也执行以下工作：</w:t>
      </w:r>
    </w:p>
    <w:p>
      <w:pPr>
        <w:pStyle w:val="BodyText"/>
        <w:spacing w:line="309" w:lineRule="auto" w:before="76"/>
        <w:ind w:left="1134" w:right="103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1493"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149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left="1134"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）对管理层使用持续经营假设的恰当性得出结论。同时，根据获取的审计证据，就可能导致对御银股份持续经营能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于截至审计报告日可获得的信息。然而，未来的事项或情况可能导致御银股份不能持续经营。</w:t>
      </w:r>
    </w:p>
    <w:p>
      <w:pPr>
        <w:pStyle w:val="BodyText"/>
        <w:spacing w:line="240" w:lineRule="auto" w:before="22"/>
        <w:ind w:left="1493"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left="1134" w:right="1122" w:firstLine="360"/>
        <w:jc w:val="left"/>
      </w:pPr>
      <w:r>
        <w:rPr/>
        <w:t>（</w:t>
      </w:r>
      <w:r>
        <w:rPr>
          <w:rFonts w:ascii="Times New Roman" w:hAnsi="Times New Roman" w:cs="Times New Roman" w:eastAsia="Times New Roman" w:hint="default"/>
        </w:rPr>
        <w:t>6</w:t>
      </w:r>
      <w:r>
        <w:rPr/>
        <w:t>）就御银股份中实体或业务活动的财务信息获取充分、适当的审计证据，以对财务报表发表审计意见。我们负责指 导、监督和执行集团审计，并对审计意见承担全部责任。</w:t>
      </w:r>
    </w:p>
    <w:p>
      <w:pPr>
        <w:pStyle w:val="BodyText"/>
        <w:spacing w:line="316" w:lineRule="auto" w:before="31"/>
        <w:ind w:left="1134"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left="1134" w:right="0"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left="1134"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tabs>
          <w:tab w:pos="7014" w:val="left" w:leader="none"/>
        </w:tabs>
        <w:spacing w:line="240" w:lineRule="auto"/>
        <w:ind w:left="5163" w:right="0"/>
        <w:jc w:val="left"/>
        <w:rPr>
          <w:b w:val="0"/>
          <w:bCs w:val="0"/>
        </w:rPr>
      </w:pPr>
      <w:r>
        <w:rPr>
          <w:w w:val="95"/>
        </w:rPr>
        <w:t>立信会计师事务所</w:t>
        <w:tab/>
      </w:r>
      <w:r>
        <w:rPr/>
        <w:t>中国注册会计师：张锦坤（项目合伙人）</w:t>
      </w:r>
      <w:r>
        <w:rPr>
          <w:b w:val="0"/>
          <w:bCs w:val="0"/>
        </w:rPr>
      </w:r>
    </w:p>
    <w:p>
      <w:pPr>
        <w:pStyle w:val="Heading4"/>
        <w:spacing w:line="240" w:lineRule="auto" w:before="76"/>
        <w:ind w:left="19" w:right="152"/>
        <w:jc w:val="center"/>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4"/>
        <w:spacing w:line="240" w:lineRule="auto"/>
        <w:ind w:left="7014" w:right="0"/>
        <w:jc w:val="left"/>
        <w:rPr>
          <w:b w:val="0"/>
          <w:bCs w:val="0"/>
        </w:rPr>
      </w:pPr>
      <w:r>
        <w:rPr/>
        <w:t>中国注册会计师：漆江燕</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4"/>
        <w:tabs>
          <w:tab w:pos="8877" w:val="left" w:leader="none"/>
        </w:tabs>
        <w:spacing w:line="240" w:lineRule="auto"/>
        <w:ind w:left="7023"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2"/>
        <w:spacing w:line="240" w:lineRule="auto" w:before="26"/>
        <w:ind w:right="0"/>
        <w:jc w:val="left"/>
        <w:rPr>
          <w:b w:val="0"/>
          <w:bCs w:val="0"/>
        </w:rPr>
      </w:pPr>
      <w:bookmarkStart w:name="二、财务报表" w:id="151"/>
      <w:bookmarkEnd w:id="151"/>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编制单位：广州御银科技股份有限公司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976"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478"/>
        <w:gridCol w:w="2546"/>
        <w:gridCol w:w="2533"/>
      </w:tblGrid>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167,161,255.75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391,705,181.99</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316,301,656.72</w:t>
            </w: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169,690,788.64</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166,506,552.69</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10,683,506.61</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10,412,690.98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14,811,955.75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19,767,670.98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147,402,023.75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268,668,746.21</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34,953,392.39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81,513,764.98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43,689,740.98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15,598,732.35</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904,694,320.59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954,173,340.18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402,791,000.00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478"/>
        <w:gridCol w:w="2546"/>
        <w:gridCol w:w="2533"/>
      </w:tblGrid>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15,833,400.40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52,288,685.31</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108,678.37</w:t>
            </w: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376,463,890.80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4,553,947.50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257,282,918.88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586,942,817.35</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4,819,582.60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4,667,003.61</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78,106,051.40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69,803,585.87</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973,148.03</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1,672,767.92</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21,295,713.08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21,185,056.62</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70,187,556.00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1,157,674,383.56</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1,214,092,420.18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2,062,368,704.15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2,168,265,760.36</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49,165,911.84</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75,016,518.64</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81,033,845.23</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104,760,164.00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8,473,486.43</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7,744,021.56</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21,453,045.25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42,965,436.63</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35,892,071.14</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35,042,174.98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478"/>
        <w:gridCol w:w="2546"/>
        <w:gridCol w:w="2533"/>
      </w:tblGrid>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11,683,046.82</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18,576,716.60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337,701,406.71</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357,805,032.41</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79,015,346.20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30,559,200.00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52,198,800.00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3,596,451.63</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2,385,041.02</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34,155,651.63</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133,599,187.22</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371,857,058.34</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491,404,219.63</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761,191,294.00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29,679,547.28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5,202.00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122,122.80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58,979,225.64</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51,822,053.01</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840,656,376.89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834,046,523.64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501"/>
        <w:gridCol w:w="2535"/>
        <w:gridCol w:w="2533"/>
      </w:tblGrid>
      <w:tr>
        <w:trPr>
          <w:trHeight w:val="4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1,690,511,645.81</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1,676,861,540.73</w:t>
            </w:r>
          </w:p>
        </w:tc>
      </w:tr>
      <w:tr>
        <w:trPr>
          <w:trHeight w:val="4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35" w:type="dxa"/>
            <w:tcBorders>
              <w:top w:val="single" w:sz="4" w:space="0" w:color="000000"/>
              <w:left w:val="single" w:sz="4" w:space="0" w:color="000000"/>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1,690,511,645.81</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1,676,861,540.73</w:t>
            </w:r>
          </w:p>
        </w:tc>
      </w:tr>
      <w:tr>
        <w:trPr>
          <w:trHeight w:val="402"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2,062,368,704.15</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2,168,265,760.36</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法定代表人：谭骅</w:t>
        <w:tab/>
        <w:t>主管会计工作负责人：陈国军</w:t>
        <w:tab/>
        <w:t>会计机构负责人：陈国军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478"/>
        <w:gridCol w:w="2546"/>
        <w:gridCol w:w="2533"/>
      </w:tblGrid>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130,670,032.37</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376,884,910.65</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216,524,440.00</w:t>
            </w: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173,721,984.01</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193,175,840.16</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11,149,008.46</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11,616,537.44</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193,551,948.00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78,303,257.09</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160,642,951.68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277,678,823.48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33,682,640.39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80,243,012.98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47,503,647.21</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9,147,048.55</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967,446,652.12</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1,027,349,430.35</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394,000,000.00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394,000,000.00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15,643,171.93</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51,035,318.97</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486,471,397.23</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473,662,718.86</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312,889,649.78</w:t>
            </w: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112,620,478.00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481,556,287.90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4,819,582.60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4,667,003.61</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478"/>
        <w:gridCol w:w="2546"/>
        <w:gridCol w:w="2533"/>
      </w:tblGrid>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53,925,166.76</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59,400,791.87</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674,646.99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926,515.20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14,216,606.88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18,417,486.28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1,395,260,700.17</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1,483,666,122.69</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2,362,707,352.29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2,511,015,553.04</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62,935,377.96</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138,162,580.17</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78,808,890.38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104,043,791.92</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2,775,583.92</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3,776,568.39</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19,461,261.59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34,584,937.75</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808,298,623.79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843,952,776.33</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11,683,046.82</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18,576,716.60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1,093,962,784.46</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1,216,797,371.16</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79,015,346.20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478"/>
        <w:gridCol w:w="2546"/>
        <w:gridCol w:w="2533"/>
      </w:tblGrid>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30,193,200.00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51,686,400.00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3,463,205.82</w:t>
            </w: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33,656,405.82</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130,701,746.20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1,127,619,190.28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1,347,499,117.36</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761,191,294.00</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29,679,547.28</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46" w:type="dxa"/>
            <w:tcBorders>
              <w:top w:val="single" w:sz="4" w:space="0" w:color="000000"/>
              <w:left w:val="single" w:sz="13" w:space="0" w:color="D2D2D2"/>
              <w:bottom w:val="single" w:sz="4" w:space="0" w:color="000000"/>
              <w:right w:val="single" w:sz="4" w:space="0" w:color="000000"/>
            </w:tcBorders>
          </w:tcPr>
          <w:p>
            <w:pPr/>
          </w:p>
        </w:tc>
        <w:tc>
          <w:tcPr>
            <w:tcW w:w="2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58,979,225.64</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51,822,053.01</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385,238,095.09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320,823,541.39</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1,235,088,162.01</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1,163,516,435.68</w:t>
            </w:r>
          </w:p>
        </w:tc>
      </w:tr>
      <w:tr>
        <w:trPr>
          <w:trHeight w:val="402" w:hRule="exact"/>
        </w:trPr>
        <w:tc>
          <w:tcPr>
            <w:tcW w:w="4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2,362,707,352.29</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2,511,015,553.04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5018"/>
        <w:gridCol w:w="2275"/>
        <w:gridCol w:w="2264"/>
      </w:tblGrid>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569,714,606.45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770,942,502.45</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569,714,606.45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770,942,502.45</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616,867,342.40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761,481,547.89</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393,671,512.48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513,674,505.64</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041"/>
        <w:gridCol w:w="2264"/>
        <w:gridCol w:w="2264"/>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11,466,064.71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9,542,563.33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78,428,289.86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89,395,591.29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92,868,327.03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147,324,005.74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2,610,606.43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8,050,361.53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37,822,541.89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-6,505,479.64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32,815,704.68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4,125,588.23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-178,728.93</w:t>
            </w:r>
            <w:r>
              <w:rPr>
                <w:rFonts w:ascii="Times New Roman"/>
                <w:sz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-51,270.26</w:t>
            </w:r>
            <w:r>
              <w:rPr>
                <w:rFonts w:ascii="Times New Roman"/>
                <w:sz w:val="18"/>
              </w:rPr>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25,149,748.76</w:t>
            </w: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34,255,010.60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13,535,272.53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1,308,126.36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31,013,081.68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13,828,050.82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20,152,591.15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21,735,086.14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24,395,763.06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7,968,060.26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1,149,521.88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13,767,025.88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23,246,241.18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13,767,025.88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23,246,241.18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13,767,025.88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23,246,241.18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-116,920.80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90,918.10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-116,920.80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90,918.10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-116,920.80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90,918.10</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5018"/>
        <w:gridCol w:w="2275"/>
        <w:gridCol w:w="2264"/>
      </w:tblGrid>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-116,920.80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90,918.10</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13,650,105.08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23,337,159.28</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13,650,105.08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23,337,159.28</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75" w:type="dxa"/>
            <w:tcBorders>
              <w:top w:val="single" w:sz="4" w:space="0" w:color="000000"/>
              <w:left w:val="single" w:sz="13" w:space="0" w:color="D2D2D2"/>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0.0181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0.0305</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0.0181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0.0305</w:t>
            </w:r>
          </w:p>
        </w:tc>
      </w:tr>
    </w:tbl>
    <w:p>
      <w:pPr>
        <w:pStyle w:val="BodyText"/>
        <w:tabs>
          <w:tab w:pos="4464" w:val="left" w:leader="none"/>
          <w:tab w:pos="86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法定代表人：谭骅</w:t>
        <w:tab/>
        <w:t>主管会计工作负责人：陈国军</w:t>
        <w:tab/>
        <w:t>会计机构负责人：陈国军 </w:t>
      </w:r>
      <w:bookmarkStart w:name="4、母公司利润表" w:id="155"/>
      <w:bookmarkEnd w:id="15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5018"/>
        <w:gridCol w:w="2276"/>
        <w:gridCol w:w="2263"/>
      </w:tblGrid>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515,630,261.58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956,916,757.12</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417,712,021.82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788,591,598.79</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8,343,067.20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5,183,458.11</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66,434,874.08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119,817,821.79</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54,889,723.12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105,588,090.07</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2,718,760.54</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8,275,749.46</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42,439,316.17</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-3,050,062.54</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6"/>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23,088,038.82</w:t>
            </w: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132,632,062.24</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102,471,474.77</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-203,227.46</w:t>
            </w:r>
            <w:r>
              <w:rPr>
                <w:rFonts w:ascii="Times New Roman"/>
                <w:sz w:val="18"/>
              </w:rPr>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-51,270.26</w:t>
            </w:r>
            <w:r>
              <w:rPr>
                <w:rFonts w:ascii="Times New Roman"/>
                <w:sz w:val="18"/>
              </w:rPr>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14,031,964.13</w:t>
            </w: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92,641,336.38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34,930,305.95</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1,267,571.99</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10,263,443.60</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13,017,053.66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15,633,067.66</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80,891,854.71</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29,560,681.89</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9,320,128.38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-6,033,309.58</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71,571,726.33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35,593,991.47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5018"/>
        <w:gridCol w:w="2276"/>
        <w:gridCol w:w="2263"/>
      </w:tblGrid>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7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8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71,571,726.33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35,593,991.47</w:t>
            </w: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76" w:type="dxa"/>
            <w:tcBorders>
              <w:top w:val="single" w:sz="4" w:space="0" w:color="000000"/>
              <w:left w:val="single" w:sz="13" w:space="0" w:color="D2D2D2"/>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838"/>
        <w:gridCol w:w="2366"/>
        <w:gridCol w:w="2353"/>
      </w:tblGrid>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672,760,275.82</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0" w:right="0"/>
              <w:jc w:val="left"/>
              <w:rPr>
                <w:rFonts w:ascii="Times New Roman" w:hAnsi="Times New Roman" w:cs="Times New Roman" w:eastAsia="Times New Roman" w:hint="default"/>
                <w:sz w:val="18"/>
                <w:szCs w:val="18"/>
              </w:rPr>
            </w:pPr>
            <w:r>
              <w:rPr>
                <w:rFonts w:ascii="Times New Roman"/>
                <w:sz w:val="18"/>
              </w:rPr>
              <w:t>1,237,107,959.56</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6"/>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6"/>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 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838"/>
        <w:gridCol w:w="2366"/>
        <w:gridCol w:w="2353"/>
      </w:tblGrid>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10,947,362.29</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29,144,802.68</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51,349,767.68</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74,505,708.16</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735,057,405.79</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1,340,758,470.40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293,419,550.05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553,753,678.15</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125,479,539.23</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135,903,613.44</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80,693,473.89</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80,590,174.48</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87,690,458.27</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191,211,635.84</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587,283,021.44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961,459,101.91</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147,774,384.35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379,299,368.49</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275,285,764.78</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35,070,620.30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4,588,884.73</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154,358.50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652,847.00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310,510,743.58</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1,479,241,731.73</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53,113,864.32</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153,889,813.98</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568,776,510.45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1,659,000,000.00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621,890,374.77</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1,812,889,813.98</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-311,379,631.19</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-333,648,082.25</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861"/>
        <w:gridCol w:w="2355"/>
        <w:gridCol w:w="2353"/>
      </w:tblGrid>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149,015,346.20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219,507,723.08</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3,174,150.24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8,174,293.02</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355" w:type="dxa"/>
            <w:tcBorders>
              <w:top w:val="single" w:sz="4" w:space="0" w:color="000000"/>
              <w:left w:val="single" w:sz="4" w:space="0" w:color="000000"/>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152,189,496.44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227,682,016.10</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-22,189,496.44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-77,682,016.10</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-629,696.63</w:t>
            </w:r>
            <w:r>
              <w:rPr>
                <w:rFonts w:ascii="Times New Roman"/>
                <w:sz w:val="18"/>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549,446.09</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-186,424,439.91</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-31,481,283.77</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391,035,031.87</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422,516,315.64</w:t>
            </w:r>
          </w:p>
        </w:tc>
      </w:tr>
      <w:tr>
        <w:trPr>
          <w:trHeight w:val="402"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204,610,591.96</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391,035,031.87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838"/>
        <w:gridCol w:w="2366"/>
        <w:gridCol w:w="2353"/>
      </w:tblGrid>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646,705,394.81</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1,324,585,350.76</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1,597,162.10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1,809,646.95</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109,303,017.64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634,957,414.15</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757,605,574.55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1,961,352,411.86</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466,759,617.64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764,202,332.38</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51,329,253.01</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84,647,405.29</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58,303,649.30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43,775,760.01</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266,281,491.59</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543,157,532.69</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842,674,011.54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1,435,783,030.37</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-85,068,436.99</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525,569,381.49</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132,166,614.18</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134,886,977.86</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104,471,473.77</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114,358.50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652,847.00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267,167,950.54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1,319,124,321.77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838"/>
        <w:gridCol w:w="2366"/>
        <w:gridCol w:w="2353"/>
      </w:tblGrid>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7,041,752.65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81,580,952.09</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339,113,126.41</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1,716,000,000.00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346,154,879.06</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1,797,580,952.09</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-78,986,928.52</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-478,456,630.32</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149,015,346.20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219,507,723.08</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3,174,150.24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8,174,293.02</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152,189,496.44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227,682,016.10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-42,189,496.44</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-77,682,016.10</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66" w:type="dxa"/>
            <w:tcBorders>
              <w:top w:val="single" w:sz="4" w:space="0" w:color="000000"/>
              <w:left w:val="single" w:sz="13" w:space="0" w:color="D2D2D2"/>
              <w:bottom w:val="single" w:sz="4" w:space="0" w:color="000000"/>
              <w:right w:val="single" w:sz="4" w:space="0" w:color="000000"/>
            </w:tcBorders>
          </w:tcPr>
          <w:p>
            <w:pP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-206,244,861.95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-30,569,264.93</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376,514,760.53</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407,084,025.46</w:t>
            </w:r>
          </w:p>
        </w:tc>
      </w:tr>
      <w:tr>
        <w:trPr>
          <w:trHeight w:val="402"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170,269,898.58</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376,514,760.53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420" w:type="dxa"/>
        <w:tblLayout w:type="fixed"/>
        <w:tblCellMar>
          <w:top w:w="0" w:type="dxa"/>
          <w:left w:w="0" w:type="dxa"/>
          <w:bottom w:w="0" w:type="dxa"/>
          <w:right w:w="0" w:type="dxa"/>
        </w:tblCellMar>
        <w:tblLook w:val="01E0"/>
      </w:tblPr>
      <w:tblGrid>
        <w:gridCol w:w="1503"/>
        <w:gridCol w:w="1181"/>
        <w:gridCol w:w="259"/>
        <w:gridCol w:w="259"/>
        <w:gridCol w:w="236"/>
        <w:gridCol w:w="1103"/>
        <w:gridCol w:w="451"/>
        <w:gridCol w:w="935"/>
        <w:gridCol w:w="270"/>
        <w:gridCol w:w="1103"/>
        <w:gridCol w:w="271"/>
        <w:gridCol w:w="1205"/>
        <w:gridCol w:w="271"/>
        <w:gridCol w:w="1328"/>
      </w:tblGrid>
      <w:tr>
        <w:trPr>
          <w:trHeight w:val="402" w:hRule="exact"/>
        </w:trPr>
        <w:tc>
          <w:tcPr>
            <w:tcW w:w="1503" w:type="dxa"/>
            <w:vMerge w:val="restart"/>
            <w:tcBorders>
              <w:top w:val="single" w:sz="4" w:space="0" w:color="000000"/>
              <w:left w:val="single" w:sz="4" w:space="0" w:color="000000"/>
              <w:right w:val="single" w:sz="4" w:space="0" w:color="000000"/>
            </w:tcBorders>
            <w:shd w:val="clear" w:color="auto" w:fill="D2D2D2"/>
          </w:tcPr>
          <w:p>
            <w:pPr/>
          </w:p>
        </w:tc>
        <w:tc>
          <w:tcPr>
            <w:tcW w:w="88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1503" w:type="dxa"/>
            <w:vMerge/>
            <w:tcBorders>
              <w:left w:val="single" w:sz="4" w:space="0" w:color="000000"/>
              <w:right w:val="single" w:sz="4" w:space="0" w:color="000000"/>
            </w:tcBorders>
            <w:shd w:val="clear" w:color="auto" w:fill="D2D2D2"/>
          </w:tcPr>
          <w:p>
            <w:pPr/>
          </w:p>
        </w:tc>
        <w:tc>
          <w:tcPr>
            <w:tcW w:w="727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1503" w:type="dxa"/>
            <w:vMerge/>
            <w:tcBorders>
              <w:left w:val="single" w:sz="4" w:space="0" w:color="000000"/>
              <w:right w:val="single" w:sz="4" w:space="0" w:color="000000"/>
            </w:tcBorders>
            <w:shd w:val="clear" w:color="auto" w:fill="D2D2D2"/>
          </w:tcPr>
          <w:p>
            <w:pPr/>
          </w:p>
        </w:tc>
        <w:tc>
          <w:tcPr>
            <w:tcW w:w="7274" w:type="dxa"/>
            <w:gridSpan w:val="11"/>
            <w:vMerge/>
            <w:tcBorders>
              <w:left w:val="single" w:sz="4" w:space="0" w:color="000000"/>
              <w:bottom w:val="single" w:sz="4" w:space="0" w:color="000000"/>
              <w:right w:val="single" w:sz="4" w:space="0" w:color="000000"/>
            </w:tcBorders>
            <w:shd w:val="clear" w:color="auto" w:fill="D2D2D2"/>
          </w:tcPr>
          <w:p>
            <w:pPr/>
          </w:p>
        </w:tc>
        <w:tc>
          <w:tcPr>
            <w:tcW w:w="27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39"/>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328" w:type="dxa"/>
            <w:vMerge/>
            <w:tcBorders>
              <w:left w:val="single" w:sz="4" w:space="0" w:color="000000"/>
              <w:right w:val="single" w:sz="4" w:space="0" w:color="000000"/>
            </w:tcBorders>
            <w:shd w:val="clear" w:color="auto" w:fill="D2D2D2"/>
          </w:tcPr>
          <w:p>
            <w:pPr/>
          </w:p>
        </w:tc>
      </w:tr>
      <w:tr>
        <w:trPr>
          <w:trHeight w:val="350" w:hRule="exact"/>
        </w:trPr>
        <w:tc>
          <w:tcPr>
            <w:tcW w:w="1503"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7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7" w:right="94"/>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03" w:type="dxa"/>
            <w:vMerge w:val="restart"/>
            <w:tcBorders>
              <w:top w:val="single" w:sz="4" w:space="0" w:color="000000"/>
              <w:left w:val="single" w:sz="4" w:space="0" w:color="000000"/>
              <w:right w:val="single" w:sz="4" w:space="0" w:color="000000"/>
            </w:tcBorders>
            <w:shd w:val="clear" w:color="auto" w:fill="D2D2D2"/>
          </w:tcPr>
          <w:p>
            <w:pPr/>
          </w:p>
        </w:tc>
        <w:tc>
          <w:tcPr>
            <w:tcW w:w="451"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3" w:type="dxa"/>
            <w:vMerge w:val="restart"/>
            <w:tcBorders>
              <w:top w:val="single" w:sz="4" w:space="0" w:color="000000"/>
              <w:left w:val="single" w:sz="4" w:space="0" w:color="000000"/>
              <w:right w:val="single" w:sz="4" w:space="0" w:color="000000"/>
            </w:tcBorders>
            <w:shd w:val="clear" w:color="auto" w:fill="D2D2D2"/>
          </w:tcPr>
          <w:p>
            <w:pPr/>
          </w:p>
        </w:tc>
        <w:tc>
          <w:tcPr>
            <w:tcW w:w="2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39"/>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r>
      <w:tr>
        <w:trPr>
          <w:trHeight w:val="123" w:hRule="exact"/>
        </w:trPr>
        <w:tc>
          <w:tcPr>
            <w:tcW w:w="15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754" w:type="dxa"/>
            <w:gridSpan w:val="3"/>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451"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2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18"/>
              <w:ind w:left="39" w:right="3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03"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r>
      <w:tr>
        <w:trPr>
          <w:trHeight w:val="134" w:hRule="exact"/>
        </w:trPr>
        <w:tc>
          <w:tcPr>
            <w:tcW w:w="150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754" w:type="dxa"/>
            <w:gridSpan w:val="3"/>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4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3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935" w:type="dxa"/>
            <w:vMerge/>
            <w:tcBorders>
              <w:left w:val="single" w:sz="4" w:space="0" w:color="000000"/>
              <w:bottom w:val="nil" w:sz="6" w:space="0" w:color="auto"/>
              <w:right w:val="single" w:sz="4" w:space="0" w:color="000000"/>
            </w:tcBorders>
            <w:shd w:val="clear" w:color="auto" w:fill="D2D2D2"/>
          </w:tcPr>
          <w:p>
            <w:pPr/>
          </w:p>
        </w:tc>
        <w:tc>
          <w:tcPr>
            <w:tcW w:w="270"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503"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54" w:type="dxa"/>
            <w:gridSpan w:val="3"/>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2" w:right="10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270"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1503"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33" w:right="3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33" w:right="3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270"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1" w:type="dxa"/>
            <w:vMerge/>
            <w:tcBorders>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1"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50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28" w:right="15"/>
              <w:jc w:val="left"/>
              <w:rPr>
                <w:rFonts w:ascii="宋体" w:hAnsi="宋体" w:cs="宋体" w:eastAsia="宋体" w:hint="default"/>
                <w:sz w:val="18"/>
                <w:szCs w:val="18"/>
              </w:rPr>
            </w:pPr>
            <w:r>
              <w:rPr>
                <w:rFonts w:ascii="宋体" w:hAnsi="宋体" w:cs="宋体" w:eastAsia="宋体" w:hint="default"/>
                <w:sz w:val="18"/>
                <w:szCs w:val="18"/>
              </w:rPr>
              <w:t>其 他</w:t>
            </w:r>
          </w:p>
        </w:tc>
        <w:tc>
          <w:tcPr>
            <w:tcW w:w="1103" w:type="dxa"/>
            <w:vMerge/>
            <w:tcBorders>
              <w:left w:val="single" w:sz="4" w:space="0" w:color="000000"/>
              <w:bottom w:val="nil" w:sz="6" w:space="0" w:color="auto"/>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270"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50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270"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r>
      <w:tr>
        <w:trPr>
          <w:trHeight w:val="156" w:hRule="exact"/>
        </w:trPr>
        <w:tc>
          <w:tcPr>
            <w:tcW w:w="150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451"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270"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r>
      <w:tr>
        <w:trPr>
          <w:trHeight w:val="179" w:hRule="exact"/>
        </w:trPr>
        <w:tc>
          <w:tcPr>
            <w:tcW w:w="150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36" w:type="dxa"/>
            <w:vMerge/>
            <w:tcBorders>
              <w:left w:val="single" w:sz="4" w:space="0" w:color="000000"/>
              <w:bottom w:val="nil" w:sz="6" w:space="0" w:color="auto"/>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451"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270" w:type="dxa"/>
            <w:vMerge/>
            <w:tcBorders>
              <w:left w:val="single" w:sz="4" w:space="0" w:color="000000"/>
              <w:bottom w:val="nil" w:sz="6" w:space="0" w:color="auto"/>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271"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r>
      <w:tr>
        <w:trPr>
          <w:trHeight w:val="250" w:hRule="exact"/>
        </w:trPr>
        <w:tc>
          <w:tcPr>
            <w:tcW w:w="150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2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271"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761,191,294.00</w:t>
            </w:r>
          </w:p>
        </w:tc>
        <w:tc>
          <w:tcPr>
            <w:tcW w:w="259" w:type="dxa"/>
            <w:tcBorders>
              <w:top w:val="single" w:sz="48" w:space="0" w:color="D2D2D2"/>
              <w:left w:val="single" w:sz="4" w:space="0" w:color="000000"/>
              <w:bottom w:val="single" w:sz="4" w:space="0" w:color="000000"/>
              <w:right w:val="single" w:sz="4" w:space="0" w:color="000000"/>
            </w:tcBorders>
          </w:tcPr>
          <w:p>
            <w:pPr/>
          </w:p>
        </w:tc>
        <w:tc>
          <w:tcPr>
            <w:tcW w:w="259" w:type="dxa"/>
            <w:tcBorders>
              <w:top w:val="single" w:sz="48" w:space="0" w:color="D2D2D2"/>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29,679,547.28</w:t>
            </w: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122,122.80</w:t>
            </w:r>
          </w:p>
        </w:tc>
        <w:tc>
          <w:tcPr>
            <w:tcW w:w="27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51,822,053.01</w:t>
            </w:r>
          </w:p>
        </w:tc>
        <w:tc>
          <w:tcPr>
            <w:tcW w:w="2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834,046,523.64</w:t>
            </w:r>
          </w:p>
        </w:tc>
        <w:tc>
          <w:tcPr>
            <w:tcW w:w="2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1,676,861,540.73</w:t>
            </w:r>
          </w:p>
        </w:tc>
      </w:tr>
      <w:tr>
        <w:trPr>
          <w:trHeight w:val="402" w:hRule="exact"/>
        </w:trPr>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13" w:space="0" w:color="D2D2D2"/>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09" w:type="dxa"/>
        <w:tblLayout w:type="fixed"/>
        <w:tblCellMar>
          <w:top w:w="0" w:type="dxa"/>
          <w:left w:w="0" w:type="dxa"/>
          <w:bottom w:w="0" w:type="dxa"/>
          <w:right w:w="0" w:type="dxa"/>
        </w:tblCellMar>
        <w:tblLook w:val="01E0"/>
      </w:tblPr>
      <w:tblGrid>
        <w:gridCol w:w="1514"/>
        <w:gridCol w:w="1181"/>
        <w:gridCol w:w="259"/>
        <w:gridCol w:w="259"/>
        <w:gridCol w:w="247"/>
        <w:gridCol w:w="1091"/>
        <w:gridCol w:w="451"/>
        <w:gridCol w:w="935"/>
        <w:gridCol w:w="270"/>
        <w:gridCol w:w="1092"/>
        <w:gridCol w:w="294"/>
        <w:gridCol w:w="1182"/>
        <w:gridCol w:w="294"/>
        <w:gridCol w:w="1316"/>
      </w:tblGrid>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同一控制下企业合 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761,191,294.00</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29,679,547.28</w:t>
            </w: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122,122.80</w:t>
            </w: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51,822,053.01</w:t>
            </w: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834,046,523.64</w:t>
            </w: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1,676,861,540.73</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-116,920.80</w:t>
            </w: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7,157,172.63</w:t>
            </w: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6,609,853.25</w:t>
            </w: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13,650,105.08</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-116,920.80</w:t>
            </w: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13,767,025.88</w:t>
            </w: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13,650,105.08</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．股东投入的普通</w:t>
            </w:r>
            <w:r>
              <w:rPr>
                <w:rFonts w:ascii="宋体" w:hAnsi="宋体" w:cs="宋体" w:eastAsia="宋体" w:hint="default"/>
                <w:sz w:val="18"/>
                <w:szCs w:val="18"/>
              </w:rPr>
              <w:t> 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w:t>
            </w:r>
            <w:r>
              <w:rPr>
                <w:rFonts w:ascii="宋体" w:hAnsi="宋体" w:cs="宋体" w:eastAsia="宋体" w:hint="default"/>
                <w:sz w:val="18"/>
                <w:szCs w:val="18"/>
              </w:rPr>
              <w:t> 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w:t>
            </w:r>
            <w:r>
              <w:rPr>
                <w:rFonts w:ascii="宋体" w:hAnsi="宋体" w:cs="宋体" w:eastAsia="宋体" w:hint="default"/>
                <w:sz w:val="18"/>
                <w:szCs w:val="18"/>
              </w:rPr>
              <w:t> 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7,157,172.63</w:t>
            </w: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-7,157,172.63</w:t>
            </w: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7,157,172.63</w:t>
            </w: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-7,157,172.63</w:t>
            </w: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．提取一般风险准</w:t>
            </w:r>
            <w:r>
              <w:rPr>
                <w:rFonts w:ascii="宋体" w:hAnsi="宋体" w:cs="宋体" w:eastAsia="宋体" w:hint="default"/>
                <w:sz w:val="18"/>
                <w:szCs w:val="18"/>
              </w:rPr>
              <w:t> 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．对所有者（或股</w:t>
            </w:r>
            <w:r>
              <w:rPr>
                <w:rFonts w:ascii="宋体" w:hAnsi="宋体" w:cs="宋体" w:eastAsia="宋体" w:hint="default"/>
                <w:sz w:val="18"/>
                <w:szCs w:val="18"/>
              </w:rPr>
              <w:t> 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w:t>
            </w:r>
            <w:r>
              <w:rPr>
                <w:rFonts w:ascii="宋体" w:hAnsi="宋体" w:cs="宋体" w:eastAsia="宋体" w:hint="default"/>
                <w:sz w:val="18"/>
                <w:szCs w:val="18"/>
              </w:rPr>
              <w:t> 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w:t>
            </w:r>
            <w:r>
              <w:rPr>
                <w:rFonts w:ascii="宋体" w:hAnsi="宋体" w:cs="宋体" w:eastAsia="宋体" w:hint="default"/>
                <w:sz w:val="18"/>
                <w:szCs w:val="18"/>
              </w:rPr>
              <w:t> 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．盈余公积弥补亏</w:t>
            </w:r>
            <w:r>
              <w:rPr>
                <w:rFonts w:ascii="宋体" w:hAnsi="宋体" w:cs="宋体" w:eastAsia="宋体" w:hint="default"/>
                <w:sz w:val="18"/>
                <w:szCs w:val="18"/>
              </w:rPr>
              <w:t> 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09" w:type="dxa"/>
        <w:tblLayout w:type="fixed"/>
        <w:tblCellMar>
          <w:top w:w="0" w:type="dxa"/>
          <w:left w:w="0" w:type="dxa"/>
          <w:bottom w:w="0" w:type="dxa"/>
          <w:right w:w="0" w:type="dxa"/>
        </w:tblCellMar>
        <w:tblLook w:val="01E0"/>
      </w:tblPr>
      <w:tblGrid>
        <w:gridCol w:w="1514"/>
        <w:gridCol w:w="1181"/>
        <w:gridCol w:w="259"/>
        <w:gridCol w:w="259"/>
        <w:gridCol w:w="247"/>
        <w:gridCol w:w="1091"/>
        <w:gridCol w:w="451"/>
        <w:gridCol w:w="935"/>
        <w:gridCol w:w="270"/>
        <w:gridCol w:w="1092"/>
        <w:gridCol w:w="294"/>
        <w:gridCol w:w="1182"/>
        <w:gridCol w:w="294"/>
        <w:gridCol w:w="1316"/>
      </w:tblGrid>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761,191,294.00</w:t>
            </w:r>
          </w:p>
        </w:tc>
        <w:tc>
          <w:tcPr>
            <w:tcW w:w="259"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29,679,547.28</w:t>
            </w:r>
          </w:p>
        </w:tc>
        <w:tc>
          <w:tcPr>
            <w:tcW w:w="4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5,202.00</w:t>
            </w:r>
          </w:p>
        </w:tc>
        <w:tc>
          <w:tcPr>
            <w:tcW w:w="27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58,979,225.64</w:t>
            </w:r>
          </w:p>
        </w:tc>
        <w:tc>
          <w:tcPr>
            <w:tcW w:w="29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840,656,376.89</w:t>
            </w:r>
          </w:p>
        </w:tc>
        <w:tc>
          <w:tcPr>
            <w:tcW w:w="2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1,690,511,645.81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1494"/>
        <w:gridCol w:w="1193"/>
        <w:gridCol w:w="264"/>
        <w:gridCol w:w="264"/>
        <w:gridCol w:w="250"/>
        <w:gridCol w:w="1094"/>
        <w:gridCol w:w="456"/>
        <w:gridCol w:w="888"/>
        <w:gridCol w:w="276"/>
        <w:gridCol w:w="1092"/>
        <w:gridCol w:w="304"/>
        <w:gridCol w:w="1182"/>
        <w:gridCol w:w="302"/>
        <w:gridCol w:w="1316"/>
      </w:tblGrid>
      <w:tr>
        <w:trPr>
          <w:trHeight w:val="402" w:hRule="exact"/>
        </w:trPr>
        <w:tc>
          <w:tcPr>
            <w:tcW w:w="1494" w:type="dxa"/>
            <w:vMerge w:val="restart"/>
            <w:tcBorders>
              <w:top w:val="single" w:sz="4" w:space="0" w:color="000000"/>
              <w:left w:val="single" w:sz="4" w:space="0" w:color="000000"/>
              <w:right w:val="single" w:sz="4" w:space="0" w:color="000000"/>
            </w:tcBorders>
            <w:shd w:val="clear" w:color="auto" w:fill="D2D2D2"/>
          </w:tcPr>
          <w:p>
            <w:pPr/>
          </w:p>
        </w:tc>
        <w:tc>
          <w:tcPr>
            <w:tcW w:w="888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1494" w:type="dxa"/>
            <w:vMerge/>
            <w:tcBorders>
              <w:left w:val="single" w:sz="4" w:space="0" w:color="000000"/>
              <w:right w:val="single" w:sz="4" w:space="0" w:color="000000"/>
            </w:tcBorders>
            <w:shd w:val="clear" w:color="auto" w:fill="D2D2D2"/>
          </w:tcPr>
          <w:p>
            <w:pPr/>
          </w:p>
        </w:tc>
        <w:tc>
          <w:tcPr>
            <w:tcW w:w="726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1494" w:type="dxa"/>
            <w:vMerge/>
            <w:tcBorders>
              <w:left w:val="single" w:sz="4" w:space="0" w:color="000000"/>
              <w:right w:val="single" w:sz="4" w:space="0" w:color="000000"/>
            </w:tcBorders>
            <w:shd w:val="clear" w:color="auto" w:fill="D2D2D2"/>
          </w:tcPr>
          <w:p>
            <w:pPr/>
          </w:p>
        </w:tc>
        <w:tc>
          <w:tcPr>
            <w:tcW w:w="7263" w:type="dxa"/>
            <w:gridSpan w:val="11"/>
            <w:vMerge/>
            <w:tcBorders>
              <w:left w:val="single" w:sz="4" w:space="0" w:color="000000"/>
              <w:bottom w:val="single" w:sz="4" w:space="0" w:color="000000"/>
              <w:right w:val="single" w:sz="4" w:space="0" w:color="000000"/>
            </w:tcBorders>
            <w:shd w:val="clear" w:color="auto" w:fill="D2D2D2"/>
          </w:tcPr>
          <w:p>
            <w:pPr/>
          </w:p>
        </w:tc>
        <w:tc>
          <w:tcPr>
            <w:tcW w:w="3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4"/>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316" w:type="dxa"/>
            <w:vMerge/>
            <w:tcBorders>
              <w:left w:val="single" w:sz="4" w:space="0" w:color="000000"/>
              <w:right w:val="single" w:sz="4" w:space="0" w:color="000000"/>
            </w:tcBorders>
            <w:shd w:val="clear" w:color="auto" w:fill="D2D2D2"/>
          </w:tcPr>
          <w:p>
            <w:pPr/>
          </w:p>
        </w:tc>
      </w:tr>
      <w:tr>
        <w:trPr>
          <w:trHeight w:val="351" w:hRule="exact"/>
        </w:trPr>
        <w:tc>
          <w:tcPr>
            <w:tcW w:w="1494"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7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2" w:right="23"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094" w:type="dxa"/>
            <w:vMerge w:val="restart"/>
            <w:tcBorders>
              <w:top w:val="single" w:sz="4" w:space="0" w:color="000000"/>
              <w:left w:val="single" w:sz="4" w:space="0" w:color="000000"/>
              <w:right w:val="single" w:sz="4" w:space="0" w:color="000000"/>
            </w:tcBorders>
            <w:shd w:val="clear" w:color="auto" w:fill="D2D2D2"/>
          </w:tcPr>
          <w:p>
            <w:pPr/>
          </w:p>
        </w:tc>
        <w:tc>
          <w:tcPr>
            <w:tcW w:w="456" w:type="dxa"/>
            <w:vMerge w:val="restart"/>
            <w:tcBorders>
              <w:top w:val="single" w:sz="4" w:space="0" w:color="000000"/>
              <w:left w:val="single" w:sz="4" w:space="0" w:color="000000"/>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
        </w:tc>
        <w:tc>
          <w:tcPr>
            <w:tcW w:w="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3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7" w:right="54"/>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23" w:hRule="exact"/>
        </w:trPr>
        <w:tc>
          <w:tcPr>
            <w:tcW w:w="1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778" w:type="dxa"/>
            <w:gridSpan w:val="3"/>
            <w:vMerge/>
            <w:tcBorders>
              <w:left w:val="single" w:sz="4" w:space="0" w:color="000000"/>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456"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8"/>
              <w:ind w:left="41" w:right="4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30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49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778" w:type="dxa"/>
            <w:gridSpan w:val="3"/>
            <w:vMerge/>
            <w:tcBorders>
              <w:left w:val="single" w:sz="4" w:space="0" w:color="000000"/>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4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 w:right="4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888" w:type="dxa"/>
            <w:vMerge/>
            <w:tcBorders>
              <w:left w:val="single" w:sz="4" w:space="0" w:color="000000"/>
              <w:bottom w:val="nil" w:sz="6" w:space="0" w:color="auto"/>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30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494"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78" w:type="dxa"/>
            <w:gridSpan w:val="3"/>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59" w:right="7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276"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30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494"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6" w:right="3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5" w:right="3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5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04"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49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28" w:right="29"/>
              <w:jc w:val="left"/>
              <w:rPr>
                <w:rFonts w:ascii="宋体" w:hAnsi="宋体" w:cs="宋体" w:eastAsia="宋体" w:hint="default"/>
                <w:sz w:val="18"/>
                <w:szCs w:val="18"/>
              </w:rPr>
            </w:pPr>
            <w:r>
              <w:rPr>
                <w:rFonts w:ascii="宋体" w:hAnsi="宋体" w:cs="宋体" w:eastAsia="宋体" w:hint="default"/>
                <w:sz w:val="18"/>
                <w:szCs w:val="18"/>
              </w:rPr>
              <w:t>其 他</w:t>
            </w:r>
          </w:p>
        </w:tc>
        <w:tc>
          <w:tcPr>
            <w:tcW w:w="1094" w:type="dxa"/>
            <w:vMerge/>
            <w:tcBorders>
              <w:left w:val="single" w:sz="4" w:space="0" w:color="000000"/>
              <w:bottom w:val="nil" w:sz="6" w:space="0" w:color="auto"/>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30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49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304"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56" w:hRule="exact"/>
        </w:trPr>
        <w:tc>
          <w:tcPr>
            <w:tcW w:w="149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456" w:type="dxa"/>
            <w:vMerge/>
            <w:tcBorders>
              <w:left w:val="single" w:sz="4" w:space="0" w:color="000000"/>
              <w:bottom w:val="nil" w:sz="6" w:space="0" w:color="auto"/>
              <w:right w:val="single" w:sz="4" w:space="0" w:color="000000"/>
            </w:tcBorders>
            <w:shd w:val="clear" w:color="auto" w:fill="D2D2D2"/>
          </w:tcPr>
          <w:p>
            <w:pPr/>
          </w:p>
        </w:tc>
        <w:tc>
          <w:tcPr>
            <w:tcW w:w="888" w:type="dxa"/>
            <w:vMerge w:val="restart"/>
            <w:tcBorders>
              <w:top w:val="nil" w:sz="6" w:space="0" w:color="auto"/>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30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79" w:hRule="exact"/>
        </w:trPr>
        <w:tc>
          <w:tcPr>
            <w:tcW w:w="149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50"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456" w:type="dxa"/>
            <w:vMerge w:val="restart"/>
            <w:tcBorders>
              <w:top w:val="nil" w:sz="6" w:space="0" w:color="auto"/>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276"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304"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02"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50"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264" w:type="dxa"/>
            <w:vMerge/>
            <w:tcBorders>
              <w:left w:val="single" w:sz="4" w:space="0" w:color="000000"/>
              <w:bottom w:val="single" w:sz="4" w:space="0" w:color="000000"/>
              <w:right w:val="single" w:sz="4" w:space="0" w:color="000000"/>
            </w:tcBorders>
            <w:shd w:val="clear" w:color="auto" w:fill="D2D2D2"/>
          </w:tcPr>
          <w:p>
            <w:pPr/>
          </w:p>
        </w:tc>
        <w:tc>
          <w:tcPr>
            <w:tcW w:w="264" w:type="dxa"/>
            <w:vMerge/>
            <w:tcBorders>
              <w:left w:val="single" w:sz="4" w:space="0" w:color="000000"/>
              <w:bottom w:val="single" w:sz="4" w:space="0" w:color="000000"/>
              <w:right w:val="single" w:sz="4" w:space="0" w:color="000000"/>
            </w:tcBorders>
            <w:shd w:val="clear" w:color="auto" w:fill="D2D2D2"/>
          </w:tcPr>
          <w:p>
            <w:pPr/>
          </w:p>
        </w:tc>
        <w:tc>
          <w:tcPr>
            <w:tcW w:w="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304"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761,191,294.00</w:t>
            </w:r>
          </w:p>
        </w:tc>
        <w:tc>
          <w:tcPr>
            <w:tcW w:w="264" w:type="dxa"/>
            <w:tcBorders>
              <w:top w:val="single" w:sz="48" w:space="0" w:color="D2D2D2"/>
              <w:left w:val="single" w:sz="4" w:space="0" w:color="000000"/>
              <w:bottom w:val="single" w:sz="4" w:space="0" w:color="000000"/>
              <w:right w:val="single" w:sz="4" w:space="0" w:color="000000"/>
            </w:tcBorders>
          </w:tcPr>
          <w:p>
            <w:pPr/>
          </w:p>
        </w:tc>
        <w:tc>
          <w:tcPr>
            <w:tcW w:w="264" w:type="dxa"/>
            <w:tcBorders>
              <w:top w:val="single" w:sz="48" w:space="0" w:color="D2D2D2"/>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29,679,547.28</w:t>
            </w: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31,204.70</w:t>
            </w: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48,262,653.86</w:t>
            </w: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814,359,681.61</w:t>
            </w: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1,653,524,381.45</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1"/>
              <w:jc w:val="left"/>
              <w:rPr>
                <w:rFonts w:ascii="宋体" w:hAnsi="宋体" w:cs="宋体" w:eastAsia="宋体" w:hint="default"/>
                <w:sz w:val="18"/>
                <w:szCs w:val="18"/>
              </w:rPr>
            </w:pPr>
            <w:r>
              <w:rPr>
                <w:rFonts w:ascii="宋体" w:hAnsi="宋体" w:cs="宋体" w:eastAsia="宋体" w:hint="default"/>
                <w:sz w:val="18"/>
                <w:szCs w:val="18"/>
              </w:rPr>
              <w:t>同一控制下企业合 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761,191,294.00</w:t>
            </w: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29,679,547.28</w:t>
            </w: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31,204.70</w:t>
            </w: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48,262,653.86</w:t>
            </w: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814,359,681.61</w:t>
            </w: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1,653,524,381.45</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31"/>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90,918.10</w:t>
            </w: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3,559,399.15</w:t>
            </w: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19,686,842.03</w:t>
            </w: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23,337,159.28</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1"/>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90,918.10</w:t>
            </w: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23,246,241.18</w:t>
            </w: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23,337,159.28</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1"/>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．股东投入的普通</w:t>
            </w:r>
            <w:r>
              <w:rPr>
                <w:rFonts w:ascii="宋体" w:hAnsi="宋体" w:cs="宋体" w:eastAsia="宋体" w:hint="default"/>
                <w:sz w:val="18"/>
                <w:szCs w:val="18"/>
              </w:rPr>
              <w:t> 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w:t>
            </w:r>
            <w:r>
              <w:rPr>
                <w:rFonts w:ascii="宋体" w:hAnsi="宋体" w:cs="宋体" w:eastAsia="宋体" w:hint="default"/>
                <w:sz w:val="18"/>
                <w:szCs w:val="18"/>
              </w:rPr>
              <w:t> 有者投入资本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w:t>
            </w:r>
            <w:r>
              <w:rPr>
                <w:rFonts w:ascii="宋体" w:hAnsi="宋体" w:cs="宋体" w:eastAsia="宋体" w:hint="default"/>
                <w:sz w:val="18"/>
                <w:szCs w:val="18"/>
              </w:rPr>
              <w:t> 有者权益的金额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3,559,399.15</w:t>
            </w: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-3,559,399.15</w:t>
            </w: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3,559,399.15</w:t>
            </w: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-3,559,399.15</w:t>
            </w: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．提取一般风险准</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409" w:type="dxa"/>
        <w:tblLayout w:type="fixed"/>
        <w:tblCellMar>
          <w:top w:w="0" w:type="dxa"/>
          <w:left w:w="0" w:type="dxa"/>
          <w:bottom w:w="0" w:type="dxa"/>
          <w:right w:w="0" w:type="dxa"/>
        </w:tblCellMar>
        <w:tblLook w:val="01E0"/>
      </w:tblPr>
      <w:tblGrid>
        <w:gridCol w:w="1506"/>
        <w:gridCol w:w="1193"/>
        <w:gridCol w:w="264"/>
        <w:gridCol w:w="264"/>
        <w:gridCol w:w="250"/>
        <w:gridCol w:w="1094"/>
        <w:gridCol w:w="456"/>
        <w:gridCol w:w="888"/>
        <w:gridCol w:w="276"/>
        <w:gridCol w:w="1092"/>
        <w:gridCol w:w="304"/>
        <w:gridCol w:w="1182"/>
        <w:gridCol w:w="302"/>
        <w:gridCol w:w="1316"/>
      </w:tblGrid>
      <w:tr>
        <w:trPr>
          <w:trHeight w:val="36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．对所有者（或股</w:t>
            </w:r>
            <w:r>
              <w:rPr>
                <w:rFonts w:ascii="宋体" w:hAnsi="宋体" w:cs="宋体" w:eastAsia="宋体" w:hint="default"/>
                <w:sz w:val="18"/>
                <w:szCs w:val="18"/>
              </w:rPr>
              <w:t> 东）的分配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w:t>
            </w:r>
            <w:r>
              <w:rPr>
                <w:rFonts w:ascii="宋体" w:hAnsi="宋体" w:cs="宋体" w:eastAsia="宋体" w:hint="default"/>
                <w:sz w:val="18"/>
                <w:szCs w:val="18"/>
              </w:rPr>
              <w:t> 本（或股本）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w:t>
            </w:r>
            <w:r>
              <w:rPr>
                <w:rFonts w:ascii="宋体" w:hAnsi="宋体" w:cs="宋体" w:eastAsia="宋体" w:hint="default"/>
                <w:sz w:val="18"/>
                <w:szCs w:val="18"/>
              </w:rPr>
              <w:t> 本（或股本）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．盈余公积弥补亏</w:t>
            </w:r>
            <w:r>
              <w:rPr>
                <w:rFonts w:ascii="宋体" w:hAnsi="宋体" w:cs="宋体" w:eastAsia="宋体" w:hint="default"/>
                <w:sz w:val="18"/>
                <w:szCs w:val="18"/>
              </w:rPr>
              <w:t> 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761,191,294.00</w:t>
            </w: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29,679,547.28</w:t>
            </w:r>
          </w:p>
        </w:tc>
        <w:tc>
          <w:tcPr>
            <w:tcW w:w="45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122,122.80</w:t>
            </w:r>
          </w:p>
        </w:tc>
        <w:tc>
          <w:tcPr>
            <w:tcW w:w="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51,822,053.01</w:t>
            </w:r>
          </w:p>
        </w:tc>
        <w:tc>
          <w:tcPr>
            <w:tcW w:w="30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834,046,523.64</w:t>
            </w:r>
          </w:p>
        </w:tc>
        <w:tc>
          <w:tcPr>
            <w:tcW w:w="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1,676,861,540.73</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409" w:type="dxa"/>
        <w:tblLayout w:type="fixed"/>
        <w:tblCellMar>
          <w:top w:w="0" w:type="dxa"/>
          <w:left w:w="0" w:type="dxa"/>
          <w:bottom w:w="0" w:type="dxa"/>
          <w:right w:w="0" w:type="dxa"/>
        </w:tblCellMar>
        <w:tblLook w:val="01E0"/>
      </w:tblPr>
      <w:tblGrid>
        <w:gridCol w:w="2146"/>
        <w:gridCol w:w="1182"/>
        <w:gridCol w:w="334"/>
        <w:gridCol w:w="334"/>
        <w:gridCol w:w="286"/>
        <w:gridCol w:w="1091"/>
        <w:gridCol w:w="563"/>
        <w:gridCol w:w="481"/>
        <w:gridCol w:w="383"/>
        <w:gridCol w:w="1091"/>
        <w:gridCol w:w="1181"/>
        <w:gridCol w:w="1316"/>
      </w:tblGrid>
      <w:tr>
        <w:trPr>
          <w:trHeight w:val="397" w:hRule="exact"/>
        </w:trPr>
        <w:tc>
          <w:tcPr>
            <w:tcW w:w="2146" w:type="dxa"/>
            <w:vMerge w:val="restart"/>
            <w:tcBorders>
              <w:top w:val="single" w:sz="4" w:space="0" w:color="000000"/>
              <w:left w:val="single" w:sz="4" w:space="0" w:color="000000"/>
              <w:right w:val="single" w:sz="4" w:space="0" w:color="000000"/>
            </w:tcBorders>
            <w:shd w:val="clear" w:color="auto" w:fill="D2D2D2"/>
          </w:tcPr>
          <w:p>
            <w:pPr/>
          </w:p>
        </w:tc>
        <w:tc>
          <w:tcPr>
            <w:tcW w:w="82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146" w:type="dxa"/>
            <w:vMerge/>
            <w:tcBorders>
              <w:left w:val="single" w:sz="4" w:space="0" w:color="000000"/>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9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1" w:right="10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481" w:type="dxa"/>
            <w:vMerge w:val="restart"/>
            <w:tcBorders>
              <w:top w:val="single" w:sz="4" w:space="0" w:color="000000"/>
              <w:left w:val="single" w:sz="4" w:space="0" w:color="000000"/>
              <w:right w:val="single" w:sz="4" w:space="0" w:color="000000"/>
            </w:tcBorders>
            <w:shd w:val="clear" w:color="auto" w:fill="D2D2D2"/>
          </w:tcPr>
          <w:p>
            <w:pPr/>
          </w:p>
        </w:tc>
        <w:tc>
          <w:tcPr>
            <w:tcW w:w="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2146"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953" w:type="dxa"/>
            <w:gridSpan w:val="3"/>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481" w:type="dxa"/>
            <w:vMerge/>
            <w:tcBorders>
              <w:left w:val="single" w:sz="4" w:space="0" w:color="000000"/>
              <w:bottom w:val="nil" w:sz="6" w:space="0" w:color="auto"/>
              <w:right w:val="single" w:sz="4" w:space="0" w:color="000000"/>
            </w:tcBorders>
            <w:shd w:val="clear" w:color="auto" w:fill="D2D2D2"/>
          </w:tcPr>
          <w:p>
            <w:pPr/>
          </w:p>
        </w:tc>
        <w:tc>
          <w:tcPr>
            <w:tcW w:w="3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2146"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953" w:type="dxa"/>
            <w:gridSpan w:val="3"/>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4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88" w:hRule="exact"/>
        </w:trPr>
        <w:tc>
          <w:tcPr>
            <w:tcW w:w="2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2" w:type="dxa"/>
            <w:vMerge/>
            <w:tcBorders>
              <w:left w:val="single" w:sz="4" w:space="0" w:color="000000"/>
              <w:bottom w:val="single" w:sz="14" w:space="0" w:color="FFFFFF"/>
              <w:right w:val="single" w:sz="4" w:space="0" w:color="000000"/>
            </w:tcBorders>
            <w:shd w:val="clear" w:color="auto" w:fill="D2D2D2"/>
          </w:tcPr>
          <w:p>
            <w:pPr/>
          </w:p>
        </w:tc>
        <w:tc>
          <w:tcPr>
            <w:tcW w:w="953" w:type="dxa"/>
            <w:gridSpan w:val="3"/>
            <w:vMerge/>
            <w:tcBorders>
              <w:left w:val="single" w:sz="4" w:space="0" w:color="000000"/>
              <w:bottom w:val="single" w:sz="14" w:space="0" w:color="FFFFFF"/>
              <w:right w:val="single" w:sz="4" w:space="0" w:color="000000"/>
            </w:tcBorders>
            <w:shd w:val="clear" w:color="auto" w:fill="D2D2D2"/>
          </w:tcPr>
          <w:p>
            <w:pPr/>
          </w:p>
        </w:tc>
        <w:tc>
          <w:tcPr>
            <w:tcW w:w="1091" w:type="dxa"/>
            <w:vMerge/>
            <w:tcBorders>
              <w:left w:val="single" w:sz="4" w:space="0" w:color="000000"/>
              <w:bottom w:val="single" w:sz="14" w:space="0" w:color="FFFFFF"/>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95" w:right="20" w:hanging="74"/>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2146"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9"/>
              <w:ind w:left="71" w:right="7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3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9"/>
              <w:ind w:left="72" w:right="7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9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3" w:type="dxa"/>
            <w:vMerge/>
            <w:tcBorders>
              <w:left w:val="single" w:sz="4" w:space="0" w:color="000000"/>
              <w:right w:val="single" w:sz="4" w:space="0" w:color="000000"/>
            </w:tcBorders>
            <w:shd w:val="clear" w:color="auto" w:fill="D2D2D2"/>
          </w:tcPr>
          <w:p>
            <w:pP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146" w:type="dxa"/>
            <w:vMerge w:val="restart"/>
            <w:tcBorders>
              <w:top w:val="nil" w:sz="6" w:space="0" w:color="auto"/>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46"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091"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146"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146"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481" w:type="dxa"/>
            <w:vMerge/>
            <w:tcBorders>
              <w:left w:val="single" w:sz="4" w:space="0" w:color="000000"/>
              <w:bottom w:val="nil" w:sz="6" w:space="0" w:color="auto"/>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79" w:hRule="exact"/>
        </w:trPr>
        <w:tc>
          <w:tcPr>
            <w:tcW w:w="2146"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481" w:type="dxa"/>
            <w:vMerge w:val="restart"/>
            <w:tcBorders>
              <w:top w:val="nil" w:sz="6" w:space="0" w:color="auto"/>
              <w:left w:val="single" w:sz="4" w:space="0" w:color="000000"/>
              <w:right w:val="single" w:sz="4" w:space="0" w:color="000000"/>
            </w:tcBorders>
            <w:shd w:val="clear" w:color="auto" w:fill="D2D2D2"/>
          </w:tcPr>
          <w:p>
            <w:pPr/>
          </w:p>
        </w:tc>
        <w:tc>
          <w:tcPr>
            <w:tcW w:w="383"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84" w:hRule="exact"/>
        </w:trPr>
        <w:tc>
          <w:tcPr>
            <w:tcW w:w="2146"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334" w:type="dxa"/>
            <w:vMerge/>
            <w:tcBorders>
              <w:left w:val="single" w:sz="4" w:space="0" w:color="000000"/>
              <w:bottom w:val="single" w:sz="4" w:space="0" w:color="000000"/>
              <w:right w:val="single" w:sz="4" w:space="0" w:color="000000"/>
            </w:tcBorders>
            <w:shd w:val="clear" w:color="auto" w:fill="D2D2D2"/>
          </w:tcPr>
          <w:p>
            <w:pPr/>
          </w:p>
        </w:tc>
        <w:tc>
          <w:tcPr>
            <w:tcW w:w="334" w:type="dxa"/>
            <w:vMerge/>
            <w:tcBorders>
              <w:left w:val="single" w:sz="4" w:space="0" w:color="000000"/>
              <w:bottom w:val="single" w:sz="4" w:space="0" w:color="000000"/>
              <w:right w:val="single" w:sz="4" w:space="0" w:color="000000"/>
            </w:tcBorders>
            <w:shd w:val="clear" w:color="auto" w:fill="D2D2D2"/>
          </w:tcPr>
          <w:p>
            <w:pPr/>
          </w:p>
        </w:tc>
        <w:tc>
          <w:tcPr>
            <w:tcW w:w="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481" w:type="dxa"/>
            <w:vMerge/>
            <w:tcBorders>
              <w:left w:val="single" w:sz="4" w:space="0" w:color="000000"/>
              <w:bottom w:val="single" w:sz="4" w:space="0" w:color="000000"/>
              <w:right w:val="single" w:sz="4" w:space="0" w:color="000000"/>
            </w:tcBorders>
            <w:shd w:val="clear" w:color="auto" w:fill="D2D2D2"/>
          </w:tcPr>
          <w:p>
            <w:pPr/>
          </w:p>
        </w:tc>
        <w:tc>
          <w:tcPr>
            <w:tcW w:w="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761,191,294.00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29,679,547.28</w:t>
            </w: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51,822,053.01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320,823,541.39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1,163,516,435.68</w:t>
            </w: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2" w:type="dxa"/>
            <w:tcBorders>
              <w:top w:val="single" w:sz="4" w:space="0" w:color="000000"/>
              <w:left w:val="single" w:sz="13" w:space="0" w:color="D2D2D2"/>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2" w:type="dxa"/>
            <w:tcBorders>
              <w:top w:val="single" w:sz="4" w:space="0" w:color="000000"/>
              <w:left w:val="single" w:sz="13" w:space="0" w:color="D2D2D2"/>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single" w:sz="4" w:space="0" w:color="000000"/>
              <w:left w:val="single" w:sz="13" w:space="0" w:color="D2D2D2"/>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761,191,294.00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29,679,547.28</w:t>
            </w: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51,822,053.01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320,823,541.39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1,163,516,435.68</w:t>
            </w: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r>
              <w:rPr>
                <w:rFonts w:ascii="宋体" w:hAnsi="宋体" w:cs="宋体" w:eastAsia="宋体" w:hint="default"/>
                <w:sz w:val="18"/>
                <w:szCs w:val="18"/>
              </w:rPr>
              <w:t>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2" w:type="dxa"/>
            <w:tcBorders>
              <w:top w:val="single" w:sz="4" w:space="0" w:color="000000"/>
              <w:left w:val="single" w:sz="13" w:space="0" w:color="D2D2D2"/>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64,414,553.70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71,571,726.33</w:t>
            </w: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2" w:type="dxa"/>
            <w:tcBorders>
              <w:top w:val="single" w:sz="4" w:space="0" w:color="000000"/>
              <w:left w:val="single" w:sz="13" w:space="0" w:color="D2D2D2"/>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71,571,726.33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71,571,726.33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409" w:type="dxa"/>
        <w:tblLayout w:type="fixed"/>
        <w:tblCellMar>
          <w:top w:w="0" w:type="dxa"/>
          <w:left w:w="0" w:type="dxa"/>
          <w:bottom w:w="0" w:type="dxa"/>
          <w:right w:w="0" w:type="dxa"/>
        </w:tblCellMar>
        <w:tblLook w:val="01E0"/>
      </w:tblPr>
      <w:tblGrid>
        <w:gridCol w:w="2146"/>
        <w:gridCol w:w="1182"/>
        <w:gridCol w:w="334"/>
        <w:gridCol w:w="334"/>
        <w:gridCol w:w="286"/>
        <w:gridCol w:w="1091"/>
        <w:gridCol w:w="563"/>
        <w:gridCol w:w="481"/>
        <w:gridCol w:w="383"/>
        <w:gridCol w:w="1091"/>
        <w:gridCol w:w="1181"/>
        <w:gridCol w:w="1316"/>
      </w:tblGrid>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r>
              <w:rPr>
                <w:rFonts w:ascii="宋体" w:hAnsi="宋体" w:cs="宋体" w:eastAsia="宋体" w:hint="default"/>
                <w:sz w:val="18"/>
                <w:szCs w:val="18"/>
              </w:rPr>
              <w:t> 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-7,157,172.63</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 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761,191,294.00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29,679,547.28</w:t>
            </w: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58,979,225.64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385,238,095.09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1,235,088,162.01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2135"/>
        <w:gridCol w:w="1182"/>
        <w:gridCol w:w="334"/>
        <w:gridCol w:w="334"/>
        <w:gridCol w:w="286"/>
        <w:gridCol w:w="1091"/>
        <w:gridCol w:w="563"/>
        <w:gridCol w:w="481"/>
        <w:gridCol w:w="383"/>
        <w:gridCol w:w="1091"/>
        <w:gridCol w:w="1181"/>
        <w:gridCol w:w="1316"/>
      </w:tblGrid>
      <w:tr>
        <w:trPr>
          <w:trHeight w:val="402" w:hRule="exact"/>
        </w:trPr>
        <w:tc>
          <w:tcPr>
            <w:tcW w:w="2135" w:type="dxa"/>
            <w:vMerge w:val="restart"/>
            <w:tcBorders>
              <w:top w:val="single" w:sz="4" w:space="0" w:color="000000"/>
              <w:left w:val="single" w:sz="4" w:space="0" w:color="000000"/>
              <w:right w:val="single" w:sz="4" w:space="0" w:color="000000"/>
            </w:tcBorders>
            <w:shd w:val="clear" w:color="auto" w:fill="D2D2D2"/>
          </w:tcPr>
          <w:p>
            <w:pPr/>
          </w:p>
        </w:tc>
        <w:tc>
          <w:tcPr>
            <w:tcW w:w="82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2135" w:type="dxa"/>
            <w:vMerge/>
            <w:tcBorders>
              <w:left w:val="single" w:sz="4" w:space="0" w:color="000000"/>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9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1" w:right="10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481" w:type="dxa"/>
            <w:vMerge w:val="restart"/>
            <w:tcBorders>
              <w:top w:val="single" w:sz="4" w:space="0" w:color="000000"/>
              <w:left w:val="single" w:sz="4" w:space="0" w:color="000000"/>
              <w:right w:val="single" w:sz="4" w:space="0" w:color="000000"/>
            </w:tcBorders>
            <w:shd w:val="clear" w:color="auto" w:fill="D2D2D2"/>
          </w:tcPr>
          <w:p>
            <w:pPr/>
          </w:p>
        </w:tc>
        <w:tc>
          <w:tcPr>
            <w:tcW w:w="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2135"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953" w:type="dxa"/>
            <w:gridSpan w:val="3"/>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481" w:type="dxa"/>
            <w:vMerge/>
            <w:tcBorders>
              <w:left w:val="single" w:sz="4" w:space="0" w:color="000000"/>
              <w:bottom w:val="nil" w:sz="6" w:space="0" w:color="auto"/>
              <w:right w:val="single" w:sz="4" w:space="0" w:color="000000"/>
            </w:tcBorders>
            <w:shd w:val="clear" w:color="auto" w:fill="D2D2D2"/>
          </w:tcPr>
          <w:p>
            <w:pPr/>
          </w:p>
        </w:tc>
        <w:tc>
          <w:tcPr>
            <w:tcW w:w="3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4" w:hRule="exact"/>
        </w:trPr>
        <w:tc>
          <w:tcPr>
            <w:tcW w:w="2135"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953" w:type="dxa"/>
            <w:gridSpan w:val="3"/>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4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90" w:hRule="exact"/>
        </w:trPr>
        <w:tc>
          <w:tcPr>
            <w:tcW w:w="2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82" w:type="dxa"/>
            <w:vMerge/>
            <w:tcBorders>
              <w:left w:val="single" w:sz="4" w:space="0" w:color="000000"/>
              <w:bottom w:val="nil" w:sz="6" w:space="0" w:color="auto"/>
              <w:right w:val="single" w:sz="4" w:space="0" w:color="000000"/>
            </w:tcBorders>
            <w:shd w:val="clear" w:color="auto" w:fill="D2D2D2"/>
          </w:tcPr>
          <w:p>
            <w:pPr/>
          </w:p>
        </w:tc>
        <w:tc>
          <w:tcPr>
            <w:tcW w:w="953" w:type="dxa"/>
            <w:gridSpan w:val="3"/>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95" w:right="20" w:hanging="74"/>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2135"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71" w:right="7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72" w:right="7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3" w:type="dxa"/>
            <w:vMerge/>
            <w:tcBorders>
              <w:left w:val="single" w:sz="4" w:space="0" w:color="000000"/>
              <w:right w:val="single" w:sz="4" w:space="0" w:color="000000"/>
            </w:tcBorders>
            <w:shd w:val="clear" w:color="auto" w:fill="D2D2D2"/>
          </w:tcPr>
          <w:p>
            <w:pP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135" w:type="dxa"/>
            <w:vMerge w:val="restart"/>
            <w:tcBorders>
              <w:top w:val="nil" w:sz="6" w:space="0" w:color="auto"/>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46"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091"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135"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481" w:type="dxa"/>
            <w:vMerge/>
            <w:tcBorders>
              <w:left w:val="single" w:sz="4" w:space="0" w:color="000000"/>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135"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481" w:type="dxa"/>
            <w:vMerge/>
            <w:tcBorders>
              <w:left w:val="single" w:sz="4" w:space="0" w:color="000000"/>
              <w:bottom w:val="nil" w:sz="6" w:space="0" w:color="auto"/>
              <w:right w:val="single" w:sz="4" w:space="0" w:color="000000"/>
            </w:tcBorders>
            <w:shd w:val="clear" w:color="auto" w:fill="D2D2D2"/>
          </w:tcPr>
          <w:p>
            <w:pPr/>
          </w:p>
        </w:tc>
        <w:tc>
          <w:tcPr>
            <w:tcW w:w="38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78" w:hRule="exact"/>
        </w:trPr>
        <w:tc>
          <w:tcPr>
            <w:tcW w:w="2135"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334" w:type="dxa"/>
            <w:vMerge/>
            <w:tcBorders>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481" w:type="dxa"/>
            <w:vMerge w:val="restart"/>
            <w:tcBorders>
              <w:top w:val="nil" w:sz="6" w:space="0" w:color="auto"/>
              <w:left w:val="single" w:sz="4" w:space="0" w:color="000000"/>
              <w:right w:val="single" w:sz="4" w:space="0" w:color="000000"/>
            </w:tcBorders>
            <w:shd w:val="clear" w:color="auto" w:fill="D2D2D2"/>
          </w:tcPr>
          <w:p>
            <w:pPr/>
          </w:p>
        </w:tc>
        <w:tc>
          <w:tcPr>
            <w:tcW w:w="383"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83" w:hRule="exact"/>
        </w:trPr>
        <w:tc>
          <w:tcPr>
            <w:tcW w:w="2135"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334" w:type="dxa"/>
            <w:vMerge/>
            <w:tcBorders>
              <w:left w:val="single" w:sz="4" w:space="0" w:color="000000"/>
              <w:bottom w:val="single" w:sz="4" w:space="0" w:color="000000"/>
              <w:right w:val="single" w:sz="4" w:space="0" w:color="000000"/>
            </w:tcBorders>
            <w:shd w:val="clear" w:color="auto" w:fill="D2D2D2"/>
          </w:tcPr>
          <w:p>
            <w:pPr/>
          </w:p>
        </w:tc>
        <w:tc>
          <w:tcPr>
            <w:tcW w:w="334" w:type="dxa"/>
            <w:vMerge/>
            <w:tcBorders>
              <w:left w:val="single" w:sz="4" w:space="0" w:color="000000"/>
              <w:bottom w:val="single" w:sz="4" w:space="0" w:color="000000"/>
              <w:right w:val="single" w:sz="4" w:space="0" w:color="000000"/>
            </w:tcBorders>
            <w:shd w:val="clear" w:color="auto" w:fill="D2D2D2"/>
          </w:tcPr>
          <w:p>
            <w:pPr/>
          </w:p>
        </w:tc>
        <w:tc>
          <w:tcPr>
            <w:tcW w:w="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481" w:type="dxa"/>
            <w:vMerge/>
            <w:tcBorders>
              <w:left w:val="single" w:sz="4" w:space="0" w:color="000000"/>
              <w:bottom w:val="single" w:sz="4" w:space="0" w:color="000000"/>
              <w:right w:val="single" w:sz="4" w:space="0" w:color="000000"/>
            </w:tcBorders>
            <w:shd w:val="clear" w:color="auto" w:fill="D2D2D2"/>
          </w:tcPr>
          <w:p>
            <w:pPr/>
          </w:p>
        </w:tc>
        <w:tc>
          <w:tcPr>
            <w:tcW w:w="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3" w:right="0"/>
              <w:jc w:val="left"/>
              <w:rPr>
                <w:rFonts w:ascii="Times New Roman" w:hAnsi="Times New Roman" w:cs="Times New Roman" w:eastAsia="Times New Roman" w:hint="default"/>
                <w:sz w:val="18"/>
                <w:szCs w:val="18"/>
              </w:rPr>
            </w:pPr>
            <w:r>
              <w:rPr>
                <w:rFonts w:ascii="Times New Roman"/>
                <w:sz w:val="18"/>
              </w:rPr>
              <w:t>761,191,294.00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29,679,547.28</w:t>
            </w: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48,262,653.86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288,788,949.07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1,127,922,444.21</w:t>
            </w:r>
          </w:p>
        </w:tc>
      </w:tr>
      <w:tr>
        <w:trPr>
          <w:trHeight w:val="402"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2" w:type="dxa"/>
            <w:tcBorders>
              <w:top w:val="single" w:sz="4" w:space="0" w:color="000000"/>
              <w:left w:val="single" w:sz="13" w:space="0" w:color="D2D2D2"/>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2" w:type="dxa"/>
            <w:tcBorders>
              <w:top w:val="single" w:sz="4" w:space="0" w:color="000000"/>
              <w:left w:val="single" w:sz="13" w:space="0" w:color="D2D2D2"/>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409" w:type="dxa"/>
        <w:tblLayout w:type="fixed"/>
        <w:tblCellMar>
          <w:top w:w="0" w:type="dxa"/>
          <w:left w:w="0" w:type="dxa"/>
          <w:bottom w:w="0" w:type="dxa"/>
          <w:right w:w="0" w:type="dxa"/>
        </w:tblCellMar>
        <w:tblLook w:val="01E0"/>
      </w:tblPr>
      <w:tblGrid>
        <w:gridCol w:w="2146"/>
        <w:gridCol w:w="1182"/>
        <w:gridCol w:w="334"/>
        <w:gridCol w:w="334"/>
        <w:gridCol w:w="286"/>
        <w:gridCol w:w="1091"/>
        <w:gridCol w:w="563"/>
        <w:gridCol w:w="481"/>
        <w:gridCol w:w="383"/>
        <w:gridCol w:w="1091"/>
        <w:gridCol w:w="1181"/>
        <w:gridCol w:w="1316"/>
      </w:tblGrid>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761,191,294.00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29,679,547.28</w:t>
            </w: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48,262,653.86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288,788,949.07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1,127,922,444.21</w:t>
            </w: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r>
              <w:rPr>
                <w:rFonts w:ascii="宋体" w:hAnsi="宋体" w:cs="宋体" w:eastAsia="宋体" w:hint="default"/>
                <w:sz w:val="18"/>
                <w:szCs w:val="18"/>
              </w:rPr>
              <w:t>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3,559,399.15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32,034,592.32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35,593,991.47</w:t>
            </w: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35,593,991.47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35,593,991.47</w:t>
            </w: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r>
              <w:rPr>
                <w:rFonts w:ascii="宋体" w:hAnsi="宋体" w:cs="宋体" w:eastAsia="宋体" w:hint="default"/>
                <w:sz w:val="18"/>
                <w:szCs w:val="18"/>
              </w:rPr>
              <w:t> 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3,559,399.15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-3,559,399.15</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3,559,399.15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-3,559,399.15</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 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761,191,294.00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29,679,547.28</w:t>
            </w:r>
          </w:p>
        </w:tc>
        <w:tc>
          <w:tcPr>
            <w:tcW w:w="563"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51,822,053.01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320,823,541.39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1,163,516,435.68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60"/>
      <w:bookmarkEnd w:id="16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、公司概况</w:t>
      </w:r>
    </w:p>
    <w:p>
      <w:pPr>
        <w:pStyle w:val="BodyText"/>
        <w:spacing w:line="300" w:lineRule="auto" w:before="63"/>
        <w:ind w:right="1132" w:firstLine="360"/>
        <w:jc w:val="both"/>
      </w:pPr>
      <w:r>
        <w:rPr>
          <w:spacing w:val="-1"/>
        </w:rPr>
        <w:t>广州御银科技股份有限公司（以下简称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）前身广州御银科技有限责任公司由杨文江、增城市御银实业</w:t>
      </w:r>
      <w:r>
        <w:rPr/>
        <w:t> 有限公司共同出资组建，注册资本人民币</w:t>
      </w:r>
      <w:r>
        <w:rPr>
          <w:rFonts w:ascii="Times New Roman" w:hAnsi="Times New Roman" w:cs="Times New Roman" w:eastAsia="Times New Roman" w:hint="default"/>
        </w:rPr>
        <w:t>15,000,000.00</w:t>
      </w:r>
      <w:r>
        <w:rPr/>
        <w:t>元，于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日取得广州市工商行政管理局核发的企业法人营 业执照（注册号为：</w:t>
      </w:r>
      <w:r>
        <w:rPr>
          <w:rFonts w:ascii="Times New Roman" w:hAnsi="Times New Roman" w:cs="Times New Roman" w:eastAsia="Times New Roman" w:hint="default"/>
        </w:rPr>
        <w:t>4401011108228</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日工商变更登记，注册号变更为</w:t>
      </w:r>
      <w:r>
        <w:rPr>
          <w:rFonts w:ascii="Times New Roman" w:hAnsi="Times New Roman" w:cs="Times New Roman" w:eastAsia="Times New Roman" w:hint="default"/>
        </w:rPr>
        <w:t>440101000034373</w:t>
      </w:r>
      <w:r>
        <w:rPr/>
        <w:t>。</w:t>
      </w:r>
    </w:p>
    <w:p>
      <w:pPr>
        <w:pStyle w:val="BodyText"/>
        <w:spacing w:line="240" w:lineRule="auto" w:before="13"/>
        <w:ind w:left="1493" w:right="0"/>
        <w:jc w:val="left"/>
      </w:pPr>
      <w:r>
        <w:rPr/>
        <w:t>公司经广州市经济委员会穗经</w:t>
      </w:r>
      <w:r>
        <w:rPr>
          <w:rFonts w:ascii="Times New Roman" w:hAnsi="Times New Roman" w:cs="Times New Roman" w:eastAsia="Times New Roman" w:hint="default"/>
        </w:rPr>
        <w:t>[2003]88</w:t>
      </w:r>
      <w:r>
        <w:rPr/>
        <w:t>号《关于同意设立广州御银科技股份有限公司的批复》批准，以公司截至</w:t>
      </w:r>
      <w:r>
        <w:rPr>
          <w:rFonts w:ascii="Times New Roman" w:hAnsi="Times New Roman" w:cs="Times New Roman" w:eastAsia="Times New Roman" w:hint="default"/>
        </w:rPr>
        <w:t>2003</w:t>
      </w:r>
      <w:r>
        <w:rPr/>
        <w:t>年</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日经审计净资产</w:t>
      </w:r>
      <w:r>
        <w:rPr>
          <w:rFonts w:ascii="Times New Roman" w:hAnsi="Times New Roman" w:cs="Times New Roman" w:eastAsia="Times New Roman" w:hint="default"/>
        </w:rPr>
        <w:t>30,200,000.00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比例折股，整体变更为股份公司。改制后，公司的股本总额为</w:t>
      </w:r>
      <w:r>
        <w:rPr>
          <w:rFonts w:ascii="Times New Roman" w:hAnsi="Times New Roman" w:cs="Times New Roman" w:eastAsia="Times New Roman" w:hint="default"/>
        </w:rPr>
        <w:t>30,200,000.00</w:t>
      </w:r>
      <w:r>
        <w:rPr/>
        <w:t>元。</w:t>
      </w:r>
    </w:p>
    <w:p>
      <w:pPr>
        <w:pStyle w:val="BodyText"/>
        <w:spacing w:line="300" w:lineRule="auto" w:before="63"/>
        <w:ind w:right="1139"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日，发行人召开</w:t>
      </w:r>
      <w:r>
        <w:rPr>
          <w:rFonts w:ascii="Times New Roman" w:hAnsi="Times New Roman" w:cs="Times New Roman" w:eastAsia="Times New Roman" w:hint="default"/>
        </w:rPr>
        <w:t>2005</w:t>
      </w:r>
      <w:r>
        <w:rPr/>
        <w:t>年度股东大会，审议通过了</w:t>
      </w:r>
      <w:r>
        <w:rPr>
          <w:rFonts w:ascii="Times New Roman" w:hAnsi="Times New Roman" w:cs="Times New Roman" w:eastAsia="Times New Roman" w:hint="default"/>
        </w:rPr>
        <w:t>2005</w:t>
      </w:r>
      <w:r>
        <w:rPr/>
        <w:t>年度利润分配方案，决定以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日股份公司 总股本</w:t>
      </w:r>
      <w:r>
        <w:rPr>
          <w:rFonts w:ascii="Times New Roman" w:hAnsi="Times New Roman" w:cs="Times New Roman" w:eastAsia="Times New Roman" w:hint="default"/>
        </w:rPr>
        <w:t>30,200,000.00</w:t>
      </w:r>
      <w:r>
        <w:rPr/>
        <w:t>股为基数，向全体股东每</w:t>
      </w:r>
      <w:r>
        <w:rPr>
          <w:rFonts w:ascii="Times New Roman" w:hAnsi="Times New Roman" w:cs="Times New Roman" w:eastAsia="Times New Roman" w:hint="default"/>
        </w:rPr>
        <w:t>10</w:t>
      </w:r>
      <w:r>
        <w:rPr/>
        <w:t>股送股票红利</w:t>
      </w:r>
      <w:r>
        <w:rPr>
          <w:rFonts w:ascii="Times New Roman" w:hAnsi="Times New Roman" w:cs="Times New Roman" w:eastAsia="Times New Roman" w:hint="default"/>
        </w:rPr>
        <w:t>6.56</w:t>
      </w:r>
      <w:r>
        <w:rPr/>
        <w:t>股，共向股东派送股票股利</w:t>
      </w:r>
      <w:r>
        <w:rPr>
          <w:rFonts w:ascii="Times New Roman" w:hAnsi="Times New Roman" w:cs="Times New Roman" w:eastAsia="Times New Roman" w:hint="default"/>
        </w:rPr>
        <w:t>19,811,200.00</w:t>
      </w:r>
      <w:r>
        <w:rPr/>
        <w:t>股，本次利润分 配完成后，公司的股本总额为</w:t>
      </w:r>
      <w:r>
        <w:rPr>
          <w:rFonts w:ascii="Times New Roman" w:hAnsi="Times New Roman" w:cs="Times New Roman" w:eastAsia="Times New Roman" w:hint="default"/>
        </w:rPr>
        <w:t>50,011,200.00</w:t>
      </w:r>
      <w:r>
        <w:rPr/>
        <w:t>元。</w:t>
      </w:r>
    </w:p>
    <w:p>
      <w:pPr>
        <w:pStyle w:val="BodyText"/>
        <w:spacing w:line="300" w:lineRule="auto" w:before="13"/>
        <w:ind w:right="1129"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日，发行人召开</w:t>
      </w:r>
      <w:r>
        <w:rPr>
          <w:rFonts w:ascii="Times New Roman" w:hAnsi="Times New Roman" w:cs="Times New Roman" w:eastAsia="Times New Roman" w:hint="default"/>
        </w:rPr>
        <w:t>2006</w:t>
      </w:r>
      <w:r>
        <w:rPr/>
        <w:t>年第二次临时股东大会，审议通过了《关于增资扩股议案》，同意公司以每股</w:t>
      </w:r>
      <w:r>
        <w:rPr>
          <w:rFonts w:ascii="Times New Roman" w:hAnsi="Times New Roman" w:cs="Times New Roman" w:eastAsia="Times New Roman" w:hint="default"/>
        </w:rPr>
        <w:t>2.88</w:t>
      </w:r>
      <w:r>
        <w:rPr>
          <w:rFonts w:ascii="Times New Roman" w:hAnsi="Times New Roman" w:cs="Times New Roman" w:eastAsia="Times New Roman" w:hint="default"/>
          <w:spacing w:val="9"/>
        </w:rPr>
        <w:t> </w:t>
      </w:r>
      <w:r>
        <w:rPr/>
        <w:t>元 的发行价格，增发</w:t>
      </w:r>
      <w:r>
        <w:rPr>
          <w:rFonts w:ascii="Times New Roman" w:hAnsi="Times New Roman" w:cs="Times New Roman" w:eastAsia="Times New Roman" w:hint="default"/>
        </w:rPr>
        <w:t>5,556,800.00</w:t>
      </w:r>
      <w:r>
        <w:rPr/>
        <w:t>股新股。本次增资扩股后股本总额为</w:t>
      </w:r>
      <w:r>
        <w:rPr>
          <w:rFonts w:ascii="Times New Roman" w:hAnsi="Times New Roman" w:cs="Times New Roman" w:eastAsia="Times New Roman" w:hint="default"/>
        </w:rPr>
        <w:t>55,568,000.00</w:t>
      </w:r>
      <w:r>
        <w:rPr/>
        <w:t>元。</w:t>
      </w:r>
    </w:p>
    <w:p>
      <w:pPr>
        <w:pStyle w:val="BodyText"/>
        <w:spacing w:line="300" w:lineRule="auto" w:before="13"/>
        <w:ind w:right="1190"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日，经中国证券监督管理委员会以证监发行字</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350</w:t>
      </w:r>
      <w:r>
        <w:rPr/>
        <w:t>文核准，同意公司向社会公众公开发行人民币 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19,000,000.00</w:t>
      </w:r>
      <w:r>
        <w:rPr/>
        <w:t>股，本公司于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日向社会公众投资者定价发行</w:t>
      </w:r>
      <w:r>
        <w:rPr>
          <w:rFonts w:ascii="Times New Roman" w:hAnsi="Times New Roman" w:cs="Times New Roman" w:eastAsia="Times New Roman" w:hint="default"/>
        </w:rPr>
        <w:t>19,000,000.00</w:t>
      </w:r>
      <w:r>
        <w:rPr/>
        <w:t>股，并于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月在 深圳证券交易所上市。经此发行，公司的股本总额为</w:t>
      </w:r>
      <w:r>
        <w:rPr>
          <w:rFonts w:ascii="Times New Roman" w:hAnsi="Times New Roman" w:cs="Times New Roman" w:eastAsia="Times New Roman" w:hint="default"/>
        </w:rPr>
        <w:t>74,568,000.00</w:t>
      </w:r>
      <w:r>
        <w:rPr/>
        <w:t>元。</w:t>
      </w:r>
    </w:p>
    <w:p>
      <w:pPr>
        <w:pStyle w:val="BodyText"/>
        <w:spacing w:line="240" w:lineRule="auto" w:before="13"/>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日，公司股东大会决议通过资本公积转增股本方案，以</w:t>
      </w:r>
      <w:r>
        <w:rPr>
          <w:rFonts w:ascii="Times New Roman" w:hAnsi="Times New Roman" w:cs="Times New Roman" w:eastAsia="Times New Roman" w:hint="default"/>
        </w:rPr>
        <w:t>2007</w:t>
      </w:r>
      <w:r>
        <w:rPr/>
        <w:t>年末公司总股本</w:t>
      </w:r>
      <w:r>
        <w:rPr>
          <w:rFonts w:ascii="Times New Roman" w:hAnsi="Times New Roman" w:cs="Times New Roman" w:eastAsia="Times New Roman" w:hint="default"/>
        </w:rPr>
        <w:t>74,568,000.00</w:t>
      </w:r>
      <w:r>
        <w:rPr/>
        <w:t>股为基数，每</w:t>
      </w:r>
      <w:r>
        <w:rPr>
          <w:rFonts w:ascii="Times New Roman" w:hAnsi="Times New Roman" w:cs="Times New Roman" w:eastAsia="Times New Roman" w:hint="default"/>
        </w:rPr>
        <w:t>10</w:t>
      </w:r>
    </w:p>
    <w:p>
      <w:pPr>
        <w:pStyle w:val="BodyText"/>
        <w:spacing w:line="300" w:lineRule="auto" w:before="63"/>
        <w:ind w:left="1493" w:right="0" w:hanging="360"/>
        <w:jc w:val="left"/>
      </w:pPr>
      <w:r>
        <w:rPr/>
        <w:t>股转增</w:t>
      </w:r>
      <w:r>
        <w:rPr>
          <w:rFonts w:ascii="Times New Roman" w:hAnsi="Times New Roman" w:cs="Times New Roman" w:eastAsia="Times New Roman" w:hint="default"/>
        </w:rPr>
        <w:t>10</w:t>
      </w:r>
      <w:r>
        <w:rPr/>
        <w:t>股。本次转增股本后，公司的股本总额为</w:t>
      </w:r>
      <w:r>
        <w:rPr>
          <w:rFonts w:ascii="Times New Roman" w:hAnsi="Times New Roman" w:cs="Times New Roman" w:eastAsia="Times New Roman" w:hint="default"/>
        </w:rPr>
        <w:t>149,136,000.00</w:t>
      </w:r>
      <w:r>
        <w:rPr/>
        <w:t>元。 </w:t>
      </w:r>
      <w:r>
        <w:rPr>
          <w:spacing w:val="-1"/>
        </w:rPr>
        <w:t>经公司</w:t>
      </w:r>
      <w:r>
        <w:rPr>
          <w:rFonts w:ascii="Times New Roman" w:hAnsi="Times New Roman" w:cs="Times New Roman" w:eastAsia="Times New Roman" w:hint="default"/>
          <w:spacing w:val="-1"/>
        </w:rPr>
        <w:t>2008</w:t>
      </w:r>
      <w:r>
        <w:rPr>
          <w:spacing w:val="-1"/>
        </w:rPr>
        <w:t>年度股东大会审议通过，以</w:t>
      </w:r>
      <w:r>
        <w:rPr>
          <w:rFonts w:ascii="Times New Roman" w:hAnsi="Times New Roman" w:cs="Times New Roman" w:eastAsia="Times New Roman" w:hint="default"/>
          <w:spacing w:val="-1"/>
        </w:rPr>
        <w:t>2008</w:t>
      </w:r>
      <w:r>
        <w:rPr>
          <w:spacing w:val="-1"/>
        </w:rPr>
        <w:t>年年末总股本</w:t>
      </w:r>
      <w:r>
        <w:rPr>
          <w:rFonts w:ascii="Times New Roman" w:hAnsi="Times New Roman" w:cs="Times New Roman" w:eastAsia="Times New Roman" w:hint="default"/>
          <w:spacing w:val="-1"/>
        </w:rPr>
        <w:t>149,136,000.00</w:t>
      </w:r>
      <w:r>
        <w:rPr>
          <w:spacing w:val="-1"/>
        </w:rPr>
        <w:t>股为基数向全体股东按每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股的比例转</w:t>
      </w:r>
    </w:p>
    <w:p>
      <w:pPr>
        <w:pStyle w:val="BodyText"/>
        <w:spacing w:line="240" w:lineRule="auto" w:before="13"/>
        <w:ind w:right="0"/>
        <w:jc w:val="left"/>
      </w:pPr>
      <w:r>
        <w:rPr/>
        <w:t>增股本，送转完成后公司总股本增至</w:t>
      </w:r>
      <w:r>
        <w:rPr>
          <w:rFonts w:ascii="Times New Roman" w:hAnsi="Times New Roman" w:cs="Times New Roman" w:eastAsia="Times New Roman" w:hint="default"/>
        </w:rPr>
        <w:t>223,704,000.00</w:t>
      </w:r>
      <w:r>
        <w:rPr>
          <w:rFonts w:ascii="Times New Roman" w:hAnsi="Times New Roman" w:cs="Times New Roman" w:eastAsia="Times New Roman" w:hint="default"/>
          <w:spacing w:val="24"/>
        </w:rPr>
        <w:t> </w:t>
      </w:r>
      <w:r>
        <w:rPr/>
        <w:t>股。资本公积金转增股本的方案已于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日实施。</w:t>
      </w:r>
    </w:p>
    <w:p>
      <w:pPr>
        <w:pStyle w:val="BodyText"/>
        <w:spacing w:line="300" w:lineRule="auto" w:before="63"/>
        <w:ind w:right="1130"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日，经中国证券监督管理委员会证监许可</w:t>
      </w:r>
      <w:r>
        <w:rPr>
          <w:rFonts w:ascii="Times New Roman" w:hAnsi="Times New Roman" w:cs="Times New Roman" w:eastAsia="Times New Roman" w:hint="default"/>
          <w:spacing w:val="-1"/>
        </w:rPr>
        <w:t>[2009]962</w:t>
      </w:r>
      <w:r>
        <w:rPr>
          <w:spacing w:val="-1"/>
        </w:rPr>
        <w:t>号文核准，公司于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日以非公开发行股票的</w:t>
      </w:r>
      <w:r>
        <w:rPr/>
        <w:t> 方式向</w:t>
      </w:r>
      <w:r>
        <w:rPr>
          <w:rFonts w:ascii="Times New Roman" w:hAnsi="Times New Roman" w:cs="Times New Roman" w:eastAsia="Times New Roman" w:hint="default"/>
        </w:rPr>
        <w:t>7</w:t>
      </w:r>
      <w:r>
        <w:rPr/>
        <w:t>家特定投资者发行了</w:t>
      </w:r>
      <w:r>
        <w:rPr>
          <w:rFonts w:ascii="Times New Roman" w:hAnsi="Times New Roman" w:cs="Times New Roman" w:eastAsia="Times New Roman" w:hint="default"/>
        </w:rPr>
        <w:t>41,242,500.00</w:t>
      </w:r>
      <w:r>
        <w:rPr/>
        <w:t>股人民币普通股（</w:t>
      </w:r>
      <w:r>
        <w:rPr>
          <w:rFonts w:ascii="Times New Roman" w:hAnsi="Times New Roman" w:cs="Times New Roman" w:eastAsia="Times New Roman" w:hint="default"/>
        </w:rPr>
        <w:t>A</w:t>
      </w:r>
      <w:r>
        <w:rPr/>
        <w:t>股），发行价为人民币</w:t>
      </w:r>
      <w:r>
        <w:rPr>
          <w:rFonts w:ascii="Times New Roman" w:hAnsi="Times New Roman" w:cs="Times New Roman" w:eastAsia="Times New Roman" w:hint="default"/>
        </w:rPr>
        <w:t>12.00</w:t>
      </w:r>
      <w:r>
        <w:rPr/>
        <w:t>元</w:t>
      </w:r>
      <w:r>
        <w:rPr>
          <w:rFonts w:ascii="Times New Roman" w:hAnsi="Times New Roman" w:cs="Times New Roman" w:eastAsia="Times New Roman" w:hint="default"/>
        </w:rPr>
        <w:t>/</w:t>
      </w:r>
      <w:r>
        <w:rPr/>
        <w:t>股。经深圳证券交易所同意， 公司非公开发行的股票于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日在深圳证券交易所挂牌上市。非公开发行后公司总股本增至</w:t>
      </w:r>
      <w:r>
        <w:rPr>
          <w:rFonts w:ascii="Times New Roman" w:hAnsi="Times New Roman" w:cs="Times New Roman" w:eastAsia="Times New Roman" w:hint="default"/>
        </w:rPr>
        <w:t>264,946,500.00</w:t>
      </w:r>
      <w:r>
        <w:rPr/>
        <w:t>股。</w:t>
      </w:r>
    </w:p>
    <w:p>
      <w:pPr>
        <w:pStyle w:val="BodyText"/>
        <w:spacing w:line="300" w:lineRule="auto" w:before="13"/>
        <w:ind w:right="1130" w:firstLine="360"/>
        <w:jc w:val="both"/>
      </w:pPr>
      <w:r>
        <w:rPr/>
        <w:t>经公司</w:t>
      </w:r>
      <w:r>
        <w:rPr>
          <w:rFonts w:ascii="Times New Roman" w:hAnsi="Times New Roman" w:cs="Times New Roman" w:eastAsia="Times New Roman" w:hint="default"/>
        </w:rPr>
        <w:t>2010</w:t>
      </w:r>
      <w:r>
        <w:rPr/>
        <w:t>年度股东大会审议通过，以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264,946,500.00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3</w:t>
      </w:r>
      <w:r>
        <w:rPr>
          <w:spacing w:val="-1"/>
        </w:rPr>
        <w:t>股的比例转增股本，送转完成后，公司总股本增至</w:t>
      </w:r>
      <w:r>
        <w:rPr>
          <w:rFonts w:ascii="Times New Roman" w:hAnsi="Times New Roman" w:cs="Times New Roman" w:eastAsia="Times New Roman" w:hint="default"/>
          <w:spacing w:val="-1"/>
        </w:rPr>
        <w:t>344,430,450.00</w:t>
      </w:r>
      <w:r>
        <w:rPr>
          <w:spacing w:val="-1"/>
        </w:rPr>
        <w:t>股。资本公积金转增股本的方案已于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日实</w:t>
      </w:r>
      <w:r>
        <w:rPr>
          <w:spacing w:val="-68"/>
        </w:rPr>
        <w:t> </w:t>
      </w:r>
      <w:r>
        <w:rPr/>
        <w:t>施。</w:t>
      </w:r>
    </w:p>
    <w:p>
      <w:pPr>
        <w:pStyle w:val="BodyText"/>
        <w:spacing w:line="300" w:lineRule="auto" w:before="31"/>
        <w:ind w:right="1130" w:firstLine="360"/>
        <w:jc w:val="both"/>
      </w:pPr>
      <w:r>
        <w:rPr/>
        <w:t>经公司</w:t>
      </w:r>
      <w:r>
        <w:rPr>
          <w:rFonts w:ascii="Times New Roman" w:hAnsi="Times New Roman" w:cs="Times New Roman" w:eastAsia="Times New Roman" w:hint="default"/>
        </w:rPr>
        <w:t>2011</w:t>
      </w:r>
      <w:r>
        <w:rPr/>
        <w:t>年度股东大会审议通过，以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344,430,450.00</w:t>
      </w:r>
      <w:r>
        <w:rPr/>
        <w:t>股为基数，向全体股东以资本公积金按每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7</w:t>
      </w:r>
      <w:r>
        <w:rPr>
          <w:spacing w:val="-1"/>
        </w:rPr>
        <w:t>股的比例转增股本，送转完成后，公司总股本增至</w:t>
      </w:r>
      <w:r>
        <w:rPr>
          <w:rFonts w:ascii="Times New Roman" w:hAnsi="Times New Roman" w:cs="Times New Roman" w:eastAsia="Times New Roman" w:hint="default"/>
          <w:spacing w:val="-1"/>
        </w:rPr>
        <w:t>585,531,765.00</w:t>
      </w:r>
      <w:r>
        <w:rPr>
          <w:spacing w:val="-1"/>
        </w:rPr>
        <w:t>股。资本公积金转增股本的方案已于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日实</w:t>
      </w:r>
      <w:r>
        <w:rPr>
          <w:spacing w:val="-68"/>
        </w:rPr>
        <w:t> </w:t>
      </w:r>
      <w:r>
        <w:rPr/>
        <w:t>施。</w:t>
      </w:r>
    </w:p>
    <w:p>
      <w:pPr>
        <w:pStyle w:val="BodyText"/>
        <w:spacing w:line="300" w:lineRule="auto" w:before="32"/>
        <w:ind w:left="1134" w:right="1184" w:firstLine="360"/>
        <w:jc w:val="both"/>
      </w:pPr>
      <w:r>
        <w:rPr/>
        <w:t>经公司</w:t>
      </w:r>
      <w:r>
        <w:rPr>
          <w:rFonts w:ascii="Times New Roman" w:hAnsi="Times New Roman" w:cs="Times New Roman" w:eastAsia="Times New Roman" w:hint="default"/>
        </w:rPr>
        <w:t>2012</w:t>
      </w:r>
      <w:r>
        <w:rPr/>
        <w:t>年度股东大会审议通过，以</w:t>
      </w:r>
      <w:r>
        <w:rPr>
          <w:rFonts w:ascii="Times New Roman" w:hAnsi="Times New Roman" w:cs="Times New Roman" w:eastAsia="Times New Roman" w:hint="default"/>
        </w:rPr>
        <w:t>2012</w:t>
      </w:r>
      <w:r>
        <w:rPr/>
        <w:t>年年末总股本</w:t>
      </w:r>
      <w:r>
        <w:rPr>
          <w:rFonts w:ascii="Times New Roman" w:hAnsi="Times New Roman" w:cs="Times New Roman" w:eastAsia="Times New Roman" w:hint="default"/>
        </w:rPr>
        <w:t>585,531,765.00</w:t>
      </w:r>
      <w:r>
        <w:rPr/>
        <w:t>股为基数，向全体股东以资本公积金按每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3</w:t>
      </w:r>
      <w:r>
        <w:rPr/>
        <w:t>股的比例转增股本，送转完成后，公司总股本增至</w:t>
      </w:r>
      <w:r>
        <w:rPr>
          <w:rFonts w:ascii="Times New Roman" w:hAnsi="Times New Roman" w:cs="Times New Roman" w:eastAsia="Times New Roman" w:hint="default"/>
        </w:rPr>
        <w:t>761,191,294.00</w:t>
      </w:r>
      <w:r>
        <w:rPr/>
        <w:t>股。资本公积金转增股本的方案已于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 实施。</w:t>
      </w:r>
    </w:p>
    <w:p>
      <w:pPr>
        <w:pStyle w:val="BodyText"/>
        <w:spacing w:line="309" w:lineRule="auto" w:before="31"/>
        <w:ind w:right="1130" w:firstLine="360"/>
        <w:jc w:val="both"/>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76,119.1294</w:t>
      </w:r>
      <w:r>
        <w:rPr>
          <w:spacing w:val="-2"/>
        </w:rPr>
        <w:t>万股，注册资本为</w:t>
      </w:r>
      <w:r>
        <w:rPr>
          <w:rFonts w:ascii="Times New Roman" w:hAnsi="Times New Roman" w:cs="Times New Roman" w:eastAsia="Times New Roman" w:hint="default"/>
          <w:spacing w:val="-2"/>
        </w:rPr>
        <w:t>76,119.1294</w:t>
      </w:r>
      <w:r>
        <w:rPr>
          <w:spacing w:val="-2"/>
        </w:rPr>
        <w:t>万元，注册地：广州市天河</w:t>
      </w:r>
      <w:r>
        <w:rPr/>
        <w:t> </w:t>
      </w:r>
      <w:r>
        <w:rPr>
          <w:spacing w:val="-2"/>
        </w:rPr>
        <w:t>区高唐路</w:t>
      </w:r>
      <w:r>
        <w:rPr>
          <w:rFonts w:ascii="Times New Roman" w:hAnsi="Times New Roman" w:cs="Times New Roman" w:eastAsia="Times New Roman" w:hint="default"/>
          <w:spacing w:val="-2"/>
        </w:rPr>
        <w:t>234</w:t>
      </w:r>
      <w:r>
        <w:rPr>
          <w:spacing w:val="-2"/>
        </w:rPr>
        <w:t>号</w:t>
      </w:r>
      <w:r>
        <w:rPr>
          <w:rFonts w:ascii="Times New Roman" w:hAnsi="Times New Roman" w:cs="Times New Roman" w:eastAsia="Times New Roman" w:hint="default"/>
          <w:spacing w:val="-2"/>
        </w:rPr>
        <w:t>901</w:t>
      </w:r>
      <w:r>
        <w:rPr>
          <w:spacing w:val="-2"/>
        </w:rPr>
        <w:t>房。本公司主要经营活动为：自动售货机、售票机、柜员机及零配件的批发；自动售货机、售票机、柜员</w:t>
      </w:r>
      <w:r>
        <w:rPr>
          <w:spacing w:val="-66"/>
        </w:rPr>
        <w:t> </w:t>
      </w:r>
      <w:r>
        <w:rPr>
          <w:spacing w:val="-66"/>
        </w:rPr>
      </w:r>
      <w:r>
        <w:rPr>
          <w:spacing w:val="-2"/>
        </w:rPr>
        <w:t>机及零配件的零售；信息系统集成服务；集成电路设计；密钥管理类设备和系统制造；安全系统监控服务；安全技术防范产</w:t>
      </w:r>
      <w:r>
        <w:rPr>
          <w:spacing w:val="-66"/>
        </w:rPr>
        <w:t> </w:t>
      </w:r>
      <w:r>
        <w:rPr>
          <w:spacing w:val="-66"/>
        </w:rPr>
      </w:r>
      <w:r>
        <w:rPr>
          <w:spacing w:val="-2"/>
        </w:rPr>
        <w:t>品制造；安全技术防范系统设计、施工、维修；安全技术防范产品批发；安全技术防范产品零售；安全智能卡类设备和系统</w:t>
      </w:r>
      <w:r>
        <w:rPr>
          <w:spacing w:val="-67"/>
        </w:rPr>
        <w:t> </w:t>
      </w:r>
      <w:r>
        <w:rPr>
          <w:spacing w:val="-67"/>
        </w:rPr>
      </w:r>
      <w:r>
        <w:rPr>
          <w:spacing w:val="-2"/>
        </w:rPr>
        <w:t>制造；受金融企业委托提供非金融业务服务；电子、通信与自动控制技术研究、开发；计算器及货币专用设备制造；计算机</w:t>
      </w:r>
      <w:r>
        <w:rPr>
          <w:spacing w:val="-68"/>
        </w:rPr>
        <w:t> </w:t>
      </w:r>
      <w:r>
        <w:rPr>
          <w:spacing w:val="-68"/>
        </w:rPr>
      </w:r>
      <w:r>
        <w:rPr>
          <w:spacing w:val="-2"/>
        </w:rPr>
        <w:t>技术开发、技术服务；计算机应用电子设备制造；计算机信息安全设备制造；信息电子技术服务；软件开发；软件批发；软</w:t>
      </w:r>
      <w:r>
        <w:rPr>
          <w:spacing w:val="-70"/>
        </w:rPr>
        <w:t> </w:t>
      </w:r>
      <w:r>
        <w:rPr>
          <w:spacing w:val="-70"/>
        </w:rPr>
      </w:r>
      <w:r>
        <w:rPr>
          <w:spacing w:val="-2"/>
        </w:rPr>
        <w:t>件零售；软件服务；软件测试服务；电子产品批发；电子产品零售；电子设备工程安装服务；电子产品设计服务；机械设备</w:t>
      </w:r>
      <w:r>
        <w:rPr>
          <w:spacing w:val="-72"/>
        </w:rPr>
        <w:t> </w:t>
      </w:r>
      <w:r>
        <w:rPr>
          <w:spacing w:val="-72"/>
        </w:rPr>
      </w:r>
      <w:r>
        <w:rPr>
          <w:spacing w:val="-1"/>
        </w:rPr>
        <w:t>租赁；工程技术咨询服务；技术进出口；货物进出口</w:t>
      </w:r>
      <w:r>
        <w:rPr>
          <w:rFonts w:ascii="Times New Roman" w:hAnsi="Times New Roman" w:cs="Times New Roman" w:eastAsia="Times New Roman" w:hint="default"/>
          <w:spacing w:val="-1"/>
        </w:rPr>
        <w:t>(</w:t>
      </w:r>
      <w:r>
        <w:rPr>
          <w:spacing w:val="-1"/>
        </w:rPr>
        <w:t>专营专控商品除外</w:t>
      </w:r>
      <w:r>
        <w:rPr>
          <w:rFonts w:ascii="Times New Roman" w:hAnsi="Times New Roman" w:cs="Times New Roman" w:eastAsia="Times New Roman" w:hint="default"/>
          <w:spacing w:val="-1"/>
        </w:rPr>
        <w:t>)</w:t>
      </w:r>
      <w:r>
        <w:rPr>
          <w:spacing w:val="-1"/>
        </w:rPr>
        <w:t>；自有房地产经营活动；房地产开发经营；房地产</w:t>
      </w:r>
      <w:r>
        <w:rPr>
          <w:spacing w:val="-59"/>
        </w:rPr>
        <w:t> </w:t>
      </w:r>
      <w:r>
        <w:rPr>
          <w:spacing w:val="-59"/>
        </w:rPr>
      </w:r>
      <w:r>
        <w:rPr/>
        <w:t>咨询服务；担保服务</w:t>
      </w:r>
      <w:r>
        <w:rPr>
          <w:rFonts w:ascii="Times New Roman" w:hAnsi="Times New Roman" w:cs="Times New Roman" w:eastAsia="Times New Roman" w:hint="default"/>
        </w:rPr>
        <w:t>(</w:t>
      </w:r>
      <w:r>
        <w:rPr/>
        <w:t>融资性担保除外</w:t>
      </w:r>
      <w:r>
        <w:rPr>
          <w:rFonts w:ascii="Times New Roman" w:hAnsi="Times New Roman" w:cs="Times New Roman" w:eastAsia="Times New Roman" w:hint="default"/>
        </w:rPr>
        <w:t>)</w:t>
      </w:r>
      <w:r>
        <w:rPr/>
        <w:t>；物业管理；投资咨询服务；代驾服务；场地租赁</w:t>
      </w:r>
      <w:r>
        <w:rPr>
          <w:rFonts w:ascii="Times New Roman" w:hAnsi="Times New Roman" w:cs="Times New Roman" w:eastAsia="Times New Roman" w:hint="default"/>
        </w:rPr>
        <w:t>(</w:t>
      </w:r>
      <w:r>
        <w:rPr/>
        <w:t>不含仓储</w:t>
      </w:r>
      <w:r>
        <w:rPr>
          <w:rFonts w:ascii="Times New Roman" w:hAnsi="Times New Roman" w:cs="Times New Roman" w:eastAsia="Times New Roman" w:hint="default"/>
        </w:rPr>
        <w:t>)</w:t>
      </w:r>
      <w:r>
        <w:rPr/>
        <w:t>；企业自有资金投资； </w:t>
      </w:r>
      <w:r>
        <w:rPr>
          <w:spacing w:val="-1"/>
        </w:rPr>
        <w:t>投资管理服务；资产管理</w:t>
      </w:r>
      <w:r>
        <w:rPr>
          <w:rFonts w:ascii="Times New Roman" w:hAnsi="Times New Roman" w:cs="Times New Roman" w:eastAsia="Times New Roman" w:hint="default"/>
          <w:spacing w:val="-1"/>
        </w:rPr>
        <w:t>(</w:t>
      </w:r>
      <w:r>
        <w:rPr>
          <w:spacing w:val="-1"/>
        </w:rPr>
        <w:t>不含许可审批项目</w:t>
      </w:r>
      <w:r>
        <w:rPr>
          <w:rFonts w:ascii="Times New Roman" w:hAnsi="Times New Roman" w:cs="Times New Roman" w:eastAsia="Times New Roman" w:hint="default"/>
          <w:spacing w:val="-1"/>
        </w:rPr>
        <w:t>)</w:t>
      </w:r>
      <w:r>
        <w:rPr>
          <w:spacing w:val="-1"/>
        </w:rPr>
        <w:t>；汽车租赁；房屋租赁；房地产中介服务；汽车援救服务；融资租赁服务。本</w:t>
      </w:r>
      <w:r>
        <w:rPr>
          <w:spacing w:val="-61"/>
        </w:rPr>
        <w:t> </w:t>
      </w:r>
      <w:r>
        <w:rPr>
          <w:spacing w:val="-61"/>
        </w:rPr>
      </w:r>
      <w:r>
        <w:rPr/>
        <w:t>公司的实际控制人为杨文江。</w:t>
      </w:r>
    </w:p>
    <w:p>
      <w:pPr>
        <w:pStyle w:val="BodyText"/>
        <w:spacing w:line="240" w:lineRule="auto" w:before="24"/>
        <w:ind w:left="1493" w:right="0"/>
        <w:jc w:val="left"/>
      </w:pPr>
      <w:r>
        <w:rPr/>
        <w:t>本财务报表业经公司全体董事（董事会）于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合并财务报表范围</w:t>
      </w:r>
      <w:r>
        <w:rPr>
          <w:b w:val="0"/>
          <w:bCs w:val="0"/>
        </w:rPr>
      </w:r>
    </w:p>
    <w:p>
      <w:pPr>
        <w:pStyle w:val="BodyText"/>
        <w:spacing w:line="240" w:lineRule="auto" w:before="46"/>
        <w:ind w:left="113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9499"/>
      </w:tblGrid>
      <w:tr>
        <w:trPr>
          <w:trHeight w:val="347" w:hRule="exact"/>
        </w:trPr>
        <w:tc>
          <w:tcPr>
            <w:tcW w:w="9499"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r>
      <w:tr>
        <w:trPr>
          <w:trHeight w:val="348"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9499"/>
      </w:tblGrid>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r>
      <w:tr>
        <w:trPr>
          <w:trHeight w:val="348"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r>
      <w:tr>
        <w:trPr>
          <w:trHeight w:val="348"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r>
      <w:tr>
        <w:trPr>
          <w:trHeight w:val="347"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r>
      <w:tr>
        <w:trPr>
          <w:trHeight w:val="348"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r>
    </w:tbl>
    <w:p>
      <w:pPr>
        <w:pStyle w:val="BodyText"/>
        <w:spacing w:line="240" w:lineRule="auto" w:before="10"/>
        <w:ind w:left="1134" w:right="0"/>
        <w:jc w:val="left"/>
      </w:pPr>
      <w:r>
        <w:rPr/>
        <w:t>本期合并财务报表范围及其变化情况详见本财务报告</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公司自报告期末起</w:t>
      </w:r>
      <w:r>
        <w:rPr>
          <w:rFonts w:ascii="Times New Roman" w:hAnsi="Times New Roman" w:cs="Times New Roman" w:eastAsia="Times New Roman" w:hint="default"/>
        </w:rPr>
        <w:t>12</w:t>
      </w:r>
      <w:r>
        <w:rPr/>
        <w:t>个月内不存在影响持续经营能力的重大因素。</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240" w:lineRule="auto" w:before="29"/>
        <w:ind w:left="1134" w:right="0"/>
        <w:jc w:val="left"/>
      </w:pPr>
      <w:r>
        <w:rPr/>
        <w:t>具体会计政策和会计估计提示：</w:t>
      </w:r>
    </w:p>
    <w:p>
      <w:pPr>
        <w:pStyle w:val="BodyText"/>
        <w:spacing w:line="300" w:lineRule="auto" w:before="115"/>
        <w:ind w:left="1134" w:right="1132"/>
        <w:jc w:val="left"/>
      </w:pPr>
      <w:r>
        <w:rPr/>
        <w:t>以下披露内容已涵盖了本公司根据实际生产经营特点制定的具体会计政策和会计估计。详见本财务报告</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应收款项坏 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15</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22</w:t>
      </w:r>
      <w:r>
        <w:rPr/>
        <w:t>预计负债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547" w:lineRule="auto" w:before="35"/>
        <w:ind w:left="1133" w:right="7153" w:firstLine="0"/>
        <w:jc w:val="left"/>
        <w:rPr>
          <w:rFonts w:ascii="宋体" w:hAnsi="宋体" w:cs="宋体" w:eastAsia="宋体" w:hint="default"/>
          <w:sz w:val="21"/>
          <w:szCs w:val="21"/>
        </w:rPr>
      </w:pPr>
      <w:bookmarkStart w:name="2、会计期间" w:id="166"/>
      <w:bookmarkEnd w:id="1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67"/>
      <w:bookmarkEnd w:id="16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49"/>
        <w:ind w:left="1134" w:right="8052"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bookmarkStart w:name="4、记账本位币" w:id="168"/>
      <w:bookmarkEnd w:id="16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18"/>
          <w:szCs w:val="18"/>
        </w:rPr>
        <w:t>本公司采用人民币为记账本位币。</w:t>
      </w:r>
    </w:p>
    <w:p>
      <w:pPr>
        <w:pStyle w:val="Heading3"/>
        <w:spacing w:line="240" w:lineRule="auto" w:before="122"/>
        <w:ind w:left="1134" w:right="0"/>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42" w:firstLine="360"/>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9"/>
        <w:ind w:left="1134"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left="1134" w:right="0"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1118"/>
        <w:jc w:val="left"/>
      </w:pPr>
      <w:r>
        <w:rPr>
          <w:rFonts w:ascii="Times New Roman" w:hAnsi="Times New Roman" w:cs="Times New Roman" w:eastAsia="Times New Roman" w:hint="default"/>
        </w:rPr>
        <w:t>(1)</w:t>
      </w:r>
      <w:r>
        <w:rPr/>
        <w:t>合并范围</w:t>
      </w:r>
      <w:r>
        <w:rPr>
          <w:w w:val="99"/>
        </w:rPr>
        <w:t> </w:t>
      </w:r>
      <w:r>
        <w:rPr>
          <w:spacing w:val="-2"/>
        </w:rPr>
        <w:t>本公司合并财务报表的合并范围以控制为基础确定，所有子公司（包括本公司所控制的被投资方可分割的部分）均纳入</w:t>
      </w:r>
    </w:p>
    <w:p>
      <w:pPr>
        <w:pStyle w:val="BodyText"/>
        <w:spacing w:line="240" w:lineRule="auto" w:before="31"/>
        <w:ind w:right="0"/>
        <w:jc w:val="left"/>
      </w:pPr>
      <w:r>
        <w:rPr/>
        <w:t>合并财务报表。</w:t>
      </w:r>
    </w:p>
    <w:p>
      <w:pPr>
        <w:pStyle w:val="BodyText"/>
        <w:spacing w:line="300" w:lineRule="auto" w:before="76"/>
        <w:ind w:left="1493" w:right="1118"/>
        <w:jc w:val="left"/>
      </w:pPr>
      <w:r>
        <w:rPr>
          <w:rFonts w:ascii="Times New Roman" w:hAnsi="Times New Roman" w:cs="Times New Roman" w:eastAsia="Times New Roman" w:hint="default"/>
        </w:rPr>
        <w:t>(2)</w:t>
      </w:r>
      <w:r>
        <w:rPr/>
        <w:t>合并程序</w:t>
      </w:r>
      <w:r>
        <w:rPr>
          <w:w w:val="99"/>
        </w:rPr>
        <w:t> </w:t>
      </w:r>
      <w:r>
        <w:rPr>
          <w:spacing w:val="-2"/>
        </w:rPr>
        <w:t>本公司以自身和各子公司的财务报表为基础，根据其他有关资料，编制合并财务报表。本公司编制合并财务报表，将整</w:t>
      </w:r>
    </w:p>
    <w:p>
      <w:pPr>
        <w:pStyle w:val="BodyText"/>
        <w:spacing w:line="316" w:lineRule="auto" w:before="31"/>
        <w:ind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left="1134" w:right="1033"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left="1134"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1494" w:right="0"/>
        <w:jc w:val="left"/>
      </w:pPr>
      <w:r>
        <w:rPr/>
        <w:t>①增加子公司或业务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left="1134"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240" w:lineRule="auto" w:before="19"/>
        <w:ind w:left="1493" w:right="0"/>
        <w:jc w:val="left"/>
      </w:pPr>
      <w:r>
        <w:rPr/>
        <w:t>因追加投资等原因能够对同一控制下的被投资方实施控制的</w:t>
      </w:r>
      <w:r>
        <w:rPr>
          <w:spacing w:val="-82"/>
        </w:rPr>
        <w:t>，</w:t>
      </w:r>
      <w:r>
        <w:rPr/>
        <w:t>视同参与合并的各方在最终控制方开始控制时即以目前的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9" w:lineRule="auto" w:before="19"/>
        <w:ind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7"/>
        <w:ind w:left="1134"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1494" w:right="0"/>
        <w:jc w:val="left"/>
      </w:pPr>
      <w:r>
        <w:rPr/>
        <w:t>②处置子公司或业务</w:t>
      </w:r>
    </w:p>
    <w:p>
      <w:pPr>
        <w:pStyle w:val="BodyText"/>
        <w:spacing w:line="300" w:lineRule="auto" w:before="76"/>
        <w:ind w:left="1494" w:right="0"/>
        <w:jc w:val="left"/>
      </w:pPr>
      <w:r>
        <w:rPr>
          <w:rFonts w:ascii="Times New Roman" w:hAnsi="Times New Roman" w:cs="Times New Roman" w:eastAsia="Times New Roman" w:hint="default"/>
        </w:rPr>
        <w:t>a.</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149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left="1134"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9" w:lineRule="auto" w:before="19"/>
        <w:ind w:left="1493" w:right="1118"/>
        <w:jc w:val="left"/>
      </w:pPr>
      <w:r>
        <w:rPr/>
        <w:t>因其他投资方对子公司增资而导致本公司持股比例下降从而丧失控制权的，按照上述原则进行会计处理。 </w:t>
      </w: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24"/>
        <w:ind w:left="1493" w:right="355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1130"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1494" w:right="0"/>
        <w:jc w:val="left"/>
      </w:pPr>
      <w:r>
        <w:rPr/>
        <w:t>③购买子公司少数股权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left="1134" w:right="1118"/>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16" w:lineRule="auto" w:before="19"/>
        <w:ind w:left="1494" w:right="1212"/>
        <w:jc w:val="left"/>
      </w:pPr>
      <w:r>
        <w:rPr/>
        <w:t>④不丧失控制权的情况下部分处置对子公司的股权投资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before="19"/>
        <w:ind w:left="113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7、现金及现金等价物的确定标准" w:id="171"/>
      <w:bookmarkEnd w:id="171"/>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8、外币业务和外币报表折算" w:id="172"/>
      <w:bookmarkEnd w:id="172"/>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391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9"/>
        <w:ind w:left="1494" w:right="0"/>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1118"/>
        <w:jc w:val="left"/>
      </w:pPr>
      <w:r>
        <w:rPr>
          <w:spacing w:val="-2"/>
        </w:rPr>
        <w:t>目采用发生时的即期汇率折算。利润表中的收入和费用项目，采用按照系统合理的方法确定的、与交易发生日即期汇率近似</w:t>
      </w:r>
      <w:r>
        <w:rPr>
          <w:spacing w:val="-66"/>
        </w:rPr>
        <w:t> </w:t>
      </w:r>
      <w:r>
        <w:rPr>
          <w:spacing w:val="-66"/>
        </w:rPr>
      </w:r>
      <w:r>
        <w:rPr/>
        <w:t>的汇率折算。</w:t>
      </w:r>
    </w:p>
    <w:p>
      <w:pPr>
        <w:pStyle w:val="BodyText"/>
        <w:spacing w:line="240" w:lineRule="auto" w:before="19"/>
        <w:ind w:left="1493" w:right="0"/>
        <w:jc w:val="left"/>
      </w:pPr>
      <w:r>
        <w:rPr/>
        <w:t>处置境外经营时，将与该境外经营相关的外币财务报表折算差额，自所有者权益项目转入处置当期损益。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9、金融工具" w:id="173"/>
      <w:bookmarkEnd w:id="173"/>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金融工具包括金融资产、金融负债和权益工具。</w:t>
      </w:r>
    </w:p>
    <w:p>
      <w:pPr>
        <w:pStyle w:val="BodyText"/>
        <w:spacing w:line="300" w:lineRule="auto" w:before="76"/>
        <w:ind w:left="1494" w:right="0"/>
        <w:jc w:val="left"/>
      </w:pPr>
      <w:r>
        <w:rPr/>
        <w:t>（</w:t>
      </w:r>
      <w:r>
        <w:rPr>
          <w:rFonts w:ascii="Times New Roman" w:hAnsi="Times New Roman" w:cs="Times New Roman" w:eastAsia="Times New Roman" w:hint="default"/>
        </w:rPr>
        <w:t>1</w:t>
      </w:r>
      <w:r>
        <w:rPr/>
        <w:t>）金融工具的分类 </w:t>
      </w:r>
      <w:r>
        <w:rPr>
          <w:spacing w:val="-2"/>
        </w:rPr>
        <w:t>金融资产和金融负债于初始确认时分类为：以公允价值计量且其变动计入当期损益的金融资产或金融负债，包括交易性</w:t>
      </w:r>
    </w:p>
    <w:p>
      <w:pPr>
        <w:pStyle w:val="BodyText"/>
        <w:spacing w:line="316" w:lineRule="auto" w:before="31"/>
        <w:ind w:left="1134"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left="1494" w:right="0"/>
        <w:jc w:val="left"/>
      </w:pPr>
      <w:r>
        <w:rPr/>
        <w:t>（</w:t>
      </w:r>
      <w:r>
        <w:rPr>
          <w:rFonts w:ascii="Times New Roman" w:hAnsi="Times New Roman" w:cs="Times New Roman" w:eastAsia="Times New Roman" w:hint="default"/>
        </w:rPr>
        <w:t>2</w:t>
      </w:r>
      <w:r>
        <w:rPr/>
        <w:t>）金融工具的确认依据和计量方法</w:t>
      </w:r>
    </w:p>
    <w:p>
      <w:pPr>
        <w:pStyle w:val="BodyText"/>
        <w:spacing w:line="316" w:lineRule="auto" w:before="63"/>
        <w:ind w:left="1493" w:right="0"/>
        <w:jc w:val="left"/>
      </w:pPr>
      <w:r>
        <w:rPr/>
        <w:t>①以公允价值计量且其变动计入当期损益的金融资产（金融负债）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1493" w:right="283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9"/>
        <w:ind w:left="1493" w:right="1118"/>
        <w:jc w:val="left"/>
      </w:pPr>
      <w:r>
        <w:rPr/>
        <w:t>②持有至到期投资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9"/>
        <w:ind w:left="1493" w:right="4993" w:hanging="360"/>
        <w:jc w:val="left"/>
      </w:pPr>
      <w:r>
        <w:rPr/>
        <w:t>用的更短期间内保持不变。 处置时，将所取得价款与该投资账面价值之间的差额计入投资收益。</w:t>
      </w:r>
    </w:p>
    <w:p>
      <w:pPr>
        <w:pStyle w:val="BodyText"/>
        <w:spacing w:line="316" w:lineRule="auto" w:before="19"/>
        <w:ind w:left="1493" w:right="1118"/>
        <w:jc w:val="left"/>
      </w:pPr>
      <w:r>
        <w:rPr/>
        <w:t>③应收款项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1494" w:right="0"/>
        <w:jc w:val="left"/>
      </w:pPr>
      <w:r>
        <w:rPr/>
        <w:t>收回或处置时，将取得的价款与该应收款项账面价值之间的差额计入当期损益。</w:t>
      </w:r>
    </w:p>
    <w:p>
      <w:pPr>
        <w:pStyle w:val="BodyText"/>
        <w:spacing w:line="316" w:lineRule="auto" w:before="76"/>
        <w:ind w:left="1494" w:right="0"/>
        <w:jc w:val="left"/>
      </w:pPr>
      <w:r>
        <w:rPr/>
        <w:t>④可供出售金融资产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1493" w:right="1033" w:hanging="360"/>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240" w:lineRule="auto" w:before="19"/>
        <w:ind w:left="1493" w:right="0"/>
        <w:jc w:val="left"/>
      </w:pPr>
      <w:r>
        <w:rPr/>
        <w:t>处置时，将取得的价款与该金融资产账面价值之间的差额，计入投资损益；同时，将原直接计入其他综合收益的公允价</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值变动累计额对应处置部分的金额转出，计入当期损益。</w:t>
      </w:r>
    </w:p>
    <w:p>
      <w:pPr>
        <w:pStyle w:val="BodyText"/>
        <w:spacing w:line="316" w:lineRule="auto" w:before="76"/>
        <w:ind w:left="1493" w:right="3733"/>
        <w:jc w:val="left"/>
      </w:pPr>
      <w:r>
        <w:rPr/>
        <w:t>⑤其他金融负债 按其公允价值和相关交易费用之和作为初始确认金额。采用摊余成本进行后续计量。</w:t>
      </w:r>
    </w:p>
    <w:p>
      <w:pPr>
        <w:pStyle w:val="BodyText"/>
        <w:spacing w:line="300" w:lineRule="auto" w:before="19"/>
        <w:ind w:left="1493" w:right="0"/>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31"/>
        <w:ind w:left="1493" w:right="0" w:hanging="36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9"/>
        <w:ind w:right="0"/>
        <w:jc w:val="left"/>
      </w:pPr>
      <w:r>
        <w:rPr/>
        <w:t>融资产整体转移和部分转移。金融资产整体转移满足终止确认条件的，将下列两项金额的差额计入当期损益：</w:t>
      </w:r>
    </w:p>
    <w:p>
      <w:pPr>
        <w:pStyle w:val="BodyText"/>
        <w:spacing w:line="240" w:lineRule="auto" w:before="76"/>
        <w:ind w:left="1493" w:right="0"/>
        <w:jc w:val="left"/>
      </w:pPr>
      <w:r>
        <w:rPr/>
        <w:t>①所转移金融资产的账面价值；</w:t>
      </w:r>
    </w:p>
    <w:p>
      <w:pPr>
        <w:pStyle w:val="BodyText"/>
        <w:spacing w:line="316" w:lineRule="auto" w:before="76"/>
        <w:ind w:left="1134" w:right="1118" w:firstLine="360"/>
        <w:jc w:val="left"/>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1493" w:right="0"/>
        <w:jc w:val="left"/>
      </w:pPr>
      <w:r>
        <w:rPr/>
        <w:t>①终止确认部分的账面价值；</w:t>
      </w:r>
    </w:p>
    <w:p>
      <w:pPr>
        <w:pStyle w:val="BodyText"/>
        <w:spacing w:line="316" w:lineRule="auto" w:before="76"/>
        <w:ind w:left="1134" w:right="0" w:firstLine="360"/>
        <w:jc w:val="left"/>
      </w:pPr>
      <w:r>
        <w:rPr>
          <w:spacing w:val="-2"/>
        </w:rPr>
        <w:t>②终止确认部分的对价，与原直接计入所有者权益的公允价值变动累计额中对应终止确认部分的金额（涉及转移的金融</w:t>
      </w:r>
      <w:r>
        <w:rPr/>
        <w:t> 资产为可供出售金融资产的情形）之和。</w:t>
      </w:r>
    </w:p>
    <w:p>
      <w:pPr>
        <w:pStyle w:val="BodyText"/>
        <w:spacing w:line="240" w:lineRule="auto" w:before="19"/>
        <w:ind w:left="1494" w:right="0"/>
        <w:jc w:val="left"/>
      </w:pPr>
      <w:r>
        <w:rPr/>
        <w:t>金融资产转移不满足终止确认条件的，继续确认该金融资产，所收到的对价确认为一项金融负债。</w:t>
      </w:r>
    </w:p>
    <w:p>
      <w:pPr>
        <w:pStyle w:val="BodyText"/>
        <w:spacing w:line="300" w:lineRule="auto" w:before="76"/>
        <w:ind w:left="1494" w:right="0"/>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31"/>
        <w:ind w:left="1134"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9" w:lineRule="auto" w:before="19"/>
        <w:ind w:left="1134"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7"/>
        <w:ind w:left="1134"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left="1134"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1494" w:right="0"/>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left="1134" w:right="1130"/>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3"/>
        </w:rPr>
        <w:t> </w:t>
      </w:r>
      <w:r>
        <w:rPr>
          <w:spacing w:val="-63"/>
        </w:rPr>
      </w:r>
      <w:r>
        <w:rPr/>
        <w:t>值无法取得或取得不切实可行的情况下，才使用不可观察输入值。</w:t>
      </w:r>
    </w:p>
    <w:p>
      <w:pPr>
        <w:pStyle w:val="BodyText"/>
        <w:spacing w:line="300" w:lineRule="auto" w:before="19"/>
        <w:ind w:left="1493" w:right="0"/>
        <w:jc w:val="left"/>
      </w:pPr>
      <w:r>
        <w:rPr/>
        <w:t>（</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31"/>
        <w:ind w:right="0"/>
        <w:jc w:val="left"/>
      </w:pPr>
      <w:r>
        <w:rPr/>
        <w:t>有客观证据表明某项金融资产发生减值的，计提减值准备。</w:t>
      </w:r>
    </w:p>
    <w:p>
      <w:pPr>
        <w:pStyle w:val="BodyText"/>
        <w:spacing w:line="316" w:lineRule="auto" w:before="76"/>
        <w:ind w:left="1493" w:right="0"/>
        <w:jc w:val="left"/>
      </w:pPr>
      <w:r>
        <w:rPr/>
        <w:t>①可供出售金融资产的减值准备：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9"/>
        <w:ind w:left="1493" w:right="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1494" w:right="5712" w:hanging="360"/>
        <w:jc w:val="left"/>
      </w:pPr>
      <w:r>
        <w:rPr/>
        <w:t>事项有关的，原确认的减值损失予以转回，计入当期损益。 可供出售权益工具投资发生的减值损失，不通过损益转回。</w:t>
      </w:r>
    </w:p>
    <w:p>
      <w:pPr>
        <w:pStyle w:val="BodyText"/>
        <w:spacing w:line="316" w:lineRule="auto" w:before="19"/>
        <w:ind w:left="1494" w:right="4812"/>
        <w:jc w:val="left"/>
      </w:pPr>
      <w:r>
        <w:rPr/>
        <w:t>②持有至到期投资的减值准备： 持有至到期投资减值损失的计量比照应收款项减值损失计量方法处理。</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0、应收款项" w:id="174"/>
      <w:bookmarkEnd w:id="174"/>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781"/>
        <w:gridCol w:w="5788"/>
      </w:tblGrid>
      <w:tr>
        <w:trPr>
          <w:trHeight w:val="714"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8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单项应收款占应收款项余额的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以上或应收款项前五名为单项金额重 大的应收款项。</w:t>
            </w:r>
          </w:p>
        </w:tc>
      </w:tr>
      <w:tr>
        <w:trPr>
          <w:trHeight w:val="1026"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单独进行减值测试，如有客观证据表明其已发生减值，按预计未来现金流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量现值低于其账面价值的差额计提坏账准备，计入当期损益。单独测试未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发生减值的应收款项，将其归入相应组合计提坏账准备。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r>
    </w:tbl>
    <w:p>
      <w:pPr>
        <w:pStyle w:val="BodyText"/>
        <w:spacing w:line="240" w:lineRule="auto" w:before="51"/>
        <w:ind w:left="1134" w:right="0"/>
        <w:jc w:val="left"/>
      </w:pPr>
      <w:r>
        <w:rPr/>
        <w:t>组合中，采用余额百分比法计提坏账准备的：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组合中，采用其他方法计提坏账准备的：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880"/>
        <w:gridCol w:w="6688"/>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
                <w:sz w:val="18"/>
                <w:szCs w:val="18"/>
              </w:rPr>
              <w:t>对单项金额虽不重大，但已有客观证据表明其发生了减值的应收款项，按账龄分析法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计提的坏账准备不能反映实际情况</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本公司单独进行减值测试，结合现时情况分析法确定坏账准备计提的比例</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1、存货" w:id="178"/>
      <w:bookmarkEnd w:id="178"/>
      <w:r>
        <w:rPr>
          <w:b w:val="0"/>
          <w:bCs w:val="0"/>
        </w:rPr>
      </w: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left="1493" w:right="3733"/>
        <w:jc w:val="left"/>
      </w:pPr>
      <w:r>
        <w:rPr>
          <w:rFonts w:ascii="Times New Roman" w:hAnsi="Times New Roman" w:cs="Times New Roman" w:eastAsia="Times New Roman" w:hint="default"/>
        </w:rPr>
        <w:t>(1)</w:t>
      </w:r>
      <w:r>
        <w:rPr/>
        <w:t>存货的分类</w:t>
      </w:r>
      <w:r>
        <w:rPr>
          <w:w w:val="99"/>
        </w:rPr>
        <w:t> </w:t>
      </w:r>
      <w:r>
        <w:rPr/>
        <w:t>存货分类为：原材料、周转材料、库存商品、在产品、发出商品、委托加工物资等。</w:t>
      </w:r>
      <w:r>
        <w:rPr>
          <w:w w:val="99"/>
        </w:rPr>
        <w:t> </w:t>
      </w:r>
      <w:r>
        <w:rPr>
          <w:rFonts w:ascii="Times New Roman" w:hAnsi="Times New Roman" w:cs="Times New Roman" w:eastAsia="Times New Roman" w:hint="default"/>
        </w:rPr>
        <w:t>(2)</w:t>
      </w:r>
      <w:r>
        <w:rPr/>
        <w:t>发出存货的计价方法</w:t>
      </w:r>
    </w:p>
    <w:p>
      <w:pPr>
        <w:pStyle w:val="BodyText"/>
        <w:spacing w:line="240" w:lineRule="auto" w:before="5"/>
        <w:ind w:left="1494" w:right="0"/>
        <w:jc w:val="left"/>
      </w:pPr>
      <w:r>
        <w:rPr/>
        <w:t>存货发出时按加权平均法计价。</w:t>
      </w:r>
    </w:p>
    <w:p>
      <w:pPr>
        <w:pStyle w:val="BodyText"/>
        <w:spacing w:line="300" w:lineRule="auto" w:before="77"/>
        <w:ind w:left="1493" w:right="0"/>
        <w:jc w:val="left"/>
      </w:pPr>
      <w:r>
        <w:rPr>
          <w:rFonts w:ascii="Times New Roman" w:hAnsi="Times New Roman" w:cs="Times New Roman" w:eastAsia="Times New Roman" w:hint="default"/>
        </w:rPr>
        <w:t>(3)</w:t>
      </w:r>
      <w:r>
        <w:rPr/>
        <w:t>不同类别存货可变现净值的确定依据</w:t>
      </w:r>
      <w:r>
        <w:rPr>
          <w:w w:val="99"/>
        </w:rPr>
        <w:t> </w:t>
      </w:r>
      <w:r>
        <w:rPr>
          <w:spacing w:val="-2"/>
        </w:rPr>
        <w:t>产成品、库存商品和用于出售的材料等直接用于出售的商品存货，在正常生产经营过程中，以该存货的估计售价减去估</w:t>
      </w:r>
    </w:p>
    <w:p>
      <w:pPr>
        <w:pStyle w:val="BodyText"/>
        <w:spacing w:line="316" w:lineRule="auto" w:before="31"/>
        <w:ind w:right="113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9"/>
        <w:ind w:left="1134"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5"/>
        </w:rPr>
        <w:t> </w:t>
      </w:r>
      <w:r>
        <w:rPr>
          <w:spacing w:val="-65"/>
        </w:rPr>
      </w:r>
      <w:r>
        <w:rPr/>
        <w:t>货跌价准备。</w:t>
      </w:r>
    </w:p>
    <w:p>
      <w:pPr>
        <w:pStyle w:val="BodyText"/>
        <w:spacing w:line="316" w:lineRule="auto" w:before="19"/>
        <w:ind w:left="149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9" w:lineRule="auto" w:before="19"/>
        <w:ind w:left="1494" w:right="7662"/>
        <w:jc w:val="left"/>
      </w:pPr>
      <w:r>
        <w:rPr>
          <w:rFonts w:ascii="Times New Roman" w:hAnsi="Times New Roman" w:cs="Times New Roman" w:eastAsia="Times New Roman" w:hint="default"/>
        </w:rPr>
        <w:t>(4)</w:t>
      </w:r>
      <w:r>
        <w:rPr/>
        <w:t>存货的盘存制度</w:t>
      </w:r>
      <w:r>
        <w:rPr>
          <w:w w:val="99"/>
        </w:rPr>
        <w:t> </w:t>
      </w:r>
      <w:r>
        <w:rPr/>
        <w:t>采用永续盘存制。</w:t>
      </w:r>
      <w:r>
        <w:rPr>
          <w:w w:val="99"/>
        </w:rPr>
        <w:t> </w:t>
      </w:r>
      <w:r>
        <w:rPr>
          <w:rFonts w:ascii="Times New Roman" w:hAnsi="Times New Roman" w:cs="Times New Roman" w:eastAsia="Times New Roman" w:hint="default"/>
        </w:rPr>
        <w:t>(5)</w:t>
      </w:r>
      <w:r>
        <w:rPr/>
        <w:t>低值易耗品和包装物的摊销方法</w:t>
      </w:r>
    </w:p>
    <w:p>
      <w:pPr>
        <w:pStyle w:val="BodyText"/>
        <w:spacing w:line="240" w:lineRule="auto" w:before="5"/>
        <w:ind w:left="1493" w:right="0"/>
        <w:jc w:val="left"/>
      </w:pPr>
      <w:r>
        <w:rPr/>
        <w:t>①低值易耗品采用一次转销法；</w:t>
      </w:r>
    </w:p>
    <w:p>
      <w:pPr>
        <w:pStyle w:val="BodyText"/>
        <w:spacing w:line="240" w:lineRule="auto" w:before="76"/>
        <w:ind w:left="1494" w:right="0"/>
        <w:jc w:val="left"/>
      </w:pPr>
      <w:r>
        <w:rPr/>
        <w:t>②包装物采用一次转销法。</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12、持有待售资产" w:id="179"/>
      <w:bookmarkEnd w:id="179"/>
      <w:r>
        <w:rPr>
          <w:b w:val="0"/>
          <w:bCs w:val="0"/>
        </w:rPr>
      </w:r>
      <w:r>
        <w:rPr>
          <w:rFonts w:ascii="Times New Roman" w:hAnsi="Times New Roman" w:cs="Times New Roman" w:eastAsia="Times New Roman" w:hint="default"/>
        </w:rPr>
        <w:t>12</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本公司将同时满足下列条件的非流动资产或处置组划分为持有待售类别：</w:t>
      </w:r>
    </w:p>
    <w:p>
      <w:pPr>
        <w:pStyle w:val="BodyText"/>
        <w:spacing w:line="240" w:lineRule="auto" w:before="76"/>
        <w:ind w:left="1493"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3"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3、长期股权投资" w:id="180"/>
      <w:bookmarkEnd w:id="180"/>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0"/>
        <w:jc w:val="left"/>
      </w:pPr>
      <w:r>
        <w:rPr/>
        <w:t>（</w:t>
      </w: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1118"/>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0"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1493" w:right="0"/>
        <w:jc w:val="left"/>
      </w:pPr>
      <w:r>
        <w:rPr/>
        <w:t>（</w:t>
      </w:r>
      <w:r>
        <w:rPr>
          <w:rFonts w:ascii="Times New Roman" w:hAnsi="Times New Roman" w:cs="Times New Roman" w:eastAsia="Times New Roman" w:hint="default"/>
        </w:rPr>
        <w:t>2</w:t>
      </w:r>
      <w:r>
        <w:rPr/>
        <w:t>）初始投资成本的确定</w:t>
      </w:r>
    </w:p>
    <w:p>
      <w:pPr>
        <w:pStyle w:val="BodyText"/>
        <w:spacing w:line="316" w:lineRule="auto" w:before="63"/>
        <w:ind w:left="1494" w:right="0"/>
        <w:jc w:val="left"/>
      </w:pPr>
      <w:r>
        <w:rPr/>
        <w:t>①企业合并形成的长期股权投资 </w:t>
      </w:r>
      <w:r>
        <w:rPr>
          <w:spacing w:val="-2"/>
        </w:rPr>
        <w:t>同一控制下的企业合并：公司以支付现金、转让非现金资产或承担债务方式以及以发行权益性证券作为合并对价的，在</w:t>
      </w:r>
    </w:p>
    <w:p>
      <w:pPr>
        <w:pStyle w:val="BodyText"/>
        <w:spacing w:line="319" w:lineRule="auto" w:before="19"/>
        <w:ind w:left="1134"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240" w:lineRule="auto" w:before="17"/>
        <w:ind w:left="1493" w:right="0"/>
        <w:jc w:val="left"/>
      </w:pPr>
      <w:r>
        <w:rPr/>
        <w:t>非同一控制下的企业合并：公司按照购买日确定的合并成本作为长期股权投资的初始投资成本。因追加投资等原因能够</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9" w:lineRule="auto" w:before="19"/>
        <w:ind w:left="1493" w:right="3013"/>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17"/>
        <w:ind w:right="1131"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1494" w:right="0"/>
        <w:jc w:val="left"/>
      </w:pPr>
      <w:r>
        <w:rPr/>
        <w:t>通过债务重组取得的长期股权投资，其初始投资成本按照公允价值为基础确定。</w:t>
      </w:r>
    </w:p>
    <w:p>
      <w:pPr>
        <w:pStyle w:val="BodyText"/>
        <w:spacing w:line="240" w:lineRule="auto" w:before="76"/>
        <w:ind w:left="1493" w:right="0"/>
        <w:jc w:val="left"/>
      </w:pPr>
      <w:r>
        <w:rPr/>
        <w:t>（</w:t>
      </w:r>
      <w:r>
        <w:rPr>
          <w:rFonts w:ascii="Times New Roman" w:hAnsi="Times New Roman" w:cs="Times New Roman" w:eastAsia="Times New Roman" w:hint="default"/>
        </w:rPr>
        <w:t>3</w:t>
      </w:r>
      <w:r>
        <w:rPr/>
        <w:t>）后续计量及损益确认方法</w:t>
      </w:r>
    </w:p>
    <w:p>
      <w:pPr>
        <w:pStyle w:val="BodyText"/>
        <w:spacing w:line="316" w:lineRule="auto" w:before="63"/>
        <w:ind w:left="1494" w:right="0"/>
        <w:jc w:val="left"/>
      </w:pPr>
      <w:r>
        <w:rPr/>
        <w:t>①成本法核算的长期股权投资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left="1134" w:right="0"/>
        <w:jc w:val="left"/>
      </w:pPr>
      <w:r>
        <w:rPr/>
        <w:t>金股利或利润外，公司按照享有被投资单位宣告发放的现金股利或利润确认当期投资收益。</w:t>
      </w:r>
    </w:p>
    <w:p>
      <w:pPr>
        <w:pStyle w:val="BodyText"/>
        <w:spacing w:line="316" w:lineRule="auto" w:before="76"/>
        <w:ind w:left="1494" w:right="0"/>
        <w:jc w:val="left"/>
      </w:pPr>
      <w:r>
        <w:rPr/>
        <w:t>②权益法核算的长期股权投资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9"/>
        <w:ind w:left="1134" w:right="0"/>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left="1134" w:right="1131"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2" w:lineRule="auto" w:before="19"/>
        <w:ind w:right="1131"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企业之间发生投出或出售资产的交易，该资产构成业务的，按照本财务报告</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同一控制下和非同一控制下企业合并的会</w:t>
      </w:r>
      <w:r>
        <w:rPr>
          <w:spacing w:val="-52"/>
        </w:rPr>
        <w:t> </w:t>
      </w:r>
      <w:r>
        <w:rPr>
          <w:spacing w:val="-52"/>
        </w:rPr>
      </w:r>
      <w:r>
        <w:rPr/>
        <w:t>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1494" w:right="4632"/>
        <w:jc w:val="left"/>
      </w:pPr>
      <w:r>
        <w:rPr/>
        <w:t>③长期股权投资的处置 处置长期股权投资，其账面价值与实际取得价款的差额，计入当期损益。</w:t>
      </w:r>
    </w:p>
    <w:p>
      <w:pPr>
        <w:pStyle w:val="BodyText"/>
        <w:spacing w:line="316" w:lineRule="auto" w:before="19"/>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9" w:lineRule="auto" w:before="19"/>
        <w:ind w:right="103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spacing w:after="0" w:line="31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3"/>
        </w:rPr>
        <w:t> </w:t>
      </w:r>
      <w:r>
        <w:rPr>
          <w:spacing w:val="-63"/>
        </w:rPr>
      </w:r>
      <w:r>
        <w:rPr/>
        <w:t>则的有关规定进行会计处理，其在丧失控制之日的公允价值与账面价值间的差额计入当期损益。</w:t>
      </w:r>
    </w:p>
    <w:p>
      <w:pPr>
        <w:pStyle w:val="BodyText"/>
        <w:spacing w:line="316" w:lineRule="auto" w:before="19"/>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4、投资性房地产" w:id="181"/>
      <w:bookmarkEnd w:id="181"/>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BodyText"/>
        <w:spacing w:line="316" w:lineRule="auto" w:before="25"/>
        <w:ind w:left="1134" w:right="113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9"/>
        <w:ind w:left="1134" w:right="113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固定资产" w:id="182"/>
      <w:bookmarkEnd w:id="182"/>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60"/>
        <w:jc w:val="both"/>
      </w:pPr>
      <w:r>
        <w:rPr>
          <w:spacing w:val="-2"/>
        </w:rPr>
        <w:t>固定资产指为生产商品、提供劳务、出租或经营管理而持有，并且使用寿命超过一个会计年度的有形资产。固定资产在</w:t>
      </w:r>
      <w:r>
        <w:rPr/>
        <w:t> 同时满足下列条件时予以确认：①与该固定资产有关的经济利益很可能流入企业；②该固定资产的成本能够可靠地计量。</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柜员机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10"/>
        <w:ind w:left="1134" w:right="1133"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9" w:lineRule="auto" w:before="19"/>
        <w:ind w:right="113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公司与租赁方所签订的租赁协议条款中规定了下列条件之一的，确认为融资租入资产：①租赁期满后租赁资产的所有权</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归属于本公司；②公司具有购买资产的选择权，购买价款远低于行使选择权时该资产的公允价值；③租赁期占所租赁资产使</w:t>
      </w:r>
      <w:r>
        <w:rPr>
          <w:spacing w:val="-68"/>
        </w:rPr>
        <w:t> </w:t>
      </w:r>
      <w:r>
        <w:rPr>
          <w:spacing w:val="-68"/>
        </w:rPr>
      </w:r>
      <w:r>
        <w:rPr>
          <w:spacing w:val="-2"/>
        </w:rPr>
        <w:t>用寿命的大部分；④租赁开始日的最低租赁付款额现值，与该资产的公允价值不存在较大的差异。公司在承租开始日，将租</w:t>
      </w:r>
      <w:r>
        <w:rPr>
          <w:spacing w:val="-66"/>
        </w:rPr>
        <w:t> </w:t>
      </w:r>
      <w:r>
        <w:rPr>
          <w:spacing w:val="-66"/>
        </w:rPr>
      </w:r>
      <w:r>
        <w:rPr>
          <w:spacing w:val="-2"/>
        </w:rPr>
        <w:t>赁资产公允价值与最低租赁付款额现值两者中较低者作为租入资产的入账价值，将最低租赁付款额作为长期应付款的入账价</w:t>
      </w:r>
      <w:r>
        <w:rPr>
          <w:spacing w:val="-64"/>
        </w:rPr>
        <w:t> </w:t>
      </w:r>
      <w:r>
        <w:rPr>
          <w:spacing w:val="-64"/>
        </w:rPr>
      </w:r>
      <w:r>
        <w:rPr/>
        <w:t>值，其差额作为未确认的融资费。</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16、在建工程" w:id="186"/>
      <w:bookmarkEnd w:id="186"/>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8"/>
        <w:ind w:left="1134"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17、借款费用" w:id="187"/>
      <w:bookmarkEnd w:id="187"/>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493" w:right="1118"/>
        <w:jc w:val="left"/>
      </w:pPr>
      <w:r>
        <w:rPr/>
        <w:t>（</w:t>
      </w: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24"/>
        <w:ind w:left="1494" w:right="1212"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9" w:lineRule="auto" w:before="19"/>
        <w:ind w:left="1494" w:right="6972" w:hanging="360"/>
        <w:jc w:val="left"/>
      </w:pPr>
      <w:r>
        <w:rPr/>
        <w:t>产、投资性房地产和存货等资产。 借款费用同时满足下列条件时开始资本化：</w:t>
      </w:r>
    </w:p>
    <w:p>
      <w:pPr>
        <w:pStyle w:val="BodyText"/>
        <w:spacing w:line="316" w:lineRule="auto" w:before="17"/>
        <w:ind w:left="1134" w:right="1131" w:firstLine="360"/>
        <w:jc w:val="both"/>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1494" w:right="0"/>
        <w:jc w:val="left"/>
      </w:pPr>
      <w:r>
        <w:rPr/>
        <w:t>②借款费用已经发生；</w:t>
      </w:r>
    </w:p>
    <w:p>
      <w:pPr>
        <w:pStyle w:val="BodyText"/>
        <w:spacing w:line="240" w:lineRule="auto" w:before="76"/>
        <w:ind w:left="1494" w:right="0"/>
        <w:jc w:val="left"/>
      </w:pPr>
      <w:r>
        <w:rPr/>
        <w:t>③为使资产达到预定可使用或者可销售状态所必要的购建或者生产活动已经开始。</w:t>
      </w:r>
    </w:p>
    <w:p>
      <w:pPr>
        <w:pStyle w:val="BodyText"/>
        <w:spacing w:line="314" w:lineRule="auto" w:before="76"/>
        <w:ind w:left="1493" w:right="0"/>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0"/>
        <w:jc w:val="left"/>
      </w:pPr>
      <w:r>
        <w:rPr/>
        <w:t>款费用资本化。</w:t>
      </w:r>
    </w:p>
    <w:p>
      <w:pPr>
        <w:pStyle w:val="BodyText"/>
        <w:spacing w:line="300" w:lineRule="auto" w:before="76"/>
        <w:ind w:left="1494" w:right="0"/>
        <w:jc w:val="left"/>
      </w:pPr>
      <w:r>
        <w:rPr/>
        <w:t>（</w:t>
      </w: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1494" w:right="0"/>
        <w:jc w:val="left"/>
      </w:pPr>
      <w:r>
        <w:rPr/>
        <w:t>（</w:t>
      </w: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19" w:lineRule="auto" w:before="31"/>
        <w:ind w:left="1493" w:right="0"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7"/>
        <w:ind w:right="1118"/>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8、无形资产" w:id="188"/>
      <w:bookmarkEnd w:id="188"/>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①无形资产的计价方法</w:t>
      </w:r>
    </w:p>
    <w:p>
      <w:pPr>
        <w:pStyle w:val="BodyText"/>
        <w:spacing w:line="300" w:lineRule="auto" w:before="76"/>
        <w:ind w:left="1493" w:right="0"/>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1493"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149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left="1134"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1493" w:right="7153"/>
        <w:jc w:val="left"/>
      </w:pPr>
      <w:r>
        <w:rPr>
          <w:rFonts w:ascii="Times New Roman" w:hAnsi="Times New Roman" w:cs="Times New Roman" w:eastAsia="Times New Roman" w:hint="default"/>
        </w:rPr>
        <w:t>b.</w:t>
      </w:r>
      <w:r>
        <w:rPr/>
        <w:t>后续计量 在取得无形资产时分析判断其使用寿命。</w:t>
      </w:r>
    </w:p>
    <w:p>
      <w:pPr>
        <w:pStyle w:val="BodyText"/>
        <w:spacing w:line="316" w:lineRule="auto" w:before="31"/>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1494" w:right="0"/>
        <w:jc w:val="left"/>
      </w:pPr>
      <w:r>
        <w:rPr/>
        <w:t>②使用寿命有限的无形资产的使用寿命估计情况：</w:t>
      </w:r>
    </w:p>
    <w:p>
      <w:pPr>
        <w:spacing w:line="240" w:lineRule="auto" w:before="0"/>
        <w:rPr>
          <w:rFonts w:ascii="宋体" w:hAnsi="宋体" w:cs="宋体" w:eastAsia="宋体" w:hint="default"/>
          <w:sz w:val="5"/>
          <w:szCs w:val="5"/>
        </w:rPr>
      </w:pPr>
    </w:p>
    <w:tbl>
      <w:tblPr>
        <w:tblW w:w="0" w:type="auto"/>
        <w:jc w:val="left"/>
        <w:tblInd w:w="1411" w:type="dxa"/>
        <w:tblLayout w:type="fixed"/>
        <w:tblCellMar>
          <w:top w:w="0" w:type="dxa"/>
          <w:left w:w="0" w:type="dxa"/>
          <w:bottom w:w="0" w:type="dxa"/>
          <w:right w:w="0" w:type="dxa"/>
        </w:tblCellMar>
        <w:tblLook w:val="01E0"/>
      </w:tblPr>
      <w:tblGrid>
        <w:gridCol w:w="3118"/>
        <w:gridCol w:w="3118"/>
        <w:gridCol w:w="3120"/>
      </w:tblGrid>
      <w:tr>
        <w:trPr>
          <w:trHeight w:val="347" w:hRule="exact"/>
        </w:trPr>
        <w:tc>
          <w:tcPr>
            <w:tcW w:w="3118"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360"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12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360"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注册商标及专利</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7"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3" w:right="0"/>
              <w:jc w:val="left"/>
              <w:rPr>
                <w:rFonts w:ascii="宋体" w:hAnsi="宋体" w:cs="宋体" w:eastAsia="宋体" w:hint="default"/>
                <w:sz w:val="18"/>
                <w:szCs w:val="18"/>
              </w:rPr>
            </w:pPr>
            <w:r>
              <w:rPr>
                <w:rFonts w:ascii="宋体" w:hAnsi="宋体" w:cs="宋体" w:eastAsia="宋体" w:hint="default"/>
                <w:sz w:val="18"/>
                <w:szCs w:val="18"/>
              </w:rPr>
              <w:t>行业情况及企业历史经验</w:t>
            </w:r>
          </w:p>
        </w:tc>
      </w:tr>
    </w:tbl>
    <w:p>
      <w:pPr>
        <w:pStyle w:val="BodyText"/>
        <w:spacing w:line="316" w:lineRule="auto" w:before="10"/>
        <w:ind w:left="1493" w:right="4453"/>
        <w:jc w:val="left"/>
      </w:pPr>
      <w:r>
        <w:rPr/>
        <w:t>每年度终了，对使用寿命有限的无形资产的使用寿命及摊销方法进行复核。 经复核，本年期末无形资产的使用寿命及摊销方法与以前估计未有不同。</w:t>
      </w:r>
    </w:p>
    <w:p>
      <w:pPr>
        <w:pStyle w:val="BodyText"/>
        <w:spacing w:line="316" w:lineRule="auto" w:before="19"/>
        <w:ind w:left="1493" w:right="4453"/>
        <w:jc w:val="left"/>
      </w:pPr>
      <w:r>
        <w:rPr/>
        <w:t>③使用寿命不确定的无形资产的判断依据以及对其使用寿命进行复核的程序 每期末，对使用寿命有限的无形资产的使用寿命及摊销方法进行复核。 经复核，本年期末无形资产的使用寿命及摊销方法与以前估计未有不同。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2653"/>
        <w:jc w:val="left"/>
      </w:pPr>
      <w:r>
        <w:rPr/>
        <w:t>①划分研究阶段和开发阶段的具体标准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12" w:lineRule="auto" w:before="19"/>
        <w:ind w:left="1493" w:right="4453"/>
        <w:jc w:val="left"/>
      </w:pPr>
      <w:r>
        <w:rPr/>
        <w:t>②开发阶段支出资本化的具体条件 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
        <w:ind w:right="0" w:firstLine="360"/>
        <w:jc w:val="left"/>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无形资产产生经济利益的方式，包括能够证明运用该无形资产生产的产品存在市场或无形资产自身存在市场，无形资</w:t>
      </w:r>
      <w:r>
        <w:rPr/>
        <w:t> 产将在内部使用的，能够证明其有用性；</w:t>
      </w:r>
    </w:p>
    <w:p>
      <w:pPr>
        <w:pStyle w:val="BodyText"/>
        <w:spacing w:line="300" w:lineRule="auto" w:before="31"/>
        <w:ind w:left="1494" w:right="1752"/>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开发阶段的支出，若不满足上列条件的，于发生时计入当期损益。研究阶段的支出，在发生时计入当期损益。</w:t>
      </w:r>
    </w:p>
    <w:p>
      <w:pPr>
        <w:spacing w:after="0" w:line="30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长期资产减值" w:id="191"/>
      <w:bookmarkEnd w:id="191"/>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6"/>
        </w:rPr>
        <w:t> </w:t>
      </w:r>
      <w:r>
        <w:rPr>
          <w:spacing w:val="-66"/>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316" w:lineRule="auto" w:before="17"/>
        <w:ind w:left="1493" w:right="103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3"/>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1033"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0、长期待摊费用" w:id="192"/>
      <w:bookmarkEnd w:id="192"/>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长期待摊费用为已经发生但应由本期和以后各期负担的分摊期限在一年以上的各项费用。</w:t>
      </w:r>
    </w:p>
    <w:p>
      <w:pPr>
        <w:pStyle w:val="BodyText"/>
        <w:spacing w:line="309" w:lineRule="auto" w:before="76"/>
        <w:ind w:left="1493" w:right="7693"/>
        <w:jc w:val="left"/>
      </w:pPr>
      <w:r>
        <w:rPr>
          <w:rFonts w:ascii="Times New Roman" w:hAnsi="Times New Roman" w:cs="Times New Roman" w:eastAsia="Times New Roman" w:hint="default"/>
        </w:rPr>
        <w:t>(1)</w:t>
      </w:r>
      <w:r>
        <w:rPr/>
        <w:t>摊销方法</w:t>
      </w:r>
      <w:r>
        <w:rPr>
          <w:w w:val="99"/>
        </w:rPr>
        <w:t> </w:t>
      </w:r>
      <w:r>
        <w:rPr/>
        <w:t>长期待摊费用在受益期内平均摊销</w:t>
      </w:r>
      <w:r>
        <w:rPr>
          <w:w w:val="99"/>
        </w:rPr>
        <w:t> </w:t>
      </w:r>
      <w:r>
        <w:rPr>
          <w:rFonts w:ascii="Times New Roman" w:hAnsi="Times New Roman" w:cs="Times New Roman" w:eastAsia="Times New Roman" w:hint="default"/>
        </w:rPr>
        <w:t>(2)</w:t>
      </w:r>
      <w:r>
        <w:rPr/>
        <w:t>摊销年限</w:t>
      </w:r>
    </w:p>
    <w:p>
      <w:pPr>
        <w:pStyle w:val="BodyText"/>
        <w:spacing w:line="316" w:lineRule="auto" w:before="5"/>
        <w:ind w:left="1493" w:right="4813"/>
        <w:jc w:val="left"/>
      </w:pPr>
      <w:r>
        <w:rPr/>
        <w:t>长期待摊费用的摊销方法为在预计的使用年限内采用直线法进行摊销。 装修支出按</w:t>
      </w:r>
      <w:r>
        <w:rPr>
          <w:rFonts w:ascii="Times New Roman" w:hAnsi="Times New Roman" w:cs="Times New Roman" w:eastAsia="Times New Roman" w:hint="default"/>
        </w:rPr>
        <w:t>2</w:t>
      </w:r>
      <w:r>
        <w:rPr/>
        <w:t>年摊销。</w:t>
      </w:r>
    </w:p>
    <w:p>
      <w:pPr>
        <w:spacing w:line="240" w:lineRule="auto" w:before="13"/>
        <w:rPr>
          <w:rFonts w:ascii="宋体" w:hAnsi="宋体" w:cs="宋体" w:eastAsia="宋体" w:hint="default"/>
          <w:sz w:val="20"/>
          <w:szCs w:val="20"/>
        </w:rPr>
      </w:pPr>
    </w:p>
    <w:p>
      <w:pPr>
        <w:pStyle w:val="Heading3"/>
        <w:spacing w:line="240" w:lineRule="auto"/>
        <w:ind w:left="1134" w:right="0"/>
        <w:jc w:val="left"/>
        <w:rPr>
          <w:b w:val="0"/>
          <w:bCs w:val="0"/>
        </w:rPr>
      </w:pPr>
      <w:bookmarkStart w:name="21、职工薪酬" w:id="193"/>
      <w:bookmarkEnd w:id="193"/>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1493" w:right="463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①设定提存计划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19"/>
        <w:ind w:left="1493" w:right="1163" w:hanging="360"/>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48" w:lineRule="exact"/>
        <w:ind w:right="0"/>
        <w:jc w:val="left"/>
      </w:pPr>
      <w:r>
        <w:rPr/>
        <w:t>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16" w:lineRule="auto" w:before="63"/>
        <w:ind w:left="1493" w:right="0"/>
        <w:jc w:val="left"/>
      </w:pPr>
      <w:r>
        <w:rPr/>
        <w:t>②设定受益计划 </w:t>
      </w:r>
      <w:r>
        <w:rPr>
          <w:spacing w:val="-2"/>
        </w:rPr>
        <w:t>本公司根据预期累计福利单位法确定的公式将设定受益计划产生的福利义务归属于职工提供服务的期间，并计入当期损</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1033" w:hanging="360"/>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1493" w:right="0" w:hanging="360"/>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9"/>
        <w:ind w:left="1493" w:right="0" w:hanging="360"/>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16" w:lineRule="auto" w:before="19"/>
        <w:ind w:right="0"/>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316" w:lineRule="auto" w:before="19"/>
        <w:ind w:left="1493" w:right="1393"/>
        <w:jc w:val="left"/>
      </w:pPr>
      <w:r>
        <w:rPr/>
        <w:t>在设定受益计划结算时，按在结算日确定的设定受益计划义务现值和结算价格两者的差额，确认结算利得或损失。 详见本财务报告</w:t>
      </w:r>
      <w:r>
        <w:rPr>
          <w:rFonts w:ascii="Times New Roman" w:hAnsi="Times New Roman" w:cs="Times New Roman" w:eastAsia="Times New Roman" w:hint="default"/>
        </w:rPr>
        <w:t>“</w:t>
      </w:r>
      <w:r>
        <w:rPr/>
        <w:t>七、</w:t>
      </w:r>
      <w:r>
        <w:rPr>
          <w:rFonts w:ascii="Times New Roman" w:hAnsi="Times New Roman" w:cs="Times New Roman" w:eastAsia="Times New Roman" w:hint="default"/>
        </w:rPr>
        <w:t>24</w:t>
      </w:r>
      <w:r>
        <w:rPr/>
        <w:t>应付职工薪酬</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2、预计负债" w:id="197"/>
      <w:bookmarkEnd w:id="197"/>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1572"/>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1"/>
        <w:ind w:left="1493" w:right="0"/>
        <w:jc w:val="left"/>
      </w:pPr>
      <w:r>
        <w:rPr/>
        <w:t>①该义务是本公司承担的现时义务；</w:t>
      </w:r>
    </w:p>
    <w:p>
      <w:pPr>
        <w:pStyle w:val="BodyText"/>
        <w:spacing w:line="240" w:lineRule="auto" w:before="76"/>
        <w:ind w:left="1493" w:right="0"/>
        <w:jc w:val="left"/>
      </w:pPr>
      <w:r>
        <w:rPr/>
        <w:t>②履行该义务很可能导致经济利益流出本公司；</w:t>
      </w:r>
    </w:p>
    <w:p>
      <w:pPr>
        <w:pStyle w:val="BodyText"/>
        <w:spacing w:line="240" w:lineRule="auto" w:before="77"/>
        <w:ind w:left="1494" w:right="0"/>
        <w:jc w:val="left"/>
      </w:pPr>
      <w:r>
        <w:rPr/>
        <w:t>③该义务的金额能够可靠地计量。</w:t>
      </w:r>
    </w:p>
    <w:p>
      <w:pPr>
        <w:pStyle w:val="BodyText"/>
        <w:spacing w:line="300" w:lineRule="auto" w:before="76"/>
        <w:ind w:left="1494" w:right="0"/>
        <w:jc w:val="left"/>
      </w:pPr>
      <w:r>
        <w:rPr/>
        <w:t>（</w:t>
      </w:r>
      <w:r>
        <w:rPr>
          <w:rFonts w:ascii="Times New Roman" w:hAnsi="Times New Roman" w:cs="Times New Roman" w:eastAsia="Times New Roman" w:hint="default"/>
        </w:rPr>
        <w:t>2</w:t>
      </w:r>
      <w:r>
        <w:rPr/>
        <w:t>）各类预计负债的计量方法 </w:t>
      </w:r>
      <w:r>
        <w:rPr>
          <w:spacing w:val="-2"/>
        </w:rPr>
        <w:t>为了与收入、成本确认期间相配比，按一定的标准将销售机器的保修期间、融资租赁机器的租赁期间所发生的维护费用</w:t>
      </w:r>
    </w:p>
    <w:p>
      <w:pPr>
        <w:pStyle w:val="BodyText"/>
        <w:spacing w:line="240" w:lineRule="auto" w:before="31"/>
        <w:ind w:left="1134" w:right="0"/>
        <w:jc w:val="left"/>
      </w:pPr>
      <w:r>
        <w:rPr/>
        <w:t>在收入确认期间确认为预计负债，具体计算方法如下：</w:t>
      </w:r>
    </w:p>
    <w:p>
      <w:pPr>
        <w:pStyle w:val="BodyText"/>
        <w:spacing w:line="240" w:lineRule="auto" w:before="76"/>
        <w:ind w:left="1494" w:right="0"/>
        <w:jc w:val="left"/>
      </w:pPr>
      <w:r>
        <w:rPr/>
        <w:t>①按历史数据确定预计维护费用每月单台标准；</w:t>
      </w:r>
    </w:p>
    <w:p>
      <w:pPr>
        <w:pStyle w:val="BodyText"/>
        <w:spacing w:line="316" w:lineRule="auto" w:before="76"/>
        <w:ind w:left="1134" w:right="1032" w:firstLine="360"/>
        <w:jc w:val="left"/>
      </w:pPr>
      <w:r>
        <w:rPr/>
        <w:t>②按合同确定销售机器保修总月份数、融资租赁机维护总月份数。考虑到新机上线前期实际不发生或少量发生维护费， 在按合同确定维护总月份数时，每台机统一扣减</w:t>
      </w:r>
      <w:r>
        <w:rPr>
          <w:rFonts w:ascii="Times New Roman" w:hAnsi="Times New Roman" w:cs="Times New Roman" w:eastAsia="Times New Roman" w:hint="default"/>
        </w:rPr>
        <w:t>6</w:t>
      </w:r>
      <w:r>
        <w:rPr/>
        <w:t>个月；</w:t>
      </w:r>
    </w:p>
    <w:p>
      <w:pPr>
        <w:pStyle w:val="BodyText"/>
        <w:spacing w:line="235" w:lineRule="exact"/>
        <w:ind w:left="1494" w:right="0"/>
        <w:jc w:val="left"/>
      </w:pPr>
      <w:r>
        <w:rPr/>
        <w:t>③按销售机器数量、保修总月份数、每月单台维护标准确认保修期间销售机器的维护费用，同时确认预计负债；</w:t>
      </w:r>
    </w:p>
    <w:p>
      <w:pPr>
        <w:pStyle w:val="BodyText"/>
        <w:spacing w:line="316" w:lineRule="auto" w:before="76"/>
        <w:ind w:left="1494" w:right="1032"/>
        <w:jc w:val="left"/>
      </w:pPr>
      <w:r>
        <w:rPr/>
        <w:t>④按融资租赁机器数量、租赁总月份数、每月单台维护标准确认租赁期间融资租赁机的维护费用，同时确认预计负债。 详见本财务报告</w:t>
      </w:r>
      <w:r>
        <w:rPr>
          <w:rFonts w:ascii="Times New Roman" w:hAnsi="Times New Roman" w:cs="Times New Roman" w:eastAsia="Times New Roman" w:hint="default"/>
        </w:rPr>
        <w:t>“</w:t>
      </w:r>
      <w:r>
        <w:rPr/>
        <w:t>七、</w:t>
      </w:r>
      <w:r>
        <w:rPr>
          <w:rFonts w:ascii="Times New Roman" w:hAnsi="Times New Roman" w:cs="Times New Roman" w:eastAsia="Times New Roman" w:hint="default"/>
        </w:rPr>
        <w:t>29</w:t>
      </w:r>
      <w:r>
        <w:rPr/>
        <w:t>预计负债</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3、股份支付" w:id="198"/>
      <w:bookmarkEnd w:id="198"/>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092" w:firstLine="36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300" w:lineRule="auto" w:before="31"/>
        <w:ind w:left="1493" w:right="0"/>
        <w:jc w:val="left"/>
      </w:pPr>
      <w:r>
        <w:rPr>
          <w:rFonts w:ascii="Times New Roman" w:hAnsi="Times New Roman" w:cs="Times New Roman" w:eastAsia="Times New Roman" w:hint="default"/>
        </w:rPr>
        <w:t>(1)</w:t>
      </w:r>
      <w:r>
        <w:rPr/>
        <w:t>以权益结算的股份支付及权益工具</w:t>
      </w:r>
      <w:r>
        <w:rPr>
          <w:w w:val="99"/>
        </w:rPr>
        <w:t> </w:t>
      </w:r>
      <w:r>
        <w:rPr>
          <w:spacing w:val="-2"/>
        </w:rPr>
        <w:t>以权益结算的股份支付换取职工提供服务的，以授予职工权益工具的公允价值计量。授予后立即可行权的，在授予日按</w:t>
      </w:r>
    </w:p>
    <w:p>
      <w:pPr>
        <w:pStyle w:val="BodyText"/>
        <w:spacing w:line="319" w:lineRule="auto" w:before="31"/>
        <w:ind w:right="1131"/>
        <w:jc w:val="both"/>
      </w:pP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出最佳估计，以此为基础，按照授予日的公允价值，将当期取得的服务计入相关成本或费用，相应增加资本公积。在授权日</w:t>
      </w:r>
      <w:r>
        <w:rPr>
          <w:spacing w:val="-66"/>
        </w:rPr>
        <w:t> </w:t>
      </w:r>
      <w:r>
        <w:rPr>
          <w:spacing w:val="-66"/>
        </w:rPr>
      </w:r>
      <w:r>
        <w:rPr/>
        <w:t>采用</w:t>
      </w:r>
      <w:r>
        <w:rPr>
          <w:rFonts w:ascii="Times New Roman" w:hAnsi="Times New Roman" w:cs="Times New Roman" w:eastAsia="Times New Roman" w:hint="default"/>
        </w:rPr>
        <w:t>Black-Scholes</w:t>
      </w:r>
      <w:r>
        <w:rPr/>
        <w:t>模型确定股票期权的公允价值权。</w:t>
      </w:r>
    </w:p>
    <w:p>
      <w:pPr>
        <w:pStyle w:val="BodyText"/>
        <w:spacing w:line="316" w:lineRule="auto"/>
        <w:ind w:right="0" w:firstLine="360"/>
        <w:jc w:val="left"/>
      </w:pPr>
      <w:r>
        <w:rPr>
          <w:spacing w:val="-2"/>
        </w:rPr>
        <w:t>在满足业绩条件和服务期限条件的期间，应确认以权益结算的股份支付的成本或费用，并相应增加资本公积。可行权日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之前，于每个资产负债表日为以权益结算的股份支付确认的累计金额反映了等待期已届满的部分以及本公司对最终可行权的</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0" w:hanging="360"/>
        <w:jc w:val="left"/>
      </w:pPr>
      <w:r>
        <w:rPr/>
        <w:t>权益工具数量的最佳估计。 </w:t>
      </w:r>
      <w:r>
        <w:rPr>
          <w:spacing w:val="-2"/>
        </w:rPr>
        <w:t>对于最终未能行权的股份支付，不确认成本或费用，除非行权条件是市场条件或非可行权条件，此时无论是否满足市场</w:t>
      </w:r>
    </w:p>
    <w:p>
      <w:pPr>
        <w:pStyle w:val="BodyText"/>
        <w:spacing w:line="316" w:lineRule="auto" w:before="19"/>
        <w:ind w:left="1493" w:right="0" w:hanging="360"/>
        <w:jc w:val="left"/>
      </w:pPr>
      <w:r>
        <w:rPr/>
        <w:t>条件或非可行权条件，只要满足所有可行权条件中的非市场条件，即视为可行权。 </w:t>
      </w:r>
      <w:r>
        <w:rPr>
          <w:spacing w:val="-2"/>
        </w:rPr>
        <w:t>如果修改了以权益结算的股份支付的条款，至少按照未修改条款的情况确认取得的服务。此外，任何增加所授予权益工</w:t>
      </w:r>
    </w:p>
    <w:p>
      <w:pPr>
        <w:pStyle w:val="BodyText"/>
        <w:spacing w:line="316" w:lineRule="auto" w:before="19"/>
        <w:ind w:left="1493" w:right="0" w:hanging="360"/>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316" w:lineRule="auto" w:before="19"/>
        <w:ind w:right="0"/>
        <w:jc w:val="left"/>
      </w:pP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 式，对所授予的替代权益工具进行处理。</w:t>
      </w:r>
    </w:p>
    <w:p>
      <w:pPr>
        <w:pStyle w:val="BodyText"/>
        <w:spacing w:line="300" w:lineRule="auto" w:before="19"/>
        <w:ind w:left="1493" w:right="0"/>
        <w:jc w:val="left"/>
      </w:pPr>
      <w:r>
        <w:rPr>
          <w:rFonts w:ascii="Times New Roman" w:hAnsi="Times New Roman" w:cs="Times New Roman" w:eastAsia="Times New Roman" w:hint="default"/>
        </w:rPr>
        <w:t>(2)</w:t>
      </w:r>
      <w:r>
        <w:rPr/>
        <w:t>以现金结算的股份支付及权益工具</w:t>
      </w:r>
      <w:r>
        <w:rPr>
          <w:w w:val="99"/>
        </w:rPr>
        <w:t> </w:t>
      </w:r>
      <w:r>
        <w:rPr>
          <w:spacing w:val="-2"/>
        </w:rPr>
        <w:t>以现金结算的股份支付，按照本公司承担的以股份或其他权益工具为基础计算确定的负债的公允价值计量。授予后立即</w:t>
      </w:r>
    </w:p>
    <w:p>
      <w:pPr>
        <w:pStyle w:val="BodyText"/>
        <w:spacing w:line="316" w:lineRule="auto" w:before="31"/>
        <w:ind w:right="0"/>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3"/>
        </w:rPr>
        <w:t> </w:t>
      </w:r>
      <w:r>
        <w:rPr>
          <w:spacing w:val="-43"/>
        </w:rPr>
      </w:r>
      <w:r>
        <w:rPr/>
        <w:t>增加相应负债。在相关负债结算前的每个资产负债表日以及结算日，对负债的公允价值重新计量，其变动计入当期损益。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收入" w:id="199"/>
      <w:bookmarkEnd w:id="199"/>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240" w:lineRule="auto" w:before="28"/>
        <w:ind w:left="1494" w:right="0"/>
        <w:jc w:val="left"/>
      </w:pPr>
      <w:r>
        <w:rPr/>
        <w:t>（</w:t>
      </w:r>
      <w:r>
        <w:rPr>
          <w:rFonts w:ascii="Times New Roman" w:hAnsi="Times New Roman" w:cs="Times New Roman" w:eastAsia="Times New Roman" w:hint="default"/>
        </w:rPr>
        <w:t>1</w:t>
      </w:r>
      <w:r>
        <w:rPr/>
        <w:t>）销售商品收入</w:t>
      </w:r>
    </w:p>
    <w:p>
      <w:pPr>
        <w:pStyle w:val="BodyText"/>
        <w:spacing w:line="240" w:lineRule="auto" w:before="63"/>
        <w:ind w:left="1494" w:right="0"/>
        <w:jc w:val="left"/>
      </w:pPr>
      <w:r>
        <w:rPr/>
        <w:t>①销售商品收入确认的一般原则</w:t>
      </w:r>
    </w:p>
    <w:p>
      <w:pPr>
        <w:pStyle w:val="BodyText"/>
        <w:spacing w:line="300" w:lineRule="auto" w:before="76"/>
        <w:ind w:left="1494" w:right="2877"/>
        <w:jc w:val="left"/>
      </w:pPr>
      <w:r>
        <w:rPr>
          <w:rFonts w:ascii="Times New Roman" w:hAnsi="Times New Roman" w:cs="Times New Roman" w:eastAsia="Times New Roman" w:hint="default"/>
        </w:rPr>
        <w:t>a.</w:t>
      </w:r>
      <w:r>
        <w:rPr/>
        <w:t>本公司已将商品所有权上的主要风险和报酬转移给购货方； </w:t>
      </w:r>
      <w:r>
        <w:rPr>
          <w:rFonts w:ascii="Times New Roman" w:hAnsi="Times New Roman" w:cs="Times New Roman" w:eastAsia="Times New Roman" w:hint="default"/>
        </w:rPr>
        <w:t>b.</w:t>
      </w:r>
      <w:r>
        <w:rPr/>
        <w:t>本公司既没有保留通常与所有权相联系的继续管理权，也没有对已售出的商品实施有效控制； </w:t>
      </w:r>
      <w:r>
        <w:rPr>
          <w:rFonts w:ascii="Times New Roman" w:hAnsi="Times New Roman" w:cs="Times New Roman" w:eastAsia="Times New Roman" w:hint="default"/>
        </w:rPr>
        <w:t>c.</w:t>
      </w:r>
      <w:r>
        <w:rPr/>
        <w:t>收入的金额能够可靠地计量；</w:t>
      </w:r>
    </w:p>
    <w:p>
      <w:pPr>
        <w:pStyle w:val="BodyText"/>
        <w:spacing w:line="300" w:lineRule="auto" w:before="13"/>
        <w:ind w:left="1494" w:right="6307"/>
        <w:jc w:val="left"/>
      </w:pPr>
      <w:r>
        <w:rPr>
          <w:rFonts w:ascii="Times New Roman" w:hAnsi="Times New Roman" w:cs="Times New Roman" w:eastAsia="Times New Roman" w:hint="default"/>
        </w:rPr>
        <w:t>d.</w:t>
      </w:r>
      <w:r>
        <w:rPr/>
        <w:t>相关的经济利益很可能流入本公司； </w:t>
      </w:r>
      <w:r>
        <w:rPr>
          <w:rFonts w:ascii="Times New Roman" w:hAnsi="Times New Roman" w:cs="Times New Roman" w:eastAsia="Times New Roman" w:hint="default"/>
        </w:rPr>
        <w:t>e.</w:t>
      </w:r>
      <w:r>
        <w:rPr/>
        <w:t>相关的、已发生或将发生的成本能够可靠地计量。</w:t>
      </w:r>
    </w:p>
    <w:p>
      <w:pPr>
        <w:pStyle w:val="BodyText"/>
        <w:spacing w:line="309" w:lineRule="auto" w:before="13"/>
        <w:ind w:left="1493" w:right="5038"/>
        <w:jc w:val="left"/>
      </w:pPr>
      <w:r>
        <w:rPr/>
        <w:t>②销售商品收入确认时间的具体判断标准 </w:t>
      </w:r>
      <w:r>
        <w:rPr>
          <w:rFonts w:ascii="Times New Roman" w:hAnsi="Times New Roman" w:cs="Times New Roman" w:eastAsia="Times New Roman" w:hint="default"/>
        </w:rPr>
        <w:t>a.</w:t>
      </w:r>
      <w:r>
        <w:rPr/>
        <w:t>合同经双方签字盖章确认，已经生效； </w:t>
      </w:r>
      <w:r>
        <w:rPr>
          <w:rFonts w:ascii="Times New Roman" w:hAnsi="Times New Roman" w:cs="Times New Roman" w:eastAsia="Times New Roman" w:hint="default"/>
        </w:rPr>
        <w:t>b.</w:t>
      </w:r>
      <w:r>
        <w:rPr/>
        <w:t>设备已经发出，且通过物流公司或公司销售部确认客户已经收到；</w:t>
      </w:r>
    </w:p>
    <w:p>
      <w:pPr>
        <w:pStyle w:val="BodyText"/>
        <w:spacing w:line="240" w:lineRule="auto" w:before="5"/>
        <w:ind w:left="1493" w:right="0"/>
        <w:jc w:val="left"/>
      </w:pPr>
      <w:r>
        <w:rPr>
          <w:rFonts w:ascii="Times New Roman" w:hAnsi="Times New Roman" w:cs="Times New Roman" w:eastAsia="Times New Roman" w:hint="default"/>
        </w:rPr>
        <w:t>c.</w:t>
      </w:r>
      <w:r>
        <w:rPr/>
        <w:t>设备按合同要求已经安装调试完毕；或经公司销售部确认设备已安装调试完毕，客户已经验收。</w:t>
      </w:r>
    </w:p>
    <w:p>
      <w:pPr>
        <w:pStyle w:val="BodyText"/>
        <w:spacing w:line="300" w:lineRule="auto" w:before="63"/>
        <w:ind w:left="1493" w:right="1033"/>
        <w:jc w:val="left"/>
      </w:pPr>
      <w:r>
        <w:rPr/>
        <w:t>（</w:t>
      </w: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31"/>
        <w:ind w:left="1494" w:right="0"/>
        <w:jc w:val="left"/>
      </w:pPr>
      <w:r>
        <w:rPr/>
        <w:t>①利息收入金额：按照他人使用本企业货币资金的时间和实际利率计算确定。</w:t>
      </w:r>
    </w:p>
    <w:p>
      <w:pPr>
        <w:pStyle w:val="BodyText"/>
        <w:spacing w:line="240" w:lineRule="auto" w:before="76"/>
        <w:ind w:left="1494" w:right="0"/>
        <w:jc w:val="left"/>
      </w:pPr>
      <w:r>
        <w:rPr/>
        <w:t>②使用费收入金额：按照有关合同或协议约定的收费时间和方法计算确定。</w:t>
      </w:r>
    </w:p>
    <w:p>
      <w:pPr>
        <w:pStyle w:val="BodyText"/>
        <w:spacing w:line="240" w:lineRule="auto" w:before="76"/>
        <w:ind w:left="1494" w:right="0"/>
        <w:jc w:val="left"/>
      </w:pPr>
      <w:r>
        <w:rPr/>
        <w:t>③</w:t>
      </w:r>
      <w:r>
        <w:rPr>
          <w:rFonts w:ascii="Times New Roman" w:hAnsi="Times New Roman" w:cs="Times New Roman" w:eastAsia="Times New Roman" w:hint="default"/>
        </w:rPr>
        <w:t>ATM</w:t>
      </w:r>
      <w:r>
        <w:rPr/>
        <w:t>服务收入：收入的金额能够可靠地计量；相关的经济利益很可能流入企业时确认收入。</w:t>
      </w:r>
    </w:p>
    <w:p>
      <w:pPr>
        <w:pStyle w:val="BodyText"/>
        <w:spacing w:line="316" w:lineRule="auto" w:before="63"/>
        <w:ind w:left="1494" w:right="6612"/>
        <w:jc w:val="left"/>
      </w:pPr>
      <w:r>
        <w:rPr/>
        <w:t>④租赁资产收入： 在租赁开始日将租赁分为融资租赁和经营租赁。</w:t>
      </w:r>
    </w:p>
    <w:p>
      <w:pPr>
        <w:pStyle w:val="BodyText"/>
        <w:spacing w:line="316" w:lineRule="auto" w:before="19"/>
        <w:ind w:left="1493" w:right="1213"/>
        <w:jc w:val="left"/>
      </w:pPr>
      <w:r>
        <w:rPr/>
        <w:t>融资租赁，是指实质上转移了与资产所有权有关的全部风险和报酬的租赁。其所有权最终可能转移，也可能不转移。 符合下列一项或数项标准的，认定为融资租赁：</w:t>
      </w:r>
    </w:p>
    <w:p>
      <w:pPr>
        <w:pStyle w:val="BodyText"/>
        <w:spacing w:line="300" w:lineRule="auto" w:before="19"/>
        <w:ind w:left="1494" w:right="1130"/>
        <w:jc w:val="left"/>
      </w:pPr>
      <w:r>
        <w:rPr>
          <w:rFonts w:ascii="Times New Roman" w:hAnsi="Times New Roman" w:cs="Times New Roman" w:eastAsia="Times New Roman" w:hint="default"/>
        </w:rPr>
        <w:t>a.</w:t>
      </w:r>
      <w:r>
        <w:rPr/>
        <w:t>在租赁期届满时，租赁资产的所有权转移给承租人； </w:t>
      </w:r>
      <w:r>
        <w:rPr>
          <w:rFonts w:ascii="Times New Roman" w:hAnsi="Times New Roman" w:cs="Times New Roman" w:eastAsia="Times New Roman" w:hint="default"/>
          <w:spacing w:val="-1"/>
        </w:rPr>
        <w:t>b.</w:t>
      </w:r>
      <w:r>
        <w:rPr>
          <w:spacing w:val="-1"/>
        </w:rPr>
        <w:t>承租人有购买租赁资产的选择权，所订立的购买价款预计将远低于行使选择权时租赁资产的公允价值，因而在租赁开</w:t>
      </w:r>
    </w:p>
    <w:p>
      <w:pPr>
        <w:pStyle w:val="BodyText"/>
        <w:spacing w:line="240" w:lineRule="auto" w:before="13"/>
        <w:ind w:left="1134" w:right="0"/>
        <w:jc w:val="left"/>
      </w:pPr>
      <w:r>
        <w:rPr/>
        <w:t>始日就可以合理确定承租人将会行使这种选择权；</w:t>
      </w:r>
    </w:p>
    <w:p>
      <w:pPr>
        <w:pStyle w:val="BodyText"/>
        <w:spacing w:line="300" w:lineRule="auto" w:before="76"/>
        <w:ind w:left="1494" w:right="1130"/>
        <w:jc w:val="left"/>
      </w:pPr>
      <w:r>
        <w:rPr>
          <w:rFonts w:ascii="Times New Roman" w:hAnsi="Times New Roman" w:cs="Times New Roman" w:eastAsia="Times New Roman" w:hint="default"/>
        </w:rPr>
        <w:t>c.</w:t>
      </w:r>
      <w:r>
        <w:rPr/>
        <w:t>即使资产的所有权不转移，但租赁期占租赁资产使用寿命的大部分； </w:t>
      </w:r>
      <w:r>
        <w:rPr>
          <w:rFonts w:ascii="Times New Roman" w:hAnsi="Times New Roman" w:cs="Times New Roman" w:eastAsia="Times New Roman" w:hint="default"/>
          <w:spacing w:val="-1"/>
        </w:rPr>
        <w:t>d.</w:t>
      </w:r>
      <w:r>
        <w:rPr>
          <w:spacing w:val="-1"/>
        </w:rPr>
        <w:t>承租人在租赁开始日的最低租赁付款额现值，几乎相当于租赁开始日租赁资产公允价值；出租人在租赁开始日的最低</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left="1493" w:right="4508" w:hanging="360"/>
        <w:jc w:val="left"/>
      </w:pPr>
      <w:r>
        <w:rPr/>
        <w:t>租赁收款额现值，几乎相当于租赁开始日租赁资产公允价值； </w:t>
      </w:r>
      <w:r>
        <w:rPr>
          <w:rFonts w:ascii="Times New Roman" w:hAnsi="Times New Roman" w:cs="Times New Roman" w:eastAsia="Times New Roman" w:hint="default"/>
        </w:rPr>
        <w:t>e.</w:t>
      </w:r>
      <w:r>
        <w:rPr/>
        <w:t>租赁资产性质特殊，如果不作较大改造，只有承租人才能使用。 公司内含利率的计算公式如下： 公司内含利率</w:t>
      </w:r>
      <w:r>
        <w:rPr>
          <w:rFonts w:ascii="Times New Roman" w:hAnsi="Times New Roman" w:cs="Times New Roman" w:eastAsia="Times New Roman" w:hint="default"/>
        </w:rPr>
        <w:t>=</w:t>
      </w:r>
      <w:r>
        <w:rPr/>
        <w:t>金融机构中长期贷款基准利率</w:t>
      </w:r>
      <w:r>
        <w:rPr>
          <w:rFonts w:ascii="Times New Roman" w:hAnsi="Times New Roman" w:cs="Times New Roman" w:eastAsia="Times New Roman" w:hint="default"/>
        </w:rPr>
        <w:t>+</w:t>
      </w:r>
      <w:r>
        <w:rPr/>
        <w:t>居民消费价格指数</w:t>
      </w:r>
      <w:r>
        <w:rPr>
          <w:rFonts w:ascii="Times New Roman" w:hAnsi="Times New Roman" w:cs="Times New Roman" w:eastAsia="Times New Roman" w:hint="default"/>
        </w:rPr>
        <w:t>+</w:t>
      </w:r>
      <w:r>
        <w:rPr/>
        <w:t>其他因素 未实现融资收益在租赁期内各个期间按实际利率法分配。 或有租金在实际发生时确认为当期收入。</w:t>
      </w:r>
    </w:p>
    <w:p>
      <w:pPr>
        <w:pStyle w:val="BodyText"/>
        <w:spacing w:line="240" w:lineRule="auto" w:before="22"/>
        <w:ind w:left="1494" w:right="0"/>
        <w:jc w:val="left"/>
      </w:pPr>
      <w:r>
        <w:rPr/>
        <w:t>经营租赁是指除融资租赁以外的其他租赁，经营租赁的租金在租赁期内的各个期间按直线法确认为收入。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政府补助" w:id="200"/>
      <w:bookmarkEnd w:id="200"/>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201"/>
      <w:bookmarkEnd w:id="20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2" w:firstLine="360"/>
        <w:jc w:val="both"/>
      </w:pPr>
      <w:r>
        <w:rPr>
          <w:spacing w:val="-2"/>
        </w:rPr>
        <w:t>①判断依据：本公司将政府补助划分为与资产相关的具体标准为：企业取得的，用于购建或以其他方式形成长期资产的</w:t>
      </w:r>
      <w:r>
        <w:rPr/>
        <w:t> </w:t>
      </w:r>
      <w:r>
        <w:rPr>
          <w:spacing w:val="-2"/>
        </w:rPr>
        <w:t>政府补助；对于政府文件未明确规定补助对象的，本公司将该政府补助划分为与资产相关或与收益相关的判断依据为：是否</w:t>
      </w:r>
      <w:r>
        <w:rPr>
          <w:spacing w:val="-66"/>
        </w:rPr>
        <w:t> </w:t>
      </w:r>
      <w:r>
        <w:rPr>
          <w:spacing w:val="-66"/>
        </w:rPr>
      </w:r>
      <w:r>
        <w:rPr/>
        <w:t>用于购建或以其他方式形成长期资产。</w:t>
      </w:r>
    </w:p>
    <w:p>
      <w:pPr>
        <w:pStyle w:val="BodyText"/>
        <w:spacing w:line="316" w:lineRule="auto" w:before="19"/>
        <w:ind w:left="1134" w:right="0" w:firstLine="360"/>
        <w:jc w:val="left"/>
      </w:pPr>
      <w:r>
        <w:rPr>
          <w:spacing w:val="-2"/>
        </w:rPr>
        <w:t>②会计处理方法：与资产相关的政府补助，冲减相关资产账面价值或确认为递延收益。确认为递延收益的，在相关资产</w:t>
      </w:r>
      <w:r>
        <w:rPr/>
        <w:t> </w:t>
      </w:r>
      <w:r>
        <w:rPr>
          <w:spacing w:val="-4"/>
        </w:rPr>
        <w:t>使用寿命内按照合理、系统的方法分期计入当期损益（与本公司日常活动相关的，计入其他收益；与本公司日常活动无关的，</w:t>
      </w:r>
      <w:r>
        <w:rPr>
          <w:spacing w:val="-46"/>
        </w:rPr>
        <w:t> </w:t>
      </w:r>
      <w:r>
        <w:rPr>
          <w:spacing w:val="-46"/>
        </w:rPr>
      </w:r>
      <w:r>
        <w:rPr/>
        <w:t>计入营业外收入）。</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与收益相关的政府补助判断依据及会计处理方法" w:id="202"/>
      <w:bookmarkEnd w:id="20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2" w:firstLine="360"/>
        <w:jc w:val="both"/>
      </w:pPr>
      <w:r>
        <w:rPr>
          <w:spacing w:val="-2"/>
        </w:rPr>
        <w:t>①判断依据：本公司将政府补助划分为与收益相关的具体标准为：除与资产相关的政府补助之外的政府补助；对于政府</w:t>
      </w:r>
      <w:r>
        <w:rPr/>
        <w:t> </w:t>
      </w:r>
      <w:r>
        <w:rPr>
          <w:spacing w:val="-2"/>
        </w:rPr>
        <w:t>文件未明确规定补助对象的，本公司将该政府补助划分为与资产相关或与收益相关的判断依据为：是否用于购建或以其他方</w:t>
      </w:r>
      <w:r>
        <w:rPr>
          <w:spacing w:val="-64"/>
        </w:rPr>
        <w:t> </w:t>
      </w:r>
      <w:r>
        <w:rPr>
          <w:spacing w:val="-64"/>
        </w:rPr>
      </w:r>
      <w:r>
        <w:rPr/>
        <w:t>式形成长期资产。</w:t>
      </w:r>
    </w:p>
    <w:p>
      <w:pPr>
        <w:pStyle w:val="BodyText"/>
        <w:spacing w:line="316" w:lineRule="auto" w:before="17"/>
        <w:ind w:right="1131" w:firstLine="360"/>
        <w:jc w:val="both"/>
      </w:pPr>
      <w:r>
        <w:rPr>
          <w:spacing w:val="-2"/>
        </w:rPr>
        <w:t>②会计处理方法：与收益相关的政府补助，用于补偿本公司以后期间的相关成本费用或损失的，确认为递延收益，并在</w:t>
      </w:r>
      <w:r>
        <w:rPr/>
        <w:t> </w:t>
      </w:r>
      <w:r>
        <w:rPr>
          <w:spacing w:val="-2"/>
        </w:rPr>
        <w:t>确认相关成本费用或损失的期间，计入当期损益（与本公司日常活动相关的，计入其他收益；与本公司日常活动无关的，计</w:t>
      </w:r>
      <w:r>
        <w:rPr>
          <w:spacing w:val="-66"/>
        </w:rPr>
        <w:t> </w:t>
      </w:r>
      <w:r>
        <w:rPr>
          <w:spacing w:val="-66"/>
        </w:rPr>
      </w:r>
      <w:r>
        <w:rPr>
          <w:spacing w:val="-2"/>
        </w:rPr>
        <w:t>入营业外收入）或冲减相关成本费用或损失；用于补偿本公司已发生的相关成本费用或损失的，直接计入当期损益（与本公</w:t>
      </w:r>
      <w:r>
        <w:rPr>
          <w:spacing w:val="-66"/>
        </w:rPr>
        <w:t> </w:t>
      </w:r>
      <w:r>
        <w:rPr>
          <w:spacing w:val="-66"/>
        </w:rPr>
      </w:r>
      <w:r>
        <w:rPr/>
        <w:t>司日常活动相关的，计入其他收益；与本公司日常活动无关的，计入营业外收入）或冲减相关成本费用或损失。</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递延所得税资产/递延所得税负债" w:id="203"/>
      <w:bookmarkEnd w:id="203"/>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1494"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1494"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1494" w:right="0"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134"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shape style="position:absolute;margin-left:277.834015pt;margin-top:706.559998pt;width:273.7pt;height:31.2pt;mso-position-horizontal-relative:page;mso-position-vertical-relative:page;z-index:-800632" type="#_x0000_t202" filled="false" stroked="false">
            <v:textbox inset="0,0,0,0">
              <w:txbxContent>
                <w:p>
                  <w:pPr>
                    <w:pStyle w:val="BodyText"/>
                    <w:spacing w:line="205" w:lineRule="exact"/>
                    <w:ind w:left="0" w:right="0"/>
                    <w:jc w:val="left"/>
                  </w:pPr>
                  <w:r>
                    <w:rPr/>
                    <w:t>至施行日新增的政府补助，</w:t>
                  </w:r>
                </w:p>
              </w:txbxContent>
            </v:textbox>
            <w10:wrap type="none"/>
          </v:shape>
        </w:pict>
      </w:r>
      <w:r>
        <w:rPr/>
        <w:pict>
          <v:group style="position:absolute;margin-left:383.019989pt;margin-top:706.559998pt;width:168.5pt;height:31.2pt;mso-position-horizontal-relative:page;mso-position-vertical-relative:page;z-index:-800608" coordorigin="7660,14131" coordsize="3370,624">
            <v:shape style="position:absolute;left:7660;top:14131;width:3370;height:624" coordorigin="7660,14131" coordsize="3370,624" path="m7660,14755l11030,14755,11030,14131,7660,14131,7660,14755xe" filled="true" fillcolor="#ffffff" stroked="false">
              <v:path arrowok="t"/>
              <v:fill type="solid"/>
            </v:shape>
            <w10:wrap type="none"/>
          </v:group>
        </w:pict>
      </w:r>
    </w:p>
    <w:p>
      <w:pPr>
        <w:pStyle w:val="Heading3"/>
        <w:spacing w:line="240" w:lineRule="auto" w:before="35"/>
        <w:ind w:right="0"/>
        <w:jc w:val="left"/>
        <w:rPr>
          <w:b w:val="0"/>
          <w:bCs w:val="0"/>
        </w:rPr>
      </w:pPr>
      <w:bookmarkStart w:name="27、租赁" w:id="204"/>
      <w:bookmarkEnd w:id="204"/>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①公司租入资产所支付的租赁费，在不扣除免租期的整个租赁期内，按直线法进行分摊，计入当期费用。公司支付的与</w:t>
      </w:r>
      <w:r>
        <w:rPr/>
        <w:t> 租赁交易相关的初始直接费用，计入当期费用。</w:t>
      </w:r>
    </w:p>
    <w:p>
      <w:pPr>
        <w:pStyle w:val="BodyText"/>
        <w:spacing w:line="316" w:lineRule="auto" w:before="19"/>
        <w:ind w:left="1134" w:right="1130"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left="1134" w:right="1131" w:firstLine="360"/>
        <w:jc w:val="both"/>
      </w:pPr>
      <w:r>
        <w:rPr>
          <w:spacing w:val="-2"/>
        </w:rPr>
        <w:t>②公司出租资产所收取的租赁费，在扣除免租期的租赁期内，按直线法进行分摊，确认为租赁相关收入。公司支付的与</w:t>
      </w:r>
      <w:r>
        <w:rPr/>
        <w:t> </w:t>
      </w:r>
      <w:r>
        <w:rPr>
          <w:spacing w:val="-2"/>
        </w:rPr>
        <w:t>租赁交易相关的初始直接费用，计入当期费用；如金额较大的，则予以资本化，在整个租赁期间内按照与租赁相关收入确认</w:t>
      </w:r>
      <w:r>
        <w:rPr>
          <w:spacing w:val="-66"/>
        </w:rPr>
        <w:t> </w:t>
      </w:r>
      <w:r>
        <w:rPr>
          <w:spacing w:val="-66"/>
        </w:rPr>
      </w:r>
      <w:r>
        <w:rPr/>
        <w:t>相同的基础分期计入当期收益。</w:t>
      </w:r>
    </w:p>
    <w:p>
      <w:pPr>
        <w:pStyle w:val="BodyText"/>
        <w:spacing w:line="316" w:lineRule="auto" w:before="19"/>
        <w:ind w:left="1134"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①本公司未发生融资租入资产事项。</w:t>
      </w:r>
    </w:p>
    <w:p>
      <w:pPr>
        <w:pStyle w:val="BodyText"/>
        <w:spacing w:line="240" w:lineRule="auto" w:before="76"/>
        <w:ind w:left="1134" w:right="0"/>
        <w:jc w:val="left"/>
      </w:pPr>
      <w:r>
        <w:rPr/>
        <w:t>②融资租出资产：详见财务报告五、</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2</w:t>
      </w:r>
      <w:r>
        <w:rPr/>
        <w:t>）④</w:t>
      </w:r>
    </w:p>
    <w:p>
      <w:pPr>
        <w:spacing w:line="240" w:lineRule="auto" w:before="11"/>
        <w:rPr>
          <w:rFonts w:ascii="宋体" w:hAnsi="宋体" w:cs="宋体" w:eastAsia="宋体" w:hint="default"/>
          <w:sz w:val="25"/>
          <w:szCs w:val="25"/>
        </w:rPr>
      </w:pPr>
    </w:p>
    <w:p>
      <w:pPr>
        <w:pStyle w:val="Heading3"/>
        <w:spacing w:line="240" w:lineRule="auto"/>
        <w:ind w:left="1134" w:right="0"/>
        <w:jc w:val="left"/>
        <w:rPr>
          <w:b w:val="0"/>
          <w:bCs w:val="0"/>
        </w:rPr>
      </w:pPr>
      <w:bookmarkStart w:name="28、 终止经营" w:id="207"/>
      <w:bookmarkEnd w:id="207"/>
      <w:r>
        <w:rPr>
          <w:b w:val="0"/>
          <w:bCs w:val="0"/>
        </w:rPr>
      </w:r>
      <w:r>
        <w:rPr>
          <w:rFonts w:ascii="Times New Roman" w:hAnsi="Times New Roman" w:cs="Times New Roman" w:eastAsia="Times New Roman" w:hint="default"/>
        </w:rPr>
        <w:t>28</w:t>
      </w:r>
      <w:r>
        <w:rPr/>
        <w:t>、</w:t>
      </w:r>
      <w:r>
        <w:rPr>
          <w:spacing w:val="-3"/>
        </w:rPr>
        <w:t> </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2" w:firstLine="360"/>
        <w:jc w:val="both"/>
      </w:pPr>
      <w:r>
        <w:rPr>
          <w:spacing w:val="-2"/>
        </w:rPr>
        <w:t>终止经营是满足下列条件之一的、能够单独区分的组成部分，且该组成部分已被本公司处置或被本公司划归为持有待售</w:t>
      </w:r>
      <w:r>
        <w:rPr/>
        <w:t> 类别：</w:t>
      </w:r>
    </w:p>
    <w:p>
      <w:pPr>
        <w:pStyle w:val="BodyText"/>
        <w:spacing w:line="240" w:lineRule="auto" w:before="17"/>
        <w:ind w:left="149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1493"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left="1493" w:right="0"/>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11"/>
        <w:rPr>
          <w:rFonts w:ascii="宋体" w:hAnsi="宋体" w:cs="宋体" w:eastAsia="宋体" w:hint="default"/>
          <w:sz w:val="25"/>
          <w:szCs w:val="25"/>
        </w:rPr>
      </w:pPr>
    </w:p>
    <w:p>
      <w:pPr>
        <w:pStyle w:val="Heading3"/>
        <w:spacing w:line="240" w:lineRule="auto"/>
        <w:ind w:left="1134" w:right="0"/>
        <w:jc w:val="left"/>
        <w:rPr>
          <w:b w:val="0"/>
          <w:bCs w:val="0"/>
        </w:rPr>
      </w:pPr>
      <w:bookmarkStart w:name="29、重要会计政策和会计估计变更" w:id="208"/>
      <w:bookmarkEnd w:id="208"/>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769" w:type="dxa"/>
        <w:tblLayout w:type="fixed"/>
        <w:tblCellMar>
          <w:top w:w="0" w:type="dxa"/>
          <w:left w:w="0" w:type="dxa"/>
          <w:bottom w:w="0" w:type="dxa"/>
          <w:right w:w="0" w:type="dxa"/>
        </w:tblCellMar>
        <w:tblLook w:val="01E0"/>
      </w:tblPr>
      <w:tblGrid>
        <w:gridCol w:w="2345"/>
        <w:gridCol w:w="4536"/>
        <w:gridCol w:w="3380"/>
      </w:tblGrid>
      <w:tr>
        <w:trPr>
          <w:trHeight w:val="402"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1"/>
              <w:jc w:val="left"/>
              <w:rPr>
                <w:rFonts w:ascii="宋体" w:hAnsi="宋体" w:cs="宋体" w:eastAsia="宋体" w:hint="default"/>
                <w:sz w:val="18"/>
                <w:szCs w:val="18"/>
              </w:rPr>
            </w:pP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 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 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年度发布了《企业会计准则第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有待售的非流动资产、处置组和终止经营</w:t>
            </w:r>
            <w:r>
              <w:rPr>
                <w:rFonts w:ascii="宋体" w:hAnsi="宋体" w:cs="宋体" w:eastAsia="宋体" w:hint="default"/>
                <w:spacing w:val="-90"/>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2" w:lineRule="auto" w:before="63"/>
              <w:ind w:left="22" w:right="9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日起施行，对于施行日存在的持有待售的非流动资 产、处置组和终止经营，要求采用未来适用法处理。</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13,767,02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年金额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23,246,24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元；列示终止经营净利润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650"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与本公司日常活动相关的政 </w:t>
            </w:r>
            <w:r>
              <w:rPr>
                <w:rFonts w:ascii="宋体" w:hAnsi="宋体" w:cs="宋体" w:eastAsia="宋体" w:hint="default"/>
                <w:spacing w:val="-4"/>
                <w:sz w:val="18"/>
                <w:szCs w:val="18"/>
              </w:rPr>
              <w:t>府补助，计入其他收益，不再</w:t>
            </w:r>
            <w:r>
              <w:rPr>
                <w:rFonts w:ascii="宋体" w:hAnsi="宋体" w:cs="宋体" w:eastAsia="宋体" w:hint="default"/>
                <w:sz w:val="18"/>
                <w:szCs w:val="18"/>
              </w:rPr>
              <w:t> </w:t>
            </w:r>
            <w:r>
              <w:rPr>
                <w:rFonts w:ascii="宋体" w:hAnsi="宋体" w:cs="宋体" w:eastAsia="宋体" w:hint="default"/>
                <w:spacing w:val="-4"/>
                <w:sz w:val="18"/>
                <w:szCs w:val="18"/>
              </w:rPr>
              <w:t>计入营业外收入。比较数据不</w:t>
            </w:r>
            <w:r>
              <w:rPr>
                <w:rFonts w:ascii="宋体" w:hAnsi="宋体" w:cs="宋体" w:eastAsia="宋体" w:hint="default"/>
                <w:sz w:val="18"/>
                <w:szCs w:val="18"/>
              </w:rPr>
              <w:t> 调整。</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年度修订了《企业会计准则第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府补助</w:t>
            </w:r>
            <w:r>
              <w:rPr>
                <w:rFonts w:ascii="宋体" w:hAnsi="宋体" w:cs="宋体" w:eastAsia="宋体" w:hint="default"/>
                <w:spacing w:val="-90"/>
                <w:sz w:val="18"/>
                <w:szCs w:val="18"/>
              </w:rPr>
              <w:t>》</w:t>
            </w:r>
            <w:r>
              <w:rPr>
                <w:rFonts w:ascii="宋体" w:hAnsi="宋体" w:cs="宋体" w:eastAsia="宋体" w:hint="default"/>
                <w:sz w:val="18"/>
                <w:szCs w:val="18"/>
              </w:rPr>
              <w:t>，修订后的准则自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起施行，对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日存在的政府补助，要求采用未来适用</w:t>
            </w:r>
          </w:p>
          <w:p>
            <w:pPr>
              <w:pStyle w:val="TableParagraph"/>
              <w:spacing w:line="302" w:lineRule="auto" w:before="63"/>
              <w:ind w:left="22" w:right="1623"/>
              <w:jc w:val="left"/>
              <w:rPr>
                <w:rFonts w:ascii="宋体" w:hAnsi="宋体" w:cs="宋体" w:eastAsia="宋体" w:hint="default"/>
                <w:sz w:val="18"/>
                <w:szCs w:val="18"/>
              </w:rPr>
            </w:pPr>
            <w:r>
              <w:rPr>
                <w:rFonts w:ascii="宋体" w:hAnsi="宋体" w:cs="宋体" w:eastAsia="宋体" w:hint="default"/>
                <w:spacing w:val="-4"/>
                <w:sz w:val="18"/>
                <w:szCs w:val="18"/>
              </w:rPr>
              <w:t>法处理；对于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也要求按照修订后的准则进行调整。</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25,149,748.76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62"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9"/>
              <w:jc w:val="center"/>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年度发布了《财政部关于修订印发一般企</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年营业外收入减少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82,831.33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元、营业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769" w:type="dxa"/>
        <w:tblLayout w:type="fixed"/>
        <w:tblCellMar>
          <w:top w:w="0" w:type="dxa"/>
          <w:left w:w="0" w:type="dxa"/>
          <w:bottom w:w="0" w:type="dxa"/>
          <w:right w:w="0" w:type="dxa"/>
        </w:tblCellMar>
        <w:tblLook w:val="01E0"/>
      </w:tblPr>
      <w:tblGrid>
        <w:gridCol w:w="2345"/>
        <w:gridCol w:w="4536"/>
        <w:gridCol w:w="3380"/>
      </w:tblGrid>
      <w:tr>
        <w:trPr>
          <w:trHeight w:val="161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项目，将部分原列示为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w:t>
            </w:r>
            <w:r>
              <w:rPr>
                <w:rFonts w:ascii="宋体" w:hAnsi="宋体" w:cs="宋体" w:eastAsia="宋体" w:hint="default"/>
                <w:spacing w:val="-81"/>
                <w:sz w:val="18"/>
                <w:szCs w:val="18"/>
              </w:rPr>
              <w:t> </w:t>
            </w:r>
            <w:r>
              <w:rPr>
                <w:rFonts w:ascii="宋体" w:hAnsi="宋体" w:cs="宋体" w:eastAsia="宋体" w:hint="default"/>
                <w:sz w:val="18"/>
                <w:szCs w:val="18"/>
              </w:rPr>
              <w:t>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 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 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 应调整。</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1"/>
              <w:jc w:val="left"/>
              <w:rPr>
                <w:rFonts w:ascii="宋体" w:hAnsi="宋体" w:cs="宋体" w:eastAsia="宋体" w:hint="default"/>
                <w:sz w:val="18"/>
                <w:szCs w:val="18"/>
              </w:rPr>
            </w:pPr>
            <w:r>
              <w:rPr>
                <w:rFonts w:ascii="宋体" w:hAnsi="宋体" w:cs="宋体" w:eastAsia="宋体" w:hint="default"/>
                <w:spacing w:val="-4"/>
                <w:sz w:val="18"/>
                <w:szCs w:val="18"/>
              </w:rPr>
              <w:t>业财务报表格式的通知》，对一般企业财务报表格式进行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了修订，适用于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年度及以后期间的财务报表。</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外支出减少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261,560.26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元，相应增加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年资产处置收益</w:t>
            </w:r>
            <w:r>
              <w:rPr>
                <w:rFonts w:ascii="Times New Roman" w:hAnsi="Times New Roman" w:cs="Times New Roman" w:eastAsia="Times New Roman" w:hint="default"/>
                <w:sz w:val="18"/>
                <w:szCs w:val="18"/>
              </w:rPr>
              <w:t>-178,728.93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年营 业外收入减少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246,582.90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元，营业外支出</w:t>
            </w:r>
          </w:p>
          <w:p>
            <w:pPr>
              <w:pStyle w:val="TableParagraph"/>
              <w:spacing w:line="302"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297,853.16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元，相应增加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年资产 处置收益</w:t>
            </w:r>
            <w:r>
              <w:rPr>
                <w:rFonts w:ascii="Times New Roman" w:hAnsi="Times New Roman" w:cs="Times New Roman" w:eastAsia="Times New Roman" w:hint="default"/>
                <w:sz w:val="18"/>
                <w:szCs w:val="18"/>
              </w:rPr>
              <w:t>-51,270.26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11"/>
      <w:bookmarkEnd w:id="211"/>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2"/>
      <w:bookmarkEnd w:id="21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1609"/>
        <w:gridCol w:w="5220"/>
        <w:gridCol w:w="2729"/>
      </w:tblGrid>
      <w:tr>
        <w:trPr>
          <w:trHeight w:val="402" w:hRule="exact"/>
        </w:trPr>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5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1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220" w:type="dxa"/>
            <w:vMerge w:val="restart"/>
            <w:tcBorders>
              <w:top w:val="single" w:sz="4" w:space="0" w:color="000000"/>
              <w:left w:val="single" w:sz="9" w:space="0" w:color="D2D2D2"/>
              <w:right w:val="single" w:sz="9" w:space="0" w:color="FFFFFF"/>
            </w:tcBorders>
          </w:tcPr>
          <w:p>
            <w:pPr>
              <w:pStyle w:val="TableParagraph"/>
              <w:spacing w:line="316" w:lineRule="auto" w:before="52"/>
              <w:ind w:left="16" w:right="-4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 在扣除当期允许抵扣的进项税额后，差额部分为应交增值税</w:t>
            </w:r>
          </w:p>
        </w:tc>
        <w:tc>
          <w:tcPr>
            <w:tcW w:w="2729" w:type="dxa"/>
            <w:vMerge w:val="restart"/>
            <w:tcBorders>
              <w:top w:val="single" w:sz="4" w:space="0" w:color="000000"/>
              <w:left w:val="single" w:sz="9" w:space="0" w:color="FFFFFF"/>
              <w:right w:val="single" w:sz="4" w:space="0" w:color="000000"/>
            </w:tcBorders>
          </w:tcPr>
          <w:p>
            <w:pPr>
              <w:pStyle w:val="TableParagraph"/>
              <w:spacing w:line="156" w:lineRule="exact"/>
              <w:ind w:left="-7"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136pt;height:7.8pt;mso-position-horizontal-relative:char;mso-position-vertical-relative:line" coordorigin="0,0" coordsize="2720,156">
                  <v:group style="position:absolute;left:0;top:0;width:2720;height:156" coordorigin="0,0" coordsize="2720,156">
                    <v:shape style="position:absolute;left:0;top:0;width:2720;height:156" coordorigin="0,0" coordsize="2720,156" path="m0,156l2720,156,2720,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1" w:hRule="exact"/>
        </w:trPr>
        <w:tc>
          <w:tcPr>
            <w:tcW w:w="1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220" w:type="dxa"/>
            <w:vMerge/>
            <w:tcBorders>
              <w:left w:val="single" w:sz="9" w:space="0" w:color="D2D2D2"/>
              <w:right w:val="single" w:sz="9" w:space="0" w:color="FFFFFF"/>
            </w:tcBorders>
          </w:tcPr>
          <w:p>
            <w:pPr/>
          </w:p>
        </w:tc>
        <w:tc>
          <w:tcPr>
            <w:tcW w:w="2729" w:type="dxa"/>
            <w:vMerge/>
            <w:tcBorders>
              <w:left w:val="single" w:sz="9" w:space="0" w:color="FFFFFF"/>
              <w:right w:val="single" w:sz="4" w:space="0" w:color="000000"/>
            </w:tcBorders>
          </w:tcPr>
          <w:p>
            <w:pPr/>
          </w:p>
        </w:tc>
      </w:tr>
      <w:tr>
        <w:trPr>
          <w:trHeight w:val="161" w:hRule="exact"/>
        </w:trPr>
        <w:tc>
          <w:tcPr>
            <w:tcW w:w="1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220" w:type="dxa"/>
            <w:vMerge/>
            <w:tcBorders>
              <w:left w:val="single" w:sz="9" w:space="0" w:color="D2D2D2"/>
              <w:bottom w:val="single" w:sz="4" w:space="0" w:color="000000"/>
              <w:right w:val="single" w:sz="9" w:space="0" w:color="FFFFFF"/>
            </w:tcBorders>
          </w:tcPr>
          <w:p>
            <w:pPr/>
          </w:p>
        </w:tc>
        <w:tc>
          <w:tcPr>
            <w:tcW w:w="2729" w:type="dxa"/>
            <w:vMerge/>
            <w:tcBorders>
              <w:left w:val="single" w:sz="9" w:space="0" w:color="FFFFFF"/>
              <w:bottom w:val="single" w:sz="4" w:space="0" w:color="000000"/>
              <w:right w:val="single" w:sz="4" w:space="0" w:color="000000"/>
            </w:tcBorders>
          </w:tcPr>
          <w:p>
            <w:pPr/>
          </w:p>
        </w:tc>
      </w:tr>
      <w:tr>
        <w:trPr>
          <w:trHeight w:val="402" w:hRule="exact"/>
        </w:trPr>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2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按实际缴纳的营业税、增值税及消费税计缴</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2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*2</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广州御新软件有限公司</w:t>
            </w:r>
            <w:r>
              <w:rPr>
                <w:rFonts w:ascii="Times New Roman" w:hAnsi="Times New Roman" w:cs="Times New Roman" w:eastAsia="Times New Roman" w:hint="default"/>
                <w:sz w:val="18"/>
                <w:szCs w:val="18"/>
              </w:rPr>
              <w:t>*3</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广州御银自动柜员机技术有限公司</w:t>
            </w:r>
            <w:r>
              <w:rPr>
                <w:rFonts w:ascii="Times New Roman" w:hAnsi="Times New Roman" w:cs="Times New Roman" w:eastAsia="Times New Roman" w:hint="default"/>
                <w:sz w:val="18"/>
                <w:szCs w:val="18"/>
              </w:rPr>
              <w:t>*4</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广州御银自动柜员机科技有限公司</w:t>
            </w:r>
            <w:r>
              <w:rPr>
                <w:rFonts w:ascii="Times New Roman" w:hAnsi="Times New Roman" w:cs="Times New Roman" w:eastAsia="Times New Roman" w:hint="default"/>
                <w:sz w:val="18"/>
                <w:szCs w:val="18"/>
              </w:rPr>
              <w:t>*5</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广州同位素智能科技有限公司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广州御银金融电子设备有限公司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r>
        <w:rPr/>
        <w:pict>
          <v:group style="position:absolute;margin-left:55.200001pt;margin-top:-49.526318pt;width:485pt;height:.1pt;mso-position-horizontal-relative:page;mso-position-vertical-relative:paragraph;z-index:-800560"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税收优惠" w:id="213"/>
      <w:bookmarkEnd w:id="21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3" w:firstLine="360"/>
        <w:jc w:val="left"/>
      </w:pPr>
      <w:r>
        <w:rPr>
          <w:spacing w:val="-2"/>
        </w:rPr>
        <w:t>（</w:t>
      </w:r>
      <w:r>
        <w:rPr>
          <w:rFonts w:ascii="Times New Roman" w:hAnsi="Times New Roman" w:cs="Times New Roman" w:eastAsia="Times New Roman" w:hint="default"/>
          <w:spacing w:val="-2"/>
        </w:rPr>
        <w:t>1</w:t>
      </w:r>
      <w:r>
        <w:rPr>
          <w:spacing w:val="-2"/>
        </w:rPr>
        <w:t>）根据财税【</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92</w:t>
      </w:r>
      <w:r>
        <w:rPr>
          <w:spacing w:val="-2"/>
        </w:rPr>
        <w:t>号《财政部、国家税务总局关于嵌入式软件增值税政策的通知》、财税【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号《财政</w:t>
      </w:r>
      <w:r>
        <w:rPr/>
        <w:t> </w:t>
      </w:r>
      <w:r>
        <w:rPr>
          <w:spacing w:val="-2"/>
        </w:rPr>
        <w:t>部、国家税务总局关于软件产品增值税政策的通知》的有关规定：增值税一般纳税人随同计算机网络、计算机硬件和机器设</w:t>
      </w:r>
      <w:r>
        <w:rPr>
          <w:spacing w:val="-66"/>
        </w:rPr>
        <w:t> </w:t>
      </w:r>
      <w:r>
        <w:rPr>
          <w:spacing w:val="-66"/>
        </w:rPr>
      </w:r>
      <w:r>
        <w:rPr>
          <w:spacing w:val="-2"/>
        </w:rPr>
        <w:t>备等一并销售其自行开发生产的嵌入式软件，如果能够按照《财政部、国家税务总局关于贯彻落实〈中共中央、国务院关于</w:t>
      </w:r>
      <w:r>
        <w:rPr>
          <w:spacing w:val="-65"/>
        </w:rPr>
        <w:t> </w:t>
      </w:r>
      <w:r>
        <w:rPr>
          <w:spacing w:val="-65"/>
        </w:rPr>
      </w:r>
      <w:r>
        <w:rPr/>
        <w:t>加强技术创新，发展高科技，实现产业化的决定〉有关税收问题的通知》（财税字【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 分别核算嵌入式软件与计算机硬件、机器设备等的销售额，可以享受软件产品增值税优惠政策。公司符合财税【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 </w:t>
      </w:r>
      <w:r>
        <w:rPr/>
        <w:t>号、【</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号之规定，嵌入式软件销售收入享受增值税即征即退优惠政策。</w:t>
      </w:r>
    </w:p>
    <w:p>
      <w:pPr>
        <w:pStyle w:val="BodyText"/>
        <w:spacing w:line="300" w:lineRule="auto" w:before="7"/>
        <w:ind w:right="1132" w:firstLine="360"/>
        <w:jc w:val="both"/>
      </w:pPr>
      <w:r>
        <w:rPr>
          <w:spacing w:val="-4"/>
        </w:rPr>
        <w:t>根据《国家税务总局关于北京等</w:t>
      </w:r>
      <w:r>
        <w:rPr>
          <w:rFonts w:ascii="Times New Roman" w:hAnsi="Times New Roman" w:cs="Times New Roman" w:eastAsia="Times New Roman" w:hint="default"/>
          <w:spacing w:val="-4"/>
        </w:rPr>
        <w:t>8</w:t>
      </w:r>
      <w:r>
        <w:rPr>
          <w:spacing w:val="-4"/>
        </w:rPr>
        <w:t>省市营业税改征增值税试点增值税纳税申报有关事项的公告》（国家税务总局公告</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年第</w:t>
      </w:r>
      <w:r>
        <w:rPr>
          <w:rFonts w:ascii="Times New Roman" w:hAnsi="Times New Roman" w:cs="Times New Roman" w:eastAsia="Times New Roman" w:hint="default"/>
        </w:rPr>
        <w:t>43</w:t>
      </w:r>
      <w:r>
        <w:rPr/>
        <w:t>号）的规定，广东省于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日开始在全省范围内实施营业税改增值税试点工作。</w:t>
      </w:r>
    </w:p>
    <w:p>
      <w:pPr>
        <w:pStyle w:val="BodyText"/>
        <w:spacing w:line="300" w:lineRule="auto" w:before="13"/>
        <w:ind w:right="1131" w:firstLine="360"/>
        <w:jc w:val="both"/>
      </w:pPr>
      <w:r>
        <w:rPr>
          <w:spacing w:val="-1"/>
        </w:rPr>
        <w:t>本公司按所属地国税机关要求，自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日起对</w:t>
      </w:r>
      <w:r>
        <w:rPr>
          <w:rFonts w:ascii="Times New Roman" w:hAnsi="Times New Roman" w:cs="Times New Roman" w:eastAsia="Times New Roman" w:hint="default"/>
          <w:spacing w:val="-1"/>
        </w:rPr>
        <w:t>ATM</w:t>
      </w:r>
      <w:r>
        <w:rPr>
          <w:spacing w:val="-1"/>
        </w:rPr>
        <w:t>融资租赁和合作经营手续费收入实行增值税申报和缴纳，并</w:t>
      </w:r>
      <w:r>
        <w:rPr/>
        <w:t> 按照有关规定，对提供有形动产租赁服务收入和合作经营手续费收入采用</w:t>
      </w:r>
      <w:r>
        <w:rPr>
          <w:rFonts w:ascii="Times New Roman" w:hAnsi="Times New Roman" w:cs="Times New Roman" w:eastAsia="Times New Roman" w:hint="default"/>
        </w:rPr>
        <w:t>17%</w:t>
      </w:r>
      <w:r>
        <w:rPr/>
        <w:t>税率。</w:t>
      </w:r>
    </w:p>
    <w:p>
      <w:pPr>
        <w:pStyle w:val="BodyText"/>
        <w:spacing w:line="304" w:lineRule="auto" w:before="13"/>
        <w:ind w:right="1130" w:firstLine="360"/>
        <w:jc w:val="both"/>
      </w:pPr>
      <w:r>
        <w:rPr>
          <w:spacing w:val="-2"/>
        </w:rPr>
        <w:t>在新旧税制转换期间，本公司依照《财政部国家税务总局关于交通运输业和部分现代服务业营业税改增值税试点若干税</w:t>
      </w:r>
      <w:r>
        <w:rPr/>
        <w:t> 收政策的补充通知》（财税【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53</w:t>
      </w:r>
      <w:r>
        <w:rPr/>
        <w:t>号）</w:t>
      </w:r>
      <w:r>
        <w:rPr>
          <w:rFonts w:ascii="Times New Roman" w:hAnsi="Times New Roman" w:cs="Times New Roman" w:eastAsia="Times New Roman" w:hint="default"/>
        </w:rPr>
        <w:t>“</w:t>
      </w:r>
      <w:r>
        <w:rPr/>
        <w:t>第四点、试点纳税人中的一般纳税人，以试点实施之前购进或者自制的有形动 </w:t>
      </w:r>
      <w:r>
        <w:rPr>
          <w:spacing w:val="-2"/>
        </w:rPr>
        <w:t>产为标的物提供的经营租赁服务，试点期间可以选择使用简易计税方法计算缴纳增值税。</w:t>
      </w:r>
      <w:r>
        <w:rPr>
          <w:rFonts w:ascii="Times New Roman" w:hAnsi="Times New Roman" w:cs="Times New Roman" w:eastAsia="Times New Roman" w:hint="default"/>
          <w:spacing w:val="-2"/>
        </w:rPr>
        <w:t>”</w:t>
      </w:r>
      <w:r>
        <w:rPr>
          <w:spacing w:val="-2"/>
        </w:rPr>
        <w:t>的规定，对于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日前发</w:t>
      </w:r>
      <w:r>
        <w:rPr>
          <w:spacing w:val="-47"/>
        </w:rPr>
        <w:t> </w:t>
      </w:r>
      <w:r>
        <w:rPr/>
        <w:t>出的融资机和合作机（发机时已做进项税额转出）所产生的租金收入和手续费收入选择使用</w:t>
      </w:r>
      <w:r>
        <w:rPr>
          <w:rFonts w:ascii="Times New Roman" w:hAnsi="Times New Roman" w:cs="Times New Roman" w:eastAsia="Times New Roman" w:hint="default"/>
        </w:rPr>
        <w:t>3%</w:t>
      </w:r>
      <w:r>
        <w:rPr/>
        <w:t>的简易征收率计算并缴纳增 值税。本年度按</w:t>
      </w:r>
      <w:r>
        <w:rPr>
          <w:rFonts w:ascii="Times New Roman" w:hAnsi="Times New Roman" w:cs="Times New Roman" w:eastAsia="Times New Roman" w:hint="default"/>
        </w:rPr>
        <w:t>3%</w:t>
      </w:r>
      <w:r>
        <w:rPr/>
        <w:t>简易征收率计算并缴纳增值税的租金收入和手续费收入为</w:t>
      </w:r>
      <w:r>
        <w:rPr>
          <w:rFonts w:ascii="Times New Roman" w:hAnsi="Times New Roman" w:cs="Times New Roman" w:eastAsia="Times New Roman" w:hint="default"/>
        </w:rPr>
        <w:t>69,465,829.44</w:t>
      </w:r>
      <w:r>
        <w:rPr/>
        <w:t>元。</w:t>
      </w:r>
    </w:p>
    <w:p>
      <w:pPr>
        <w:pStyle w:val="BodyText"/>
        <w:spacing w:line="300" w:lineRule="auto" w:before="9"/>
        <w:ind w:right="1129" w:firstLine="360"/>
        <w:jc w:val="both"/>
      </w:pPr>
      <w:r>
        <w:rPr/>
        <w:t>（</w:t>
      </w:r>
      <w:r>
        <w:rPr>
          <w:rFonts w:ascii="Times New Roman" w:hAnsi="Times New Roman" w:cs="Times New Roman" w:eastAsia="Times New Roman" w:hint="default"/>
        </w:rPr>
        <w:t>2</w:t>
      </w:r>
      <w:r>
        <w:rPr/>
        <w:t>）根据全国高新技术企业认定管理工作领导小组办公室下发的《关于公示广东省</w:t>
      </w:r>
      <w:r>
        <w:rPr>
          <w:rFonts w:ascii="Times New Roman" w:hAnsi="Times New Roman" w:cs="Times New Roman" w:eastAsia="Times New Roman" w:hint="default"/>
        </w:rPr>
        <w:t>2017</w:t>
      </w:r>
      <w:r>
        <w:rPr/>
        <w:t>年第二批拟认定高新技术企业 </w:t>
      </w:r>
      <w:r>
        <w:rPr>
          <w:spacing w:val="-2"/>
        </w:rPr>
        <w:t>名单的通知》，本公司拟认定为高新技术企业。按照《企业所得税法》等相关法规规定，本公司自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09" w:lineRule="auto" w:before="13"/>
        <w:ind w:right="1130" w:firstLine="360"/>
        <w:jc w:val="both"/>
      </w:pPr>
      <w:r>
        <w:rPr/>
        <w:t>（</w:t>
      </w:r>
      <w:r>
        <w:rPr>
          <w:rFonts w:ascii="Times New Roman" w:hAnsi="Times New Roman" w:cs="Times New Roman" w:eastAsia="Times New Roman" w:hint="default"/>
        </w:rPr>
        <w:t>3</w:t>
      </w:r>
      <w:r>
        <w:rPr/>
        <w:t>）根据全国高新技术企业认定管理工作领导小组办公室下发的《关于公示广东省</w:t>
      </w:r>
      <w:r>
        <w:rPr>
          <w:rFonts w:ascii="Times New Roman" w:hAnsi="Times New Roman" w:cs="Times New Roman" w:eastAsia="Times New Roman" w:hint="default"/>
        </w:rPr>
        <w:t>2017</w:t>
      </w:r>
      <w:r>
        <w:rPr/>
        <w:t>年第一批拟认定高新技术企业 </w:t>
      </w:r>
      <w:r>
        <w:rPr>
          <w:spacing w:val="-2"/>
        </w:rPr>
        <w:t>名单的通知》，公司全资子公司广州御新软件有限公司拟认定为高新技术企业。按照《企业所得税法》等相关法规规定，公</w:t>
      </w:r>
      <w:r>
        <w:rPr>
          <w:spacing w:val="-67"/>
        </w:rPr>
        <w:t> </w:t>
      </w:r>
      <w:r>
        <w:rPr>
          <w:spacing w:val="-67"/>
        </w:rPr>
      </w:r>
      <w:r>
        <w:rPr/>
        <w:t>司全资子公司广州御新软件有限公司自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07" w:lineRule="auto" w:before="5"/>
        <w:ind w:right="1130" w:firstLine="360"/>
        <w:jc w:val="both"/>
      </w:pPr>
      <w:r>
        <w:rPr/>
        <w:t>（</w:t>
      </w:r>
      <w:r>
        <w:rPr>
          <w:rFonts w:ascii="Times New Roman" w:hAnsi="Times New Roman" w:cs="Times New Roman" w:eastAsia="Times New Roman" w:hint="default"/>
        </w:rPr>
        <w:t>4</w:t>
      </w:r>
      <w:r>
        <w:rPr/>
        <w:t>）根据全国高新技术企业认定管理工作领导小组办公室下发的《关于公示广东省</w:t>
      </w:r>
      <w:r>
        <w:rPr>
          <w:rFonts w:ascii="Times New Roman" w:hAnsi="Times New Roman" w:cs="Times New Roman" w:eastAsia="Times New Roman" w:hint="default"/>
        </w:rPr>
        <w:t>2017</w:t>
      </w:r>
      <w:r>
        <w:rPr/>
        <w:t>年第二批拟认定高新技术企业 </w:t>
      </w:r>
      <w:r>
        <w:rPr>
          <w:spacing w:val="-2"/>
        </w:rPr>
        <w:t>名单的通知》，公司全资子公司广州御银自动柜员机技术有限公司拟认定为高新技术企业。按照《企业所得税法》等相关法</w:t>
      </w:r>
      <w:r>
        <w:rPr>
          <w:spacing w:val="-65"/>
        </w:rPr>
        <w:t> </w:t>
      </w:r>
      <w:r>
        <w:rPr>
          <w:spacing w:val="-65"/>
        </w:rPr>
      </w:r>
      <w:r>
        <w:rPr>
          <w:spacing w:val="-2"/>
        </w:rPr>
        <w:t>规规定，公司全资子公司广州御银自动柜员机技术有限公司自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日三年内享受国家高新技术企业</w:t>
      </w:r>
      <w:r>
        <w:rPr>
          <w:spacing w:val="-50"/>
        </w:rPr>
        <w:t> </w:t>
      </w:r>
      <w:r>
        <w:rPr>
          <w:rFonts w:ascii="Times New Roman" w:hAnsi="Times New Roman" w:cs="Times New Roman" w:eastAsia="Times New Roman" w:hint="default"/>
        </w:rPr>
        <w:t>15%</w:t>
      </w:r>
      <w:r>
        <w:rPr/>
        <w:t>的所得税税率。</w:t>
      </w:r>
    </w:p>
    <w:p>
      <w:pPr>
        <w:pStyle w:val="BodyText"/>
        <w:spacing w:line="307" w:lineRule="auto" w:before="7"/>
        <w:ind w:right="1131" w:firstLine="360"/>
        <w:jc w:val="both"/>
      </w:pPr>
      <w:r>
        <w:rPr/>
        <w:t>（</w:t>
      </w:r>
      <w:r>
        <w:rPr>
          <w:rFonts w:ascii="Times New Roman" w:hAnsi="Times New Roman" w:cs="Times New Roman" w:eastAsia="Times New Roman" w:hint="default"/>
        </w:rPr>
        <w:t>5</w:t>
      </w:r>
      <w:r>
        <w:rPr/>
        <w:t>）根据财政部和国家税务总局《关于企业所得税若干优惠政策的通知》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t>号</w:t>
      </w:r>
      <w:r>
        <w:rPr>
          <w:rFonts w:ascii="Times New Roman" w:hAnsi="Times New Roman" w:cs="Times New Roman" w:eastAsia="Times New Roman" w:hint="default"/>
        </w:rPr>
        <w:t>)</w:t>
      </w:r>
      <w:r>
        <w:rPr/>
        <w:t>规定，对我国境内新办软件 </w:t>
      </w:r>
      <w:r>
        <w:rPr>
          <w:spacing w:val="-2"/>
        </w:rPr>
        <w:t>生产企业经认定后，自获利年度起，第一年和第二年免征企业所得税，第三年至第五年减半征收企业所得税。公司全资子公</w:t>
      </w:r>
      <w:r>
        <w:rPr>
          <w:spacing w:val="-66"/>
        </w:rPr>
        <w:t> </w:t>
      </w:r>
      <w:r>
        <w:rPr>
          <w:spacing w:val="-66"/>
        </w:rPr>
      </w:r>
      <w:r>
        <w:rPr/>
        <w:t>司广州御银自动柜员机科技有限公司已取得软件企业认定证书（证书编号：粤</w:t>
      </w:r>
      <w:r>
        <w:rPr>
          <w:rFonts w:ascii="Times New Roman" w:hAnsi="Times New Roman" w:cs="Times New Roman" w:eastAsia="Times New Roman" w:hint="default"/>
        </w:rPr>
        <w:t>R-2014-0175</w:t>
      </w:r>
      <w:r>
        <w:rPr/>
        <w:t>），根据相关规定，公司</w:t>
      </w:r>
      <w:r>
        <w:rPr>
          <w:rFonts w:ascii="Times New Roman" w:hAnsi="Times New Roman" w:cs="Times New Roman" w:eastAsia="Times New Roman" w:hint="default"/>
        </w:rPr>
        <w:t>2015</w:t>
      </w:r>
      <w:r>
        <w:rPr/>
        <w:t>年 至</w:t>
      </w:r>
      <w:r>
        <w:rPr>
          <w:rFonts w:ascii="Times New Roman" w:hAnsi="Times New Roman" w:cs="Times New Roman" w:eastAsia="Times New Roman" w:hint="default"/>
        </w:rPr>
        <w:t>2016</w:t>
      </w:r>
      <w:r>
        <w:rPr/>
        <w:t>年免征企业所得税，</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年减半征收企业所得税。</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七、合并财务报表项目注释" w:id="214"/>
      <w:bookmarkEnd w:id="21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5"/>
      <w:bookmarkEnd w:id="21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1,667,609.81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2,103,461.51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160,728,710.86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388,931,570.36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4,764,935.08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670,150.12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167,161,255.75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391,705,181.99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326,506.44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421,157.55</w:t>
            </w:r>
          </w:p>
        </w:tc>
      </w:tr>
    </w:tbl>
    <w:p>
      <w:pPr>
        <w:pStyle w:val="BodyText"/>
        <w:spacing w:line="240" w:lineRule="auto" w:before="10"/>
        <w:ind w:left="1134" w:right="0"/>
        <w:jc w:val="left"/>
      </w:pPr>
      <w:r>
        <w:rPr/>
        <w:t>其中因抵押、质押或冻结等对使用有限制，以及放在境外且资金汇回受到限制的货币资金明细如下：</w:t>
      </w:r>
    </w:p>
    <w:p>
      <w:pPr>
        <w:spacing w:line="240" w:lineRule="auto" w:before="13"/>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3240"/>
        <w:gridCol w:w="3060"/>
        <w:gridCol w:w="3240"/>
      </w:tblGrid>
      <w:tr>
        <w:trPr>
          <w:trHeight w:val="335" w:hRule="exact"/>
        </w:trPr>
        <w:tc>
          <w:tcPr>
            <w:tcW w:w="324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9"/>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24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60" w:type="dxa"/>
            <w:tcBorders>
              <w:top w:val="single" w:sz="10" w:space="0" w:color="000000"/>
              <w:left w:val="single" w:sz="7" w:space="0" w:color="000000"/>
              <w:bottom w:val="single" w:sz="6" w:space="0" w:color="000000"/>
              <w:right w:val="single" w:sz="6" w:space="0" w:color="000000"/>
            </w:tcBorders>
          </w:tcPr>
          <w:p>
            <w:pPr/>
          </w:p>
        </w:tc>
        <w:tc>
          <w:tcPr>
            <w:tcW w:w="32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670,000.00</w:t>
            </w:r>
          </w:p>
        </w:tc>
      </w:tr>
      <w:tr>
        <w:trPr>
          <w:trHeight w:val="347" w:hRule="exact"/>
        </w:trPr>
        <w:tc>
          <w:tcPr>
            <w:tcW w:w="324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133.79</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150.12</w:t>
            </w:r>
          </w:p>
        </w:tc>
      </w:tr>
      <w:tr>
        <w:trPr>
          <w:trHeight w:val="347" w:hRule="exact"/>
        </w:trPr>
        <w:tc>
          <w:tcPr>
            <w:tcW w:w="324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0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2,150,530.00</w:t>
            </w:r>
          </w:p>
        </w:tc>
        <w:tc>
          <w:tcPr>
            <w:tcW w:w="32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4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2,150,663.79</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670,150.12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且其变动计入当期损益的金融资产" w:id="216"/>
      <w:bookmarkEnd w:id="21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316,301,656.72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316,301,656.72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316,301,656.72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衍生金融资产" w:id="217"/>
      <w:bookmarkEnd w:id="21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应收账款" w:id="218"/>
      <w:bookmarkEnd w:id="218"/>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9"/>
      <w:bookmarkEnd w:id="21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420" w:type="dxa"/>
        <w:tblLayout w:type="fixed"/>
        <w:tblCellMar>
          <w:top w:w="0" w:type="dxa"/>
          <w:left w:w="0" w:type="dxa"/>
          <w:bottom w:w="0" w:type="dxa"/>
          <w:right w:w="0" w:type="dxa"/>
        </w:tblCellMar>
        <w:tblLook w:val="01E0"/>
      </w:tblPr>
      <w:tblGrid>
        <w:gridCol w:w="1076"/>
        <w:gridCol w:w="1253"/>
        <w:gridCol w:w="720"/>
        <w:gridCol w:w="1260"/>
        <w:gridCol w:w="720"/>
        <w:gridCol w:w="1186"/>
        <w:gridCol w:w="1283"/>
        <w:gridCol w:w="722"/>
        <w:gridCol w:w="1110"/>
        <w:gridCol w:w="560"/>
        <w:gridCol w:w="1270"/>
      </w:tblGrid>
      <w:tr>
        <w:trPr>
          <w:trHeight w:val="397" w:hRule="exact"/>
        </w:trPr>
        <w:tc>
          <w:tcPr>
            <w:tcW w:w="1076" w:type="dxa"/>
            <w:vMerge w:val="restart"/>
            <w:tcBorders>
              <w:top w:val="single" w:sz="4" w:space="0" w:color="000000"/>
              <w:left w:val="single" w:sz="4" w:space="0" w:color="000000"/>
              <w:right w:val="single" w:sz="4" w:space="0" w:color="000000"/>
            </w:tcBorders>
            <w:shd w:val="clear" w:color="auto" w:fill="D2D2D2"/>
          </w:tcPr>
          <w:p>
            <w:pPr/>
          </w:p>
        </w:tc>
        <w:tc>
          <w:tcPr>
            <w:tcW w:w="51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4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076" w:type="dxa"/>
            <w:vMerge/>
            <w:tcBorders>
              <w:left w:val="single" w:sz="4" w:space="0" w:color="000000"/>
              <w:bottom w:val="nil" w:sz="6" w:space="0" w:color="auto"/>
              <w:right w:val="single" w:sz="4" w:space="0" w:color="000000"/>
            </w:tcBorders>
            <w:shd w:val="clear" w:color="auto" w:fill="D2D2D2"/>
          </w:tcPr>
          <w:p>
            <w:pPr/>
          </w:p>
        </w:tc>
        <w:tc>
          <w:tcPr>
            <w:tcW w:w="19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6" w:type="dxa"/>
            <w:vMerge w:val="restart"/>
            <w:tcBorders>
              <w:top w:val="single" w:sz="4" w:space="0" w:color="000000"/>
              <w:left w:val="single" w:sz="4" w:space="0" w:color="000000"/>
              <w:right w:val="single" w:sz="4" w:space="0" w:color="000000"/>
            </w:tcBorders>
            <w:shd w:val="clear" w:color="auto" w:fill="D2D2D2"/>
          </w:tcPr>
          <w:p>
            <w:pPr/>
          </w:p>
        </w:tc>
        <w:tc>
          <w:tcPr>
            <w:tcW w:w="20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73" w:type="dxa"/>
            <w:gridSpan w:val="2"/>
            <w:vMerge/>
            <w:tcBorders>
              <w:left w:val="single" w:sz="4" w:space="0" w:color="000000"/>
              <w:bottom w:val="single" w:sz="4" w:space="0" w:color="000000"/>
              <w:right w:val="single" w:sz="4" w:space="0" w:color="000000"/>
            </w:tcBorders>
            <w:shd w:val="clear" w:color="auto" w:fill="D2D2D2"/>
          </w:tcPr>
          <w:p>
            <w:pPr/>
          </w:p>
        </w:tc>
        <w:tc>
          <w:tcPr>
            <w:tcW w:w="1980" w:type="dxa"/>
            <w:gridSpan w:val="2"/>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004" w:type="dxa"/>
            <w:gridSpan w:val="2"/>
            <w:vMerge/>
            <w:tcBorders>
              <w:left w:val="single" w:sz="4" w:space="0" w:color="000000"/>
              <w:bottom w:val="single" w:sz="4" w:space="0" w:color="000000"/>
              <w:right w:val="single" w:sz="4" w:space="0" w:color="000000"/>
            </w:tcBorders>
            <w:shd w:val="clear" w:color="auto" w:fill="D2D2D2"/>
          </w:tcPr>
          <w:p>
            <w:pPr/>
          </w:p>
        </w:tc>
        <w:tc>
          <w:tcPr>
            <w:tcW w:w="1670" w:type="dxa"/>
            <w:gridSpan w:val="2"/>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76" w:type="dxa"/>
            <w:vMerge/>
            <w:tcBorders>
              <w:left w:val="single" w:sz="4" w:space="0" w:color="000000"/>
              <w:bottom w:val="nil" w:sz="6" w:space="0" w:color="auto"/>
              <w:right w:val="single" w:sz="4" w:space="0" w:color="000000"/>
            </w:tcBorders>
            <w:shd w:val="clear" w:color="auto" w:fill="D2D2D2"/>
          </w:tcPr>
          <w:p>
            <w:pPr/>
          </w:p>
        </w:tc>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4" w:right="84"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4"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076" w:type="dxa"/>
            <w:vMerge w:val="restart"/>
            <w:tcBorders>
              <w:top w:val="nil" w:sz="6" w:space="0" w:color="auto"/>
              <w:left w:val="single" w:sz="4" w:space="0" w:color="000000"/>
              <w:right w:val="single" w:sz="4" w:space="0" w:color="000000"/>
            </w:tcBorders>
            <w:shd w:val="clear" w:color="auto" w:fill="D2D2D2"/>
          </w:tcPr>
          <w:p>
            <w:pPr/>
          </w:p>
        </w:tc>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76" w:type="dxa"/>
            <w:vMerge/>
            <w:tcBorders>
              <w:left w:val="single" w:sz="4" w:space="0" w:color="000000"/>
              <w:right w:val="single" w:sz="4" w:space="0" w:color="000000"/>
            </w:tcBorders>
            <w:shd w:val="clear" w:color="auto" w:fill="D2D2D2"/>
          </w:tcPr>
          <w:p>
            <w:pPr/>
          </w:p>
        </w:tc>
        <w:tc>
          <w:tcPr>
            <w:tcW w:w="1253"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c>
          <w:tcPr>
            <w:tcW w:w="1283"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1110"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76" w:type="dxa"/>
            <w:vMerge/>
            <w:tcBorders>
              <w:left w:val="single" w:sz="4" w:space="0" w:color="000000"/>
              <w:bottom w:val="single" w:sz="4" w:space="0" w:color="000000"/>
              <w:right w:val="single" w:sz="4" w:space="0" w:color="000000"/>
            </w:tcBorders>
            <w:shd w:val="clear" w:color="auto" w:fill="D2D2D2"/>
          </w:tcPr>
          <w:p>
            <w:pPr/>
          </w:p>
        </w:tc>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r>
      <w:tr>
        <w:trPr>
          <w:trHeight w:val="1350"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7"/>
              <w:ind w:left="11" w:right="152"/>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185,689,274.02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15,998,485.38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169,690,788.64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181,436,032.32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14,929,479.63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8.23%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166,506,552.69</w:t>
            </w:r>
          </w:p>
        </w:tc>
      </w:tr>
      <w:tr>
        <w:trPr>
          <w:trHeight w:val="1652"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52"/>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3,925,900.00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189,615,174.02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19,924,385.38</w:t>
            </w:r>
          </w:p>
        </w:tc>
        <w:tc>
          <w:tcPr>
            <w:tcW w:w="72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169,690,788.64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181,436,032.32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100.00%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14,929,479.63</w:t>
            </w:r>
          </w:p>
        </w:tc>
        <w:tc>
          <w:tcPr>
            <w:tcW w:w="56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0" w:right="0"/>
              <w:jc w:val="center"/>
              <w:rPr>
                <w:rFonts w:ascii="Times New Roman" w:hAnsi="Times New Roman" w:cs="Times New Roman" w:eastAsia="Times New Roman" w:hint="default"/>
                <w:sz w:val="18"/>
                <w:szCs w:val="18"/>
              </w:rPr>
            </w:pPr>
            <w:r>
              <w:rPr>
                <w:rFonts w:ascii="Times New Roman"/>
                <w:sz w:val="18"/>
              </w:rPr>
              <w:t>166,506,552.69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240" w:lineRule="auto" w:before="44"/>
        <w:ind w:right="-19"/>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145,552,554.38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7,277,627.71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30,604,745.57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3,060,474.56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7,295,983.92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3,647,991.97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2,235,990.15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2,012,391.14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185,689,274.02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15,998,485.38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51"/>
        <w:ind w:right="6433"/>
        <w:jc w:val="left"/>
      </w:pPr>
      <w:r>
        <w:rPr/>
        <w:t>确定该组合依据的说明： 详见财务报告五、</w:t>
      </w:r>
      <w:r>
        <w:rPr>
          <w:rFonts w:ascii="Times New Roman" w:hAnsi="Times New Roman" w:cs="Times New Roman" w:eastAsia="Times New Roman" w:hint="default"/>
        </w:rPr>
        <w:t>10</w:t>
      </w:r>
      <w:r>
        <w:rPr/>
        <w:t>应收款项坏账准备。 组合中，采用余额百分比法计提坏账准备的应收账款：</w:t>
      </w:r>
    </w:p>
    <w:p>
      <w:pPr>
        <w:pStyle w:val="BodyText"/>
        <w:spacing w:line="348" w:lineRule="auto" w:before="35"/>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期末单项金额不重大但单独计提坏账准备的应收账款</w:t>
      </w:r>
    </w:p>
    <w:tbl>
      <w:tblPr>
        <w:tblW w:w="0" w:type="auto"/>
        <w:jc w:val="left"/>
        <w:tblInd w:w="1126" w:type="dxa"/>
        <w:tblLayout w:type="fixed"/>
        <w:tblCellMar>
          <w:top w:w="0" w:type="dxa"/>
          <w:left w:w="0" w:type="dxa"/>
          <w:bottom w:w="0" w:type="dxa"/>
          <w:right w:w="0" w:type="dxa"/>
        </w:tblCellMar>
        <w:tblLook w:val="01E0"/>
      </w:tblPr>
      <w:tblGrid>
        <w:gridCol w:w="2520"/>
        <w:gridCol w:w="1714"/>
        <w:gridCol w:w="1714"/>
        <w:gridCol w:w="1714"/>
        <w:gridCol w:w="1715"/>
      </w:tblGrid>
      <w:tr>
        <w:trPr>
          <w:trHeight w:val="341" w:hRule="exact"/>
        </w:trPr>
        <w:tc>
          <w:tcPr>
            <w:tcW w:w="2520" w:type="dxa"/>
            <w:vMerge w:val="restart"/>
            <w:tcBorders>
              <w:top w:val="single" w:sz="6" w:space="0" w:color="000000"/>
              <w:left w:val="single" w:sz="6" w:space="0" w:color="000000"/>
              <w:right w:val="single" w:sz="6" w:space="0" w:color="000000"/>
            </w:tcBorders>
            <w:shd w:val="clear" w:color="auto" w:fill="CCC0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856" w:type="dxa"/>
            <w:gridSpan w:val="4"/>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520" w:type="dxa"/>
            <w:vMerge/>
            <w:tcBorders>
              <w:left w:val="single" w:sz="6" w:space="0" w:color="000000"/>
              <w:bottom w:val="single" w:sz="6" w:space="0" w:color="000000"/>
              <w:right w:val="single" w:sz="6" w:space="0" w:color="000000"/>
            </w:tcBorders>
            <w:shd w:val="clear" w:color="auto" w:fill="CCC0D9"/>
          </w:tcPr>
          <w:p>
            <w:pPr/>
          </w:p>
        </w:tc>
        <w:tc>
          <w:tcPr>
            <w:tcW w:w="171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1"/>
              <w:ind w:left="4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1"/>
              <w:ind w:left="4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1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5"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1"/>
              <w:ind w:left="4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252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西安冠林智能科技有限公司</w:t>
            </w:r>
          </w:p>
        </w:tc>
        <w:tc>
          <w:tcPr>
            <w:tcW w:w="171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7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7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100.00</w:t>
            </w:r>
          </w:p>
        </w:tc>
        <w:tc>
          <w:tcPr>
            <w:tcW w:w="17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252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714"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13"/>
          <w:szCs w:val="13"/>
        </w:rPr>
      </w:pPr>
    </w:p>
    <w:p>
      <w:pPr>
        <w:pStyle w:val="Heading3"/>
        <w:spacing w:line="240" w:lineRule="auto" w:before="35"/>
        <w:ind w:left="1134" w:right="0"/>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4,994,905.75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无实际核销的应收账款情况" w:id="221"/>
      <w:bookmarkEnd w:id="221"/>
      <w:r>
        <w:rPr>
          <w:b w:val="0"/>
          <w:bCs w:val="0"/>
        </w:rPr>
      </w:r>
      <w:r>
        <w:rPr/>
        <w:t>（</w:t>
      </w:r>
      <w:r>
        <w:rPr>
          <w:rFonts w:ascii="Times New Roman" w:hAnsi="Times New Roman" w:cs="Times New Roman" w:eastAsia="Times New Roman" w:hint="default"/>
        </w:rPr>
        <w:t>3</w:t>
      </w:r>
      <w:r>
        <w:rPr/>
        <w:t>）本期无实际核销的应收账款情况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按欠款方归集的期末余额前五名的应收账款情况" w:id="222"/>
      <w:bookmarkEnd w:id="22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1"/>
          <w:szCs w:val="21"/>
        </w:rPr>
      </w:pPr>
    </w:p>
    <w:tbl>
      <w:tblPr>
        <w:tblW w:w="0" w:type="auto"/>
        <w:jc w:val="left"/>
        <w:tblInd w:w="1306" w:type="dxa"/>
        <w:tblLayout w:type="fixed"/>
        <w:tblCellMar>
          <w:top w:w="0" w:type="dxa"/>
          <w:left w:w="0" w:type="dxa"/>
          <w:bottom w:w="0" w:type="dxa"/>
          <w:right w:w="0" w:type="dxa"/>
        </w:tblCellMar>
        <w:tblLook w:val="01E0"/>
      </w:tblPr>
      <w:tblGrid>
        <w:gridCol w:w="1617"/>
        <w:gridCol w:w="2523"/>
        <w:gridCol w:w="3062"/>
        <w:gridCol w:w="1986"/>
      </w:tblGrid>
      <w:tr>
        <w:trPr>
          <w:trHeight w:val="347" w:hRule="exact"/>
        </w:trPr>
        <w:tc>
          <w:tcPr>
            <w:tcW w:w="1617" w:type="dxa"/>
            <w:vMerge w:val="restart"/>
            <w:tcBorders>
              <w:top w:val="single" w:sz="6" w:space="0" w:color="000000"/>
              <w:left w:val="single" w:sz="6" w:space="0" w:color="000000"/>
              <w:right w:val="single" w:sz="6" w:space="0" w:color="000000"/>
            </w:tcBorders>
            <w:shd w:val="clear" w:color="auto" w:fill="CCC0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570" w:type="dxa"/>
            <w:gridSpan w:val="3"/>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617" w:type="dxa"/>
            <w:vMerge/>
            <w:tcBorders>
              <w:left w:val="single" w:sz="6" w:space="0" w:color="000000"/>
              <w:bottom w:val="single" w:sz="6" w:space="0" w:color="000000"/>
              <w:right w:val="single" w:sz="6" w:space="0" w:color="000000"/>
            </w:tcBorders>
            <w:shd w:val="clear" w:color="auto" w:fill="CCC0D9"/>
          </w:tcPr>
          <w:p>
            <w:pPr/>
          </w:p>
        </w:tc>
        <w:tc>
          <w:tcPr>
            <w:tcW w:w="2523"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062"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986"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37,907,271.15</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19.99</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2,895,118.87</w:t>
            </w:r>
          </w:p>
        </w:tc>
      </w:tr>
      <w:tr>
        <w:trPr>
          <w:trHeight w:val="347" w:hRule="exact"/>
        </w:trPr>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17,823,059.04</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9.40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1,031,187.74</w:t>
            </w:r>
          </w:p>
        </w:tc>
      </w:tr>
      <w:tr>
        <w:trPr>
          <w:trHeight w:val="347" w:hRule="exact"/>
        </w:trPr>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8,717,294.82</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435,864.74</w:t>
            </w:r>
          </w:p>
        </w:tc>
      </w:tr>
      <w:tr>
        <w:trPr>
          <w:trHeight w:val="347" w:hRule="exact"/>
        </w:trPr>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7,748,032.84</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4.09</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387,401.64</w:t>
            </w:r>
          </w:p>
        </w:tc>
      </w:tr>
      <w:tr>
        <w:trPr>
          <w:trHeight w:val="347" w:hRule="exact"/>
        </w:trPr>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7,290,311.65</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3.84</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3,166,002.00</w:t>
            </w:r>
          </w:p>
        </w:tc>
      </w:tr>
      <w:tr>
        <w:trPr>
          <w:trHeight w:val="348" w:hRule="exact"/>
        </w:trPr>
        <w:tc>
          <w:tcPr>
            <w:tcW w:w="1617"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79,485,969.50</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41.92</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7,915,574.99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5）本期无因金融资产转移而终止确认的应收款项。" w:id="223"/>
      <w:bookmarkEnd w:id="223"/>
      <w:r>
        <w:rPr>
          <w:b w:val="0"/>
          <w:bCs w:val="0"/>
        </w:rPr>
      </w:r>
      <w:r>
        <w:rPr/>
        <w:t>（</w:t>
      </w:r>
      <w:r>
        <w:rPr>
          <w:rFonts w:ascii="Times New Roman" w:hAnsi="Times New Roman" w:cs="Times New Roman" w:eastAsia="Times New Roman" w:hint="default"/>
        </w:rPr>
        <w:t>5</w:t>
      </w:r>
      <w:r>
        <w:rPr/>
        <w:t>）本期无因金融资产转移而终止确认的应收款项。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本期无以应收账款为标的进行证券化的，继续涉入形成的资产、负债。" w:id="224"/>
      <w:bookmarkEnd w:id="224"/>
      <w:r>
        <w:rPr>
          <w:b w:val="0"/>
          <w:bCs w:val="0"/>
        </w:rPr>
      </w:r>
      <w:r>
        <w:rPr/>
        <w:t>（</w:t>
      </w:r>
      <w:r>
        <w:rPr>
          <w:rFonts w:ascii="Times New Roman" w:hAnsi="Times New Roman" w:cs="Times New Roman" w:eastAsia="Times New Roman" w:hint="default"/>
        </w:rPr>
        <w:t>6</w:t>
      </w:r>
      <w:r>
        <w:rPr/>
        <w:t>）本期无以应收账款为标的进行证券化的，继续涉入形成的资产、负债。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预付款项" w:id="225"/>
      <w:bookmarkEnd w:id="22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6"/>
      <w:bookmarkEnd w:id="22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10,683,506.61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9,269,886.42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673,024.07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254,760.68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215,019.81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10,683,506.61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10,412,690.98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按预付对象归集的期末余额前五名的预付款情况" w:id="227"/>
      <w:bookmarkEnd w:id="22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704"/>
        <w:gridCol w:w="3243"/>
        <w:gridCol w:w="3608"/>
      </w:tblGrid>
      <w:tr>
        <w:trPr>
          <w:trHeight w:val="347" w:hRule="exact"/>
        </w:trPr>
        <w:tc>
          <w:tcPr>
            <w:tcW w:w="270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243"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8"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45"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r>
      <w:tr>
        <w:trPr>
          <w:trHeight w:val="347"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5,078,587.30</w:t>
            </w:r>
          </w:p>
        </w:tc>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47.54</w:t>
            </w:r>
          </w:p>
        </w:tc>
      </w:tr>
      <w:tr>
        <w:trPr>
          <w:trHeight w:val="348"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2,109,686.93</w:t>
            </w:r>
          </w:p>
        </w:tc>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19.75</w:t>
            </w:r>
          </w:p>
        </w:tc>
      </w:tr>
      <w:tr>
        <w:trPr>
          <w:trHeight w:val="347"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1,301,148.43</w:t>
            </w:r>
          </w:p>
        </w:tc>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12.18</w:t>
            </w:r>
          </w:p>
        </w:tc>
      </w:tr>
      <w:tr>
        <w:trPr>
          <w:trHeight w:val="347"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701,969.60</w:t>
            </w:r>
          </w:p>
        </w:tc>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6.57</w:t>
            </w:r>
          </w:p>
        </w:tc>
      </w:tr>
      <w:tr>
        <w:trPr>
          <w:trHeight w:val="347"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374,880.68</w:t>
            </w:r>
          </w:p>
        </w:tc>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3.51</w:t>
            </w:r>
          </w:p>
        </w:tc>
      </w:tr>
      <w:tr>
        <w:trPr>
          <w:trHeight w:val="348" w:hRule="exact"/>
        </w:trPr>
        <w:tc>
          <w:tcPr>
            <w:tcW w:w="270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9,566,272.94</w:t>
            </w:r>
          </w:p>
        </w:tc>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89.55</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6、其他应收款" w:id="228"/>
      <w:bookmarkEnd w:id="22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229"/>
      <w:bookmarkEnd w:id="22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00" w:type="dxa"/>
        <w:tblLayout w:type="fixed"/>
        <w:tblCellMar>
          <w:top w:w="0" w:type="dxa"/>
          <w:left w:w="0" w:type="dxa"/>
          <w:bottom w:w="0" w:type="dxa"/>
          <w:right w:w="0" w:type="dxa"/>
        </w:tblCellMar>
        <w:tblLook w:val="01E0"/>
      </w:tblPr>
      <w:tblGrid>
        <w:gridCol w:w="1418"/>
        <w:gridCol w:w="1091"/>
        <w:gridCol w:w="712"/>
        <w:gridCol w:w="1002"/>
        <w:gridCol w:w="611"/>
        <w:gridCol w:w="1085"/>
        <w:gridCol w:w="1091"/>
        <w:gridCol w:w="720"/>
        <w:gridCol w:w="1080"/>
        <w:gridCol w:w="529"/>
        <w:gridCol w:w="1091"/>
      </w:tblGrid>
      <w:tr>
        <w:trPr>
          <w:trHeight w:val="40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50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8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18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803" w:type="dxa"/>
            <w:gridSpan w:val="2"/>
            <w:vMerge/>
            <w:tcBorders>
              <w:left w:val="single" w:sz="4" w:space="0" w:color="000000"/>
              <w:bottom w:val="single" w:sz="4" w:space="0" w:color="000000"/>
              <w:right w:val="single" w:sz="4" w:space="0" w:color="000000"/>
            </w:tcBorders>
            <w:shd w:val="clear" w:color="auto" w:fill="D2D2D2"/>
          </w:tcPr>
          <w:p>
            <w:pPr/>
          </w:p>
        </w:tc>
        <w:tc>
          <w:tcPr>
            <w:tcW w:w="1613" w:type="dxa"/>
            <w:gridSpan w:val="2"/>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811" w:type="dxa"/>
            <w:gridSpan w:val="2"/>
            <w:vMerge/>
            <w:tcBorders>
              <w:left w:val="single" w:sz="4" w:space="0" w:color="000000"/>
              <w:bottom w:val="single" w:sz="4" w:space="0" w:color="000000"/>
              <w:right w:val="single" w:sz="4" w:space="0" w:color="000000"/>
            </w:tcBorders>
            <w:shd w:val="clear" w:color="auto" w:fill="D2D2D2"/>
          </w:tcPr>
          <w:p>
            <w:pPr/>
          </w:p>
        </w:tc>
        <w:tc>
          <w:tcPr>
            <w:tcW w:w="1609"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10" w:right="29"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7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1"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12"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611"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529"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11"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3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17,430,160.52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2,618,204.77</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14,811,955.75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21,039,607.00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1,271,936.02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6.05%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19,767,670.98</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17,430,160.52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2,618,204.77</w:t>
            </w:r>
          </w:p>
        </w:tc>
        <w:tc>
          <w:tcPr>
            <w:tcW w:w="61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14,811,955.75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21,039,607.00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1,271,936.02</w:t>
            </w:r>
          </w:p>
        </w:tc>
        <w:tc>
          <w:tcPr>
            <w:tcW w:w="52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19,767,670.98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240" w:lineRule="auto" w:before="44"/>
        <w:ind w:right="-19"/>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5,702,095.45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285,104.79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9,274,192.91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927,419.29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153,213.86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76,606.93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1,476,748.62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1,329,073.76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16,606,250.84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2,618,204.77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pStyle w:val="BodyText"/>
        <w:spacing w:line="348" w:lineRule="auto" w:before="51"/>
        <w:ind w:right="-19"/>
        <w:jc w:val="left"/>
      </w:pPr>
      <w:r>
        <w:rPr/>
        <w:t>确定该组合依据的说明： 详见财务报告五、</w:t>
      </w:r>
      <w:r>
        <w:rPr>
          <w:rFonts w:ascii="Times New Roman" w:hAnsi="Times New Roman" w:cs="Times New Roman" w:eastAsia="Times New Roman" w:hint="default"/>
        </w:rPr>
        <w:t>10</w:t>
      </w:r>
      <w:r>
        <w:rPr/>
        <w:t>应收款项坏账准备。 组合中，采用余额百分比法计提坏账准备的其他应收款：</w:t>
      </w:r>
    </w:p>
    <w:p>
      <w:pPr>
        <w:pStyle w:val="BodyText"/>
        <w:spacing w:line="240" w:lineRule="auto" w:before="35"/>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823,909.68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823,909.68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51"/>
        <w:ind w:right="6613"/>
        <w:jc w:val="left"/>
      </w:pPr>
      <w:r>
        <w:rPr/>
        <w:t>确定该组合依据的说明： 详见财务报告五、</w:t>
      </w:r>
      <w:r>
        <w:rPr>
          <w:rFonts w:ascii="Times New Roman" w:hAnsi="Times New Roman" w:cs="Times New Roman" w:eastAsia="Times New Roman" w:hint="default"/>
        </w:rPr>
        <w:t>10</w:t>
      </w:r>
      <w:r>
        <w:rPr/>
        <w:t>应收款项坏账准备。 组合中，采用其他方法计提坏账准备的其他应收款：</w:t>
      </w:r>
    </w:p>
    <w:p>
      <w:pPr>
        <w:pStyle w:val="BodyText"/>
        <w:spacing w:line="240" w:lineRule="auto" w:before="3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坏账准备金额1,346,268.75元；本期收回或转回坏账准备金额" w:id="230"/>
      <w:bookmarkEnd w:id="230"/>
      <w:r>
        <w:rPr>
          <w:b w:val="0"/>
          <w:bCs w:val="0"/>
        </w:rPr>
      </w:r>
      <w:r>
        <w:rPr/>
        <w:t>（</w:t>
      </w:r>
      <w:r>
        <w:rPr>
          <w:rFonts w:ascii="Times New Roman" w:hAnsi="Times New Roman" w:cs="Times New Roman" w:eastAsia="Times New Roman" w:hint="default"/>
        </w:rPr>
        <w:t>2</w:t>
      </w:r>
      <w:r>
        <w:rPr/>
        <w:t>）本期计提坏账准备金额</w:t>
      </w:r>
      <w:r>
        <w:rPr>
          <w:spacing w:val="-55"/>
        </w:rPr>
        <w:t> </w:t>
      </w:r>
      <w:r>
        <w:rPr>
          <w:rFonts w:ascii="Times New Roman" w:hAnsi="Times New Roman" w:cs="Times New Roman" w:eastAsia="Times New Roman" w:hint="default"/>
        </w:rPr>
        <w:t>1,346,268.75</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本期无实际核销的其他应收款情况。" w:id="231"/>
      <w:bookmarkEnd w:id="231"/>
      <w:r>
        <w:rPr>
          <w:b w:val="0"/>
          <w:bCs w:val="0"/>
        </w:rPr>
      </w:r>
      <w:r>
        <w:rPr/>
        <w:t>（</w:t>
      </w:r>
      <w:r>
        <w:rPr>
          <w:rFonts w:ascii="Times New Roman" w:hAnsi="Times New Roman" w:cs="Times New Roman" w:eastAsia="Times New Roman" w:hint="default"/>
        </w:rPr>
        <w:t>3</w:t>
      </w:r>
      <w:r>
        <w:rPr/>
        <w:t>）本期无实际核销的其他应收款情况。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其他应收款按款项性质分类情况" w:id="232"/>
      <w:bookmarkEnd w:id="23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823,909.68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5,755,100.95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820,477.35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197,801.63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4,935,980.37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4,247,099.29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204,306.12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237,201.13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10,645,487.00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10,602,404.00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17,430,160.52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21,039,607.00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33"/>
      <w:bookmarkEnd w:id="23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69" w:type="dxa"/>
        <w:tblLayout w:type="fixed"/>
        <w:tblCellMar>
          <w:top w:w="0" w:type="dxa"/>
          <w:left w:w="0" w:type="dxa"/>
          <w:bottom w:w="0" w:type="dxa"/>
          <w:right w:w="0" w:type="dxa"/>
        </w:tblCellMar>
        <w:tblLook w:val="01E0"/>
      </w:tblPr>
      <w:tblGrid>
        <w:gridCol w:w="1071"/>
        <w:gridCol w:w="1133"/>
        <w:gridCol w:w="1133"/>
        <w:gridCol w:w="3545"/>
        <w:gridCol w:w="2127"/>
        <w:gridCol w:w="1019"/>
      </w:tblGrid>
      <w:tr>
        <w:trPr>
          <w:trHeight w:val="714"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款项的性质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7" w:right="69" w:hanging="541"/>
              <w:jc w:val="left"/>
              <w:rPr>
                <w:rFonts w:ascii="宋体" w:hAnsi="宋体" w:cs="宋体" w:eastAsia="宋体" w:hint="default"/>
                <w:sz w:val="18"/>
                <w:szCs w:val="18"/>
              </w:rPr>
            </w:pPr>
            <w:r>
              <w:rPr>
                <w:rFonts w:ascii="宋体" w:hAnsi="宋体" w:cs="宋体" w:eastAsia="宋体" w:hint="default"/>
                <w:sz w:val="18"/>
                <w:szCs w:val="18"/>
              </w:rPr>
              <w:t>占其他应收款期末余额合 计数的比例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8,515,261.00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851,526.10</w:t>
            </w:r>
          </w:p>
        </w:tc>
      </w:tr>
      <w:tr>
        <w:trPr>
          <w:trHeight w:val="402"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783,217.52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655,452.26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127,765.26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45,549.14</w:t>
            </w:r>
          </w:p>
        </w:tc>
      </w:tr>
      <w:tr>
        <w:trPr>
          <w:trHeight w:val="402"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620,000.00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31,000.00</w:t>
            </w:r>
          </w:p>
        </w:tc>
      </w:tr>
      <w:tr>
        <w:trPr>
          <w:trHeight w:val="402"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right"/>
              <w:rPr>
                <w:rFonts w:ascii="宋体" w:hAnsi="宋体" w:cs="宋体" w:eastAsia="宋体" w:hint="default"/>
                <w:sz w:val="18"/>
                <w:szCs w:val="18"/>
              </w:rPr>
            </w:pPr>
            <w:r>
              <w:rPr>
                <w:rFonts w:ascii="宋体" w:hAnsi="宋体" w:cs="宋体" w:eastAsia="宋体" w:hint="default"/>
                <w:sz w:val="18"/>
                <w:szCs w:val="18"/>
              </w:rPr>
              <w:t>应收补贴款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567,943.26</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326,470.00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16,323.50</w:t>
            </w:r>
          </w:p>
        </w:tc>
      </w:tr>
      <w:tr>
        <w:trPr>
          <w:trHeight w:val="402"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10,812,891.78</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944,398.74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34"/>
      <w:bookmarkEnd w:id="23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703" w:type="dxa"/>
        <w:tblLayout w:type="fixed"/>
        <w:tblCellMar>
          <w:top w:w="0" w:type="dxa"/>
          <w:left w:w="0" w:type="dxa"/>
          <w:bottom w:w="0" w:type="dxa"/>
          <w:right w:w="0" w:type="dxa"/>
        </w:tblCellMar>
        <w:tblLook w:val="01E0"/>
      </w:tblPr>
      <w:tblGrid>
        <w:gridCol w:w="3354"/>
        <w:gridCol w:w="1757"/>
        <w:gridCol w:w="2344"/>
        <w:gridCol w:w="2611"/>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广州市天河区国家税务局</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567,943.26</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广州经济技术开发区国家税务局</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255,966.42</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823,909.68</w:t>
            </w:r>
          </w:p>
        </w:tc>
        <w:tc>
          <w:tcPr>
            <w:tcW w:w="2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1153" w:firstLine="360"/>
        <w:jc w:val="left"/>
      </w:pPr>
      <w:r>
        <w:rPr/>
        <w:t>公司及其子公司在销售自行开发生产的软件产品后，根据其软件销售增值税实际税负超过</w:t>
      </w:r>
      <w:r>
        <w:rPr>
          <w:rFonts w:ascii="Times New Roman" w:hAnsi="Times New Roman" w:cs="Times New Roman" w:eastAsia="Times New Roman" w:hint="default"/>
        </w:rPr>
        <w:t>3%</w:t>
      </w:r>
      <w:r>
        <w:rPr/>
        <w:t>的部分计算应收退税款， 截止报告日，已收到退税款合计</w:t>
      </w:r>
      <w:r>
        <w:rPr>
          <w:rFonts w:ascii="Times New Roman" w:hAnsi="Times New Roman" w:cs="Times New Roman" w:eastAsia="Times New Roman" w:hint="default"/>
        </w:rPr>
        <w:t>820,918.20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7）本期无因金融资产转移而终止确认的其他应收款。" w:id="235"/>
      <w:bookmarkEnd w:id="235"/>
      <w:r>
        <w:rPr>
          <w:b w:val="0"/>
          <w:bCs w:val="0"/>
        </w:rPr>
      </w:r>
      <w:r>
        <w:rPr/>
        <w:t>（</w:t>
      </w:r>
      <w:r>
        <w:rPr>
          <w:rFonts w:ascii="Times New Roman" w:hAnsi="Times New Roman" w:cs="Times New Roman" w:eastAsia="Times New Roman" w:hint="default"/>
        </w:rPr>
        <w:t>7</w:t>
      </w:r>
      <w:r>
        <w:rPr/>
        <w:t>）本期无因金融资产转移而终止确认的其他应收款。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36"/>
      <w:bookmarkEnd w:id="23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3"/>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72,282,477.54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8,612,078.26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63,670,399.28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112,427,188.99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1,579,865.99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110,847,323.00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8,038,082.25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8,038,082.25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14,811,601.45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14,811,601.45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2,957,354.30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2,957,354.30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5,155,449.18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5,155,449.18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353,449.93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351,274.09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505,109.64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502,604.88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1,447,308.85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1,441,325.79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1,645,981.80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1,640,896.82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1,321,979.33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1,321,979.33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69,621,608.71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69,621,608.71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135,742,830.73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31,959.85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135,710,870.88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156,022,260.91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8,620,237.16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147,402,023.75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270,288,161.79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1,619,415.58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268,668,746.21</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left="1134"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1,579,865.99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7,078,427.27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8,612,078.26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2,175.84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5,983.06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CC0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31,959.85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31,959.85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1,619,415.58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7,079,325.35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78,503.77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8,620,237.16</w:t>
            </w:r>
          </w:p>
        </w:tc>
      </w:tr>
    </w:tbl>
    <w:p>
      <w:pPr>
        <w:pStyle w:val="BodyText"/>
        <w:spacing w:line="240" w:lineRule="auto" w:before="10"/>
        <w:ind w:left="1134" w:right="0"/>
        <w:jc w:val="left"/>
      </w:pPr>
      <w:r>
        <w:rPr/>
        <w:t>存货的成本明显高于可变现净值，按账面价值与市场公允价值孰低的原则计提跌价准备。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无计入期末存货余额的借款费用资本化金额。" w:id="240"/>
      <w:bookmarkEnd w:id="240"/>
      <w:r>
        <w:rPr>
          <w:b w:val="0"/>
          <w:bCs w:val="0"/>
        </w:rPr>
      </w:r>
      <w:r>
        <w:rPr/>
        <w:t>（</w:t>
      </w:r>
      <w:r>
        <w:rPr>
          <w:rFonts w:ascii="Times New Roman" w:hAnsi="Times New Roman" w:cs="Times New Roman" w:eastAsia="Times New Roman" w:hint="default"/>
        </w:rPr>
        <w:t>3</w:t>
      </w:r>
      <w:r>
        <w:rPr/>
        <w:t>）本期无计入期末存货余额的借款费用资本化金额。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本期无建造合同形成的已完工未结算资产情况。" w:id="241"/>
      <w:bookmarkEnd w:id="241"/>
      <w:r>
        <w:rPr>
          <w:b w:val="0"/>
          <w:bCs w:val="0"/>
        </w:rPr>
      </w:r>
      <w:r>
        <w:rPr/>
        <w:t>（</w:t>
      </w:r>
      <w:r>
        <w:rPr>
          <w:rFonts w:ascii="Times New Roman" w:hAnsi="Times New Roman" w:cs="Times New Roman" w:eastAsia="Times New Roman" w:hint="default"/>
        </w:rPr>
        <w:t>4</w:t>
      </w:r>
      <w:r>
        <w:rPr/>
        <w:t>）本期无建造合同形成的已完工未结算资产情况。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一年内到期的非流动资产" w:id="242"/>
      <w:bookmarkEnd w:id="242"/>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34,953,392.39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81,513,764.98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34,953,392.39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81,513,764.98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9、其他流动资产" w:id="243"/>
      <w:bookmarkEnd w:id="243"/>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435,170.54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4,151,001.14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3,241,928.62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6,447,731.21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412,641.82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天国债回购（</w:t>
            </w:r>
            <w:r>
              <w:rPr>
                <w:rFonts w:ascii="Times New Roman" w:hAnsi="Times New Roman" w:cs="Times New Roman" w:eastAsia="Times New Roman" w:hint="default"/>
                <w:sz w:val="18"/>
                <w:szCs w:val="18"/>
              </w:rPr>
              <w:t>GC003</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43,689,740.98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15,598,732.35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0、可供出售金融资产" w:id="244"/>
      <w:bookmarkEnd w:id="244"/>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402,791,000.00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402,791,000.00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402,791,000.00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402,791,000.00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402,791,000.00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402,791,000.00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402,791,000.00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无按公允价值计量的可供出售金融资产" w:id="246"/>
      <w:bookmarkEnd w:id="246"/>
      <w:r>
        <w:rPr>
          <w:b w:val="0"/>
          <w:bCs w:val="0"/>
        </w:rPr>
      </w:r>
      <w:r>
        <w:rPr/>
        <w:t>（</w:t>
      </w:r>
      <w:r>
        <w:rPr>
          <w:rFonts w:ascii="Times New Roman" w:hAnsi="Times New Roman" w:cs="Times New Roman" w:eastAsia="Times New Roman" w:hint="default"/>
        </w:rPr>
        <w:t>2</w:t>
      </w:r>
      <w:r>
        <w:rPr/>
        <w:t>）期末无按公允价值计量的可供出售金融资产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69" w:type="dxa"/>
        <w:tblLayout w:type="fixed"/>
        <w:tblCellMar>
          <w:top w:w="0" w:type="dxa"/>
          <w:left w:w="0" w:type="dxa"/>
          <w:bottom w:w="0" w:type="dxa"/>
          <w:right w:w="0" w:type="dxa"/>
        </w:tblCellMar>
        <w:tblLook w:val="01E0"/>
      </w:tblPr>
      <w:tblGrid>
        <w:gridCol w:w="2397"/>
        <w:gridCol w:w="1181"/>
        <w:gridCol w:w="584"/>
        <w:gridCol w:w="583"/>
        <w:gridCol w:w="1182"/>
        <w:gridCol w:w="352"/>
        <w:gridCol w:w="584"/>
        <w:gridCol w:w="584"/>
        <w:gridCol w:w="353"/>
        <w:gridCol w:w="1412"/>
        <w:gridCol w:w="816"/>
      </w:tblGrid>
      <w:tr>
        <w:trPr>
          <w:trHeight w:val="402" w:hRule="exact"/>
        </w:trPr>
        <w:tc>
          <w:tcPr>
            <w:tcW w:w="2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5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0" w:right="71" w:hanging="360"/>
              <w:jc w:val="left"/>
              <w:rPr>
                <w:rFonts w:ascii="宋体" w:hAnsi="宋体" w:cs="宋体" w:eastAsia="宋体" w:hint="default"/>
                <w:sz w:val="18"/>
                <w:szCs w:val="18"/>
              </w:rPr>
            </w:pPr>
            <w:r>
              <w:rPr>
                <w:rFonts w:ascii="宋体" w:hAnsi="宋体" w:cs="宋体" w:eastAsia="宋体" w:hint="default"/>
                <w:sz w:val="18"/>
                <w:szCs w:val="18"/>
              </w:rPr>
              <w:t>在被投资单位持 股比例</w:t>
            </w: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239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6" w:right="10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9"/>
              <w:jc w:val="left"/>
              <w:rPr>
                <w:rFonts w:ascii="宋体" w:hAnsi="宋体" w:cs="宋体" w:eastAsia="宋体" w:hint="default"/>
                <w:sz w:val="18"/>
                <w:szCs w:val="18"/>
              </w:rPr>
            </w:pPr>
            <w:r>
              <w:rPr>
                <w:rFonts w:ascii="宋体" w:hAnsi="宋体" w:cs="宋体" w:eastAsia="宋体" w:hint="default"/>
                <w:sz w:val="18"/>
                <w:szCs w:val="18"/>
              </w:rPr>
              <w:t>期 初</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6" w:right="10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6" w:right="10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0"/>
              <w:jc w:val="left"/>
              <w:rPr>
                <w:rFonts w:ascii="宋体" w:hAnsi="宋体" w:cs="宋体" w:eastAsia="宋体" w:hint="default"/>
                <w:sz w:val="18"/>
                <w:szCs w:val="18"/>
              </w:rPr>
            </w:pPr>
            <w:r>
              <w:rPr>
                <w:rFonts w:ascii="宋体" w:hAnsi="宋体" w:cs="宋体" w:eastAsia="宋体" w:hint="default"/>
                <w:sz w:val="18"/>
                <w:szCs w:val="18"/>
              </w:rPr>
              <w:t>期 末</w:t>
            </w:r>
          </w:p>
        </w:tc>
        <w:tc>
          <w:tcPr>
            <w:tcW w:w="1412"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上海博科资讯股份有限公司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8,791,000.00</w:t>
            </w:r>
          </w:p>
        </w:tc>
        <w:tc>
          <w:tcPr>
            <w:tcW w:w="35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广州花都稠州村镇银行股份有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5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前海股权交易中心（深圳）有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189,000,000.00</w:t>
            </w:r>
          </w:p>
        </w:tc>
        <w:tc>
          <w:tcPr>
            <w:tcW w:w="35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7.64%</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佛山海晟金融租赁股份有限公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5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402,791,000.00</w:t>
            </w:r>
          </w:p>
        </w:tc>
        <w:tc>
          <w:tcPr>
            <w:tcW w:w="35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报告期内无可供出售金融资产减值情况" w:id="248"/>
      <w:bookmarkEnd w:id="248"/>
      <w:r>
        <w:rPr>
          <w:b w:val="0"/>
          <w:bCs w:val="0"/>
        </w:rPr>
      </w:r>
      <w:r>
        <w:rPr/>
        <w:t>（</w:t>
      </w:r>
      <w:r>
        <w:rPr>
          <w:rFonts w:ascii="Times New Roman" w:hAnsi="Times New Roman" w:cs="Times New Roman" w:eastAsia="Times New Roman" w:hint="default"/>
        </w:rPr>
        <w:t>4</w:t>
      </w:r>
      <w:r>
        <w:rPr/>
        <w:t>）报告期内无可供出售金融资产减值情况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34" w:right="0"/>
        <w:jc w:val="left"/>
        <w:rPr>
          <w:b w:val="0"/>
          <w:bCs w:val="0"/>
        </w:rPr>
      </w:pPr>
      <w:bookmarkStart w:name="（5）本期无可供出售权益工具期末公允价值严重下跌或非暂时性下跌但未计提减值准备情" w:id="249"/>
      <w:bookmarkEnd w:id="249"/>
      <w:r>
        <w:rPr>
          <w:b w:val="0"/>
          <w:bCs w:val="0"/>
        </w:rPr>
      </w:r>
      <w:r>
        <w:rPr/>
        <w:t>（</w:t>
      </w:r>
      <w:r>
        <w:rPr>
          <w:rFonts w:ascii="Times New Roman" w:hAnsi="Times New Roman" w:cs="Times New Roman" w:eastAsia="Times New Roman" w:hint="default"/>
        </w:rPr>
        <w:t>5</w:t>
      </w:r>
      <w:r>
        <w:rPr/>
        <w:t>）本期无可供出售权益工具期末公允价值严重下跌或非暂时性下跌但未计提减值准备情况</w:t>
      </w:r>
      <w:r>
        <w:rPr>
          <w:b w:val="0"/>
          <w:bCs w:val="0"/>
        </w:rPr>
      </w:r>
    </w:p>
    <w:p>
      <w:pPr>
        <w:spacing w:after="0" w:line="240" w:lineRule="auto"/>
        <w:jc w:val="left"/>
        <w:sectPr>
          <w:footerReference w:type="default" r:id="rId17"/>
          <w:pgSz w:w="11910" w:h="16840"/>
          <w:pgMar w:footer="979" w:header="747"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11、长期应收款" w:id="250"/>
      <w:bookmarkEnd w:id="250"/>
      <w:r>
        <w:rPr>
          <w:b w:val="0"/>
          <w:bCs w:val="0"/>
        </w:rPr>
      </w:r>
      <w:r>
        <w:rPr>
          <w:rFonts w:ascii="Times New Roman" w:hAnsi="Times New Roman" w:cs="Times New Roman" w:eastAsia="Times New Roman" w:hint="default"/>
        </w:rPr>
        <w:t>11</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51"/>
      <w:bookmarkEnd w:id="25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960" w:type="dxa"/>
        <w:tblLayout w:type="fixed"/>
        <w:tblCellMar>
          <w:top w:w="0" w:type="dxa"/>
          <w:left w:w="0" w:type="dxa"/>
          <w:bottom w:w="0" w:type="dxa"/>
          <w:right w:w="0" w:type="dxa"/>
        </w:tblCellMar>
        <w:tblLook w:val="01E0"/>
      </w:tblPr>
      <w:tblGrid>
        <w:gridCol w:w="2264"/>
        <w:gridCol w:w="1120"/>
        <w:gridCol w:w="1121"/>
        <w:gridCol w:w="1122"/>
        <w:gridCol w:w="1121"/>
        <w:gridCol w:w="1121"/>
        <w:gridCol w:w="1121"/>
        <w:gridCol w:w="1080"/>
      </w:tblGrid>
      <w:tr>
        <w:trPr>
          <w:trHeight w:val="206" w:hRule="exact"/>
        </w:trPr>
        <w:tc>
          <w:tcPr>
            <w:tcW w:w="2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6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3" w:type="dxa"/>
            <w:gridSpan w:val="3"/>
            <w:vMerge/>
            <w:tcBorders>
              <w:left w:val="single" w:sz="4" w:space="0" w:color="000000"/>
              <w:bottom w:val="single" w:sz="4" w:space="0" w:color="000000"/>
              <w:right w:val="single" w:sz="4" w:space="0" w:color="000000"/>
            </w:tcBorders>
            <w:shd w:val="clear" w:color="auto" w:fill="D2D2D2"/>
          </w:tcPr>
          <w:p>
            <w:pPr/>
          </w:p>
        </w:tc>
        <w:tc>
          <w:tcPr>
            <w:tcW w:w="3363" w:type="dxa"/>
            <w:gridSpan w:val="3"/>
            <w:vMerge/>
            <w:tcBorders>
              <w:left w:val="single" w:sz="4" w:space="0" w:color="000000"/>
              <w:bottom w:val="single" w:sz="4" w:space="0" w:color="000000"/>
              <w:right w:val="single" w:sz="4" w:space="0" w:color="000000"/>
            </w:tcBorders>
            <w:shd w:val="clear" w:color="auto" w:fill="D2D2D2"/>
          </w:tcPr>
          <w:p>
            <w:pP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2264" w:type="dxa"/>
            <w:vMerge/>
            <w:tcBorders>
              <w:left w:val="single" w:sz="4" w:space="0" w:color="000000"/>
              <w:bottom w:val="nil" w:sz="6" w:space="0" w:color="auto"/>
              <w:right w:val="single" w:sz="4" w:space="0" w:color="000000"/>
            </w:tcBorders>
            <w:shd w:val="clear" w:color="auto" w:fill="D2D2D2"/>
          </w:tcPr>
          <w:p>
            <w:pPr/>
          </w:p>
        </w:tc>
        <w:tc>
          <w:tcPr>
            <w:tcW w:w="1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80"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0"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122"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23,989,403.16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8,156,002.76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15,833,400.40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52,288,685.31</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52,288,685.31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11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9,928,347.91</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9,928,347.91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21,503,913.61</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21,503,913.61</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23,989,403.16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8,156,002.76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15,833,400.40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52,288,685.31</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52,288,685.31</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无因金融资产转移而终止确认的长期应收款" w:id="252"/>
      <w:bookmarkEnd w:id="252"/>
      <w:r>
        <w:rPr>
          <w:b w:val="0"/>
          <w:bCs w:val="0"/>
        </w:rPr>
      </w:r>
      <w:r>
        <w:rPr/>
        <w:t>（</w:t>
      </w:r>
      <w:r>
        <w:rPr>
          <w:rFonts w:ascii="Times New Roman" w:hAnsi="Times New Roman" w:cs="Times New Roman" w:eastAsia="Times New Roman" w:hint="default"/>
        </w:rPr>
        <w:t>2</w:t>
      </w:r>
      <w:r>
        <w:rPr/>
        <w:t>）本期无因金融资产转移而终止确认的长期应收款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本期无转移长期应收款且继续涉入形成的资产、负债的情况" w:id="253"/>
      <w:bookmarkEnd w:id="253"/>
      <w:r>
        <w:rPr>
          <w:b w:val="0"/>
          <w:bCs w:val="0"/>
        </w:rPr>
      </w:r>
      <w:r>
        <w:rPr/>
        <w:t>（</w:t>
      </w:r>
      <w:r>
        <w:rPr>
          <w:rFonts w:ascii="Times New Roman" w:hAnsi="Times New Roman" w:cs="Times New Roman" w:eastAsia="Times New Roman" w:hint="default"/>
        </w:rPr>
        <w:t>3</w:t>
      </w:r>
      <w:r>
        <w:rPr/>
        <w:t>）本期无转移长期应收款且继续涉入形成的资产、负债的情况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2、长期股权投资" w:id="254"/>
      <w:bookmarkEnd w:id="254"/>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769" w:type="dxa"/>
        <w:tblLayout w:type="fixed"/>
        <w:tblCellMar>
          <w:top w:w="0" w:type="dxa"/>
          <w:left w:w="0" w:type="dxa"/>
          <w:bottom w:w="0" w:type="dxa"/>
          <w:right w:w="0" w:type="dxa"/>
        </w:tblCellMar>
        <w:tblLook w:val="01E0"/>
      </w:tblPr>
      <w:tblGrid>
        <w:gridCol w:w="1114"/>
        <w:gridCol w:w="782"/>
        <w:gridCol w:w="868"/>
        <w:gridCol w:w="476"/>
        <w:gridCol w:w="1232"/>
        <w:gridCol w:w="780"/>
        <w:gridCol w:w="686"/>
        <w:gridCol w:w="92"/>
        <w:gridCol w:w="1168"/>
        <w:gridCol w:w="720"/>
        <w:gridCol w:w="901"/>
        <w:gridCol w:w="539"/>
        <w:gridCol w:w="902"/>
      </w:tblGrid>
      <w:tr>
        <w:trPr>
          <w:trHeight w:val="402" w:hRule="exact"/>
        </w:trPr>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92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5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83" w:right="83"/>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86" w:right="8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111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4" w:right="5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70"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2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6"/>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75" w:right="83"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539"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26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26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．联营企业</w:t>
            </w:r>
          </w:p>
        </w:tc>
        <w:tc>
          <w:tcPr>
            <w:tcW w:w="78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9"/>
              <w:jc w:val="both"/>
              <w:rPr>
                <w:rFonts w:ascii="宋体" w:hAnsi="宋体" w:cs="宋体" w:eastAsia="宋体" w:hint="default"/>
                <w:sz w:val="18"/>
                <w:szCs w:val="18"/>
              </w:rPr>
            </w:pPr>
            <w:r>
              <w:rPr>
                <w:rFonts w:ascii="宋体" w:hAnsi="宋体" w:cs="宋体" w:eastAsia="宋体" w:hint="default"/>
                <w:sz w:val="18"/>
                <w:szCs w:val="18"/>
              </w:rPr>
              <w:t>广州青创科 技企业孵化 器有限公司</w:t>
            </w:r>
          </w:p>
        </w:tc>
        <w:tc>
          <w:tcPr>
            <w:tcW w:w="78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108,678.37</w:t>
            </w:r>
          </w:p>
        </w:tc>
        <w:tc>
          <w:tcPr>
            <w:tcW w:w="53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82" w:type="dxa"/>
            <w:tcBorders>
              <w:top w:val="single" w:sz="4" w:space="0" w:color="000000"/>
              <w:left w:val="single" w:sz="13" w:space="0" w:color="D2D2D2"/>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108,678.37</w:t>
            </w:r>
          </w:p>
        </w:tc>
        <w:tc>
          <w:tcPr>
            <w:tcW w:w="53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13" w:space="0" w:color="D2D2D2"/>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108,678.37</w:t>
            </w:r>
          </w:p>
        </w:tc>
        <w:tc>
          <w:tcPr>
            <w:tcW w:w="53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494" w:right="0"/>
        <w:jc w:val="left"/>
      </w:pPr>
      <w:r>
        <w:rPr>
          <w:spacing w:val="-4"/>
        </w:rPr>
        <w:t>其他说明：</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日，公司与高云展、广州小炬人科技服务有限公司合计认缴出资</w:t>
      </w:r>
      <w:r>
        <w:rPr>
          <w:spacing w:val="-52"/>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8"/>
        </w:rPr>
        <w:t> </w:t>
      </w:r>
      <w:r>
        <w:rPr/>
        <w:t>万元成立广州青创科</w:t>
      </w:r>
    </w:p>
    <w:p>
      <w:pPr>
        <w:pStyle w:val="BodyText"/>
        <w:spacing w:line="240" w:lineRule="auto" w:before="61"/>
        <w:ind w:right="0"/>
        <w:jc w:val="left"/>
      </w:pPr>
      <w:r>
        <w:rPr/>
        <w:t>技企业孵化器有限公司，其中公司认缴出资</w:t>
      </w:r>
      <w:r>
        <w:rPr>
          <w:spacing w:val="-46"/>
        </w:rPr>
        <w:t> </w:t>
      </w:r>
      <w:r>
        <w:rPr>
          <w:rFonts w:ascii="Times New Roman" w:hAnsi="Times New Roman" w:cs="Times New Roman" w:eastAsia="Times New Roman" w:hint="default"/>
        </w:rPr>
        <w:t>40.00 </w:t>
      </w:r>
      <w:r>
        <w:rPr/>
        <w:t>万元，认缴出资比例为</w:t>
      </w:r>
      <w:r>
        <w:rPr>
          <w:spacing w:val="-46"/>
        </w:rPr>
        <w:t> </w:t>
      </w:r>
      <w:r>
        <w:rPr>
          <w:rFonts w:ascii="Times New Roman" w:hAnsi="Times New Roman" w:cs="Times New Roman" w:eastAsia="Times New Roman" w:hint="default"/>
        </w:rPr>
        <w:t>20%</w:t>
      </w:r>
      <w:r>
        <w:rPr/>
        <w:t>，截止</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日，公司已支付投资</w:t>
      </w:r>
    </w:p>
    <w:p>
      <w:pPr>
        <w:pStyle w:val="BodyText"/>
        <w:spacing w:line="240" w:lineRule="auto" w:before="64"/>
        <w:ind w:left="1134" w:right="0"/>
        <w:jc w:val="left"/>
      </w:pPr>
      <w:r>
        <w:rPr/>
        <w:t>款共</w:t>
      </w:r>
      <w:r>
        <w:rPr>
          <w:spacing w:val="-46"/>
        </w:rPr>
        <w:t> </w:t>
      </w:r>
      <w:r>
        <w:rPr>
          <w:rFonts w:ascii="Times New Roman" w:hAnsi="Times New Roman" w:cs="Times New Roman" w:eastAsia="Times New Roman" w:hint="default"/>
        </w:rPr>
        <w:t>40.00 </w:t>
      </w:r>
      <w:r>
        <w:rPr/>
        <w:t>万元。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13、投资性房地产" w:id="255"/>
      <w:bookmarkEnd w:id="255"/>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3342"/>
        <w:gridCol w:w="3120"/>
        <w:gridCol w:w="3221"/>
      </w:tblGrid>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18"/>
          <w:pgSz w:w="11910" w:h="16840"/>
          <w:pgMar w:footer="979" w:header="747" w:top="1060" w:bottom="1160" w:left="0" w:right="0"/>
          <w:pgNumType w:start="101"/>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3342"/>
        <w:gridCol w:w="3120"/>
        <w:gridCol w:w="3232"/>
      </w:tblGrid>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4,808,879.13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4,808,879.13</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381,383,446.70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381,383,446.70</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60,203,331.77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60,203,331.77</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321,180,114.93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321,180,114.93</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386,192,325.83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386,192,325.83</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254,931.63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254,931.63</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9,473,503.40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9,473,503.40</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8,837,833.85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8,837,833.85</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）本期新增</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635,669.55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635,669.55</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9,728,435.03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9,728,435.03</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120"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376,463,890.80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376,463,890.80</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4,553,947.50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4,553,947.50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本期无未办妥产权证书的投资性房地产。" w:id="258"/>
      <w:bookmarkEnd w:id="258"/>
      <w:r>
        <w:rPr>
          <w:b w:val="0"/>
          <w:bCs w:val="0"/>
        </w:rPr>
      </w:r>
      <w:r>
        <w:rPr/>
        <w:t>（</w:t>
      </w:r>
      <w:r>
        <w:rPr>
          <w:rFonts w:ascii="Times New Roman" w:hAnsi="Times New Roman" w:cs="Times New Roman" w:eastAsia="Times New Roman" w:hint="default"/>
        </w:rPr>
        <w:t>3</w:t>
      </w:r>
      <w:r>
        <w:rPr/>
        <w:t>）本期无未办妥产权证书的投资性房地产。</w:t>
      </w:r>
      <w:r>
        <w:rPr>
          <w:b w:val="0"/>
          <w:bCs w:val="0"/>
        </w:rPr>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14、固定资产" w:id="259"/>
      <w:bookmarkEnd w:id="259"/>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60"/>
      <w:bookmarkEnd w:id="26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949" w:type="dxa"/>
        <w:tblLayout w:type="fixed"/>
        <w:tblCellMar>
          <w:top w:w="0" w:type="dxa"/>
          <w:left w:w="0" w:type="dxa"/>
          <w:bottom w:w="0" w:type="dxa"/>
          <w:right w:w="0" w:type="dxa"/>
        </w:tblCellMar>
        <w:tblLook w:val="01E0"/>
      </w:tblPr>
      <w:tblGrid>
        <w:gridCol w:w="2160"/>
        <w:gridCol w:w="1320"/>
        <w:gridCol w:w="1320"/>
        <w:gridCol w:w="1320"/>
        <w:gridCol w:w="1320"/>
        <w:gridCol w:w="1320"/>
        <w:gridCol w:w="1320"/>
      </w:tblGrid>
      <w:tr>
        <w:trPr>
          <w:trHeight w:val="401"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2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2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7"/>
                <w:sz w:val="18"/>
              </w:rPr>
              <w:t>ATM</w:t>
            </w:r>
          </w:p>
        </w:tc>
        <w:tc>
          <w:tcPr>
            <w:tcW w:w="132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2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2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494,324,365.74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19,945,783.17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326,550,194.68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1" w:right="0"/>
              <w:jc w:val="left"/>
              <w:rPr>
                <w:rFonts w:ascii="Times New Roman" w:hAnsi="Times New Roman" w:cs="Times New Roman" w:eastAsia="Times New Roman" w:hint="default"/>
                <w:sz w:val="18"/>
                <w:szCs w:val="18"/>
              </w:rPr>
            </w:pPr>
            <w:r>
              <w:rPr>
                <w:rFonts w:ascii="Times New Roman"/>
                <w:sz w:val="18"/>
              </w:rPr>
              <w:t>22,461,497.85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4,316,456.92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867,598,298.36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40,318,689.60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2,552,340.68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3,852,496.33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2,636,238.44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351,365.92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49,711,130.97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40,318,689.60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2,552,340.68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2,636,238.44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351,365.92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45,858,634.64</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3,852,496.33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3,852,496.33</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321,180,114.93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267,899.22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56,258,500.78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2,580,658.98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56,286.19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380,343,460.10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267,899.22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56,258,500.78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2,580,658.98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56,286.19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59,163,345.17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321,180,114.93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321,180,114.93</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213,462,940.41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22,230,224.63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274,144,190.23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1" w:right="0"/>
              <w:jc w:val="left"/>
              <w:rPr>
                <w:rFonts w:ascii="Times New Roman" w:hAnsi="Times New Roman" w:cs="Times New Roman" w:eastAsia="Times New Roman" w:hint="default"/>
                <w:sz w:val="18"/>
                <w:szCs w:val="18"/>
              </w:rPr>
            </w:pPr>
            <w:r>
              <w:rPr>
                <w:rFonts w:ascii="Times New Roman"/>
                <w:sz w:val="18"/>
              </w:rPr>
              <w:t>22,517,077.31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4,611,536.65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536,965,969.23</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17,149,107.81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12,637,996.94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232,368,301.42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1" w:right="0"/>
              <w:jc w:val="left"/>
              <w:rPr>
                <w:rFonts w:ascii="Times New Roman" w:hAnsi="Times New Roman" w:cs="Times New Roman" w:eastAsia="Times New Roman" w:hint="default"/>
                <w:sz w:val="18"/>
                <w:szCs w:val="18"/>
              </w:rPr>
            </w:pPr>
            <w:r>
              <w:rPr>
                <w:rFonts w:ascii="Times New Roman"/>
                <w:sz w:val="18"/>
              </w:rPr>
              <w:t>14,772,650.33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3,727,424.51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280,655,481.01</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4,689,106.35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1,943,854.36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25,121,433.50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2,615,704.43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139,812.96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34,509,911.60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4,689,106.35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1,943,854.36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25,121,433.50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2,615,704.43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139,812.96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34,509,911.60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635,669.55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250,080.37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48,627,869.18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1,189,836.89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41,227.44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50,744,683.43</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250,080.37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48,627,869.18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1,189,836.89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41,227.44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50,109,013.88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635,669.55</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635,669.55</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21,202,544.61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14,331,770.93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208,861,865.74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1" w:right="0"/>
              <w:jc w:val="left"/>
              <w:rPr>
                <w:rFonts w:ascii="Times New Roman" w:hAnsi="Times New Roman" w:cs="Times New Roman" w:eastAsia="Times New Roman" w:hint="default"/>
                <w:sz w:val="18"/>
                <w:szCs w:val="18"/>
              </w:rPr>
            </w:pPr>
            <w:r>
              <w:rPr>
                <w:rFonts w:ascii="Times New Roman"/>
                <w:sz w:val="18"/>
              </w:rPr>
              <w:t>16,198,517.87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3,826,010.03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264,420,709.18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15,262,341.17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15,262,341.17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15,262,341.17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15,262,341.17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15,262,341.17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15,262,341.17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192,260,395.80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7,898,453.70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50,019,983.32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6,318,559.44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785,526.62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257,282,918.88</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477,175,257.93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7,307,786.23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94,181,893.26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1" w:right="0"/>
              <w:jc w:val="left"/>
              <w:rPr>
                <w:rFonts w:ascii="Times New Roman" w:hAnsi="Times New Roman" w:cs="Times New Roman" w:eastAsia="Times New Roman" w:hint="default"/>
                <w:sz w:val="18"/>
                <w:szCs w:val="18"/>
              </w:rPr>
            </w:pPr>
            <w:r>
              <w:rPr>
                <w:rFonts w:ascii="Times New Roman"/>
                <w:sz w:val="18"/>
              </w:rPr>
              <w:t>7,688,847.52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589,032.41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586,942,817.35</w:t>
            </w:r>
          </w:p>
        </w:tc>
      </w:tr>
    </w:tbl>
    <w:p>
      <w:pPr>
        <w:spacing w:line="240" w:lineRule="auto" w:before="1"/>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无暂时闲置的固定资产情况" w:id="261"/>
      <w:bookmarkEnd w:id="261"/>
      <w:r>
        <w:rPr>
          <w:b w:val="0"/>
          <w:bCs w:val="0"/>
        </w:rPr>
      </w:r>
      <w:r>
        <w:rPr/>
        <w:t>（</w:t>
      </w:r>
      <w:r>
        <w:rPr>
          <w:rFonts w:ascii="Times New Roman" w:hAnsi="Times New Roman" w:cs="Times New Roman" w:eastAsia="Times New Roman" w:hint="default"/>
        </w:rPr>
        <w:t>2</w:t>
      </w:r>
      <w:r>
        <w:rPr/>
        <w:t>）本期无暂时闲置的固定资产情况</w:t>
      </w:r>
      <w:r>
        <w:rPr>
          <w:b w:val="0"/>
          <w:bCs w:val="0"/>
        </w:rPr>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本期无通过融资租赁租入的固定资产情况" w:id="262"/>
      <w:bookmarkEnd w:id="262"/>
      <w:r>
        <w:rPr>
          <w:b w:val="0"/>
          <w:bCs w:val="0"/>
        </w:rPr>
      </w:r>
      <w:r>
        <w:rPr/>
        <w:t>（</w:t>
      </w:r>
      <w:r>
        <w:rPr>
          <w:rFonts w:ascii="Times New Roman" w:hAnsi="Times New Roman" w:cs="Times New Roman" w:eastAsia="Times New Roman" w:hint="default"/>
        </w:rPr>
        <w:t>3</w:t>
      </w:r>
      <w:r>
        <w:rPr/>
        <w:t>）本期无通过融资租赁租入的固定资产情况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63"/>
      <w:bookmarkEnd w:id="26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7"/>
                <w:sz w:val="18"/>
              </w:rPr>
              <w:t>ATM</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1,846,153.84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840,805.27</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2,686,959.11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办妥产权证书的固定资产情况" w:id="264"/>
      <w:bookmarkEnd w:id="26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丽来花园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区</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U9-11</w:t>
            </w:r>
            <w:r>
              <w:rPr>
                <w:rFonts w:ascii="Times New Roman" w:hAnsi="Times New Roman" w:cs="Times New Roman" w:eastAsia="Times New Roman"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19,800,256.47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丽来花园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U10-05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19,800,256.47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39,600,512.94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5、在建工程" w:id="265"/>
      <w:bookmarkEnd w:id="265"/>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66"/>
      <w:bookmarkEnd w:id="26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949" w:type="dxa"/>
        <w:tblLayout w:type="fixed"/>
        <w:tblCellMar>
          <w:top w:w="0" w:type="dxa"/>
          <w:left w:w="0" w:type="dxa"/>
          <w:bottom w:w="0" w:type="dxa"/>
          <w:right w:w="0" w:type="dxa"/>
        </w:tblCellMar>
        <w:tblLook w:val="01E0"/>
      </w:tblPr>
      <w:tblGrid>
        <w:gridCol w:w="1800"/>
        <w:gridCol w:w="1325"/>
        <w:gridCol w:w="1325"/>
        <w:gridCol w:w="1326"/>
        <w:gridCol w:w="1325"/>
        <w:gridCol w:w="1325"/>
        <w:gridCol w:w="1326"/>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w:t>
            </w:r>
            <w:r>
              <w:rPr>
                <w:rFonts w:ascii="Times New Roman" w:hAnsi="Times New Roman" w:cs="Times New Roman" w:eastAsia="Times New Roman" w:hint="default"/>
                <w:sz w:val="18"/>
                <w:szCs w:val="18"/>
              </w:rPr>
              <w:t>/</w:t>
            </w:r>
            <w:r>
              <w:rPr>
                <w:rFonts w:ascii="宋体" w:hAnsi="宋体" w:cs="宋体" w:eastAsia="宋体" w:hint="default"/>
                <w:sz w:val="18"/>
                <w:szCs w:val="18"/>
              </w:rPr>
              <w:t>调试的自产</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4,819,582.60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4,819,582.60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4,667,003.61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4,667,003.61</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4,819,582.60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4,819,582.60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4,667,003.61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4,667,003.61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无重要在建工程项目本期变动情况" w:id="267"/>
      <w:bookmarkEnd w:id="267"/>
      <w:r>
        <w:rPr>
          <w:b w:val="0"/>
          <w:bCs w:val="0"/>
        </w:rPr>
      </w:r>
      <w:r>
        <w:rPr/>
        <w:t>（</w:t>
      </w:r>
      <w:r>
        <w:rPr>
          <w:rFonts w:ascii="Times New Roman" w:hAnsi="Times New Roman" w:cs="Times New Roman" w:eastAsia="Times New Roman" w:hint="default"/>
        </w:rPr>
        <w:t>2</w:t>
      </w:r>
      <w:r>
        <w:rPr/>
        <w:t>）本期无重要在建工程项目本期变动情况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本期无计提在建工程减值准备情况。" w:id="268"/>
      <w:bookmarkEnd w:id="268"/>
      <w:r>
        <w:rPr>
          <w:b w:val="0"/>
          <w:bCs w:val="0"/>
        </w:rPr>
      </w:r>
      <w:r>
        <w:rPr/>
        <w:t>（</w:t>
      </w:r>
      <w:r>
        <w:rPr>
          <w:rFonts w:ascii="Times New Roman" w:hAnsi="Times New Roman" w:cs="Times New Roman" w:eastAsia="Times New Roman" w:hint="default"/>
        </w:rPr>
        <w:t>3</w:t>
      </w:r>
      <w:r>
        <w:rPr/>
        <w:t>）本期无计提在建工程减值准备情况。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6、无形资产" w:id="269"/>
      <w:bookmarkEnd w:id="269"/>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70"/>
      <w:bookmarkEnd w:id="27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526"/>
        <w:gridCol w:w="1797"/>
        <w:gridCol w:w="1787"/>
        <w:gridCol w:w="1786"/>
        <w:gridCol w:w="1788"/>
      </w:tblGrid>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87" w:type="dxa"/>
            <w:tcBorders>
              <w:top w:val="single" w:sz="4" w:space="0" w:color="000000"/>
              <w:left w:val="single" w:sz="13" w:space="0" w:color="D2D2D2"/>
              <w:bottom w:val="single" w:sz="4" w:space="0" w:color="000000"/>
              <w:right w:val="single" w:sz="4" w:space="0" w:color="000000"/>
            </w:tcBorders>
            <w:shd w:val="clear" w:color="auto" w:fill="CCC0D9"/>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软件系统</w:t>
            </w:r>
          </w:p>
        </w:tc>
        <w:tc>
          <w:tcPr>
            <w:tcW w:w="1786" w:type="dxa"/>
            <w:tcBorders>
              <w:top w:val="single" w:sz="4" w:space="0" w:color="000000"/>
              <w:left w:val="single" w:sz="4" w:space="0" w:color="000000"/>
              <w:bottom w:val="single" w:sz="4" w:space="0" w:color="000000"/>
              <w:right w:val="single" w:sz="9" w:space="0" w:color="D2D2D2"/>
            </w:tcBorders>
            <w:shd w:val="clear" w:color="auto" w:fill="CCC0D9"/>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高尔夫球会籍</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97" w:type="dxa"/>
            <w:tcBorders>
              <w:top w:val="single" w:sz="4" w:space="0" w:color="000000"/>
              <w:left w:val="single" w:sz="10" w:space="0" w:color="D2D2D2"/>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2" w:right="0"/>
              <w:jc w:val="left"/>
              <w:rPr>
                <w:rFonts w:ascii="Times New Roman" w:hAnsi="Times New Roman" w:cs="Times New Roman" w:eastAsia="Times New Roman" w:hint="default"/>
                <w:sz w:val="18"/>
                <w:szCs w:val="18"/>
              </w:rPr>
            </w:pPr>
            <w:r>
              <w:rPr>
                <w:rFonts w:ascii="Times New Roman"/>
                <w:sz w:val="18"/>
              </w:rPr>
              <w:t>46,373,808.58</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40,706,185.01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4,796,000.00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91,875,993.59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2549"/>
        <w:gridCol w:w="1785"/>
        <w:gridCol w:w="1787"/>
        <w:gridCol w:w="1786"/>
        <w:gridCol w:w="1788"/>
      </w:tblGrid>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14,450,900.00</w:t>
            </w: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14,450,900.00</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14,450,900.00</w:t>
            </w: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14,450,900.00</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60,824,708.58</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40,706,185.01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106,296,893.59</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4,499,260.84</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17,109,146.88</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21,608,407.72</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1,040,117.92</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4,094,618.44</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5,134,736.36</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1,040,117.92</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4,094,618.44</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5,134,736.36</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5,539,378.76</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21,203,765.32</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26,743,144.08</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464,000.00</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983,698.11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983,698.11</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983,698.11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983,698.11</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1,447,698.11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1,447,698.11</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85"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55,285,329.82</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19,502,419.69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3,318,301.89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78,106,051.40</w:t>
            </w:r>
          </w:p>
        </w:tc>
      </w:tr>
      <w:tr>
        <w:trPr>
          <w:trHeight w:val="402" w:hRule="exact"/>
        </w:trPr>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41,874,547.74</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23,597,038.13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69,803,585.87</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35.00%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71"/>
      <w:bookmarkEnd w:id="27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开发区永和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YH-I7-8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14,354,560.68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14,354,560.68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BodyText"/>
        <w:spacing w:line="240" w:lineRule="auto" w:before="116"/>
        <w:ind w:left="1494" w:right="0"/>
        <w:jc w:val="left"/>
      </w:pPr>
      <w:r>
        <w:rPr/>
        <w:t>土地使用权包括科学城土地使用权、高唐土地使用权以及开发区永和</w:t>
      </w:r>
      <w:r>
        <w:rPr>
          <w:rFonts w:ascii="Times New Roman" w:hAnsi="Times New Roman" w:cs="Times New Roman" w:eastAsia="Times New Roman" w:hint="default"/>
        </w:rPr>
        <w:t>YH-I7-8</w:t>
      </w:r>
      <w:r>
        <w:rPr/>
        <w:t>土地使用权：</w:t>
      </w:r>
    </w:p>
    <w:p>
      <w:pPr>
        <w:pStyle w:val="BodyText"/>
        <w:spacing w:line="300" w:lineRule="auto" w:before="63"/>
        <w:ind w:left="1134" w:right="0" w:firstLine="360"/>
        <w:jc w:val="left"/>
      </w:pPr>
      <w:r>
        <w:rPr>
          <w:spacing w:val="-2"/>
        </w:rPr>
        <w:t>（</w:t>
      </w:r>
      <w:r>
        <w:rPr>
          <w:rFonts w:ascii="Times New Roman" w:hAnsi="Times New Roman" w:cs="Times New Roman" w:eastAsia="Times New Roman" w:hint="default"/>
          <w:spacing w:val="-2"/>
        </w:rPr>
        <w:t>1</w:t>
      </w:r>
      <w:r>
        <w:rPr>
          <w:spacing w:val="-2"/>
        </w:rPr>
        <w:t>）科学城土地使用权的权证号为穗府国用（</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05000060</w:t>
      </w:r>
      <w:r>
        <w:rPr>
          <w:spacing w:val="-2"/>
        </w:rPr>
        <w:t>号，使用权面积为</w:t>
      </w:r>
      <w:r>
        <w:rPr>
          <w:rFonts w:ascii="Times New Roman" w:hAnsi="Times New Roman" w:cs="Times New Roman" w:eastAsia="Times New Roman" w:hint="default"/>
          <w:spacing w:val="-2"/>
        </w:rPr>
        <w:t>15,000.00</w:t>
      </w:r>
      <w:r>
        <w:rPr>
          <w:spacing w:val="-2"/>
        </w:rPr>
        <w:t>平方米，为工矿仓储用地，</w:t>
      </w:r>
      <w:r>
        <w:rPr/>
        <w:t> 使用年限至</w:t>
      </w:r>
      <w:r>
        <w:rPr>
          <w:rFonts w:ascii="Times New Roman" w:hAnsi="Times New Roman" w:cs="Times New Roman" w:eastAsia="Times New Roman" w:hint="default"/>
        </w:rPr>
        <w:t>2060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日终止，该土地使用权以出让方式取得；</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9" w:firstLine="360"/>
        <w:jc w:val="both"/>
      </w:pPr>
      <w:r>
        <w:rPr/>
        <w:t>（</w:t>
      </w:r>
      <w:r>
        <w:rPr>
          <w:rFonts w:ascii="Times New Roman" w:hAnsi="Times New Roman" w:cs="Times New Roman" w:eastAsia="Times New Roman" w:hint="default"/>
        </w:rPr>
        <w:t>2</w:t>
      </w:r>
      <w:r>
        <w:rPr/>
        <w:t>）高唐土地使用权的权证号为穗府国用（</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01100110</w:t>
      </w:r>
      <w:r>
        <w:rPr/>
        <w:t>号，使用权面积为</w:t>
      </w:r>
      <w:r>
        <w:rPr>
          <w:rFonts w:ascii="Times New Roman" w:hAnsi="Times New Roman" w:cs="Times New Roman" w:eastAsia="Times New Roman" w:hint="default"/>
        </w:rPr>
        <w:t>14,693.00</w:t>
      </w:r>
      <w:r>
        <w:rPr/>
        <w:t>平方米，用途为科教用地， 该土地使用权以出让方式取得，土地出让使用年限自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日起计算，居民份额用地</w:t>
      </w:r>
      <w:r>
        <w:rPr>
          <w:rFonts w:ascii="Times New Roman" w:hAnsi="Times New Roman" w:cs="Times New Roman" w:eastAsia="Times New Roman" w:hint="default"/>
        </w:rPr>
        <w:t>70</w:t>
      </w:r>
      <w:r>
        <w:rPr/>
        <w:t>年，商业、旅游、娱乐份额用 地</w:t>
      </w:r>
      <w:r>
        <w:rPr>
          <w:rFonts w:ascii="Times New Roman" w:hAnsi="Times New Roman" w:cs="Times New Roman" w:eastAsia="Times New Roman" w:hint="default"/>
        </w:rPr>
        <w:t>40</w:t>
      </w:r>
      <w:r>
        <w:rPr/>
        <w:t>年，其他用地</w:t>
      </w:r>
      <w:r>
        <w:rPr>
          <w:rFonts w:ascii="Times New Roman" w:hAnsi="Times New Roman" w:cs="Times New Roman" w:eastAsia="Times New Roman" w:hint="default"/>
        </w:rPr>
        <w:t>50</w:t>
      </w:r>
      <w:r>
        <w:rPr/>
        <w:t>年，土地属于其他用地按</w:t>
      </w:r>
      <w:r>
        <w:rPr>
          <w:rFonts w:ascii="Times New Roman" w:hAnsi="Times New Roman" w:cs="Times New Roman" w:eastAsia="Times New Roman" w:hint="default"/>
        </w:rPr>
        <w:t>50</w:t>
      </w:r>
      <w:r>
        <w:rPr/>
        <w:t>年摊销；</w:t>
      </w:r>
    </w:p>
    <w:p>
      <w:pPr>
        <w:pStyle w:val="BodyText"/>
        <w:spacing w:line="300" w:lineRule="auto" w:before="13"/>
        <w:ind w:left="1134" w:right="1222" w:firstLine="360"/>
        <w:jc w:val="left"/>
      </w:pPr>
      <w:r>
        <w:rPr/>
        <w:t>（</w:t>
      </w:r>
      <w:r>
        <w:rPr>
          <w:rFonts w:ascii="Times New Roman" w:hAnsi="Times New Roman" w:cs="Times New Roman" w:eastAsia="Times New Roman" w:hint="default"/>
        </w:rPr>
        <w:t>3</w:t>
      </w:r>
      <w:r>
        <w:rPr/>
        <w:t>）开发区永和</w:t>
      </w:r>
      <w:r>
        <w:rPr>
          <w:rFonts w:ascii="Times New Roman" w:hAnsi="Times New Roman" w:cs="Times New Roman" w:eastAsia="Times New Roman" w:hint="default"/>
        </w:rPr>
        <w:t>YH-I7-8</w:t>
      </w:r>
      <w:r>
        <w:rPr/>
        <w:t>土地使用权面积为</w:t>
      </w:r>
      <w:r>
        <w:rPr>
          <w:rFonts w:ascii="Times New Roman" w:hAnsi="Times New Roman" w:cs="Times New Roman" w:eastAsia="Times New Roman" w:hint="default"/>
        </w:rPr>
        <w:t>16,696.00</w:t>
      </w:r>
      <w:r>
        <w:rPr/>
        <w:t>平方米，为工业用地，该土地使用权以出让方式取得，截止</w:t>
      </w:r>
      <w:r>
        <w:rPr>
          <w:rFonts w:ascii="Times New Roman" w:hAnsi="Times New Roman" w:cs="Times New Roman" w:eastAsia="Times New Roman" w:hint="default"/>
        </w:rPr>
        <w:t>2017</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日，该土地使用权尚未办妥产权证书。</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17、长期待摊费用" w:id="272"/>
      <w:bookmarkEnd w:id="272"/>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926,515.20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251,868.21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674,646.99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工厂装修费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746,252.72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447,751.68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298,501.04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1,672,767.92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699,619.89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973,148.03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8、递延所得税资产/递延所得税负债" w:id="273"/>
      <w:bookmarkEnd w:id="273"/>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4"/>
      <w:bookmarkEnd w:id="27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56,028,869.35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9,125,790.72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18,284,831.23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2,853,443.59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54,198,214.95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7,586,042.36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65,850,612.88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10,501,793.03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30,559,200.00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4,583,880.00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52,198,800.00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7,829,820.00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140,786,284.30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21,295,713.08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136,334,244.11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21,185,056.62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275"/>
      <w:bookmarkEnd w:id="27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89" w:type="dxa"/>
        <w:tblLayout w:type="fixed"/>
        <w:tblCellMar>
          <w:top w:w="0" w:type="dxa"/>
          <w:left w:w="0" w:type="dxa"/>
          <w:bottom w:w="0" w:type="dxa"/>
          <w:right w:w="0" w:type="dxa"/>
        </w:tblCellMar>
        <w:tblLook w:val="01E0"/>
      </w:tblPr>
      <w:tblGrid>
        <w:gridCol w:w="2604"/>
        <w:gridCol w:w="1917"/>
        <w:gridCol w:w="1914"/>
        <w:gridCol w:w="1914"/>
        <w:gridCol w:w="1914"/>
      </w:tblGrid>
      <w:tr>
        <w:trPr>
          <w:trHeight w:val="402" w:hRule="exact"/>
        </w:trPr>
        <w:tc>
          <w:tcPr>
            <w:tcW w:w="26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604"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期损益的金融资产公允价值变动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3,596,451.63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59,339,842.69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2,385,041.02</w:t>
            </w:r>
          </w:p>
        </w:tc>
      </w:tr>
      <w:tr>
        <w:trPr>
          <w:trHeight w:val="402" w:hRule="exact"/>
        </w:trPr>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3,596,451.63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59,339,842.69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2,385,041.02</w:t>
            </w:r>
          </w:p>
        </w:tc>
      </w:tr>
    </w:tbl>
    <w:p>
      <w:pPr>
        <w:spacing w:line="240" w:lineRule="auto" w:before="1"/>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无以抵销后净额列示的递延所得税资产或负债。" w:id="276"/>
      <w:bookmarkEnd w:id="276"/>
      <w:r>
        <w:rPr>
          <w:b w:val="0"/>
          <w:bCs w:val="0"/>
        </w:rPr>
      </w:r>
      <w:r>
        <w:rPr/>
        <w:t>（</w:t>
      </w:r>
      <w:r>
        <w:rPr>
          <w:rFonts w:ascii="Times New Roman" w:hAnsi="Times New Roman" w:cs="Times New Roman" w:eastAsia="Times New Roman" w:hint="default"/>
        </w:rPr>
        <w:t>3</w:t>
      </w:r>
      <w:r>
        <w:rPr/>
        <w:t>）本期无以抵销后净额列示的递延所得税资产或负债。</w:t>
      </w:r>
      <w:r>
        <w:rPr>
          <w:b w:val="0"/>
          <w:bCs w:val="0"/>
        </w:rPr>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19、其他非流动资产" w:id="277"/>
      <w:bookmarkEnd w:id="277"/>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70,187,556.00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70,187,556.00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0、短期借款" w:id="278"/>
      <w:bookmarkEnd w:id="278"/>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279"/>
      <w:bookmarkEnd w:id="27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质押并保证借款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抵押并保证借款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51"/>
        <w:ind w:left="1134" w:right="0"/>
        <w:jc w:val="left"/>
      </w:pPr>
      <w:r>
        <w:rPr/>
        <w:t>短期借款分类的说明：</w:t>
      </w:r>
    </w:p>
    <w:p>
      <w:pPr>
        <w:pStyle w:val="BodyText"/>
        <w:spacing w:line="300" w:lineRule="auto" w:before="115"/>
        <w:ind w:right="1042" w:firstLine="360"/>
        <w:jc w:val="left"/>
      </w:pPr>
      <w:r>
        <w:rPr/>
        <w:t>①</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日，公司与汇丰银行（中国）有限公司广州分行签订了编号为</w:t>
      </w:r>
      <w:r>
        <w:rPr>
          <w:rFonts w:ascii="Times New Roman" w:hAnsi="Times New Roman" w:cs="Times New Roman" w:eastAsia="Times New Roman" w:hint="default"/>
        </w:rPr>
        <w:t>629-061060-300</w:t>
      </w:r>
      <w:r>
        <w:rPr/>
        <w:t>的借款合同，借款金额为 </w:t>
      </w:r>
      <w:r>
        <w:rPr>
          <w:rFonts w:ascii="Times New Roman" w:hAnsi="Times New Roman" w:cs="Times New Roman" w:eastAsia="Times New Roman" w:hint="default"/>
          <w:spacing w:val="-2"/>
        </w:rPr>
        <w:t>10,000,000.00</w:t>
      </w:r>
      <w:r>
        <w:rPr>
          <w:spacing w:val="-2"/>
        </w:rPr>
        <w:t>元，期限自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日止。该项借款系在编号为</w:t>
      </w:r>
      <w:r>
        <w:rPr>
          <w:rFonts w:ascii="Times New Roman" w:hAnsi="Times New Roman" w:cs="Times New Roman" w:eastAsia="Times New Roman" w:hint="default"/>
          <w:spacing w:val="-2"/>
        </w:rPr>
        <w:t>CN11009061060-160716</w:t>
      </w:r>
      <w:r>
        <w:rPr>
          <w:spacing w:val="-2"/>
        </w:rPr>
        <w:t>的授信函下取得，</w:t>
      </w:r>
      <w:r>
        <w:rPr>
          <w:spacing w:val="-14"/>
        </w:rPr>
        <w:t> </w:t>
      </w:r>
      <w:r>
        <w:rPr/>
        <w:t>授信额度为</w:t>
      </w:r>
      <w:r>
        <w:rPr>
          <w:rFonts w:ascii="Times New Roman" w:hAnsi="Times New Roman" w:cs="Times New Roman" w:eastAsia="Times New Roman" w:hint="default"/>
        </w:rPr>
        <w:t>80,000,000.00</w:t>
      </w:r>
      <w:r>
        <w:rPr/>
        <w:t>元，以杨文江作担保，最高担保额度为</w:t>
      </w:r>
      <w:r>
        <w:rPr>
          <w:rFonts w:ascii="Times New Roman" w:hAnsi="Times New Roman" w:cs="Times New Roman" w:eastAsia="Times New Roman" w:hint="default"/>
        </w:rPr>
        <w:t>88,000,000.00</w:t>
      </w:r>
      <w:r>
        <w:rPr/>
        <w:t>元；</w:t>
      </w:r>
    </w:p>
    <w:p>
      <w:pPr>
        <w:pStyle w:val="BodyText"/>
        <w:spacing w:line="300" w:lineRule="auto" w:before="13"/>
        <w:ind w:right="1145" w:firstLine="360"/>
        <w:jc w:val="both"/>
      </w:pPr>
      <w:r>
        <w:rPr/>
        <w:t>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日，公司与汇丰银行（中国）有限公司广州分行签订了编号为</w:t>
      </w:r>
      <w:r>
        <w:rPr>
          <w:rFonts w:ascii="Times New Roman" w:hAnsi="Times New Roman" w:cs="Times New Roman" w:eastAsia="Times New Roman" w:hint="default"/>
        </w:rPr>
        <w:t>629-061060-190</w:t>
      </w:r>
      <w:r>
        <w:rPr/>
        <w:t>的借款合同，借款金额为 </w:t>
      </w:r>
      <w:r>
        <w:rPr>
          <w:rFonts w:ascii="Times New Roman" w:hAnsi="Times New Roman" w:cs="Times New Roman" w:eastAsia="Times New Roman" w:hint="default"/>
        </w:rPr>
        <w:t>20,000,000.00</w:t>
      </w:r>
      <w:r>
        <w:rPr/>
        <w:t>元，期限自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日止。该项借款系在编号为</w:t>
      </w:r>
      <w:r>
        <w:rPr>
          <w:rFonts w:ascii="Times New Roman" w:hAnsi="Times New Roman" w:cs="Times New Roman" w:eastAsia="Times New Roman" w:hint="default"/>
        </w:rPr>
        <w:t>CN11009061060-160717</w:t>
      </w:r>
      <w:r>
        <w:rPr/>
        <w:t>的授信函下取得， 授信额度为</w:t>
      </w:r>
      <w:r>
        <w:rPr>
          <w:rFonts w:ascii="Times New Roman" w:hAnsi="Times New Roman" w:cs="Times New Roman" w:eastAsia="Times New Roman" w:hint="default"/>
        </w:rPr>
        <w:t>80,000,000.00</w:t>
      </w:r>
      <w:r>
        <w:rPr/>
        <w:t>元，以杨文江作担保，最高担保额度为</w:t>
      </w:r>
      <w:r>
        <w:rPr>
          <w:rFonts w:ascii="Times New Roman" w:hAnsi="Times New Roman" w:cs="Times New Roman" w:eastAsia="Times New Roman" w:hint="default"/>
        </w:rPr>
        <w:t>88,000,000.00</w:t>
      </w:r>
      <w:r>
        <w:rPr/>
        <w:t>元；</w:t>
      </w:r>
    </w:p>
    <w:p>
      <w:pPr>
        <w:pStyle w:val="BodyText"/>
        <w:spacing w:line="300" w:lineRule="auto" w:before="13"/>
        <w:ind w:right="1130" w:firstLine="360"/>
        <w:jc w:val="both"/>
      </w:pPr>
      <w:r>
        <w:rPr>
          <w:spacing w:val="-2"/>
        </w:rPr>
        <w:t>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2017</w:t>
      </w:r>
      <w:r>
        <w:rPr>
          <w:spacing w:val="-2"/>
        </w:rPr>
        <w:t>年流借字第</w:t>
      </w:r>
      <w:r>
        <w:rPr>
          <w:rFonts w:ascii="Times New Roman" w:hAnsi="Times New Roman" w:cs="Times New Roman" w:eastAsia="Times New Roman" w:hint="default"/>
          <w:spacing w:val="-2"/>
        </w:rPr>
        <w:t>072</w:t>
      </w:r>
      <w:r>
        <w:rPr>
          <w:spacing w:val="-2"/>
        </w:rPr>
        <w:t>号流</w:t>
      </w:r>
      <w:r>
        <w:rPr/>
        <w:t> </w:t>
      </w:r>
      <w:r>
        <w:rPr>
          <w:spacing w:val="-1"/>
        </w:rPr>
        <w:t>动资金借款合同，本合同项下的借款金额为</w:t>
      </w:r>
      <w:r>
        <w:rPr>
          <w:rFonts w:ascii="Times New Roman" w:hAnsi="Times New Roman" w:cs="Times New Roman" w:eastAsia="Times New Roman" w:hint="default"/>
          <w:spacing w:val="-1"/>
        </w:rPr>
        <w:t>10,000,000.00</w:t>
      </w:r>
      <w:r>
        <w:rPr>
          <w:spacing w:val="-1"/>
        </w:rPr>
        <w:t>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29</w:t>
      </w:r>
      <w:r>
        <w:rPr>
          <w:spacing w:val="-1"/>
        </w:rPr>
        <w:t>日止，杨文江、子公</w:t>
      </w:r>
      <w:r>
        <w:rPr>
          <w:spacing w:val="-64"/>
        </w:rPr>
        <w:t> </w:t>
      </w:r>
      <w:r>
        <w:rPr>
          <w:spacing w:val="-64"/>
        </w:rPr>
      </w:r>
      <w:r>
        <w:rPr/>
        <w:t>司广州御新软件有限公司为其提供保证担保，所对应的最高额担保合同编号分别为工业支行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 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号，期限分别为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p>
      <w:pPr>
        <w:pStyle w:val="BodyText"/>
        <w:spacing w:line="300" w:lineRule="auto" w:before="13"/>
        <w:ind w:right="1130" w:firstLine="360"/>
        <w:jc w:val="both"/>
      </w:pPr>
      <w:r>
        <w:rPr>
          <w:spacing w:val="-2"/>
        </w:rPr>
        <w:t>④</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2017</w:t>
      </w:r>
      <w:r>
        <w:rPr>
          <w:spacing w:val="-2"/>
        </w:rPr>
        <w:t>年流借字第</w:t>
      </w:r>
      <w:r>
        <w:rPr>
          <w:rFonts w:ascii="Times New Roman" w:hAnsi="Times New Roman" w:cs="Times New Roman" w:eastAsia="Times New Roman" w:hint="default"/>
          <w:spacing w:val="-2"/>
        </w:rPr>
        <w:t>073</w:t>
      </w:r>
      <w:r>
        <w:rPr>
          <w:spacing w:val="-2"/>
        </w:rPr>
        <w:t>号流</w:t>
      </w:r>
      <w:r>
        <w:rPr/>
        <w:t> </w:t>
      </w:r>
      <w:r>
        <w:rPr>
          <w:spacing w:val="-1"/>
        </w:rPr>
        <w:t>动资金借款合同，本合同项下的借款金额为</w:t>
      </w:r>
      <w:r>
        <w:rPr>
          <w:rFonts w:ascii="Times New Roman" w:hAnsi="Times New Roman" w:cs="Times New Roman" w:eastAsia="Times New Roman" w:hint="default"/>
          <w:spacing w:val="-1"/>
        </w:rPr>
        <w:t>10,000,000.00</w:t>
      </w:r>
      <w:r>
        <w:rPr>
          <w:spacing w:val="-1"/>
        </w:rPr>
        <w:t>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日止，杨文江、子公</w:t>
      </w:r>
      <w:r>
        <w:rPr>
          <w:spacing w:val="-64"/>
        </w:rPr>
        <w:t> </w:t>
      </w:r>
      <w:r>
        <w:rPr>
          <w:spacing w:val="-64"/>
        </w:rPr>
      </w:r>
      <w:r>
        <w:rPr/>
        <w:t>司广州御新软件有限公司为其提供保证担保，所对应的最高额担保合同编号分别为工业支行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 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号，期限分别为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p>
      <w:pPr>
        <w:pStyle w:val="BodyText"/>
        <w:spacing w:line="300" w:lineRule="auto" w:before="13"/>
        <w:ind w:right="1130" w:firstLine="360"/>
        <w:jc w:val="both"/>
      </w:pPr>
      <w:r>
        <w:rPr>
          <w:spacing w:val="-2"/>
        </w:rPr>
        <w:t>⑤</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日，公司与中国工商银行股份有限公司广州工业大道支行签订了编号为工业支行</w:t>
      </w:r>
      <w:r>
        <w:rPr>
          <w:rFonts w:ascii="Times New Roman" w:hAnsi="Times New Roman" w:cs="Times New Roman" w:eastAsia="Times New Roman" w:hint="default"/>
          <w:spacing w:val="-2"/>
        </w:rPr>
        <w:t>2017</w:t>
      </w:r>
      <w:r>
        <w:rPr>
          <w:spacing w:val="-2"/>
        </w:rPr>
        <w:t>年流借字第</w:t>
      </w:r>
      <w:r>
        <w:rPr>
          <w:rFonts w:ascii="Times New Roman" w:hAnsi="Times New Roman" w:cs="Times New Roman" w:eastAsia="Times New Roman" w:hint="default"/>
          <w:spacing w:val="-2"/>
        </w:rPr>
        <w:t>074</w:t>
      </w:r>
      <w:r>
        <w:rPr>
          <w:spacing w:val="-2"/>
        </w:rPr>
        <w:t>号流</w:t>
      </w:r>
      <w:r>
        <w:rPr/>
        <w:t> </w:t>
      </w:r>
      <w:r>
        <w:rPr>
          <w:spacing w:val="-1"/>
        </w:rPr>
        <w:t>动资金借款合同，本合同项下的借款金额为</w:t>
      </w:r>
      <w:r>
        <w:rPr>
          <w:rFonts w:ascii="Times New Roman" w:hAnsi="Times New Roman" w:cs="Times New Roman" w:eastAsia="Times New Roman" w:hint="default"/>
          <w:spacing w:val="-1"/>
        </w:rPr>
        <w:t>10,000,000.00</w:t>
      </w:r>
      <w:r>
        <w:rPr>
          <w:spacing w:val="-1"/>
        </w:rPr>
        <w:t>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29</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日止，杨文江、子公</w:t>
      </w:r>
      <w:r>
        <w:rPr>
          <w:spacing w:val="-64"/>
        </w:rPr>
        <w:t> </w:t>
      </w:r>
      <w:r>
        <w:rPr>
          <w:spacing w:val="-64"/>
        </w:rPr>
      </w:r>
      <w:r>
        <w:rPr/>
        <w:t>司广州御新软件有限公司为其提供保证担保，所对应的最高额担保合同编号分别为工业支行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095</w:t>
      </w:r>
      <w:r>
        <w:rPr/>
        <w:t>号、工业 支行</w:t>
      </w:r>
      <w:r>
        <w:rPr>
          <w:rFonts w:ascii="Times New Roman" w:hAnsi="Times New Roman" w:cs="Times New Roman" w:eastAsia="Times New Roman" w:hint="default"/>
        </w:rPr>
        <w:t>2015</w:t>
      </w:r>
      <w:r>
        <w:rPr/>
        <w:t>年最高保字第</w:t>
      </w:r>
      <w:r>
        <w:rPr>
          <w:rFonts w:ascii="Times New Roman" w:hAnsi="Times New Roman" w:cs="Times New Roman" w:eastAsia="Times New Roman" w:hint="default"/>
        </w:rPr>
        <w:t>094</w:t>
      </w:r>
      <w:r>
        <w:rPr/>
        <w:t>号，期限分别为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p>
      <w:pPr>
        <w:pStyle w:val="BodyText"/>
        <w:spacing w:line="300" w:lineRule="auto" w:before="13"/>
        <w:ind w:right="1123" w:firstLine="360"/>
        <w:jc w:val="left"/>
      </w:pPr>
      <w:r>
        <w:rPr/>
        <w:t>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日，公司与兴业银行股份有限公司广州白云支行签订了编号为兴银粤借字（白云）第</w:t>
      </w:r>
      <w:r>
        <w:rPr>
          <w:rFonts w:ascii="Times New Roman" w:hAnsi="Times New Roman" w:cs="Times New Roman" w:eastAsia="Times New Roman" w:hint="default"/>
        </w:rPr>
        <w:t>201612021412</w:t>
      </w:r>
      <w:r>
        <w:rPr/>
        <w:t>号流 </w:t>
      </w:r>
      <w:r>
        <w:rPr>
          <w:spacing w:val="-1"/>
        </w:rPr>
        <w:t>动资金借款合同，本合同项下的借款金额为</w:t>
      </w:r>
      <w:r>
        <w:rPr>
          <w:rFonts w:ascii="Times New Roman" w:hAnsi="Times New Roman" w:cs="Times New Roman" w:eastAsia="Times New Roman" w:hint="default"/>
          <w:spacing w:val="-1"/>
        </w:rPr>
        <w:t>30,000,000.00</w:t>
      </w:r>
      <w:r>
        <w:rPr>
          <w:spacing w:val="-1"/>
        </w:rPr>
        <w:t>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13</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12</w:t>
      </w:r>
      <w:r>
        <w:rPr>
          <w:spacing w:val="-1"/>
        </w:rPr>
        <w:t>日止，杨文江其提供</w:t>
      </w:r>
      <w:r>
        <w:rPr>
          <w:spacing w:val="-63"/>
        </w:rPr>
        <w:t> </w:t>
      </w:r>
      <w:r>
        <w:rPr>
          <w:spacing w:val="-63"/>
        </w:rPr>
      </w:r>
      <w:r>
        <w:rPr/>
        <w:t>保证担保，所对应的最高额担保合同编号为兴银粤保字（白云）第</w:t>
      </w:r>
      <w:r>
        <w:rPr>
          <w:rFonts w:ascii="Times New Roman" w:hAnsi="Times New Roman" w:cs="Times New Roman" w:eastAsia="Times New Roman" w:hint="default"/>
        </w:rPr>
        <w:t>201612021412</w:t>
      </w:r>
      <w:r>
        <w:rPr/>
        <w:t>号，期限为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 </w:t>
      </w:r>
      <w:r>
        <w:rPr/>
        <w:t>日；</w:t>
      </w:r>
    </w:p>
    <w:p>
      <w:pPr>
        <w:pStyle w:val="BodyText"/>
        <w:spacing w:line="300" w:lineRule="auto" w:before="31"/>
        <w:ind w:right="1132" w:firstLine="360"/>
        <w:jc w:val="both"/>
      </w:pPr>
      <w:r>
        <w:rPr>
          <w:spacing w:val="-2"/>
        </w:rPr>
        <w:t>⑦</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日，公司与兴业银行股份有限公司广州白云支行签订了编号为兴银粤借字（白云）第</w:t>
      </w:r>
      <w:r>
        <w:rPr>
          <w:rFonts w:ascii="Times New Roman" w:hAnsi="Times New Roman" w:cs="Times New Roman" w:eastAsia="Times New Roman" w:hint="default"/>
          <w:spacing w:val="-2"/>
        </w:rPr>
        <w:t>201707310730</w:t>
      </w:r>
      <w:r>
        <w:rPr>
          <w:spacing w:val="-2"/>
        </w:rPr>
        <w:t>号流动</w:t>
      </w:r>
      <w:r>
        <w:rPr/>
        <w:t> 资金借款合同，本合同项下的借款金额为</w:t>
      </w:r>
      <w:r>
        <w:rPr>
          <w:rFonts w:ascii="Times New Roman" w:hAnsi="Times New Roman" w:cs="Times New Roman" w:eastAsia="Times New Roman" w:hint="default"/>
        </w:rPr>
        <w:t>10,000,000.00</w:t>
      </w:r>
      <w:r>
        <w:rPr/>
        <w:t>元，借款期限自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日止，杨文江其提供保</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证担保，所对应的最高额担保合同编号为兴银粤保字（白云）第</w:t>
      </w:r>
      <w:r>
        <w:rPr>
          <w:rFonts w:ascii="Times New Roman" w:hAnsi="Times New Roman" w:cs="Times New Roman" w:eastAsia="Times New Roman" w:hint="default"/>
        </w:rPr>
        <w:t>201612021412</w:t>
      </w:r>
      <w:r>
        <w:rPr/>
        <w:t>号，期限为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p>
      <w:pPr>
        <w:pStyle w:val="BodyText"/>
        <w:spacing w:line="300" w:lineRule="auto" w:before="63"/>
        <w:ind w:right="1118" w:firstLine="360"/>
        <w:jc w:val="left"/>
      </w:pPr>
      <w:r>
        <w:rPr>
          <w:spacing w:val="-2"/>
        </w:rPr>
        <w:t>⑧</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日，公司与兴业银行股份有限公司广州白云支行签订了编号为兴银粤借字（白云）第</w:t>
      </w:r>
      <w:r>
        <w:rPr>
          <w:rFonts w:ascii="Times New Roman" w:hAnsi="Times New Roman" w:cs="Times New Roman" w:eastAsia="Times New Roman" w:hint="default"/>
          <w:spacing w:val="-2"/>
        </w:rPr>
        <w:t>201710241023</w:t>
      </w:r>
      <w:r>
        <w:rPr>
          <w:spacing w:val="-2"/>
        </w:rPr>
        <w:t>号流</w:t>
      </w:r>
      <w:r>
        <w:rPr/>
        <w:t> </w:t>
      </w:r>
      <w:r>
        <w:rPr>
          <w:spacing w:val="-1"/>
        </w:rPr>
        <w:t>动资金借款合同，本合同项下的借款金额为</w:t>
      </w:r>
      <w:r>
        <w:rPr>
          <w:rFonts w:ascii="Times New Roman" w:hAnsi="Times New Roman" w:cs="Times New Roman" w:eastAsia="Times New Roman" w:hint="default"/>
          <w:spacing w:val="-1"/>
        </w:rPr>
        <w:t>10,000,000.00</w:t>
      </w:r>
      <w:r>
        <w:rPr>
          <w:spacing w:val="-1"/>
        </w:rPr>
        <w:t>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日止，杨文江为其</w:t>
      </w:r>
      <w:r>
        <w:rPr>
          <w:spacing w:val="-62"/>
        </w:rPr>
        <w:t> </w:t>
      </w:r>
      <w:r>
        <w:rPr>
          <w:spacing w:val="-62"/>
        </w:rPr>
      </w:r>
      <w:r>
        <w:rPr/>
        <w:t>提供保证担保，所对应的最高额担保合同编号为兴银粤保字（白云）第</w:t>
      </w:r>
      <w:r>
        <w:rPr>
          <w:rFonts w:ascii="Times New Roman" w:hAnsi="Times New Roman" w:cs="Times New Roman" w:eastAsia="Times New Roman" w:hint="default"/>
        </w:rPr>
        <w:t>201612021412</w:t>
      </w:r>
      <w:r>
        <w:rPr/>
        <w:t>号，期限为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26</w:t>
      </w:r>
      <w:r>
        <w:rPr/>
        <w:t>日；</w:t>
      </w:r>
    </w:p>
    <w:p>
      <w:pPr>
        <w:pStyle w:val="BodyText"/>
        <w:spacing w:line="304" w:lineRule="auto" w:before="13"/>
        <w:ind w:right="1130" w:firstLine="360"/>
        <w:jc w:val="both"/>
      </w:pPr>
      <w:r>
        <w:rPr/>
        <w:t>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日，公司的子公司广州御银自动柜员机科技有限公司与招商银行股份有限公司广州黄埔大道支行签订了 </w:t>
      </w:r>
      <w:r>
        <w:rPr>
          <w:spacing w:val="-2"/>
        </w:rPr>
        <w:t>编号为</w:t>
      </w:r>
      <w:r>
        <w:rPr>
          <w:rFonts w:ascii="Times New Roman" w:hAnsi="Times New Roman" w:cs="Times New Roman" w:eastAsia="Times New Roman" w:hint="default"/>
          <w:spacing w:val="-2"/>
        </w:rPr>
        <w:t>BL170801</w:t>
      </w:r>
      <w:r>
        <w:rPr>
          <w:spacing w:val="-2"/>
        </w:rPr>
        <w:t>的保理协议，本合同项下的借款金额为</w:t>
      </w:r>
      <w:r>
        <w:rPr>
          <w:rFonts w:ascii="Times New Roman" w:hAnsi="Times New Roman" w:cs="Times New Roman" w:eastAsia="Times New Roman" w:hint="default"/>
          <w:spacing w:val="-2"/>
        </w:rPr>
        <w:t>20,000,000.00</w:t>
      </w:r>
      <w:r>
        <w:rPr>
          <w:spacing w:val="-2"/>
        </w:rPr>
        <w:t>元，借款期限自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日止。该</w:t>
      </w:r>
      <w:r>
        <w:rPr>
          <w:spacing w:val="-37"/>
        </w:rPr>
        <w:t> </w:t>
      </w:r>
      <w:r>
        <w:rPr>
          <w:spacing w:val="-37"/>
        </w:rPr>
      </w:r>
      <w:r>
        <w:rPr>
          <w:spacing w:val="-2"/>
        </w:rPr>
        <w:t>保理协议将公司的子公司广州御银自动柜员机科技有限公司应收广州御银科技股份有限公司的款项进行质押，质押的应收款</w:t>
      </w:r>
      <w:r>
        <w:rPr>
          <w:spacing w:val="-64"/>
        </w:rPr>
        <w:t> </w:t>
      </w:r>
      <w:r>
        <w:rPr>
          <w:spacing w:val="-64"/>
        </w:rPr>
      </w:r>
      <w:r>
        <w:rPr/>
        <w:t>项金额为</w:t>
      </w:r>
      <w:r>
        <w:rPr>
          <w:rFonts w:ascii="Times New Roman" w:hAnsi="Times New Roman" w:cs="Times New Roman" w:eastAsia="Times New Roman" w:hint="default"/>
        </w:rPr>
        <w:t>21,005,000.00</w:t>
      </w:r>
      <w:r>
        <w:rPr/>
        <w:t>元。杨文江为其提供保证担保，所对应的最高额担保合同编号为</w:t>
      </w:r>
      <w:r>
        <w:rPr>
          <w:rFonts w:ascii="Times New Roman" w:hAnsi="Times New Roman" w:cs="Times New Roman" w:eastAsia="Times New Roman" w:hint="default"/>
        </w:rPr>
        <w:t>21170801</w:t>
      </w:r>
      <w:r>
        <w:rPr/>
        <w:t>，担保期限为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w:t>
      </w:r>
    </w:p>
    <w:p>
      <w:pPr>
        <w:spacing w:line="240" w:lineRule="auto" w:before="10"/>
        <w:rPr>
          <w:rFonts w:ascii="宋体" w:hAnsi="宋体" w:cs="宋体" w:eastAsia="宋体" w:hint="default"/>
          <w:sz w:val="21"/>
          <w:szCs w:val="21"/>
        </w:rPr>
      </w:pPr>
    </w:p>
    <w:p>
      <w:pPr>
        <w:pStyle w:val="Heading3"/>
        <w:spacing w:line="240" w:lineRule="auto"/>
        <w:ind w:left="1134" w:right="0"/>
        <w:jc w:val="left"/>
        <w:rPr>
          <w:b w:val="0"/>
          <w:bCs w:val="0"/>
        </w:rPr>
      </w:pPr>
      <w:bookmarkStart w:name="（2）本期无已逾期未偿还的短期借款。" w:id="280"/>
      <w:bookmarkEnd w:id="280"/>
      <w:r>
        <w:rPr>
          <w:b w:val="0"/>
          <w:bCs w:val="0"/>
        </w:rPr>
      </w:r>
      <w:r>
        <w:rPr/>
        <w:t>（</w:t>
      </w:r>
      <w:r>
        <w:rPr>
          <w:rFonts w:ascii="Times New Roman" w:hAnsi="Times New Roman" w:cs="Times New Roman" w:eastAsia="Times New Roman" w:hint="default"/>
        </w:rPr>
        <w:t>2</w:t>
      </w:r>
      <w:r>
        <w:rPr/>
        <w:t>）本期无已逾期未偿还的短期借款。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应付票据" w:id="281"/>
      <w:bookmarkEnd w:id="281"/>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3,700,000.00</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2、应付账款" w:id="282"/>
      <w:bookmarkEnd w:id="282"/>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283"/>
      <w:bookmarkEnd w:id="28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40,440,937.80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68,837,419.98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7,602,366.11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5,726,336.05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1,121,607.93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435,625.00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49,165,911.84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75,016,518.64</w:t>
            </w:r>
          </w:p>
        </w:tc>
      </w:tr>
    </w:tbl>
    <w:p>
      <w:pPr>
        <w:spacing w:line="240" w:lineRule="auto" w:before="1"/>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无账龄超过一年的重要应付账款。" w:id="284"/>
      <w:bookmarkEnd w:id="284"/>
      <w:r>
        <w:rPr>
          <w:b w:val="0"/>
          <w:bCs w:val="0"/>
        </w:rPr>
      </w:r>
      <w:r>
        <w:rPr/>
        <w:t>（</w:t>
      </w:r>
      <w:r>
        <w:rPr>
          <w:rFonts w:ascii="Times New Roman" w:hAnsi="Times New Roman" w:cs="Times New Roman" w:eastAsia="Times New Roman" w:hint="default"/>
        </w:rPr>
        <w:t>2</w:t>
      </w:r>
      <w:r>
        <w:rPr/>
        <w:t>）本期无账龄超过一年的重要应付账款。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3、预收款项" w:id="285"/>
      <w:bookmarkEnd w:id="285"/>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286"/>
      <w:bookmarkEnd w:id="28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71,986,109.00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104,233,480.28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8,562,219.38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359,329.80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324,500.82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167,353.92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161,016.03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81,033,845.23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104,760,164.00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无账龄超过1年的重要预收款项" w:id="287"/>
      <w:bookmarkEnd w:id="287"/>
      <w:r>
        <w:rPr>
          <w:b w:val="0"/>
          <w:bCs w:val="0"/>
        </w:rPr>
      </w:r>
      <w:r>
        <w:rPr/>
        <w:t>（</w:t>
      </w:r>
      <w:r>
        <w:rPr>
          <w:rFonts w:ascii="Times New Roman" w:hAnsi="Times New Roman" w:cs="Times New Roman" w:eastAsia="Times New Roman" w:hint="default"/>
        </w:rPr>
        <w:t>2</w:t>
      </w:r>
      <w:r>
        <w:rPr/>
        <w:t>）本期无账龄超过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4、应付职工薪酬" w:id="288"/>
      <w:bookmarkEnd w:id="288"/>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289"/>
      <w:bookmarkEnd w:id="28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98"/>
        <w:gridCol w:w="1320"/>
        <w:gridCol w:w="1914"/>
        <w:gridCol w:w="1914"/>
        <w:gridCol w:w="1914"/>
      </w:tblGrid>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3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7,595,983.09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120,849,480.91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120,406,680.73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8,038,783.27</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3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148,038.47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6,997,845.53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6,711,180.84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434,703.16</w:t>
            </w:r>
          </w:p>
        </w:tc>
      </w:tr>
      <w:tr>
        <w:trPr>
          <w:trHeight w:val="402"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7,744,021.56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127,847,326.44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127,117,861.57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8,473,486.43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290"/>
      <w:bookmarkEnd w:id="29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18"/>
        <w:gridCol w:w="1819"/>
        <w:gridCol w:w="1808"/>
        <w:gridCol w:w="1806"/>
        <w:gridCol w:w="1808"/>
      </w:tblGrid>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7,521,704.34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113,243,077.42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112,904,244.68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7,860,537.08</w:t>
            </w: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19" w:type="dxa"/>
            <w:tcBorders>
              <w:top w:val="single" w:sz="4" w:space="0" w:color="000000"/>
              <w:left w:val="single" w:sz="9" w:space="0" w:color="D2D2D2"/>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2,443,651.57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2,443,651.57</w:t>
            </w: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57,957.28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3,557,093.71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3,437,871.80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177,179.19</w:t>
            </w: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49,085.46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3,077,434.82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2,976,022.83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150,497.45</w:t>
            </w: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2,875.04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130,010.38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124,292.58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8,592.84</w:t>
            </w: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5,996.78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349,648.51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337,556.39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18,088.90</w:t>
            </w: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642,901.78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642,092.78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1,067.00</w:t>
            </w: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16,063.47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962,756.43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978,819.90</w:t>
            </w: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7,595,983.09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120,849,480.91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120,406,680.73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8,038,783.27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291"/>
      <w:bookmarkEnd w:id="29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140,562.91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6,652,569.92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6,381,145.68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411,987.15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345,275.61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330,035.16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22,716.01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148,038.47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6,997,845.53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6,711,180.84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434,703.16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5、应交税费" w:id="292"/>
      <w:bookmarkEnd w:id="292"/>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18,695,260.40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38,179,424.77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151,613.04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177,436.09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1,420,576.17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2,679,275.22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15,469.91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1,012,227.29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1,913,830.64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142,164.00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21,453,045.25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42,965,436.63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6、其他应付款" w:id="293"/>
      <w:bookmarkEnd w:id="293"/>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294"/>
      <w:bookmarkEnd w:id="29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1,075,478.39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587,958.98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22,663,660.62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25,792,712.27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5,116,473.55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2,061,449.40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3,447,508.84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5,261,017.21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车辆保险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67,885.49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3,588,949.74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1,271,151.63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35,892,071.14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35,042,174.98</w:t>
            </w:r>
          </w:p>
        </w:tc>
      </w:tr>
    </w:tbl>
    <w:p>
      <w:pPr>
        <w:spacing w:line="240" w:lineRule="auto" w:before="1"/>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无账龄超过一年的重要其他应付款。" w:id="295"/>
      <w:bookmarkEnd w:id="295"/>
      <w:r>
        <w:rPr>
          <w:b w:val="0"/>
          <w:bCs w:val="0"/>
        </w:rPr>
      </w:r>
      <w:r>
        <w:rPr/>
        <w:t>（</w:t>
      </w:r>
      <w:r>
        <w:rPr>
          <w:rFonts w:ascii="Times New Roman" w:hAnsi="Times New Roman" w:cs="Times New Roman" w:eastAsia="Times New Roman" w:hint="default"/>
        </w:rPr>
        <w:t>2</w:t>
      </w:r>
      <w:r>
        <w:rPr/>
        <w:t>）本期无账龄超过一年的重要其他应付款。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7、其他流动负债" w:id="296"/>
      <w:bookmarkEnd w:id="296"/>
      <w:r>
        <w:rPr>
          <w:b w:val="0"/>
          <w:bCs w:val="0"/>
        </w:rPr>
      </w:r>
      <w:r>
        <w:rPr>
          <w:rFonts w:ascii="Times New Roman" w:hAnsi="Times New Roman" w:cs="Times New Roman" w:eastAsia="Times New Roman" w:hint="default"/>
        </w:rPr>
        <w:t>27</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w:t>
            </w: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11,683,046.82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18,576,716.60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11,683,046.82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18,576,716.60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4" w:right="0"/>
        <w:jc w:val="left"/>
        <w:rPr>
          <w:b w:val="0"/>
          <w:bCs w:val="0"/>
        </w:rPr>
      </w:pPr>
      <w:bookmarkStart w:name="28、长期借款" w:id="297"/>
      <w:bookmarkEnd w:id="297"/>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298"/>
      <w:bookmarkEnd w:id="29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保证并抵押借款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79,015,346.20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79,015,346.20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9、预计负债" w:id="299"/>
      <w:bookmarkEnd w:id="299"/>
      <w:r>
        <w:rPr>
          <w:b w:val="0"/>
          <w:bCs w:val="0"/>
        </w:rPr>
      </w:r>
      <w:r>
        <w:rPr>
          <w:rFonts w:ascii="Times New Roman" w:hAnsi="Times New Roman" w:cs="Times New Roman" w:eastAsia="Times New Roman" w:hint="default"/>
        </w:rPr>
        <w:t>29</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30,559,200.00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52,198,800.00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30,559,200.00</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52,198,800.00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0、股本" w:id="300"/>
      <w:bookmarkEnd w:id="300"/>
      <w:r>
        <w:rPr>
          <w:b w:val="0"/>
          <w:bCs w:val="0"/>
        </w:rPr>
      </w:r>
      <w:r>
        <w:rPr>
          <w:rFonts w:ascii="Times New Roman" w:hAnsi="Times New Roman" w:cs="Times New Roman" w:eastAsia="Times New Roman" w:hint="default"/>
        </w:rPr>
        <w:t>30</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1"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761,191,294.00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761,191,294.00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1、资本公积" w:id="301"/>
      <w:bookmarkEnd w:id="301"/>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28,845,003.28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28,845,003.28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834,544.00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834,544.00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29,679,547.28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29,679,547.28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2、其他综合收益" w:id="302"/>
      <w:bookmarkEnd w:id="302"/>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00" w:type="dxa"/>
        <w:tblLayout w:type="fixed"/>
        <w:tblCellMar>
          <w:top w:w="0" w:type="dxa"/>
          <w:left w:w="0" w:type="dxa"/>
          <w:bottom w:w="0" w:type="dxa"/>
          <w:right w:w="0" w:type="dxa"/>
        </w:tblCellMar>
        <w:tblLook w:val="01E0"/>
      </w:tblPr>
      <w:tblGrid>
        <w:gridCol w:w="3339"/>
        <w:gridCol w:w="1330"/>
        <w:gridCol w:w="972"/>
        <w:gridCol w:w="1188"/>
        <w:gridCol w:w="756"/>
        <w:gridCol w:w="972"/>
        <w:gridCol w:w="961"/>
        <w:gridCol w:w="1091"/>
      </w:tblGrid>
      <w:tr>
        <w:trPr>
          <w:trHeight w:val="397" w:hRule="exact"/>
        </w:trPr>
        <w:tc>
          <w:tcPr>
            <w:tcW w:w="3339" w:type="dxa"/>
            <w:vMerge w:val="restart"/>
            <w:tcBorders>
              <w:top w:val="single" w:sz="4" w:space="0" w:color="000000"/>
              <w:left w:val="single" w:sz="4" w:space="0" w:color="000000"/>
              <w:right w:val="single" w:sz="4" w:space="0" w:color="000000"/>
            </w:tcBorders>
            <w:shd w:val="clear" w:color="auto" w:fill="D2D2D2"/>
          </w:tcPr>
          <w:p>
            <w:pPr/>
          </w:p>
        </w:tc>
        <w:tc>
          <w:tcPr>
            <w:tcW w:w="1330" w:type="dxa"/>
            <w:vMerge w:val="restart"/>
            <w:tcBorders>
              <w:top w:val="single" w:sz="4" w:space="0" w:color="000000"/>
              <w:left w:val="single" w:sz="4" w:space="0" w:color="000000"/>
              <w:right w:val="single" w:sz="4" w:space="0" w:color="000000"/>
            </w:tcBorders>
            <w:shd w:val="clear" w:color="auto" w:fill="D2D2D2"/>
          </w:tcPr>
          <w:p>
            <w:pPr/>
          </w:p>
        </w:tc>
        <w:tc>
          <w:tcPr>
            <w:tcW w:w="4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144" w:hRule="exact"/>
        </w:trPr>
        <w:tc>
          <w:tcPr>
            <w:tcW w:w="3339" w:type="dxa"/>
            <w:vMerge/>
            <w:tcBorders>
              <w:left w:val="single" w:sz="4" w:space="0" w:color="000000"/>
              <w:bottom w:val="nil" w:sz="6" w:space="0" w:color="auto"/>
              <w:right w:val="single" w:sz="4" w:space="0" w:color="000000"/>
            </w:tcBorders>
            <w:shd w:val="clear" w:color="auto" w:fill="D2D2D2"/>
          </w:tcPr>
          <w:p>
            <w:pPr/>
          </w:p>
        </w:tc>
        <w:tc>
          <w:tcPr>
            <w:tcW w:w="1330" w:type="dxa"/>
            <w:vMerge/>
            <w:tcBorders>
              <w:left w:val="single" w:sz="4" w:space="0" w:color="000000"/>
              <w:bottom w:val="nil" w:sz="6" w:space="0" w:color="auto"/>
              <w:right w:val="single" w:sz="4" w:space="0" w:color="000000"/>
            </w:tcBorders>
            <w:shd w:val="clear" w:color="auto" w:fill="D2D2D2"/>
          </w:tcPr>
          <w:p>
            <w:pPr/>
          </w:p>
        </w:tc>
        <w:tc>
          <w:tcPr>
            <w:tcW w:w="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7" w:right="48"/>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9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3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20" w:right="30"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88" w:type="dxa"/>
            <w:vMerge/>
            <w:tcBorders>
              <w:left w:val="single" w:sz="4" w:space="0" w:color="000000"/>
              <w:right w:val="single" w:sz="4" w:space="0" w:color="000000"/>
            </w:tcBorders>
            <w:shd w:val="clear" w:color="auto" w:fill="D2D2D2"/>
          </w:tcPr>
          <w:p>
            <w:pPr/>
          </w:p>
        </w:tc>
        <w:tc>
          <w:tcPr>
            <w:tcW w:w="7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1" w:right="22" w:hanging="80"/>
              <w:jc w:val="left"/>
              <w:rPr>
                <w:rFonts w:ascii="宋体" w:hAnsi="宋体" w:cs="宋体" w:eastAsia="宋体" w:hint="default"/>
                <w:sz w:val="18"/>
                <w:szCs w:val="18"/>
              </w:rPr>
            </w:pPr>
            <w:r>
              <w:rPr>
                <w:rFonts w:ascii="宋体" w:hAnsi="宋体" w:cs="宋体" w:eastAsia="宋体" w:hint="default"/>
                <w:spacing w:val="-6"/>
                <w:sz w:val="18"/>
                <w:szCs w:val="18"/>
              </w:rPr>
              <w:t>减：所得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税费用</w:t>
            </w:r>
          </w:p>
        </w:tc>
        <w:tc>
          <w:tcPr>
            <w:tcW w:w="9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10" w:right="3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6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19" w:right="20"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8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3339" w:type="dxa"/>
            <w:vMerge w:val="restart"/>
            <w:tcBorders>
              <w:top w:val="nil" w:sz="6" w:space="0" w:color="auto"/>
              <w:left w:val="single" w:sz="4" w:space="0" w:color="000000"/>
              <w:right w:val="single" w:sz="4" w:space="0" w:color="000000"/>
            </w:tcBorders>
            <w:shd w:val="clear" w:color="auto" w:fill="D2D2D2"/>
          </w:tcPr>
          <w:p>
            <w:pPr/>
          </w:p>
        </w:tc>
        <w:tc>
          <w:tcPr>
            <w:tcW w:w="1330" w:type="dxa"/>
            <w:vMerge w:val="restart"/>
            <w:tcBorders>
              <w:top w:val="nil" w:sz="6" w:space="0" w:color="auto"/>
              <w:left w:val="single" w:sz="4" w:space="0" w:color="000000"/>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1188" w:type="dxa"/>
            <w:vMerge/>
            <w:tcBorders>
              <w:left w:val="single" w:sz="4" w:space="0" w:color="000000"/>
              <w:right w:val="single" w:sz="4" w:space="0" w:color="000000"/>
            </w:tcBorders>
            <w:shd w:val="clear" w:color="auto" w:fill="D2D2D2"/>
          </w:tcPr>
          <w:p>
            <w:pPr/>
          </w:p>
        </w:tc>
        <w:tc>
          <w:tcPr>
            <w:tcW w:w="756" w:type="dxa"/>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961"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339"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center"/>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122,122.80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-116,920.80</w:t>
            </w:r>
          </w:p>
        </w:tc>
        <w:tc>
          <w:tcPr>
            <w:tcW w:w="11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-116,920.80</w:t>
            </w:r>
          </w:p>
        </w:tc>
        <w:tc>
          <w:tcPr>
            <w:tcW w:w="9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5,202.00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589" w:type="dxa"/>
        <w:tblLayout w:type="fixed"/>
        <w:tblCellMar>
          <w:top w:w="0" w:type="dxa"/>
          <w:left w:w="0" w:type="dxa"/>
          <w:bottom w:w="0" w:type="dxa"/>
          <w:right w:w="0" w:type="dxa"/>
        </w:tblCellMar>
        <w:tblLook w:val="01E0"/>
      </w:tblPr>
      <w:tblGrid>
        <w:gridCol w:w="3350"/>
        <w:gridCol w:w="1331"/>
        <w:gridCol w:w="972"/>
        <w:gridCol w:w="1188"/>
        <w:gridCol w:w="756"/>
        <w:gridCol w:w="972"/>
        <w:gridCol w:w="972"/>
        <w:gridCol w:w="1080"/>
      </w:tblGrid>
      <w:tr>
        <w:trPr>
          <w:trHeight w:val="402" w:hRule="exact"/>
        </w:trPr>
        <w:tc>
          <w:tcPr>
            <w:tcW w:w="3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122,122.80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-116,920.80</w:t>
            </w:r>
          </w:p>
        </w:tc>
        <w:tc>
          <w:tcPr>
            <w:tcW w:w="11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-116,920.80</w:t>
            </w:r>
          </w:p>
        </w:tc>
        <w:tc>
          <w:tcPr>
            <w:tcW w:w="9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5,202.00</w:t>
            </w:r>
          </w:p>
        </w:tc>
      </w:tr>
      <w:tr>
        <w:trPr>
          <w:trHeight w:val="402" w:hRule="exact"/>
        </w:trPr>
        <w:tc>
          <w:tcPr>
            <w:tcW w:w="3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122,122.80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-116,920.80</w:t>
            </w:r>
          </w:p>
        </w:tc>
        <w:tc>
          <w:tcPr>
            <w:tcW w:w="11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-116,920.80</w:t>
            </w:r>
          </w:p>
        </w:tc>
        <w:tc>
          <w:tcPr>
            <w:tcW w:w="9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5,202.00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3、盈余公积" w:id="303"/>
      <w:bookmarkEnd w:id="303"/>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50,499,766.04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7,157,172.63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57,656,938.67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1,322,286.97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51,822,053.01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7,157,172.63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58,979,225.64</w:t>
            </w:r>
          </w:p>
        </w:tc>
      </w:tr>
    </w:tbl>
    <w:p>
      <w:pPr>
        <w:pStyle w:val="BodyText"/>
        <w:spacing w:line="240" w:lineRule="auto" w:before="10"/>
        <w:ind w:left="1134" w:right="0"/>
        <w:jc w:val="left"/>
      </w:pPr>
      <w:r>
        <w:rPr/>
        <w:t>盈余公积的增加系根据公司章程，按当年净利润的</w:t>
      </w:r>
      <w:r>
        <w:rPr>
          <w:rFonts w:ascii="Times New Roman" w:hAnsi="Times New Roman" w:cs="Times New Roman" w:eastAsia="Times New Roman" w:hint="default"/>
        </w:rPr>
        <w:t>10%</w:t>
      </w:r>
      <w:r>
        <w:rPr/>
        <w:t>计提法定盈余公积。</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4、未分配利润" w:id="304"/>
      <w:bookmarkEnd w:id="304"/>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834,046,523.64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814,359,681.61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834,046,523.64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13,767,025.88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23,246,241.18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7,157,172.63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3,559,399.15</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840,656,376.89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834,046,523.64</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35"/>
        <w:ind w:right="0"/>
        <w:jc w:val="left"/>
        <w:rPr>
          <w:b w:val="0"/>
          <w:bCs w:val="0"/>
        </w:rPr>
      </w:pPr>
      <w:bookmarkStart w:name="35、营业收入和营业成本" w:id="305"/>
      <w:bookmarkEnd w:id="305"/>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494,050,725.34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354,293,346.76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717,226,712.12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484,647,261.84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75,663,881.11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39,378,165.72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53,715,790.33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29,027,243.80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569,714,606.45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393,671,512.48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770,942,502.45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513,674,505.64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6、税金及附加" w:id="306"/>
      <w:bookmarkEnd w:id="306"/>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3,051,373.57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4,363,425.57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2,174,622.95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3,166,533.06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5,041,347.45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1,417,129.21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164,263.24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237,401.62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53,506.00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951,152.50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304,567.87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11,466,064.71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9,542,563.33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7、销售费用" w:id="307"/>
      <w:bookmarkEnd w:id="307"/>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7,056,878.95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7,367,970.32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6,194,030.03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6,682,316.42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1,064,149.21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633,553.14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29,013,115.87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19,939,191.97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7,402,008.02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5,238,036.15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9,073,959.60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29,228,186.24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2,377,960.55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2,580,859.81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5,945,816.35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8,328,220.78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4,724,018.80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4,923,681.64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5,576,352.48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4,473,574.82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78,428,289.86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89,395,591.29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8、管理费用" w:id="308"/>
      <w:bookmarkEnd w:id="308"/>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38,921,187.46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53,768,581.83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23,926,679.16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48,244,411.94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215,204.09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10,193,262.02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1,215,936.25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3,087,686.35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3,585,113.43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4,769,944.38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1,350,853.27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702,126.49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5,306,617.66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5,772,235.74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6,016,874.13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4,989,448.22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853,203.46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2,284,720.88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1,071,535.03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639,653.08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10,405,123.09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12,871,934.81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92,868,327.03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147,324,005.74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9、财务费用" w:id="309"/>
      <w:bookmarkEnd w:id="309"/>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3,174,150.24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3,868,022.86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247,407.43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380,597.89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-456,186.00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4,057,911.37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140,049.62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505,025.19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2,610,606.43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8,050,361.53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0、资产减值损失" w:id="310"/>
      <w:bookmarkEnd w:id="310"/>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14,497,177.26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-8,304,895.22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7,079,325.35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1,619,415.58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15,262,341.17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983,698.11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37,822,541.89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-6,505,479.64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1、公允价值变动收益" w:id="311"/>
      <w:bookmarkEnd w:id="311"/>
      <w:r>
        <w:rPr>
          <w:b w:val="0"/>
          <w:bCs w:val="0"/>
        </w:rPr>
      </w:r>
      <w:r>
        <w:rPr>
          <w:rFonts w:ascii="Times New Roman" w:hAnsi="Times New Roman" w:cs="Times New Roman" w:eastAsia="Times New Roman" w:hint="default"/>
        </w:rPr>
        <w:t>41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298"/>
        <w:gridCol w:w="2072"/>
        <w:gridCol w:w="3189"/>
      </w:tblGrid>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0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2、投资收益" w:id="312"/>
      <w:bookmarkEnd w:id="312"/>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-463,296.50</w:t>
            </w:r>
            <w:r>
              <w:rPr>
                <w:rFonts w:ascii="Times New Roman"/>
                <w:sz w:val="18"/>
              </w:rPr>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32,522,857.84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584,168.47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1,588,884.73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32,815,704.68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4,125,588.23</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3、资产处置收益" w:id="313"/>
      <w:bookmarkEnd w:id="313"/>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-178,728.93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-51,270.26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-178,728.93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-51,270.26</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4、其他收益" w:id="314"/>
      <w:bookmarkEnd w:id="314"/>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增值税退税</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4,667,656.76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天河区财政局补贴收入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年度广东省高新技术企业培育资金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年度总部企业奖励补贴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年广州市企业研发经费后补助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天河区财政局企业研发后补助专项经费 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广州市先进制造业企业创新发展专项资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天河区财政局高新技术产品产值补贴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1,561,892.00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年度企业研究开发省级财政 补助项目资金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年高新技术企业认定通过奖励资金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年度广东省研发费投入后补助资金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年度广东省企业研发费后补助资金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年瞪羚专项扶持资金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年广州市工业和信息发展专项资金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年度广东省研发费投入后补助资金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市企业研发经费投入后补助区级经 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年科技发展专项资助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年市企业研发投入后补助区级经费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天河区财政局发明专利申请奖励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广州开发区科技创新和知识产权局专利 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天河区财政局科学技术奖励资金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25,149,748.76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5、营业外收入" w:id="315"/>
      <w:bookmarkEnd w:id="315"/>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11,355,162.70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19,601,392.55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1,308,126.36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56,526.43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1,308,126.36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1,308,126.36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31,013,081.68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1,308,126.36</w:t>
            </w: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409" w:type="dxa"/>
        <w:tblLayout w:type="fixed"/>
        <w:tblCellMar>
          <w:top w:w="0" w:type="dxa"/>
          <w:left w:w="0" w:type="dxa"/>
          <w:bottom w:w="0" w:type="dxa"/>
          <w:right w:w="0" w:type="dxa"/>
        </w:tblCellMar>
        <w:tblLook w:val="01E0"/>
      </w:tblPr>
      <w:tblGrid>
        <w:gridCol w:w="1440"/>
        <w:gridCol w:w="1620"/>
        <w:gridCol w:w="540"/>
        <w:gridCol w:w="1800"/>
        <w:gridCol w:w="1080"/>
        <w:gridCol w:w="620"/>
        <w:gridCol w:w="1180"/>
        <w:gridCol w:w="1260"/>
        <w:gridCol w:w="1080"/>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5"/>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知识产权局专利 资助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广州开发区科技创 新和知识产权局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年省企业研</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2"/>
              <w:jc w:val="center"/>
              <w:rPr>
                <w:rFonts w:ascii="宋体" w:hAnsi="宋体" w:cs="宋体" w:eastAsia="宋体" w:hint="default"/>
                <w:sz w:val="18"/>
                <w:szCs w:val="18"/>
              </w:rPr>
            </w:pPr>
            <w:r>
              <w:rPr>
                <w:rFonts w:ascii="宋体" w:hAnsi="宋体" w:cs="宋体" w:eastAsia="宋体" w:hint="default"/>
                <w:sz w:val="18"/>
                <w:szCs w:val="18"/>
              </w:rPr>
              <w:t>广州市科技创新委</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6"/>
                <w:sz w:val="18"/>
                <w:szCs w:val="18"/>
              </w:rPr>
              <w:t>因研究开发、技术更新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09" w:type="dxa"/>
        <w:tblLayout w:type="fixed"/>
        <w:tblCellMar>
          <w:top w:w="0" w:type="dxa"/>
          <w:left w:w="0" w:type="dxa"/>
          <w:bottom w:w="0" w:type="dxa"/>
          <w:right w:w="0" w:type="dxa"/>
        </w:tblCellMar>
        <w:tblLook w:val="01E0"/>
      </w:tblPr>
      <w:tblGrid>
        <w:gridCol w:w="1440"/>
        <w:gridCol w:w="1620"/>
        <w:gridCol w:w="540"/>
        <w:gridCol w:w="1800"/>
        <w:gridCol w:w="1080"/>
        <w:gridCol w:w="620"/>
        <w:gridCol w:w="1180"/>
        <w:gridCol w:w="1260"/>
        <w:gridCol w:w="1080"/>
      </w:tblGrid>
      <w:tr>
        <w:trPr>
          <w:trHeight w:val="67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究开发财政补助 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7"/>
                <w:sz w:val="18"/>
                <w:szCs w:val="18"/>
              </w:rPr>
              <w:t>员会、广州市财政局</w:t>
            </w:r>
          </w:p>
        </w:tc>
        <w:tc>
          <w:tcPr>
            <w:tcW w:w="5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3"/>
              <w:jc w:val="center"/>
              <w:rPr>
                <w:rFonts w:ascii="宋体" w:hAnsi="宋体" w:cs="宋体" w:eastAsia="宋体" w:hint="default"/>
                <w:sz w:val="18"/>
                <w:szCs w:val="18"/>
              </w:rPr>
            </w:pP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年鼓励商贸 及服务企业扩大 经营奖励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广州开发区经济发 展局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创新知识产权局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年度小巨人 首年奖励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广州开发区科技创 新和知识产权局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企业研发经费投 入后补助专项资 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广州市科技创新委 员会</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3,678,600.00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广州是人力资源和 </w:t>
            </w:r>
            <w:r>
              <w:rPr>
                <w:rFonts w:ascii="宋体" w:hAnsi="宋体" w:cs="宋体" w:eastAsia="宋体" w:hint="default"/>
                <w:spacing w:val="-7"/>
                <w:sz w:val="18"/>
                <w:szCs w:val="18"/>
              </w:rPr>
              <w:t>社会保障局、广州市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财政局、广州市发展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和改革委员会、广州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市工业和信息化委 员会</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7"/>
              <w:jc w:val="both"/>
              <w:rPr>
                <w:rFonts w:ascii="宋体" w:hAnsi="宋体" w:cs="宋体" w:eastAsia="宋体" w:hint="default"/>
                <w:sz w:val="18"/>
                <w:szCs w:val="18"/>
              </w:rPr>
            </w:pPr>
            <w:r>
              <w:rPr>
                <w:rFonts w:ascii="宋体" w:hAnsi="宋体" w:cs="宋体" w:eastAsia="宋体" w:hint="default"/>
                <w:sz w:val="18"/>
                <w:szCs w:val="18"/>
              </w:rPr>
              <w:t>因承担国家为保障某 种公用事业或社会必 要产品供应或价格控 制职能而获得的补助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37,850.70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发明专利奖励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广州市天河区财政 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广州市天河区财 政局补贴款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广州市天河区财政 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天河科技园奖励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天河科技园管委会</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广州市质量技术 监督局关于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年品牌培育资助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广州市质量技术监 督局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年广东省企 业研究开发省级 财政补助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广州市科技创新委 </w:t>
            </w:r>
            <w:r>
              <w:rPr>
                <w:rFonts w:ascii="宋体" w:hAnsi="宋体" w:cs="宋体" w:eastAsia="宋体" w:hint="default"/>
                <w:spacing w:val="-7"/>
                <w:sz w:val="18"/>
                <w:szCs w:val="18"/>
              </w:rPr>
              <w:t>员会、广州市财政局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年内外贸发 展与口岸建设专 项资金服务贸易 发展事项资金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广东省财政厅</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年天河区工 业企业高新技术 产品产值补贴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广州市天河区财政 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511,522.00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年度广州市 服务外包发展专 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广州市天河区商务 和金融工作局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广州市天河区科技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6"/>
                <w:sz w:val="18"/>
                <w:szCs w:val="18"/>
              </w:rPr>
              <w:t>因研究开发、技术更新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09" w:type="dxa"/>
        <w:tblLayout w:type="fixed"/>
        <w:tblCellMar>
          <w:top w:w="0" w:type="dxa"/>
          <w:left w:w="0" w:type="dxa"/>
          <w:bottom w:w="0" w:type="dxa"/>
          <w:right w:w="0" w:type="dxa"/>
        </w:tblCellMar>
        <w:tblLook w:val="01E0"/>
      </w:tblPr>
      <w:tblGrid>
        <w:gridCol w:w="1440"/>
        <w:gridCol w:w="1620"/>
        <w:gridCol w:w="540"/>
        <w:gridCol w:w="1800"/>
        <w:gridCol w:w="1080"/>
        <w:gridCol w:w="620"/>
        <w:gridCol w:w="1180"/>
        <w:gridCol w:w="1260"/>
        <w:gridCol w:w="1080"/>
      </w:tblGrid>
      <w:tr>
        <w:trPr>
          <w:trHeight w:val="67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划项目立项和科 技经费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7"/>
                <w:sz w:val="18"/>
                <w:szCs w:val="18"/>
              </w:rPr>
              <w:t>工业和信息化局、广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州市天河区财政局</w:t>
            </w:r>
          </w:p>
        </w:tc>
        <w:tc>
          <w:tcPr>
            <w:tcW w:w="5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3"/>
              <w:jc w:val="center"/>
              <w:rPr>
                <w:rFonts w:ascii="宋体" w:hAnsi="宋体" w:cs="宋体" w:eastAsia="宋体" w:hint="default"/>
                <w:sz w:val="18"/>
                <w:szCs w:val="18"/>
              </w:rPr>
            </w:pP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企业贡献奖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天河科技园管委会</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广州市天河区创 新创业领军人才 扶持奖励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中共广州市天河区 委组织部</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45"/>
              <w:jc w:val="righ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4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市工业和信息化 运行监测信息员 通讯费补助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5"/>
              <w:jc w:val="left"/>
              <w:rPr>
                <w:rFonts w:ascii="宋体" w:hAnsi="宋体" w:cs="宋体" w:eastAsia="宋体" w:hint="default"/>
                <w:sz w:val="18"/>
                <w:szCs w:val="18"/>
              </w:rPr>
            </w:pPr>
            <w:r>
              <w:rPr>
                <w:rFonts w:ascii="宋体" w:hAnsi="宋体" w:cs="宋体" w:eastAsia="宋体" w:hint="default"/>
                <w:sz w:val="18"/>
                <w:szCs w:val="18"/>
              </w:rPr>
              <w:t>广州市天河科技工 业和信息化局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45"/>
              <w:jc w:val="righ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因承担国家为保障某 种公用事业或社会必 要产品供应或价格控 制职能而获得的补助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4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11,355,162.70</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46、营业外支出" w:id="316"/>
      <w:bookmarkEnd w:id="316"/>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544"/>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w:t>
            </w:r>
          </w:p>
        </w:tc>
        <w:tc>
          <w:tcPr>
            <w:tcW w:w="25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8,761,224.37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13,554,724.37</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8,761,224.37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罚款、赔款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5,200.00</w:t>
            </w:r>
          </w:p>
        </w:tc>
        <w:tc>
          <w:tcPr>
            <w:tcW w:w="25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短款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266,920.00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329,910.00</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266,920.00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材料、旧机报废损失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3,441,828.66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6,010,800.50</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3,441,828.66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417,373.60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94,854.96</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417,373.60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税金补缴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789,622.69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789,622.69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151,081.50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142,101.32</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151,081.50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13,828,050.82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20,152,591.15</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13,828,050.82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7、所得税费用" w:id="317"/>
      <w:bookmarkEnd w:id="317"/>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18"/>
      <w:bookmarkEnd w:id="31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6,867,306.11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7,588,537.70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1,100,754.15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-6,439,015.82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7,968,060.26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1,149,521.88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会计利润与所得税费用调整过程" w:id="319"/>
      <w:bookmarkEnd w:id="31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21,735,086.14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3,260,262.91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3,799,615.90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1,372,509.58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-7,441,647.27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1,071,478.79</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2,078,646.20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-3,831,727.83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对期初递延所得税的调整影响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7,658,921.98</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7,968,060.26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8、现金流量表项目" w:id="320"/>
      <w:bookmarkEnd w:id="320"/>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21"/>
      <w:bookmarkEnd w:id="32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20,482,092.00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11,658,272.03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247,407.43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380,597.89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30,620,268.25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62,466,838.24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51,349,767.68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74,505,708.16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支付的其他与经营活动有关的现金" w:id="322"/>
      <w:bookmarkEnd w:id="32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84,119,299.99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91,045,163.08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1,624,997.79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587,066.28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1,946,160.49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99,579,406.48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87,690,458.27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191,211,635.84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9、现金流量表补充资料" w:id="323"/>
      <w:bookmarkEnd w:id="323"/>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24"/>
      <w:bookmarkEnd w:id="32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5558"/>
        <w:gridCol w:w="2006"/>
        <w:gridCol w:w="1993"/>
      </w:tblGrid>
      <w:tr>
        <w:trPr>
          <w:trHeight w:val="403"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13,767,025.88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23,246,241.18</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37,822,541.89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-6,505,479.64</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固定资产与投资性房地产折旧（摊销）</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43,347,745.45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49,788,535.16</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5,134,736.36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5,051,040.10</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699,619.89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630,879.29</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8,939,953.30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13,852,577.53</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-23,621,022.04</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3,174,150.24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3,868,022.86</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-32,815,704.68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-4,125,588.23</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-110,656.46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-8,501,672.35</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1,211,410.61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2,385,041.02</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114,265,900.88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101,393,243.98</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84,249,857.59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147,862,839.02</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-108,291,174.56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50,353,688.57</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147,774,384.35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379,299,368.49</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165,010,591.96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391,035,031.87</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391,035,031.87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422,516,315.64</w:t>
            </w:r>
          </w:p>
        </w:tc>
      </w:tr>
      <w:tr>
        <w:trPr>
          <w:trHeight w:val="402"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-186,424,439.91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-31,481,283.77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无支付的取得子公司的现金。" w:id="325"/>
      <w:bookmarkEnd w:id="325"/>
      <w:r>
        <w:rPr>
          <w:b w:val="0"/>
          <w:bCs w:val="0"/>
        </w:rPr>
      </w:r>
      <w:r>
        <w:rPr/>
        <w:t>（</w:t>
      </w:r>
      <w:r>
        <w:rPr>
          <w:rFonts w:ascii="Times New Roman" w:hAnsi="Times New Roman" w:cs="Times New Roman" w:eastAsia="Times New Roman" w:hint="default"/>
        </w:rPr>
        <w:t>2</w:t>
      </w:r>
      <w:r>
        <w:rPr/>
        <w:t>）本期无支付的取得子公司的现金。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无收到的处置子公司的现金。" w:id="326"/>
      <w:bookmarkEnd w:id="326"/>
      <w:r>
        <w:rPr>
          <w:b w:val="0"/>
          <w:bCs w:val="0"/>
        </w:rPr>
      </w:r>
      <w:r>
        <w:rPr/>
        <w:t>（</w:t>
      </w:r>
      <w:r>
        <w:rPr>
          <w:rFonts w:ascii="Times New Roman" w:hAnsi="Times New Roman" w:cs="Times New Roman" w:eastAsia="Times New Roman" w:hint="default"/>
        </w:rPr>
        <w:t>3</w:t>
      </w:r>
      <w:r>
        <w:rPr/>
        <w:t>）本期无收到的处置子公司的现金。</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现金和现金等价物的构成" w:id="327"/>
      <w:bookmarkEnd w:id="32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165,010,591.96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391,035,031.87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1,667,609.81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2,103,461.51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160,728,710.86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388,931,570.36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2,614,271.29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204,610,591.96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391,035,031.87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0、所有权或使用权受到限制的资产" w:id="328"/>
      <w:bookmarkEnd w:id="328"/>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2,150,663.79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211,921,786.98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14,314,958.74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228,387,409.51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51"/>
        <w:ind w:left="1134" w:right="1132" w:firstLine="360"/>
        <w:jc w:val="right"/>
      </w:pPr>
      <w:r>
        <w:rPr/>
        <w:t>其他说明：</w:t>
      </w:r>
      <w:r>
        <w:rPr>
          <w:rFonts w:ascii="Times New Roman" w:hAnsi="Times New Roman" w:cs="Times New Roman" w:eastAsia="Times New Roman" w:hint="default"/>
        </w:rPr>
        <w:t>*</w:t>
      </w:r>
      <w:r>
        <w:rPr/>
        <w:t>公司与中国工商银行股份有限公司广州工业大道支行签订了抵押合同，将广州市天河区高唐路的部分房屋 建筑物作为抵押，抵押物原值为</w:t>
      </w:r>
      <w:r>
        <w:rPr>
          <w:spacing w:val="-50"/>
        </w:rPr>
        <w:t> </w:t>
      </w:r>
      <w:r>
        <w:rPr>
          <w:rFonts w:ascii="Times New Roman" w:hAnsi="Times New Roman" w:cs="Times New Roman" w:eastAsia="Times New Roman" w:hint="default"/>
        </w:rPr>
        <w:t>232,231,211.38</w:t>
      </w:r>
      <w:r>
        <w:rPr>
          <w:rFonts w:ascii="Times New Roman" w:hAnsi="Times New Roman" w:cs="Times New Roman" w:eastAsia="Times New Roman" w:hint="default"/>
          <w:spacing w:val="-12"/>
        </w:rPr>
        <w:t> </w:t>
      </w:r>
      <w:r>
        <w:rPr>
          <w:spacing w:val="-3"/>
        </w:rPr>
        <w:t>元，截至</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日，抵押物净值</w:t>
      </w:r>
      <w:r>
        <w:rPr>
          <w:spacing w:val="-50"/>
        </w:rPr>
        <w:t> </w:t>
      </w:r>
      <w:r>
        <w:rPr>
          <w:rFonts w:ascii="Times New Roman" w:hAnsi="Times New Roman" w:cs="Times New Roman" w:eastAsia="Times New Roman" w:hint="default"/>
        </w:rPr>
        <w:t>226,236,745.72</w:t>
      </w:r>
      <w:r>
        <w:rPr>
          <w:rFonts w:ascii="Times New Roman" w:hAnsi="Times New Roman" w:cs="Times New Roman" w:eastAsia="Times New Roman" w:hint="default"/>
          <w:spacing w:val="-12"/>
        </w:rPr>
        <w:t> </w:t>
      </w:r>
      <w:r>
        <w:rPr/>
        <w:t>元，该抵押担保合</w:t>
      </w:r>
    </w:p>
    <w:p>
      <w:pPr>
        <w:pStyle w:val="BodyText"/>
        <w:spacing w:line="240" w:lineRule="auto" w:before="14"/>
        <w:ind w:left="1134" w:right="0"/>
        <w:jc w:val="left"/>
      </w:pPr>
      <w:r>
        <w:rPr/>
        <w:t>同项下的借款余额为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3"/>
        <w:rPr>
          <w:rFonts w:ascii="宋体" w:hAnsi="宋体" w:cs="宋体" w:eastAsia="宋体" w:hint="default"/>
          <w:sz w:val="21"/>
          <w:szCs w:val="21"/>
        </w:rPr>
      </w:pPr>
    </w:p>
    <w:p>
      <w:pPr>
        <w:pStyle w:val="Heading3"/>
        <w:spacing w:line="240" w:lineRule="auto"/>
        <w:ind w:left="1134" w:right="0"/>
        <w:jc w:val="left"/>
        <w:rPr>
          <w:b w:val="0"/>
          <w:bCs w:val="0"/>
        </w:rPr>
      </w:pPr>
      <w:bookmarkStart w:name="51、外币货币性项目" w:id="329"/>
      <w:bookmarkEnd w:id="329"/>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1"/>
        <w:rPr>
          <w:rFonts w:ascii="宋体" w:hAnsi="宋体" w:cs="宋体" w:eastAsia="宋体" w:hint="default"/>
          <w:b/>
          <w:bCs/>
          <w:sz w:val="19"/>
          <w:szCs w:val="19"/>
        </w:rPr>
      </w:pPr>
    </w:p>
    <w:p>
      <w:pPr>
        <w:pStyle w:val="Heading3"/>
        <w:spacing w:line="240" w:lineRule="auto"/>
        <w:ind w:right="0"/>
        <w:jc w:val="left"/>
        <w:rPr>
          <w:b w:val="0"/>
          <w:bCs w:val="0"/>
        </w:rPr>
      </w:pPr>
      <w:bookmarkStart w:name="（1）外币货币性项目" w:id="330"/>
      <w:bookmarkEnd w:id="3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10,681,276.03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1,633,918.19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10,676,348.24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4,921.00</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CCC0D9"/>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423,904.07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CCC0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64,874.67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423,904.07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5" w:type="dxa"/>
            <w:tcBorders>
              <w:top w:val="single" w:sz="4" w:space="0" w:color="000000"/>
              <w:left w:val="single" w:sz="9" w:space="0" w:color="CCC0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1,198,360.85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CCC0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183,398.25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1,198,360.85</w:t>
            </w:r>
          </w:p>
        </w:tc>
      </w:tr>
    </w:tbl>
    <w:p>
      <w:pPr>
        <w:spacing w:line="240" w:lineRule="auto" w:before="3"/>
        <w:rPr>
          <w:rFonts w:ascii="宋体" w:hAnsi="宋体" w:cs="宋体" w:eastAsia="宋体" w:hint="default"/>
          <w:sz w:val="19"/>
          <w:szCs w:val="19"/>
        </w:rPr>
      </w:pPr>
    </w:p>
    <w:p>
      <w:pPr>
        <w:pStyle w:val="Heading3"/>
        <w:spacing w:line="259" w:lineRule="auto" w:before="35"/>
        <w:ind w:left="1134" w:right="0"/>
        <w:jc w:val="left"/>
        <w:rPr>
          <w:b w:val="0"/>
          <w:bCs w:val="0"/>
        </w:rPr>
      </w:pPr>
      <w:bookmarkStart w:name="（2）境外经营实体说明，包括对于重要的境外经营实体，应披露其境外主要经营地、记账" w:id="331"/>
      <w:bookmarkEnd w:id="33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332"/>
      <w:bookmarkEnd w:id="33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未发生非同一控制下企业合并。" w:id="333"/>
      <w:bookmarkEnd w:id="333"/>
      <w:r>
        <w:rPr>
          <w:b w:val="0"/>
          <w:bCs w:val="0"/>
        </w:rPr>
      </w:r>
      <w:r>
        <w:rPr>
          <w:rFonts w:ascii="Times New Roman" w:hAnsi="Times New Roman" w:cs="Times New Roman" w:eastAsia="Times New Roman" w:hint="default"/>
        </w:rPr>
        <w:t>1</w:t>
      </w:r>
      <w:r>
        <w:rPr/>
        <w:t>、本报告期未发生非同一控制下企业合并。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本报告期未发生同一控制下企业合并。" w:id="334"/>
      <w:bookmarkEnd w:id="334"/>
      <w:r>
        <w:rPr>
          <w:b w:val="0"/>
          <w:bCs w:val="0"/>
        </w:rPr>
      </w:r>
      <w:r>
        <w:rPr>
          <w:rFonts w:ascii="Times New Roman" w:hAnsi="Times New Roman" w:cs="Times New Roman" w:eastAsia="Times New Roman" w:hint="default"/>
        </w:rPr>
        <w:t>2</w:t>
      </w:r>
      <w:r>
        <w:rPr/>
        <w:t>、本报告期未发生同一控制下企业合并。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报告期未发生反向购买。" w:id="335"/>
      <w:bookmarkEnd w:id="335"/>
      <w:r>
        <w:rPr>
          <w:b w:val="0"/>
          <w:bCs w:val="0"/>
        </w:rPr>
      </w:r>
      <w:r>
        <w:rPr>
          <w:rFonts w:ascii="Times New Roman" w:hAnsi="Times New Roman" w:cs="Times New Roman" w:eastAsia="Times New Roman" w:hint="default"/>
        </w:rPr>
        <w:t>3</w:t>
      </w:r>
      <w:r>
        <w:rPr/>
        <w:t>、本报告期未发生反向购买。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处置子公司" w:id="336"/>
      <w:bookmarkEnd w:id="33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37"/>
      <w:bookmarkEnd w:id="33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6"/>
        <w:ind w:right="1040" w:firstLine="36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05</w:t>
      </w:r>
      <w:r>
        <w:rPr>
          <w:spacing w:val="-1"/>
        </w:rPr>
        <w:t>月</w:t>
      </w:r>
      <w:r>
        <w:rPr>
          <w:rFonts w:ascii="Times New Roman" w:hAnsi="Times New Roman" w:cs="Times New Roman" w:eastAsia="Times New Roman" w:hint="default"/>
          <w:spacing w:val="-1"/>
        </w:rPr>
        <w:t>26</w:t>
      </w:r>
      <w:r>
        <w:rPr>
          <w:spacing w:val="-1"/>
        </w:rPr>
        <w:t>日，本公司认缴出资</w:t>
      </w:r>
      <w:r>
        <w:rPr>
          <w:rFonts w:ascii="Times New Roman" w:hAnsi="Times New Roman" w:cs="Times New Roman" w:eastAsia="Times New Roman" w:hint="default"/>
          <w:spacing w:val="-1"/>
        </w:rPr>
        <w:t>2,500.00</w:t>
      </w:r>
      <w:r>
        <w:rPr>
          <w:spacing w:val="-1"/>
        </w:rPr>
        <w:t>万元设立了广州十方软件科技有限公司全资子公司，持有其</w:t>
      </w:r>
      <w:r>
        <w:rPr>
          <w:rFonts w:ascii="Times New Roman" w:hAnsi="Times New Roman" w:cs="Times New Roman" w:eastAsia="Times New Roman" w:hint="default"/>
          <w:spacing w:val="-1"/>
        </w:rPr>
        <w:t>100%</w:t>
      </w:r>
      <w:r>
        <w:rPr>
          <w:spacing w:val="-1"/>
        </w:rPr>
        <w:t>股权。</w:t>
      </w:r>
      <w:r>
        <w:rPr/>
        <w:t>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日，本公司合计支付投资款</w:t>
      </w:r>
      <w:r>
        <w:rPr>
          <w:rFonts w:ascii="Times New Roman" w:hAnsi="Times New Roman" w:cs="Times New Roman" w:eastAsia="Times New Roman" w:hint="default"/>
        </w:rPr>
        <w:t>170.00</w:t>
      </w:r>
      <w:r>
        <w:rPr/>
        <w:t>万元。从成立日起，广州十方软件科技有限公司纳入合并范围。</w:t>
      </w:r>
    </w:p>
    <w:p>
      <w:pPr>
        <w:pStyle w:val="BodyText"/>
        <w:spacing w:line="300" w:lineRule="auto" w:before="13"/>
        <w:ind w:left="1134" w:right="117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25</w:t>
      </w:r>
      <w:r>
        <w:rPr/>
        <w:t>日，本公司以自有资金</w:t>
      </w:r>
      <w:r>
        <w:rPr>
          <w:rFonts w:ascii="Times New Roman" w:hAnsi="Times New Roman" w:cs="Times New Roman" w:eastAsia="Times New Roman" w:hint="default"/>
        </w:rPr>
        <w:t>1,100.00</w:t>
      </w:r>
      <w:r>
        <w:rPr/>
        <w:t>万元投资设立了广州御联软件有限公司全资子公司，持有其</w:t>
      </w:r>
      <w:r>
        <w:rPr>
          <w:rFonts w:ascii="Times New Roman" w:hAnsi="Times New Roman" w:cs="Times New Roman" w:eastAsia="Times New Roman" w:hint="default"/>
        </w:rPr>
        <w:t>100%</w:t>
      </w:r>
      <w:r>
        <w:rPr/>
        <w:t>股 权。从成立日起，广州御联软件有限公司纳入合并范围。</w:t>
      </w:r>
    </w:p>
    <w:p>
      <w:pPr>
        <w:pStyle w:val="BodyText"/>
        <w:spacing w:line="300" w:lineRule="auto" w:before="32"/>
        <w:ind w:right="1131" w:firstLine="360"/>
        <w:jc w:val="both"/>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02</w:t>
      </w:r>
      <w:r>
        <w:rPr>
          <w:spacing w:val="-5"/>
        </w:rPr>
        <w:t>月</w:t>
      </w:r>
      <w:r>
        <w:rPr>
          <w:rFonts w:ascii="Times New Roman" w:hAnsi="Times New Roman" w:cs="Times New Roman" w:eastAsia="Times New Roman" w:hint="default"/>
          <w:spacing w:val="-5"/>
        </w:rPr>
        <w:t>27</w:t>
      </w:r>
      <w:r>
        <w:rPr>
          <w:spacing w:val="-5"/>
        </w:rPr>
        <w:t>日，子公司御银（中国）科技国际有限公司和广州御银自动柜员机科技有限公司合计认缴出资</w:t>
      </w:r>
      <w:r>
        <w:rPr>
          <w:rFonts w:ascii="Times New Roman" w:hAnsi="Times New Roman" w:cs="Times New Roman" w:eastAsia="Times New Roman" w:hint="default"/>
          <w:spacing w:val="-5"/>
        </w:rPr>
        <w:t>5,000.00</w:t>
      </w:r>
      <w:r>
        <w:rPr>
          <w:rFonts w:ascii="Times New Roman" w:hAnsi="Times New Roman" w:cs="Times New Roman" w:eastAsia="Times New Roman" w:hint="default"/>
        </w:rPr>
        <w:t> </w:t>
      </w:r>
      <w:r>
        <w:rPr/>
        <w:t>万美元投资设立了广州御银金融电子设备有限公司全资子公司，合计持有其</w:t>
      </w:r>
      <w:r>
        <w:rPr>
          <w:rFonts w:ascii="Times New Roman" w:hAnsi="Times New Roman" w:cs="Times New Roman" w:eastAsia="Times New Roman" w:hint="default"/>
        </w:rPr>
        <w:t>100%</w:t>
      </w:r>
      <w:r>
        <w:rPr/>
        <w:t>股权。从成立日起，广州御银金融电子设 备有限公司纳入合并范围。</w:t>
      </w:r>
    </w:p>
    <w:p>
      <w:pPr>
        <w:pStyle w:val="BodyText"/>
        <w:spacing w:line="300" w:lineRule="auto" w:before="31"/>
        <w:ind w:right="1129" w:firstLine="36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日，子公司广东小炬人创业园有限公司认缴出资设立了广州同位素智能科技有限公司，持有其</w:t>
      </w:r>
      <w:r>
        <w:rPr>
          <w:rFonts w:ascii="Times New Roman" w:hAnsi="Times New Roman" w:cs="Times New Roman" w:eastAsia="Times New Roman" w:hint="default"/>
          <w:spacing w:val="-1"/>
        </w:rPr>
        <w:t>100%</w:t>
      </w:r>
      <w:r>
        <w:rPr>
          <w:rFonts w:ascii="Times New Roman" w:hAnsi="Times New Roman" w:cs="Times New Roman" w:eastAsia="Times New Roman" w:hint="default"/>
        </w:rPr>
        <w:t> </w:t>
      </w:r>
      <w:r>
        <w:rPr>
          <w:spacing w:val="-2"/>
        </w:rPr>
        <w:t>股权。</w:t>
      </w:r>
      <w:r>
        <w:rPr>
          <w:rFonts w:ascii="Times New Roman" w:hAnsi="Times New Roman" w:cs="Times New Roman" w:eastAsia="Times New Roman" w:hint="default"/>
          <w:spacing w:val="-2"/>
        </w:rPr>
        <w:t>2016</w:t>
      </w:r>
      <w:r>
        <w:rPr>
          <w:spacing w:val="-2"/>
        </w:rPr>
        <w:t>年未支付投资款且广州同位素智能科技有限公司尚未开始经营活动故未纳入合并范围。</w:t>
      </w:r>
      <w:r>
        <w:rPr>
          <w:rFonts w:ascii="Times New Roman" w:hAnsi="Times New Roman" w:cs="Times New Roman" w:eastAsia="Times New Roman" w:hint="default"/>
          <w:spacing w:val="-2"/>
        </w:rPr>
        <w:t>2017</w:t>
      </w:r>
      <w:r>
        <w:rPr>
          <w:spacing w:val="-2"/>
        </w:rPr>
        <w:t>年子公司广东小炬人</w:t>
      </w:r>
      <w:r>
        <w:rPr>
          <w:spacing w:val="-55"/>
        </w:rPr>
        <w:t> </w:t>
      </w:r>
      <w:r>
        <w:rPr/>
        <w:t>创业园有限公司已支付</w:t>
      </w:r>
      <w:r>
        <w:rPr>
          <w:rFonts w:ascii="Times New Roman" w:hAnsi="Times New Roman" w:cs="Times New Roman" w:eastAsia="Times New Roman" w:hint="default"/>
        </w:rPr>
        <w:t>500.00</w:t>
      </w:r>
      <w:r>
        <w:rPr/>
        <w:t>万元投资款，自</w:t>
      </w:r>
      <w:r>
        <w:rPr>
          <w:rFonts w:ascii="Times New Roman" w:hAnsi="Times New Roman" w:cs="Times New Roman" w:eastAsia="Times New Roman" w:hint="default"/>
        </w:rPr>
        <w:t>2017</w:t>
      </w:r>
      <w:r>
        <w:rPr/>
        <w:t>年起广州同位素智能科技有限公司纳入合并范围。</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九、在其他主体中的权益" w:id="338"/>
      <w:bookmarkEnd w:id="33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中的权益" w:id="339"/>
      <w:bookmarkEnd w:id="33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企业集团的构成" w:id="340"/>
      <w:bookmarkEnd w:id="34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589" w:type="dxa"/>
        <w:tblLayout w:type="fixed"/>
        <w:tblCellMar>
          <w:top w:w="0" w:type="dxa"/>
          <w:left w:w="0" w:type="dxa"/>
          <w:bottom w:w="0" w:type="dxa"/>
          <w:right w:w="0" w:type="dxa"/>
        </w:tblCellMar>
        <w:tblLook w:val="01E0"/>
      </w:tblPr>
      <w:tblGrid>
        <w:gridCol w:w="2242"/>
        <w:gridCol w:w="708"/>
        <w:gridCol w:w="709"/>
        <w:gridCol w:w="4537"/>
        <w:gridCol w:w="709"/>
        <w:gridCol w:w="708"/>
        <w:gridCol w:w="1008"/>
      </w:tblGrid>
      <w:tr>
        <w:trPr>
          <w:trHeight w:val="402" w:hRule="exact"/>
        </w:trPr>
        <w:tc>
          <w:tcPr>
            <w:tcW w:w="22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9" w:right="77"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45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24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537"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广州御银自动柜员机技术有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电子产品、金融机具设备、自动柜员机的研究、开发、销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对柜员机进行维护及管理，对现金及有价证券清分处理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自动柜员机及点钞机设备的研发、销售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589" w:type="dxa"/>
        <w:tblLayout w:type="fixed"/>
        <w:tblCellMar>
          <w:top w:w="0" w:type="dxa"/>
          <w:left w:w="0" w:type="dxa"/>
          <w:bottom w:w="0" w:type="dxa"/>
          <w:right w:w="0" w:type="dxa"/>
        </w:tblCellMar>
        <w:tblLook w:val="01E0"/>
      </w:tblPr>
      <w:tblGrid>
        <w:gridCol w:w="2242"/>
        <w:gridCol w:w="708"/>
        <w:gridCol w:w="709"/>
        <w:gridCol w:w="4537"/>
        <w:gridCol w:w="709"/>
        <w:gridCol w:w="708"/>
        <w:gridCol w:w="1008"/>
      </w:tblGrid>
      <w:tr>
        <w:trPr>
          <w:trHeight w:val="362" w:hRule="exact"/>
        </w:trPr>
        <w:tc>
          <w:tcPr>
            <w:tcW w:w="22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御银（中国）科技国际有限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维尔京 群岛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维尔京 群岛</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广州御银自动柜员机科技有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电子产品、金融机具设备、自动柜员机的研究、开发、销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技术开发、技术服务、技术咨询、软件开发、软件服务等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技术开发；技术咨询；技术服务；软件开发等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技术开发；技术咨询；技术服务；软件开发等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pacing w:val="-4"/>
                <w:sz w:val="18"/>
                <w:szCs w:val="18"/>
              </w:rPr>
              <w:t>物业管理；场地租赁（不含仓储）；科技项目代理服务、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专利服务等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技术开发、技术服务；技术研究；软件开发等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广州同位素智能科技有限公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pacing w:val="-1"/>
                <w:sz w:val="18"/>
                <w:szCs w:val="18"/>
              </w:rPr>
              <w:t>科技信息咨询服务；科技项目代理服务；场地租赁（不含</w:t>
            </w:r>
            <w:r>
              <w:rPr>
                <w:rFonts w:ascii="宋体" w:hAnsi="宋体" w:cs="宋体" w:eastAsia="宋体" w:hint="default"/>
                <w:sz w:val="18"/>
                <w:szCs w:val="18"/>
              </w:rPr>
              <w:t> </w:t>
            </w:r>
            <w:r>
              <w:rPr>
                <w:rFonts w:ascii="宋体" w:hAnsi="宋体" w:cs="宋体" w:eastAsia="宋体" w:hint="default"/>
                <w:spacing w:val="-10"/>
                <w:sz w:val="18"/>
                <w:szCs w:val="18"/>
              </w:rPr>
              <w:t>仓储）；物业管理等</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信息系统集成服务；数据处理和存储服务；集成电器设计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信息技术咨询服务；软件服务等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35pt;height:28pt;mso-position-horizontal-relative:char;mso-position-vertical-relative:line" coordorigin="0,0" coordsize="700,560">
                  <v:group style="position:absolute;left:0;top:0;width:700;height:156" coordorigin="0,0" coordsize="700,156">
                    <v:shape style="position:absolute;left:0;top:0;width:700;height:156" coordorigin="0,0" coordsize="700,156" path="m0,156l700,156,700,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654;height:393" coordorigin="23,156" coordsize="654,393">
                    <v:shape style="position:absolute;left:23;top:156;width:654;height:393" coordorigin="23,156" coordsize="654,393" path="m23,548l677,548,677,156,23,156,23,548xe" filled="true" fillcolor="#ffffff" stroked="false">
                      <v:path arrowok="t"/>
                      <v:fill type="solid"/>
                    </v:shape>
                  </v:group>
                </v:group>
              </w:pict>
            </w:r>
            <w:r>
              <w:rPr>
                <w:rFonts w:ascii="宋体" w:hAnsi="宋体" w:cs="宋体" w:eastAsia="宋体" w:hint="default"/>
                <w:position w:val="-10"/>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广州御银金融电子设备有限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pacing w:val="-1"/>
                <w:sz w:val="18"/>
                <w:szCs w:val="18"/>
              </w:rPr>
              <w:t>自动售货机、售票机、柜员机及零配件的批发；自动售货</w:t>
            </w:r>
            <w:r>
              <w:rPr>
                <w:rFonts w:ascii="宋体" w:hAnsi="宋体" w:cs="宋体" w:eastAsia="宋体" w:hint="default"/>
                <w:sz w:val="18"/>
                <w:szCs w:val="18"/>
              </w:rPr>
              <w:t> 机、售票机、柜员机及零配件的零售等</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信息系统集成服务；数据处理和存储服务；集成电路设计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信息技术咨询服务；软件测试服务等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35pt;height:28pt;mso-position-horizontal-relative:char;mso-position-vertical-relative:line" coordorigin="0,0" coordsize="700,560">
                  <v:group style="position:absolute;left:0;top:0;width:700;height:156" coordorigin="0,0" coordsize="700,156">
                    <v:shape style="position:absolute;left:0;top:0;width:700;height:156" coordorigin="0,0" coordsize="700,156" path="m0,156l700,156,700,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654;height:393" coordorigin="23,156" coordsize="654,393">
                    <v:shape style="position:absolute;left:23;top:156;width:654;height:393" coordorigin="23,156" coordsize="654,393" path="m23,548l677,548,677,156,23,156,23,548xe" filled="true" fillcolor="#ffffff" stroked="false">
                      <v:path arrowok="t"/>
                      <v:fill type="solid"/>
                    </v:shape>
                  </v:group>
                </v:group>
              </w:pict>
            </w:r>
            <w:r>
              <w:rPr>
                <w:rFonts w:ascii="宋体" w:hAnsi="宋体" w:cs="宋体" w:eastAsia="宋体" w:hint="default"/>
                <w:position w:val="-10"/>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本报告期无在子公司的所有者权益份额发生变化且仍控制子公司的交易。" w:id="341"/>
      <w:bookmarkEnd w:id="341"/>
      <w:r>
        <w:rPr>
          <w:b w:val="0"/>
          <w:bCs w:val="0"/>
        </w:rPr>
      </w:r>
      <w:r>
        <w:rPr>
          <w:rFonts w:ascii="Times New Roman" w:hAnsi="Times New Roman" w:cs="Times New Roman" w:eastAsia="Times New Roman" w:hint="default"/>
        </w:rPr>
        <w:t>2</w:t>
      </w:r>
      <w:r>
        <w:rPr/>
        <w:t>、本报告期无在子公司的所有者权益份额发生变化且仍控制子公司的交易。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报告期无重要的合营企业或联营企业。" w:id="342"/>
      <w:bookmarkEnd w:id="342"/>
      <w:r>
        <w:rPr>
          <w:b w:val="0"/>
          <w:bCs w:val="0"/>
        </w:rPr>
      </w:r>
      <w:r>
        <w:rPr>
          <w:rFonts w:ascii="Times New Roman" w:hAnsi="Times New Roman" w:cs="Times New Roman" w:eastAsia="Times New Roman" w:hint="default"/>
        </w:rPr>
        <w:t>3</w:t>
      </w:r>
      <w:r>
        <w:rPr/>
        <w:t>、本报告期无重要的合营企业或联营企业。</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不重要的合营企业和联营企业的汇总财务信息" w:id="343"/>
      <w:bookmarkEnd w:id="343"/>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108,678.37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报告期不存在合营企业或联营企业向本公司转移资金的能力存在重大限制的情况" w:id="344"/>
      <w:bookmarkEnd w:id="344"/>
      <w:r>
        <w:rPr>
          <w:b w:val="0"/>
          <w:bCs w:val="0"/>
        </w:rPr>
      </w:r>
      <w:r>
        <w:rPr/>
        <w:t>（</w:t>
      </w:r>
      <w:r>
        <w:rPr>
          <w:rFonts w:ascii="Times New Roman" w:hAnsi="Times New Roman" w:cs="Times New Roman" w:eastAsia="Times New Roman" w:hint="default"/>
        </w:rPr>
        <w:t>2</w:t>
      </w:r>
      <w:r>
        <w:rPr/>
        <w:t>）本报告期不存在合营企业或联营企业向本公司转移资金的能力存在重大限制的情况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报告期不存在合营企业或联营企业发生超额亏损的情况。" w:id="345"/>
      <w:bookmarkEnd w:id="345"/>
      <w:r>
        <w:rPr>
          <w:b w:val="0"/>
          <w:bCs w:val="0"/>
        </w:rPr>
      </w:r>
      <w:r>
        <w:rPr/>
        <w:t>（</w:t>
      </w:r>
      <w:r>
        <w:rPr>
          <w:rFonts w:ascii="Times New Roman" w:hAnsi="Times New Roman" w:cs="Times New Roman" w:eastAsia="Times New Roman" w:hint="default"/>
        </w:rPr>
        <w:t>3</w:t>
      </w:r>
      <w:r>
        <w:rPr/>
        <w:t>）本报告期不存在合营企业或联营企业发生超额亏损的情况。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本报告期不存在与合营企业投资相关的未确认承诺。" w:id="346"/>
      <w:bookmarkEnd w:id="346"/>
      <w:r>
        <w:rPr>
          <w:b w:val="0"/>
          <w:bCs w:val="0"/>
        </w:rPr>
      </w:r>
      <w:r>
        <w:rPr/>
        <w:t>（</w:t>
      </w:r>
      <w:r>
        <w:rPr>
          <w:rFonts w:ascii="Times New Roman" w:hAnsi="Times New Roman" w:cs="Times New Roman" w:eastAsia="Times New Roman" w:hint="default"/>
        </w:rPr>
        <w:t>4</w:t>
      </w:r>
      <w:r>
        <w:rPr/>
        <w:t>）本报告期不存在与合营企业投资相关的未确认承诺。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本报告期不存在与合营企业或联营企业投资相关的或有负债。" w:id="347"/>
      <w:bookmarkEnd w:id="347"/>
      <w:r>
        <w:rPr>
          <w:b w:val="0"/>
          <w:bCs w:val="0"/>
        </w:rPr>
      </w:r>
      <w:r>
        <w:rPr/>
        <w:t>（</w:t>
      </w:r>
      <w:r>
        <w:rPr>
          <w:rFonts w:ascii="Times New Roman" w:hAnsi="Times New Roman" w:cs="Times New Roman" w:eastAsia="Times New Roman" w:hint="default"/>
        </w:rPr>
        <w:t>5</w:t>
      </w:r>
      <w:r>
        <w:rPr/>
        <w:t>）本报告期不存在与合营企业或联营企业投资相关的或有负债。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本报告期无重要的共同经营。" w:id="348"/>
      <w:bookmarkEnd w:id="348"/>
      <w:r>
        <w:rPr>
          <w:b w:val="0"/>
          <w:bCs w:val="0"/>
        </w:rPr>
      </w:r>
      <w:r>
        <w:rPr>
          <w:rFonts w:ascii="Times New Roman" w:hAnsi="Times New Roman" w:cs="Times New Roman" w:eastAsia="Times New Roman" w:hint="default"/>
        </w:rPr>
        <w:t>4</w:t>
      </w:r>
      <w:r>
        <w:rPr/>
        <w:t>、本报告期无重要的共同经营。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本报告期无未纳入合并财务报表范围的结构化主体中的权益。" w:id="349"/>
      <w:bookmarkEnd w:id="349"/>
      <w:r>
        <w:rPr>
          <w:b w:val="0"/>
          <w:bCs w:val="0"/>
        </w:rPr>
      </w:r>
      <w:r>
        <w:rPr>
          <w:rFonts w:ascii="Times New Roman" w:hAnsi="Times New Roman" w:cs="Times New Roman" w:eastAsia="Times New Roman" w:hint="default"/>
        </w:rPr>
        <w:t>5</w:t>
      </w:r>
      <w:r>
        <w:rPr/>
        <w:t>、本报告期无未纳入合并财务报表范围的结构化主体中的权益。</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与金融工具相关的风险" w:id="350"/>
      <w:bookmarkEnd w:id="350"/>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4" w:right="1131"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的确定，并对风险管理目标和政策承担最终责任，但是董事会已授权本公司经营管理层设计和实施能确保风险管理目标和政</w:t>
      </w:r>
      <w:r>
        <w:rPr>
          <w:spacing w:val="-64"/>
        </w:rPr>
        <w:t> </w:t>
      </w:r>
      <w:r>
        <w:rPr>
          <w:spacing w:val="-64"/>
        </w:rPr>
      </w:r>
      <w:r>
        <w:rPr>
          <w:spacing w:val="-2"/>
        </w:rPr>
        <w:t>策得以有效执行的程序。董事会通过相关职能部门递交的月度报告来审查已执行程序的有效性以及风险管理目标和政策的合</w:t>
      </w:r>
      <w:r>
        <w:rPr>
          <w:spacing w:val="-64"/>
        </w:rPr>
        <w:t> </w:t>
      </w:r>
      <w:r>
        <w:rPr>
          <w:spacing w:val="-64"/>
        </w:rPr>
      </w:r>
      <w:r>
        <w:rPr/>
        <w:t>理性。本公司的内部审计师也会审计风险管理的政策和程序，并且将有关发现汇报给审计委员会。</w:t>
      </w:r>
    </w:p>
    <w:p>
      <w:pPr>
        <w:pStyle w:val="BodyText"/>
        <w:spacing w:line="309" w:lineRule="auto" w:before="19"/>
        <w:ind w:left="1493" w:right="1033"/>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rPr>
        <w:t>1</w:t>
      </w:r>
      <w:r>
        <w:rPr/>
        <w:t>、信用风险 </w:t>
      </w:r>
      <w:r>
        <w:rPr>
          <w:spacing w:val="-4"/>
        </w:rPr>
        <w:t>信用风险是指金融工具的一方不履行义务，造成另一方发生财务损失的风险。本公司主要面临赊销导致的客户信用风险。</w:t>
      </w:r>
    </w:p>
    <w:p>
      <w:pPr>
        <w:pStyle w:val="BodyText"/>
        <w:spacing w:line="319" w:lineRule="auto" w:before="24"/>
        <w:ind w:right="0"/>
        <w:jc w:val="left"/>
      </w:pPr>
      <w:r>
        <w:rPr>
          <w:spacing w:val="-2"/>
        </w:rPr>
        <w:t>在签订新合同之前，本公司会对新客户的信用风险进行评估，包括外部信用评级和在某些情况下的银行资信证明（当此信息</w:t>
      </w:r>
      <w:r>
        <w:rPr>
          <w:spacing w:val="-66"/>
        </w:rPr>
        <w:t> </w:t>
      </w:r>
      <w:r>
        <w:rPr>
          <w:spacing w:val="-66"/>
        </w:rPr>
      </w:r>
      <w:r>
        <w:rPr/>
        <w:t>可获取时）。公司对每一客户均设置了赊销限额，该限额为无需获得额外批准的最大额度。</w:t>
      </w:r>
    </w:p>
    <w:p>
      <w:pPr>
        <w:pStyle w:val="BodyText"/>
        <w:spacing w:line="309" w:lineRule="auto" w:before="17"/>
        <w:ind w:right="0"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4"/>
        </w:rPr>
        <w:t> </w:t>
      </w:r>
      <w:r>
        <w:rPr>
          <w:spacing w:val="-44"/>
        </w:rPr>
      </w:r>
      <w:r>
        <w:rPr/>
        <w:t>只有在额外批准的前提下，公司才可在未来期间内对其赊销，否则必须要求其提前支付相应款项。</w:t>
      </w:r>
    </w:p>
    <w:p>
      <w:pPr>
        <w:pStyle w:val="BodyText"/>
        <w:spacing w:line="300" w:lineRule="auto" w:before="24"/>
        <w:ind w:left="1493" w:right="1118"/>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金融工具的市场风险，是指金融工具的公允价值或未来现金流量因市场价格变动而发生波动的风险，包括汇率风险、利</w:t>
      </w:r>
    </w:p>
    <w:p>
      <w:pPr>
        <w:pStyle w:val="BodyText"/>
        <w:spacing w:line="240" w:lineRule="auto" w:before="31"/>
        <w:ind w:right="0"/>
        <w:jc w:val="left"/>
      </w:pPr>
      <w:r>
        <w:rPr/>
        <w:t>率风险和其他价格风险。</w:t>
      </w:r>
    </w:p>
    <w:p>
      <w:pPr>
        <w:pStyle w:val="BodyText"/>
        <w:spacing w:line="300" w:lineRule="auto" w:before="76"/>
        <w:ind w:left="1493" w:right="1118"/>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6" w:lineRule="auto" w:before="31"/>
        <w:ind w:right="0"/>
        <w:jc w:val="left"/>
      </w:pPr>
      <w:r>
        <w:rPr>
          <w:spacing w:val="-2"/>
        </w:rPr>
        <w:t>源于银行长短期借款。公司通过建立良好的银企关系，对授信额度、授信品种以及授信期限进行合理的设计，保障银行授信</w:t>
      </w:r>
      <w:r>
        <w:rPr>
          <w:spacing w:val="-66"/>
        </w:rPr>
        <w:t> </w:t>
      </w:r>
      <w:r>
        <w:rPr>
          <w:spacing w:val="-66"/>
        </w:rPr>
      </w:r>
      <w:r>
        <w:rPr/>
        <w:t>额度充足，满足公司各类融资需求。并且通过缩短单笔借款的期限，特别约定提前还款条款，合理降低利率波动风险。</w:t>
      </w:r>
    </w:p>
    <w:p>
      <w:pPr>
        <w:pStyle w:val="BodyText"/>
        <w:spacing w:line="300" w:lineRule="auto" w:before="19"/>
        <w:ind w:left="1493" w:right="1118"/>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00" w:lineRule="auto" w:before="31"/>
        <w:ind w:right="1213"/>
        <w:jc w:val="left"/>
      </w:pPr>
      <w:r>
        <w:rPr/>
        <w:t>币支出相匹配以降低汇率风险。此外，公司还可能签署远期外汇合约或货币互换合约以达到规避汇率风险的目的。于</w:t>
      </w:r>
      <w:r>
        <w:rPr>
          <w:rFonts w:ascii="Times New Roman" w:hAnsi="Times New Roman" w:cs="Times New Roman" w:eastAsia="Times New Roman" w:hint="default"/>
        </w:rPr>
        <w:t>2017 </w:t>
      </w:r>
      <w:r>
        <w:rPr/>
        <w:t>年度及</w:t>
      </w:r>
      <w:r>
        <w:rPr>
          <w:rFonts w:ascii="Times New Roman" w:hAnsi="Times New Roman" w:cs="Times New Roman" w:eastAsia="Times New Roman" w:hint="default"/>
        </w:rPr>
        <w:t>2016</w:t>
      </w:r>
      <w:r>
        <w:rPr/>
        <w:t>年度，本公司未签署任何远期外汇合约或货币互换合约。</w:t>
      </w:r>
    </w:p>
    <w:p>
      <w:pPr>
        <w:pStyle w:val="BodyText"/>
        <w:spacing w:line="316" w:lineRule="auto" w:before="13"/>
        <w:ind w:left="1134" w:right="1118" w:firstLine="360"/>
        <w:jc w:val="left"/>
      </w:pPr>
      <w:r>
        <w:rPr>
          <w:spacing w:val="-2"/>
        </w:rPr>
        <w:t>本公司面临的汇率风险主要来源于以美元计价的金融资产和金融负债，外币金融资产和外币金融负债折算成人民币的金</w:t>
      </w:r>
      <w:r>
        <w:rPr/>
        <w:t> 额列示如下：</w:t>
      </w:r>
    </w:p>
    <w:tbl>
      <w:tblPr>
        <w:tblW w:w="0" w:type="auto"/>
        <w:jc w:val="left"/>
        <w:tblInd w:w="946" w:type="dxa"/>
        <w:tblLayout w:type="fixed"/>
        <w:tblCellMar>
          <w:top w:w="0" w:type="dxa"/>
          <w:left w:w="0" w:type="dxa"/>
          <w:bottom w:w="0" w:type="dxa"/>
          <w:right w:w="0" w:type="dxa"/>
        </w:tblCellMar>
        <w:tblLook w:val="01E0"/>
      </w:tblPr>
      <w:tblGrid>
        <w:gridCol w:w="1242"/>
        <w:gridCol w:w="1457"/>
        <w:gridCol w:w="1140"/>
        <w:gridCol w:w="1534"/>
        <w:gridCol w:w="1526"/>
        <w:gridCol w:w="1398"/>
        <w:gridCol w:w="1531"/>
      </w:tblGrid>
      <w:tr>
        <w:trPr>
          <w:trHeight w:val="348" w:hRule="exact"/>
        </w:trPr>
        <w:tc>
          <w:tcPr>
            <w:tcW w:w="1242" w:type="dxa"/>
            <w:vMerge w:val="restart"/>
            <w:tcBorders>
              <w:top w:val="single" w:sz="6" w:space="0" w:color="000000"/>
              <w:left w:val="single" w:sz="6" w:space="0" w:color="000000"/>
              <w:right w:val="single" w:sz="6" w:space="0" w:color="000000"/>
            </w:tcBorders>
            <w:shd w:val="clear" w:color="auto" w:fill="CCC0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31" w:type="dxa"/>
            <w:gridSpan w:val="3"/>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35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56" w:type="dxa"/>
            <w:gridSpan w:val="3"/>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1242" w:type="dxa"/>
            <w:vMerge/>
            <w:tcBorders>
              <w:left w:val="single" w:sz="6" w:space="0" w:color="000000"/>
              <w:bottom w:val="single" w:sz="6" w:space="0" w:color="000000"/>
              <w:right w:val="single" w:sz="6" w:space="0" w:color="000000"/>
            </w:tcBorders>
            <w:shd w:val="clear" w:color="auto" w:fill="CCC0D9"/>
          </w:tcPr>
          <w:p>
            <w:pPr/>
          </w:p>
        </w:tc>
        <w:tc>
          <w:tcPr>
            <w:tcW w:w="1457"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left="72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4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right="23"/>
              <w:jc w:val="right"/>
              <w:rPr>
                <w:rFonts w:ascii="宋体" w:hAnsi="宋体" w:cs="宋体" w:eastAsia="宋体" w:hint="default"/>
                <w:sz w:val="18"/>
                <w:szCs w:val="18"/>
              </w:rPr>
            </w:pPr>
            <w:r>
              <w:rPr>
                <w:rFonts w:ascii="宋体" w:hAnsi="宋体" w:cs="宋体" w:eastAsia="宋体" w:hint="default"/>
                <w:sz w:val="18"/>
                <w:szCs w:val="18"/>
              </w:rPr>
              <w:t>其他外币</w:t>
            </w:r>
          </w:p>
        </w:tc>
        <w:tc>
          <w:tcPr>
            <w:tcW w:w="153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left="7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left="75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98"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其他外币</w:t>
            </w:r>
          </w:p>
        </w:tc>
        <w:tc>
          <w:tcPr>
            <w:tcW w:w="1531"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left="75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43"/>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10,676,348.24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4,927.79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10,681,276.03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7,833,473.51</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2" w:right="0"/>
              <w:jc w:val="center"/>
              <w:rPr>
                <w:rFonts w:ascii="Times New Roman" w:hAnsi="Times New Roman" w:cs="Times New Roman" w:eastAsia="Times New Roman" w:hint="default"/>
                <w:sz w:val="18"/>
                <w:szCs w:val="18"/>
              </w:rPr>
            </w:pPr>
            <w:r>
              <w:rPr>
                <w:rFonts w:ascii="Times New Roman"/>
                <w:sz w:val="18"/>
              </w:rPr>
              <w:t>7,834,121.23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15,667,594.74</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3"/>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423,904.07</w:t>
            </w:r>
          </w:p>
        </w:tc>
        <w:tc>
          <w:tcPr>
            <w:tcW w:w="114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423,904.07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156,082.50</w:t>
            </w:r>
          </w:p>
        </w:tc>
        <w:tc>
          <w:tcPr>
            <w:tcW w:w="139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156,082.50</w:t>
            </w:r>
          </w:p>
        </w:tc>
      </w:tr>
      <w:tr>
        <w:trPr>
          <w:trHeight w:val="348"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3"/>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1,198,360.85</w:t>
            </w:r>
          </w:p>
        </w:tc>
        <w:tc>
          <w:tcPr>
            <w:tcW w:w="114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1,198,360.85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109,153.70</w:t>
            </w:r>
          </w:p>
        </w:tc>
        <w:tc>
          <w:tcPr>
            <w:tcW w:w="139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109,153.70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946" w:type="dxa"/>
        <w:tblLayout w:type="fixed"/>
        <w:tblCellMar>
          <w:top w:w="0" w:type="dxa"/>
          <w:left w:w="0" w:type="dxa"/>
          <w:bottom w:w="0" w:type="dxa"/>
          <w:right w:w="0" w:type="dxa"/>
        </w:tblCellMar>
        <w:tblLook w:val="01E0"/>
      </w:tblPr>
      <w:tblGrid>
        <w:gridCol w:w="1242"/>
        <w:gridCol w:w="1457"/>
        <w:gridCol w:w="1140"/>
        <w:gridCol w:w="1534"/>
        <w:gridCol w:w="1526"/>
        <w:gridCol w:w="1398"/>
        <w:gridCol w:w="1531"/>
      </w:tblGrid>
      <w:tr>
        <w:trPr>
          <w:trHeight w:val="347" w:hRule="exact"/>
        </w:trPr>
        <w:tc>
          <w:tcPr>
            <w:tcW w:w="1242"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16"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1,995,393.37</w:t>
            </w:r>
          </w:p>
        </w:tc>
        <w:tc>
          <w:tcPr>
            <w:tcW w:w="139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1,995,393.37</w:t>
            </w:r>
          </w:p>
        </w:tc>
      </w:tr>
      <w:tr>
        <w:trPr>
          <w:trHeight w:val="348" w:hRule="exact"/>
        </w:trPr>
        <w:tc>
          <w:tcPr>
            <w:tcW w:w="1242"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05" w:right="0"/>
              <w:jc w:val="left"/>
              <w:rPr>
                <w:rFonts w:ascii="Times New Roman" w:hAnsi="Times New Roman" w:cs="Times New Roman" w:eastAsia="Times New Roman" w:hint="default"/>
                <w:sz w:val="18"/>
                <w:szCs w:val="18"/>
              </w:rPr>
            </w:pPr>
            <w:r>
              <w:rPr>
                <w:rFonts w:ascii="Times New Roman"/>
                <w:sz w:val="18"/>
              </w:rPr>
              <w:t>12,298,613.16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91" w:right="0"/>
              <w:jc w:val="left"/>
              <w:rPr>
                <w:rFonts w:ascii="Times New Roman" w:hAnsi="Times New Roman" w:cs="Times New Roman" w:eastAsia="Times New Roman" w:hint="default"/>
                <w:sz w:val="18"/>
                <w:szCs w:val="18"/>
              </w:rPr>
            </w:pPr>
            <w:r>
              <w:rPr>
                <w:rFonts w:ascii="Times New Roman"/>
                <w:sz w:val="18"/>
              </w:rPr>
              <w:t>4,927.79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1" w:right="0"/>
              <w:jc w:val="left"/>
              <w:rPr>
                <w:rFonts w:ascii="Times New Roman" w:hAnsi="Times New Roman" w:cs="Times New Roman" w:eastAsia="Times New Roman" w:hint="default"/>
                <w:sz w:val="18"/>
                <w:szCs w:val="18"/>
              </w:rPr>
            </w:pPr>
            <w:r>
              <w:rPr>
                <w:rFonts w:ascii="Times New Roman"/>
                <w:sz w:val="18"/>
              </w:rPr>
              <w:t>12,303,540.95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10,094,103.08</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5" w:right="0"/>
              <w:jc w:val="left"/>
              <w:rPr>
                <w:rFonts w:ascii="Times New Roman" w:hAnsi="Times New Roman" w:cs="Times New Roman" w:eastAsia="Times New Roman" w:hint="default"/>
                <w:sz w:val="18"/>
                <w:szCs w:val="18"/>
              </w:rPr>
            </w:pPr>
            <w:r>
              <w:rPr>
                <w:rFonts w:ascii="Times New Roman"/>
                <w:sz w:val="18"/>
              </w:rPr>
              <w:t>7,834,121.23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17,928,224.31</w:t>
            </w:r>
          </w:p>
        </w:tc>
      </w:tr>
    </w:tbl>
    <w:p>
      <w:pPr>
        <w:pStyle w:val="BodyText"/>
        <w:spacing w:line="309" w:lineRule="auto" w:before="10"/>
        <w:ind w:left="1493" w:right="2473"/>
        <w:jc w:val="left"/>
      </w:pPr>
      <w:r>
        <w:rPr/>
        <w:t>（</w:t>
      </w:r>
      <w:r>
        <w:rPr>
          <w:rFonts w:ascii="Times New Roman" w:hAnsi="Times New Roman" w:cs="Times New Roman" w:eastAsia="Times New Roman" w:hint="default"/>
        </w:rPr>
        <w:t>3</w:t>
      </w:r>
      <w:r>
        <w:rPr/>
        <w:t>）其他价格风险 本公司持有其他上市公司的权益投资，管理层认为这些投资活动面临的市场价格风险是可以接受的。 本公司持有的上市公司权益投资列示如下：</w:t>
      </w:r>
    </w:p>
    <w:tbl>
      <w:tblPr>
        <w:tblW w:w="0" w:type="auto"/>
        <w:jc w:val="left"/>
        <w:tblInd w:w="1733" w:type="dxa"/>
        <w:tblLayout w:type="fixed"/>
        <w:tblCellMar>
          <w:top w:w="0" w:type="dxa"/>
          <w:left w:w="0" w:type="dxa"/>
          <w:bottom w:w="0" w:type="dxa"/>
          <w:right w:w="0" w:type="dxa"/>
        </w:tblCellMar>
        <w:tblLook w:val="01E0"/>
      </w:tblPr>
      <w:tblGrid>
        <w:gridCol w:w="4385"/>
        <w:gridCol w:w="1624"/>
        <w:gridCol w:w="1805"/>
      </w:tblGrid>
      <w:tr>
        <w:trPr>
          <w:trHeight w:val="341" w:hRule="exact"/>
        </w:trPr>
        <w:tc>
          <w:tcPr>
            <w:tcW w:w="4385"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6"/>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4"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6"/>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5"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16"/>
              <w:ind w:left="71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316,301,656.72</w:t>
            </w:r>
          </w:p>
        </w:tc>
        <w:tc>
          <w:tcPr>
            <w:tcW w:w="1805" w:type="dxa"/>
            <w:tcBorders>
              <w:top w:val="single" w:sz="10" w:space="0" w:color="000000"/>
              <w:left w:val="single" w:sz="6" w:space="0" w:color="000000"/>
              <w:bottom w:val="single" w:sz="6" w:space="0" w:color="000000"/>
              <w:right w:val="single" w:sz="6" w:space="0" w:color="000000"/>
            </w:tcBorders>
          </w:tcPr>
          <w:p>
            <w:pPr/>
          </w:p>
        </w:tc>
      </w:tr>
      <w:tr>
        <w:trPr>
          <w:trHeight w:val="348" w:hRule="exact"/>
        </w:trPr>
        <w:tc>
          <w:tcPr>
            <w:tcW w:w="4385"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316,301,656.72</w:t>
            </w:r>
          </w:p>
        </w:tc>
        <w:tc>
          <w:tcPr>
            <w:tcW w:w="180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29"/>
        <w:ind w:left="1493" w:right="1118"/>
        <w:jc w:val="left"/>
      </w:pPr>
      <w:r>
        <w:rPr>
          <w:rFonts w:ascii="Times New Roman" w:hAnsi="Times New Roman" w:cs="Times New Roman" w:eastAsia="Times New Roman" w:hint="default"/>
        </w:rPr>
        <w:t>3</w:t>
      </w:r>
      <w:r>
        <w:rPr/>
        <w:t>、流动性风险 </w:t>
      </w:r>
      <w:r>
        <w:rPr>
          <w:spacing w:val="-2"/>
        </w:rPr>
        <w:t>流动性风险，是指企业在履行以交付现金或其他金融资产的方式结算的义务时发生资金短缺的风险。本公司的政策是确</w:t>
      </w:r>
    </w:p>
    <w:p>
      <w:pPr>
        <w:pStyle w:val="BodyText"/>
        <w:spacing w:line="316" w:lineRule="auto" w:before="31"/>
        <w:ind w:right="0"/>
        <w:jc w:val="left"/>
      </w:pPr>
      <w:r>
        <w:rPr>
          <w:spacing w:val="-2"/>
        </w:rPr>
        <w:t>保拥有充足的现金以偿还到期债务。流动性风险由本公司的财务部门集中控制。财务部门通过监控现金余额、可随时变现的</w:t>
      </w:r>
      <w:r>
        <w:rPr>
          <w:spacing w:val="-66"/>
        </w:rPr>
        <w:t> </w:t>
      </w:r>
      <w:r>
        <w:rPr>
          <w:spacing w:val="-66"/>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公允价值的披露" w:id="351"/>
      <w:bookmarkEnd w:id="35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52"/>
      <w:bookmarkEnd w:id="35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600" w:type="dxa"/>
        <w:tblLayout w:type="fixed"/>
        <w:tblCellMar>
          <w:top w:w="0" w:type="dxa"/>
          <w:left w:w="0" w:type="dxa"/>
          <w:bottom w:w="0" w:type="dxa"/>
          <w:right w:w="0" w:type="dxa"/>
        </w:tblCellMar>
        <w:tblLook w:val="01E0"/>
      </w:tblPr>
      <w:tblGrid>
        <w:gridCol w:w="2678"/>
        <w:gridCol w:w="2172"/>
        <w:gridCol w:w="2160"/>
        <w:gridCol w:w="2160"/>
        <w:gridCol w:w="1260"/>
      </w:tblGrid>
      <w:tr>
        <w:trPr>
          <w:trHeight w:val="206" w:hRule="exact"/>
        </w:trPr>
        <w:tc>
          <w:tcPr>
            <w:tcW w:w="2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6" w:hRule="exact"/>
        </w:trPr>
        <w:tc>
          <w:tcPr>
            <w:tcW w:w="26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75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78" w:type="dxa"/>
            <w:vMerge/>
            <w:tcBorders>
              <w:left w:val="single" w:sz="4" w:space="0" w:color="000000"/>
              <w:bottom w:val="nil" w:sz="6" w:space="0" w:color="auto"/>
              <w:right w:val="single" w:sz="4" w:space="0" w:color="000000"/>
            </w:tcBorders>
            <w:shd w:val="clear" w:color="auto" w:fill="D2D2D2"/>
          </w:tcPr>
          <w:p>
            <w:pPr/>
          </w:p>
        </w:tc>
        <w:tc>
          <w:tcPr>
            <w:tcW w:w="2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5"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1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3"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21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2" w:type="dxa"/>
            <w:vMerge/>
            <w:tcBorders>
              <w:left w:val="single" w:sz="4" w:space="0" w:color="000000"/>
              <w:bottom w:val="single" w:sz="4" w:space="0" w:color="000000"/>
              <w:right w:val="single" w:sz="4" w:space="0" w:color="000000"/>
            </w:tcBorders>
            <w:shd w:val="clear" w:color="auto" w:fill="D2D2D2"/>
          </w:tcPr>
          <w:p>
            <w:pPr/>
          </w:p>
        </w:tc>
        <w:tc>
          <w:tcPr>
            <w:tcW w:w="2160" w:type="dxa"/>
            <w:vMerge/>
            <w:tcBorders>
              <w:left w:val="single" w:sz="4" w:space="0" w:color="000000"/>
              <w:bottom w:val="single" w:sz="4" w:space="0" w:color="000000"/>
              <w:right w:val="single" w:sz="4" w:space="0" w:color="000000"/>
            </w:tcBorders>
            <w:shd w:val="clear" w:color="auto" w:fill="D2D2D2"/>
          </w:tcPr>
          <w:p>
            <w:pPr/>
          </w:p>
        </w:tc>
        <w:tc>
          <w:tcPr>
            <w:tcW w:w="216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25" w:right="0"/>
              <w:jc w:val="left"/>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（一）以公允价值计量且变动计入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当期损益的金融资产</w:t>
            </w:r>
          </w:p>
        </w:tc>
        <w:tc>
          <w:tcPr>
            <w:tcW w:w="21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316,301,656.72</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316,301,656.72</w:t>
            </w:r>
          </w:p>
        </w:tc>
      </w:tr>
      <w:tr>
        <w:trPr>
          <w:trHeight w:val="402"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21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316,301,656.72</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center"/>
              <w:rPr>
                <w:rFonts w:ascii="Times New Roman" w:hAnsi="Times New Roman" w:cs="Times New Roman" w:eastAsia="Times New Roman" w:hint="default"/>
                <w:sz w:val="18"/>
                <w:szCs w:val="18"/>
              </w:rPr>
            </w:pPr>
            <w:r>
              <w:rPr>
                <w:rFonts w:ascii="Times New Roman"/>
                <w:sz w:val="18"/>
              </w:rPr>
              <w:t>316,301,656.72</w:t>
            </w:r>
          </w:p>
        </w:tc>
      </w:tr>
      <w:tr>
        <w:trPr>
          <w:trHeight w:val="402"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21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316,301,656.72</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center"/>
              <w:rPr>
                <w:rFonts w:ascii="Times New Roman" w:hAnsi="Times New Roman" w:cs="Times New Roman" w:eastAsia="Times New Roman" w:hint="default"/>
                <w:sz w:val="18"/>
                <w:szCs w:val="18"/>
              </w:rPr>
            </w:pPr>
            <w:r>
              <w:rPr>
                <w:rFonts w:ascii="Times New Roman"/>
                <w:sz w:val="18"/>
              </w:rPr>
              <w:t>316,301,656.72</w:t>
            </w:r>
          </w:p>
        </w:tc>
      </w:tr>
      <w:tr>
        <w:trPr>
          <w:trHeight w:val="402"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21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316,301,656.72</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center"/>
              <w:rPr>
                <w:rFonts w:ascii="Times New Roman" w:hAnsi="Times New Roman" w:cs="Times New Roman" w:eastAsia="Times New Roman" w:hint="default"/>
                <w:sz w:val="18"/>
                <w:szCs w:val="18"/>
              </w:rPr>
            </w:pPr>
            <w:r>
              <w:rPr>
                <w:rFonts w:ascii="Times New Roman"/>
                <w:sz w:val="18"/>
              </w:rPr>
              <w:t>316,301,656.72</w:t>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5" w:right="0"/>
              <w:jc w:val="left"/>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持续和非持续第一层次公允价值计量项目市价的确定依据" w:id="353"/>
      <w:bookmarkEnd w:id="35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78" w:firstLine="36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日，本公司及子公司广州御联软件有限公司合计持有腾讯控股（证券代码：</w:t>
      </w:r>
      <w:r>
        <w:rPr>
          <w:rFonts w:ascii="Times New Roman" w:hAnsi="Times New Roman" w:cs="Times New Roman" w:eastAsia="Times New Roman" w:hint="default"/>
        </w:rPr>
        <w:t>HK00700</w:t>
      </w:r>
      <w:r>
        <w:rPr/>
        <w:t>）</w:t>
      </w:r>
      <w:r>
        <w:rPr>
          <w:rFonts w:ascii="Times New Roman" w:hAnsi="Times New Roman" w:cs="Times New Roman" w:eastAsia="Times New Roman" w:hint="default"/>
        </w:rPr>
        <w:t>93.20</w:t>
      </w:r>
      <w:r>
        <w:rPr/>
        <w:t>万股， 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日的收盘价为</w:t>
      </w:r>
      <w:r>
        <w:rPr>
          <w:rFonts w:ascii="Times New Roman" w:hAnsi="Times New Roman" w:cs="Times New Roman" w:eastAsia="Times New Roman" w:hint="default"/>
        </w:rPr>
        <w:t>406.00</w:t>
      </w:r>
      <w:r>
        <w:rPr/>
        <w:t>港元</w:t>
      </w:r>
      <w:r>
        <w:rPr>
          <w:rFonts w:ascii="Times New Roman" w:hAnsi="Times New Roman" w:cs="Times New Roman" w:eastAsia="Times New Roman" w:hint="default"/>
        </w:rPr>
        <w:t>/</w:t>
      </w:r>
      <w:r>
        <w:rPr/>
        <w:t>股，按照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日的汇率折算公允价值为</w:t>
      </w:r>
      <w:r>
        <w:rPr>
          <w:rFonts w:ascii="Times New Roman" w:hAnsi="Times New Roman" w:cs="Times New Roman" w:eastAsia="Times New Roman" w:hint="default"/>
        </w:rPr>
        <w:t>31,630.17</w:t>
      </w:r>
      <w:r>
        <w:rPr/>
        <w:t>万元。</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3、公司本期没有持续和非持续第二层次公允价值计量项目" w:id="354"/>
      <w:bookmarkEnd w:id="354"/>
      <w:r>
        <w:rPr>
          <w:b w:val="0"/>
          <w:bCs w:val="0"/>
        </w:rPr>
      </w:r>
      <w:r>
        <w:rPr>
          <w:rFonts w:ascii="Times New Roman" w:hAnsi="Times New Roman" w:cs="Times New Roman" w:eastAsia="Times New Roman" w:hint="default"/>
        </w:rPr>
        <w:t>3</w:t>
      </w:r>
      <w:r>
        <w:rPr/>
        <w:t>、公司本期没有持续和非持续第二层次公允价值计量项目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公司本期没有持续和非持续第三层次公允价值计量项目" w:id="355"/>
      <w:bookmarkEnd w:id="355"/>
      <w:r>
        <w:rPr>
          <w:b w:val="0"/>
          <w:bCs w:val="0"/>
        </w:rPr>
      </w:r>
      <w:r>
        <w:rPr>
          <w:rFonts w:ascii="Times New Roman" w:hAnsi="Times New Roman" w:cs="Times New Roman" w:eastAsia="Times New Roman" w:hint="default"/>
        </w:rPr>
        <w:t>4</w:t>
      </w:r>
      <w:r>
        <w:rPr/>
        <w:t>、公司本期没有持续和非持续第三层次公允价值计量项目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公司本期没有持续的公允价值计量项目在本期内发生各层级之间转换的情况" w:id="356"/>
      <w:bookmarkEnd w:id="356"/>
      <w:r>
        <w:rPr>
          <w:b w:val="0"/>
          <w:bCs w:val="0"/>
        </w:rPr>
      </w:r>
      <w:r>
        <w:rPr>
          <w:rFonts w:ascii="Times New Roman" w:hAnsi="Times New Roman" w:cs="Times New Roman" w:eastAsia="Times New Roman" w:hint="default"/>
        </w:rPr>
        <w:t>5</w:t>
      </w:r>
      <w:r>
        <w:rPr/>
        <w:t>、公司本期没有持续的公允价值计量项目在本期内发生各层级之间转换的情况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公司本期没有发生估值技术变更" w:id="357"/>
      <w:bookmarkEnd w:id="357"/>
      <w:r>
        <w:rPr>
          <w:b w:val="0"/>
          <w:bCs w:val="0"/>
        </w:rPr>
      </w:r>
      <w:r>
        <w:rPr>
          <w:rFonts w:ascii="Times New Roman" w:hAnsi="Times New Roman" w:cs="Times New Roman" w:eastAsia="Times New Roman" w:hint="default"/>
        </w:rPr>
        <w:t>6</w:t>
      </w:r>
      <w:r>
        <w:rPr/>
        <w:t>、公司本期没有发生估值技术变更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7、公司本期没有不以公允价值计量的金融资产和金融负债的公允价值情况" w:id="358"/>
      <w:bookmarkEnd w:id="358"/>
      <w:r>
        <w:rPr>
          <w:b w:val="0"/>
          <w:bCs w:val="0"/>
        </w:rPr>
      </w:r>
      <w:r>
        <w:rPr>
          <w:rFonts w:ascii="Times New Roman" w:hAnsi="Times New Roman" w:cs="Times New Roman" w:eastAsia="Times New Roman" w:hint="default"/>
        </w:rPr>
        <w:t>7</w:t>
      </w:r>
      <w:r>
        <w:rPr/>
        <w:t>、公司本期没有不以公允价值计量的金融资产和金融负债的公允价值情况</w:t>
      </w:r>
      <w:r>
        <w:rPr>
          <w:b w:val="0"/>
          <w:bCs w:val="0"/>
        </w:rPr>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十二、关联方及关联交易" w:id="359"/>
      <w:bookmarkEnd w:id="359"/>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60"/>
      <w:bookmarkEnd w:id="36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6" w:firstLine="360"/>
        <w:jc w:val="left"/>
      </w:pPr>
      <w:r>
        <w:rPr>
          <w:spacing w:val="-1"/>
        </w:rPr>
        <w:t>本公司无母公司，公司实际控制人为杨文江，其持股比例为</w:t>
      </w:r>
      <w:r>
        <w:rPr>
          <w:rFonts w:ascii="Times New Roman" w:hAnsi="Times New Roman" w:cs="Times New Roman" w:eastAsia="Times New Roman" w:hint="default"/>
          <w:spacing w:val="-1"/>
        </w:rPr>
        <w:t>20.44%</w:t>
      </w:r>
      <w:r>
        <w:rPr>
          <w:spacing w:val="-1"/>
        </w:rPr>
        <w:t>，其中处于质押状态的公司股份为</w:t>
      </w:r>
      <w:r>
        <w:rPr>
          <w:rFonts w:ascii="Times New Roman" w:hAnsi="Times New Roman" w:cs="Times New Roman" w:eastAsia="Times New Roman" w:hint="default"/>
          <w:spacing w:val="-1"/>
        </w:rPr>
        <w:t>136,890,000.00</w:t>
      </w:r>
      <w:r>
        <w:rPr>
          <w:spacing w:val="-1"/>
        </w:rPr>
        <w:t>股，</w:t>
      </w:r>
      <w:r>
        <w:rPr/>
        <w:t> 占其所持公司股份总数的</w:t>
      </w:r>
      <w:r>
        <w:rPr>
          <w:rFonts w:ascii="Times New Roman" w:hAnsi="Times New Roman" w:cs="Times New Roman" w:eastAsia="Times New Roman" w:hint="default"/>
        </w:rPr>
        <w:t>88.00%</w:t>
      </w:r>
      <w:r>
        <w:rPr/>
        <w:t>，占公司总股本的</w:t>
      </w:r>
      <w:r>
        <w:rPr>
          <w:rFonts w:ascii="Times New Roman" w:hAnsi="Times New Roman" w:cs="Times New Roman" w:eastAsia="Times New Roman" w:hint="default"/>
        </w:rPr>
        <w:t>17.98%</w:t>
      </w:r>
      <w:r>
        <w:rPr/>
        <w:t>。</w:t>
      </w:r>
    </w:p>
    <w:p>
      <w:pPr>
        <w:pStyle w:val="BodyText"/>
        <w:spacing w:line="240" w:lineRule="auto" w:before="53"/>
        <w:ind w:left="1494" w:right="0"/>
        <w:jc w:val="left"/>
      </w:pPr>
      <w:r>
        <w:rPr/>
        <w:t>本企业最终控制方是杨文江。</w:t>
      </w:r>
    </w:p>
    <w:p>
      <w:pPr>
        <w:spacing w:line="240" w:lineRule="auto" w:before="11"/>
        <w:rPr>
          <w:rFonts w:ascii="宋体" w:hAnsi="宋体" w:cs="宋体" w:eastAsia="宋体" w:hint="default"/>
          <w:sz w:val="26"/>
          <w:szCs w:val="26"/>
        </w:rPr>
      </w:pPr>
    </w:p>
    <w:p>
      <w:pPr>
        <w:spacing w:line="547" w:lineRule="auto" w:before="0"/>
        <w:ind w:left="1133" w:right="4993" w:firstLine="0"/>
        <w:jc w:val="left"/>
        <w:rPr>
          <w:rFonts w:ascii="宋体" w:hAnsi="宋体" w:cs="宋体" w:eastAsia="宋体" w:hint="default"/>
          <w:sz w:val="21"/>
          <w:szCs w:val="21"/>
        </w:rPr>
      </w:pPr>
      <w:bookmarkStart w:name="2、本企业的子公司情况" w:id="361"/>
      <w:bookmarkEnd w:id="3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62"/>
      <w:bookmarkEnd w:id="36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right="2293"/>
        <w:jc w:val="left"/>
      </w:pPr>
      <w:r>
        <w:rPr/>
        <w:t>本企业重要的合营或联营企业详见附注财务报告九、在其他主体中的权益。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本公司参股的企业</w:t>
            </w:r>
          </w:p>
        </w:tc>
      </w:tr>
    </w:tbl>
    <w:p>
      <w:pPr>
        <w:spacing w:line="240" w:lineRule="auto" w:before="6"/>
        <w:rPr>
          <w:rFonts w:ascii="宋体" w:hAnsi="宋体" w:cs="宋体" w:eastAsia="宋体" w:hint="default"/>
          <w:sz w:val="20"/>
          <w:szCs w:val="20"/>
        </w:rPr>
      </w:pPr>
    </w:p>
    <w:p>
      <w:pPr>
        <w:pStyle w:val="Heading3"/>
        <w:spacing w:line="240" w:lineRule="auto" w:before="35"/>
        <w:ind w:left="1134" w:right="0"/>
        <w:jc w:val="left"/>
        <w:rPr>
          <w:b w:val="0"/>
          <w:bCs w:val="0"/>
        </w:rPr>
      </w:pPr>
      <w:bookmarkStart w:name="4、其他关联方情况" w:id="363"/>
      <w:bookmarkEnd w:id="36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本公司控股股东亲属控制的企业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广州御融通电子设备开发有限公司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广州七一一电子信息科技有限公司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深圳安易达商务汽车服务有限公司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本公司控股股东亲属控制的企业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本公司控股股东控股公司的控股子公司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周用芳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5、关联交易情况" w:id="364"/>
      <w:bookmarkEnd w:id="36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365"/>
      <w:bookmarkEnd w:id="36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89" w:type="dxa"/>
        <w:tblLayout w:type="fixed"/>
        <w:tblCellMar>
          <w:top w:w="0" w:type="dxa"/>
          <w:left w:w="0" w:type="dxa"/>
          <w:bottom w:w="0" w:type="dxa"/>
          <w:right w:w="0" w:type="dxa"/>
        </w:tblCellMar>
        <w:tblLook w:val="01E0"/>
      </w:tblPr>
      <w:tblGrid>
        <w:gridCol w:w="2700"/>
        <w:gridCol w:w="1260"/>
        <w:gridCol w:w="1260"/>
        <w:gridCol w:w="1440"/>
        <w:gridCol w:w="1743"/>
        <w:gridCol w:w="1706"/>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广州基准机械电子科技有限公司</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-3,426,571.47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4,344,606.70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广州基准机械电子科技有限公司</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-2,027,292.17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12,050,075.82</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89,102.57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106,324.75</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68,638,021.05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64,179,316.00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6,144,817.59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1,087,979.16</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6,996,519.81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1,368,661.46</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1,482,855.29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982,592.50</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89" w:type="dxa"/>
        <w:tblLayout w:type="fixed"/>
        <w:tblCellMar>
          <w:top w:w="0" w:type="dxa"/>
          <w:left w:w="0" w:type="dxa"/>
          <w:bottom w:w="0" w:type="dxa"/>
          <w:right w:w="0" w:type="dxa"/>
        </w:tblCellMar>
        <w:tblLook w:val="01E0"/>
      </w:tblPr>
      <w:tblGrid>
        <w:gridCol w:w="2700"/>
        <w:gridCol w:w="2496"/>
        <w:gridCol w:w="2260"/>
        <w:gridCol w:w="2652"/>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5" w:right="0"/>
              <w:jc w:val="left"/>
              <w:rPr>
                <w:rFonts w:ascii="Times New Roman" w:hAnsi="Times New Roman" w:cs="Times New Roman" w:eastAsia="Times New Roman" w:hint="default"/>
                <w:sz w:val="18"/>
                <w:szCs w:val="18"/>
              </w:rPr>
            </w:pPr>
            <w:r>
              <w:rPr>
                <w:rFonts w:ascii="Times New Roman"/>
                <w:sz w:val="18"/>
              </w:rPr>
              <w:t>210,444.44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购销商品、提供和接受劳务的关联交易说明</w:t>
      </w:r>
    </w:p>
    <w:p>
      <w:pPr>
        <w:pStyle w:val="BodyText"/>
        <w:spacing w:line="300" w:lineRule="auto" w:before="115"/>
        <w:ind w:left="1134" w:right="1122" w:firstLine="360"/>
        <w:jc w:val="left"/>
      </w:pPr>
      <w:r>
        <w:rPr>
          <w:rFonts w:ascii="Times New Roman" w:hAnsi="Times New Roman" w:cs="Times New Roman" w:eastAsia="Times New Roman" w:hint="default"/>
        </w:rPr>
        <w:t>*</w:t>
      </w:r>
      <w:r>
        <w:rPr/>
        <w:t>本期公司与广州基准机械电子科技有限公司终止合作，双方达成退货协议，将未结算的物料退还广州基准机械电子科 技有限公司。</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本期无关联受托管理/承包及委托管理/出包情况。" w:id="366"/>
      <w:bookmarkEnd w:id="366"/>
      <w:r>
        <w:rPr>
          <w:b w:val="0"/>
          <w:bCs w:val="0"/>
        </w:rPr>
      </w:r>
      <w:r>
        <w:rPr/>
        <w:t>（</w:t>
      </w:r>
      <w:r>
        <w:rPr>
          <w:rFonts w:ascii="Times New Roman" w:hAnsi="Times New Roman" w:cs="Times New Roman" w:eastAsia="Times New Roman" w:hint="default"/>
        </w:rPr>
        <w:t>2</w:t>
      </w:r>
      <w:r>
        <w:rPr/>
        <w:t>）本期无关联受托管理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3）关联租赁情况" w:id="367"/>
      <w:bookmarkEnd w:id="36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本公司作为出租方：</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949" w:type="dxa"/>
        <w:tblLayout w:type="fixed"/>
        <w:tblCellMar>
          <w:top w:w="0" w:type="dxa"/>
          <w:left w:w="0" w:type="dxa"/>
          <w:bottom w:w="0" w:type="dxa"/>
          <w:right w:w="0" w:type="dxa"/>
        </w:tblCellMar>
        <w:tblLook w:val="01E0"/>
      </w:tblPr>
      <w:tblGrid>
        <w:gridCol w:w="3240"/>
        <w:gridCol w:w="1722"/>
        <w:gridCol w:w="2393"/>
        <w:gridCol w:w="2393"/>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397,676.75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447,120.87</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汽车租赁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785,042.73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1,208,119.67</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114,285.71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1,099.78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72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180,938.17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关联租赁情况说明</w:t>
      </w:r>
    </w:p>
    <w:p>
      <w:pPr>
        <w:pStyle w:val="BodyText"/>
        <w:spacing w:line="300" w:lineRule="auto" w:before="115"/>
        <w:ind w:right="1023" w:firstLine="360"/>
        <w:jc w:val="left"/>
      </w:pPr>
      <w:r>
        <w:rPr/>
        <w:t>①</w:t>
      </w:r>
      <w:r>
        <w:rPr>
          <w:rFonts w:ascii="Times New Roman" w:hAnsi="Times New Roman" w:cs="Times New Roman" w:eastAsia="Times New Roman" w:hint="default"/>
        </w:rPr>
        <w:t>2017</w:t>
      </w:r>
      <w:r>
        <w:rPr/>
        <w:t>年子公司广州御银自动柜员机技术有限公司与广州智萃电子科技有限公司（简称</w:t>
      </w:r>
      <w:r>
        <w:rPr>
          <w:rFonts w:ascii="Times New Roman" w:hAnsi="Times New Roman" w:cs="Times New Roman" w:eastAsia="Times New Roman" w:hint="default"/>
        </w:rPr>
        <w:t>“</w:t>
      </w:r>
      <w:r>
        <w:rPr/>
        <w:t>智萃电子</w:t>
      </w:r>
      <w:r>
        <w:rPr>
          <w:rFonts w:ascii="Times New Roman" w:hAnsi="Times New Roman" w:cs="Times New Roman" w:eastAsia="Times New Roman" w:hint="default"/>
        </w:rPr>
        <w:t>”</w:t>
      </w:r>
      <w:r>
        <w:rPr/>
        <w:t>）签订了房屋租赁合 </w:t>
      </w:r>
      <w:r>
        <w:rPr>
          <w:spacing w:val="-2"/>
        </w:rPr>
        <w:t>同，将坐落在萝岗区瑞发路</w:t>
      </w:r>
      <w:r>
        <w:rPr>
          <w:rFonts w:ascii="Times New Roman" w:hAnsi="Times New Roman" w:cs="Times New Roman" w:eastAsia="Times New Roman" w:hint="default"/>
          <w:spacing w:val="-2"/>
        </w:rPr>
        <w:t>12</w:t>
      </w:r>
      <w:r>
        <w:rPr>
          <w:spacing w:val="-2"/>
        </w:rPr>
        <w:t>号自编四栋第四层的部分房地产出租给智萃电子用于生产和仓储，出租的房屋建筑面积共</w:t>
      </w:r>
      <w:r>
        <w:rPr>
          <w:rFonts w:ascii="Times New Roman" w:hAnsi="Times New Roman" w:cs="Times New Roman" w:eastAsia="Times New Roman" w:hint="default"/>
          <w:spacing w:val="-2"/>
        </w:rPr>
        <w:t>1300</w:t>
      </w:r>
      <w:r>
        <w:rPr>
          <w:rFonts w:ascii="Times New Roman" w:hAnsi="Times New Roman" w:cs="Times New Roman" w:eastAsia="Times New Roman" w:hint="default"/>
          <w:spacing w:val="-13"/>
        </w:rPr>
        <w:t> </w:t>
      </w:r>
      <w:r>
        <w:rPr/>
        <w:t>平方米，租赁期限从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日，租金为</w:t>
      </w:r>
      <w:r>
        <w:rPr>
          <w:rFonts w:ascii="Times New Roman" w:hAnsi="Times New Roman" w:cs="Times New Roman" w:eastAsia="Times New Roman" w:hint="default"/>
        </w:rPr>
        <w:t>26,000.00</w:t>
      </w:r>
      <w:r>
        <w:rPr/>
        <w:t>元</w:t>
      </w:r>
      <w:r>
        <w:rPr>
          <w:rFonts w:ascii="Times New Roman" w:hAnsi="Times New Roman" w:cs="Times New Roman" w:eastAsia="Times New Roman" w:hint="default"/>
        </w:rPr>
        <w:t>/</w:t>
      </w:r>
      <w:r>
        <w:rPr/>
        <w:t>月（含税），物业管理费</w:t>
      </w:r>
      <w:r>
        <w:rPr>
          <w:rFonts w:ascii="Times New Roman" w:hAnsi="Times New Roman" w:cs="Times New Roman" w:eastAsia="Times New Roman" w:hint="default"/>
        </w:rPr>
        <w:t>6,500.00</w:t>
      </w:r>
      <w:r>
        <w:rPr/>
        <w:t>元</w:t>
      </w:r>
      <w:r>
        <w:rPr>
          <w:rFonts w:ascii="Times New Roman" w:hAnsi="Times New Roman" w:cs="Times New Roman" w:eastAsia="Times New Roman" w:hint="default"/>
        </w:rPr>
        <w:t>/</w:t>
      </w:r>
      <w:r>
        <w:rPr/>
        <w:t>月（含税）， 水电费根据实际使用情况结算。</w:t>
      </w:r>
    </w:p>
    <w:p>
      <w:pPr>
        <w:pStyle w:val="BodyText"/>
        <w:spacing w:line="300" w:lineRule="auto" w:before="31"/>
        <w:ind w:right="1130" w:firstLine="360"/>
        <w:jc w:val="both"/>
      </w:pPr>
      <w:r>
        <w:rPr>
          <w:spacing w:val="-2"/>
        </w:rPr>
        <w:t>②</w:t>
      </w:r>
      <w:r>
        <w:rPr>
          <w:rFonts w:ascii="Times New Roman" w:hAnsi="Times New Roman" w:cs="Times New Roman" w:eastAsia="Times New Roman" w:hint="default"/>
          <w:spacing w:val="-2"/>
        </w:rPr>
        <w:t>2017</w:t>
      </w:r>
      <w:r>
        <w:rPr>
          <w:spacing w:val="-2"/>
        </w:rPr>
        <w:t>年本公司与佛山盛普达汽车租赁有限公司（简称</w:t>
      </w:r>
      <w:r>
        <w:rPr>
          <w:rFonts w:ascii="Times New Roman" w:hAnsi="Times New Roman" w:cs="Times New Roman" w:eastAsia="Times New Roman" w:hint="default"/>
          <w:spacing w:val="-2"/>
        </w:rPr>
        <w:t>“</w:t>
      </w:r>
      <w:r>
        <w:rPr>
          <w:spacing w:val="-2"/>
        </w:rPr>
        <w:t>佛山盛普达</w:t>
      </w:r>
      <w:r>
        <w:rPr>
          <w:rFonts w:ascii="Times New Roman" w:hAnsi="Times New Roman" w:cs="Times New Roman" w:eastAsia="Times New Roman" w:hint="default"/>
          <w:spacing w:val="-2"/>
        </w:rPr>
        <w:t>”</w:t>
      </w:r>
      <w:r>
        <w:rPr>
          <w:spacing w:val="-2"/>
        </w:rPr>
        <w:t>）签订了一份汽车租赁合同，将</w:t>
      </w:r>
      <w:r>
        <w:rPr>
          <w:rFonts w:ascii="Times New Roman" w:hAnsi="Times New Roman" w:cs="Times New Roman" w:eastAsia="Times New Roman" w:hint="default"/>
          <w:spacing w:val="-2"/>
        </w:rPr>
        <w:t>19</w:t>
      </w:r>
      <w:r>
        <w:rPr>
          <w:spacing w:val="-2"/>
        </w:rPr>
        <w:t>辆汽车出租给佛</w:t>
      </w:r>
      <w:r>
        <w:rPr/>
        <w:t> 山盛普达，租赁期从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日止，租金为</w:t>
      </w:r>
      <w:r>
        <w:rPr>
          <w:rFonts w:ascii="Times New Roman" w:hAnsi="Times New Roman" w:cs="Times New Roman" w:eastAsia="Times New Roman" w:hint="default"/>
        </w:rPr>
        <w:t>5,500.00</w:t>
      </w:r>
      <w:r>
        <w:rPr/>
        <w:t>元</w:t>
      </w:r>
      <w:r>
        <w:rPr>
          <w:rFonts w:ascii="Times New Roman" w:hAnsi="Times New Roman" w:cs="Times New Roman" w:eastAsia="Times New Roman" w:hint="default"/>
        </w:rPr>
        <w:t>/</w:t>
      </w:r>
      <w:r>
        <w:rPr/>
        <w:t>辆</w:t>
      </w:r>
      <w:r>
        <w:rPr>
          <w:rFonts w:ascii="Times New Roman" w:hAnsi="Times New Roman" w:cs="Times New Roman" w:eastAsia="Times New Roman" w:hint="default"/>
        </w:rPr>
        <w:t>/</w:t>
      </w:r>
      <w:r>
        <w:rPr/>
        <w:t>月（含税），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月实际出租</w:t>
      </w:r>
      <w:r>
        <w:rPr>
          <w:rFonts w:ascii="Times New Roman" w:hAnsi="Times New Roman" w:cs="Times New Roman" w:eastAsia="Times New Roman" w:hint="default"/>
        </w:rPr>
        <w:t>19</w:t>
      </w:r>
      <w:r>
        <w:rPr/>
        <w:t>辆，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月实际出租</w:t>
      </w:r>
      <w:r>
        <w:rPr>
          <w:rFonts w:ascii="Times New Roman" w:hAnsi="Times New Roman" w:cs="Times New Roman" w:eastAsia="Times New Roman" w:hint="default"/>
          <w:spacing w:val="-1"/>
        </w:rPr>
        <w:t>17</w:t>
      </w:r>
      <w:r>
        <w:rPr>
          <w:spacing w:val="-1"/>
        </w:rPr>
        <w:t>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4-5</w:t>
      </w:r>
      <w:r>
        <w:rPr>
          <w:spacing w:val="-1"/>
        </w:rPr>
        <w:t>月实际出租</w:t>
      </w:r>
      <w:r>
        <w:rPr>
          <w:rFonts w:ascii="Times New Roman" w:hAnsi="Times New Roman" w:cs="Times New Roman" w:eastAsia="Times New Roman" w:hint="default"/>
          <w:spacing w:val="-1"/>
        </w:rPr>
        <w:t>15</w:t>
      </w:r>
      <w:r>
        <w:rPr>
          <w:spacing w:val="-1"/>
        </w:rPr>
        <w:t>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月实际出租</w:t>
      </w:r>
      <w:r>
        <w:rPr>
          <w:rFonts w:ascii="Times New Roman" w:hAnsi="Times New Roman" w:cs="Times New Roman" w:eastAsia="Times New Roman" w:hint="default"/>
          <w:spacing w:val="-1"/>
        </w:rPr>
        <w:t>14</w:t>
      </w:r>
      <w:r>
        <w:rPr>
          <w:spacing w:val="-1"/>
        </w:rPr>
        <w:t>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月实际出租</w:t>
      </w:r>
      <w:r>
        <w:rPr>
          <w:rFonts w:ascii="Times New Roman" w:hAnsi="Times New Roman" w:cs="Times New Roman" w:eastAsia="Times New Roman" w:hint="default"/>
          <w:spacing w:val="-1"/>
        </w:rPr>
        <w:t>13</w:t>
      </w:r>
      <w:r>
        <w:rPr>
          <w:spacing w:val="-1"/>
        </w:rPr>
        <w:t>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8-12</w:t>
      </w:r>
      <w:r>
        <w:rPr>
          <w:spacing w:val="-1"/>
        </w:rPr>
        <w:t>月实</w:t>
      </w:r>
      <w:r>
        <w:rPr>
          <w:spacing w:val="-39"/>
        </w:rPr>
        <w:t> </w:t>
      </w:r>
      <w:r>
        <w:rPr/>
        <w:t>际出租</w:t>
      </w:r>
      <w:r>
        <w:rPr>
          <w:rFonts w:ascii="Times New Roman" w:hAnsi="Times New Roman" w:cs="Times New Roman" w:eastAsia="Times New Roman" w:hint="default"/>
        </w:rPr>
        <w:t>11</w:t>
      </w:r>
      <w:r>
        <w:rPr/>
        <w:t>辆。</w:t>
      </w:r>
    </w:p>
    <w:p>
      <w:pPr>
        <w:pStyle w:val="BodyText"/>
        <w:spacing w:line="300" w:lineRule="auto" w:before="13"/>
        <w:ind w:right="1132" w:firstLine="360"/>
        <w:jc w:val="both"/>
      </w:pPr>
      <w:r>
        <w:rPr>
          <w:spacing w:val="-2"/>
        </w:rPr>
        <w:t>③</w:t>
      </w:r>
      <w:r>
        <w:rPr>
          <w:rFonts w:ascii="Times New Roman" w:hAnsi="Times New Roman" w:cs="Times New Roman" w:eastAsia="Times New Roman" w:hint="default"/>
          <w:spacing w:val="-2"/>
        </w:rPr>
        <w:t>2017</w:t>
      </w:r>
      <w:r>
        <w:rPr>
          <w:spacing w:val="-2"/>
        </w:rPr>
        <w:t>年公司与北京二加一汽车租赁有限公司（简称</w:t>
      </w:r>
      <w:r>
        <w:rPr>
          <w:rFonts w:ascii="Times New Roman" w:hAnsi="Times New Roman" w:cs="Times New Roman" w:eastAsia="Times New Roman" w:hint="default"/>
          <w:spacing w:val="-2"/>
        </w:rPr>
        <w:t>“</w:t>
      </w:r>
      <w:r>
        <w:rPr>
          <w:spacing w:val="-2"/>
        </w:rPr>
        <w:t>北京二加一</w:t>
      </w:r>
      <w:r>
        <w:rPr>
          <w:rFonts w:ascii="Times New Roman" w:hAnsi="Times New Roman" w:cs="Times New Roman" w:eastAsia="Times New Roman" w:hint="default"/>
          <w:spacing w:val="-2"/>
        </w:rPr>
        <w:t>”</w:t>
      </w:r>
      <w:r>
        <w:rPr>
          <w:spacing w:val="-2"/>
        </w:rPr>
        <w:t>）签订了房屋租赁合同，将北京市朝阳区八里庄北里</w:t>
      </w:r>
      <w:r>
        <w:rPr/>
        <w:t> </w:t>
      </w:r>
      <w:r>
        <w:rPr>
          <w:rFonts w:ascii="Times New Roman" w:hAnsi="Times New Roman" w:cs="Times New Roman" w:eastAsia="Times New Roman" w:hint="default"/>
          <w:spacing w:val="-2"/>
        </w:rPr>
        <w:t>129</w:t>
      </w:r>
      <w:r>
        <w:rPr>
          <w:spacing w:val="-2"/>
        </w:rPr>
        <w:t>号院</w:t>
      </w:r>
      <w:r>
        <w:rPr>
          <w:rFonts w:ascii="Times New Roman" w:hAnsi="Times New Roman" w:cs="Times New Roman" w:eastAsia="Times New Roman" w:hint="default"/>
          <w:spacing w:val="-2"/>
        </w:rPr>
        <w:t>9</w:t>
      </w:r>
      <w:r>
        <w:rPr>
          <w:spacing w:val="-2"/>
        </w:rPr>
        <w:t>号楼</w:t>
      </w:r>
      <w:r>
        <w:rPr>
          <w:rFonts w:ascii="Times New Roman" w:hAnsi="Times New Roman" w:cs="Times New Roman" w:eastAsia="Times New Roman" w:hint="default"/>
          <w:spacing w:val="-2"/>
        </w:rPr>
        <w:t>5</w:t>
      </w:r>
      <w:r>
        <w:rPr>
          <w:spacing w:val="-2"/>
        </w:rPr>
        <w:t>层</w:t>
      </w:r>
      <w:r>
        <w:rPr>
          <w:rFonts w:ascii="Times New Roman" w:hAnsi="Times New Roman" w:cs="Times New Roman" w:eastAsia="Times New Roman" w:hint="default"/>
          <w:spacing w:val="-2"/>
        </w:rPr>
        <w:t>3</w:t>
      </w:r>
      <w:r>
        <w:rPr>
          <w:spacing w:val="-2"/>
        </w:rPr>
        <w:t>单元</w:t>
      </w:r>
      <w:r>
        <w:rPr>
          <w:rFonts w:ascii="Times New Roman" w:hAnsi="Times New Roman" w:cs="Times New Roman" w:eastAsia="Times New Roman" w:hint="default"/>
          <w:spacing w:val="-2"/>
        </w:rPr>
        <w:t>502</w:t>
      </w:r>
      <w:r>
        <w:rPr>
          <w:spacing w:val="-2"/>
        </w:rPr>
        <w:t>的房屋出租给北京二加一，出租的房屋建筑面积共</w:t>
      </w:r>
      <w:r>
        <w:rPr>
          <w:rFonts w:ascii="Times New Roman" w:hAnsi="Times New Roman" w:cs="Times New Roman" w:eastAsia="Times New Roman" w:hint="default"/>
          <w:spacing w:val="-2"/>
        </w:rPr>
        <w:t>232.36</w:t>
      </w:r>
      <w:r>
        <w:rPr>
          <w:spacing w:val="-2"/>
        </w:rPr>
        <w:t>平方米，租赁期限从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日，租金为</w:t>
      </w:r>
      <w:r>
        <w:rPr>
          <w:rFonts w:ascii="Times New Roman" w:hAnsi="Times New Roman" w:cs="Times New Roman" w:eastAsia="Times New Roman" w:hint="default"/>
        </w:rPr>
        <w:t>40,000.00</w:t>
      </w:r>
      <w:r>
        <w:rPr/>
        <w:t>元</w:t>
      </w:r>
      <w:r>
        <w:rPr>
          <w:rFonts w:ascii="Times New Roman" w:hAnsi="Times New Roman" w:cs="Times New Roman" w:eastAsia="Times New Roman" w:hint="default"/>
        </w:rPr>
        <w:t>/</w:t>
      </w:r>
      <w:r>
        <w:rPr/>
        <w:t>月（含税）。另外，公司与北京二加一签订了房屋租赁合同终止协议书，提前终止房屋租 赁，</w:t>
      </w:r>
      <w:r>
        <w:rPr>
          <w:rFonts w:ascii="Times New Roman" w:hAnsi="Times New Roman" w:cs="Times New Roman" w:eastAsia="Times New Roman" w:hint="default"/>
        </w:rPr>
        <w:t>2017</w:t>
      </w:r>
      <w:r>
        <w:rPr/>
        <w:t>年北京二加一实际租赁房屋共</w:t>
      </w:r>
      <w:r>
        <w:rPr>
          <w:rFonts w:ascii="Times New Roman" w:hAnsi="Times New Roman" w:cs="Times New Roman" w:eastAsia="Times New Roman" w:hint="default"/>
        </w:rPr>
        <w:t>3</w:t>
      </w:r>
      <w:r>
        <w:rPr/>
        <w:t>个月。</w:t>
      </w:r>
    </w:p>
    <w:p>
      <w:pPr>
        <w:pStyle w:val="BodyText"/>
        <w:spacing w:line="300" w:lineRule="auto" w:before="13"/>
        <w:ind w:right="1168" w:firstLine="360"/>
        <w:jc w:val="left"/>
      </w:pPr>
      <w:r>
        <w:rPr/>
        <w:t>④</w:t>
      </w:r>
      <w:r>
        <w:rPr>
          <w:rFonts w:ascii="Times New Roman" w:hAnsi="Times New Roman" w:cs="Times New Roman" w:eastAsia="Times New Roman" w:hint="default"/>
        </w:rPr>
        <w:t>2017</w:t>
      </w:r>
      <w:r>
        <w:rPr/>
        <w:t>年本公司与广州杰萃投资有限公司（简称</w:t>
      </w:r>
      <w:r>
        <w:rPr>
          <w:rFonts w:ascii="Times New Roman" w:hAnsi="Times New Roman" w:cs="Times New Roman" w:eastAsia="Times New Roman" w:hint="default"/>
        </w:rPr>
        <w:t>“</w:t>
      </w:r>
      <w:r>
        <w:rPr/>
        <w:t>杰萃</w:t>
      </w:r>
      <w:r>
        <w:rPr>
          <w:rFonts w:ascii="Times New Roman" w:hAnsi="Times New Roman" w:cs="Times New Roman" w:eastAsia="Times New Roman" w:hint="default"/>
        </w:rPr>
        <w:t>”</w:t>
      </w:r>
      <w:r>
        <w:rPr/>
        <w:t>）签订了房屋租赁合同，将位于广州市天河区高唐路</w:t>
      </w:r>
      <w:r>
        <w:rPr>
          <w:rFonts w:ascii="Times New Roman" w:hAnsi="Times New Roman" w:cs="Times New Roman" w:eastAsia="Times New Roman" w:hint="default"/>
        </w:rPr>
        <w:t>234</w:t>
      </w:r>
      <w:r>
        <w:rPr/>
        <w:t>号</w:t>
      </w:r>
      <w:r>
        <w:rPr>
          <w:rFonts w:ascii="Times New Roman" w:hAnsi="Times New Roman" w:cs="Times New Roman" w:eastAsia="Times New Roman" w:hint="default"/>
        </w:rPr>
        <w:t>801 </w:t>
      </w:r>
      <w:r>
        <w:rPr/>
        <w:t>房的房屋出租给杰萃，出租的房屋建筑面积共</w:t>
      </w:r>
      <w:r>
        <w:rPr>
          <w:rFonts w:ascii="Times New Roman" w:hAnsi="Times New Roman" w:cs="Times New Roman" w:eastAsia="Times New Roman" w:hint="default"/>
        </w:rPr>
        <w:t>313.26</w:t>
      </w:r>
      <w:r>
        <w:rPr/>
        <w:t>平方米，租赁期限从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日，其中装修免租 期</w:t>
      </w:r>
      <w:r>
        <w:rPr>
          <w:rFonts w:ascii="Times New Roman" w:hAnsi="Times New Roman" w:cs="Times New Roman" w:eastAsia="Times New Roman" w:hint="default"/>
        </w:rPr>
        <w:t>3</w:t>
      </w:r>
      <w:r>
        <w:rPr/>
        <w:t>个月，免租期内不需支付租赁费但需缴纳水电费，租金为</w:t>
      </w:r>
      <w:r>
        <w:rPr>
          <w:rFonts w:ascii="Times New Roman" w:hAnsi="Times New Roman" w:cs="Times New Roman" w:eastAsia="Times New Roman" w:hint="default"/>
        </w:rPr>
        <w:t>21,928.00</w:t>
      </w:r>
      <w:r>
        <w:rPr/>
        <w:t>元</w:t>
      </w:r>
      <w:r>
        <w:rPr>
          <w:rFonts w:ascii="Times New Roman" w:hAnsi="Times New Roman" w:cs="Times New Roman" w:eastAsia="Times New Roman" w:hint="default"/>
        </w:rPr>
        <w:t>/</w:t>
      </w:r>
      <w:r>
        <w:rPr/>
        <w:t>月（含税），水电费根据实际使用情况结算。</w:t>
      </w:r>
    </w:p>
    <w:p>
      <w:pPr>
        <w:pStyle w:val="BodyText"/>
        <w:spacing w:line="240" w:lineRule="auto" w:before="13"/>
        <w:ind w:left="1493" w:right="0"/>
        <w:jc w:val="left"/>
      </w:pPr>
      <w:r>
        <w:rPr/>
        <w:t>⑤</w:t>
      </w:r>
      <w:r>
        <w:rPr>
          <w:rFonts w:ascii="Times New Roman" w:hAnsi="Times New Roman" w:cs="Times New Roman" w:eastAsia="Times New Roman" w:hint="default"/>
        </w:rPr>
        <w:t>2017</w:t>
      </w:r>
      <w:r>
        <w:rPr/>
        <w:t>年本公司与广州青创科技企业孵化器有限公司（简称</w:t>
      </w:r>
      <w:r>
        <w:rPr>
          <w:rFonts w:ascii="Times New Roman" w:hAnsi="Times New Roman" w:cs="Times New Roman" w:eastAsia="Times New Roman" w:hint="default"/>
        </w:rPr>
        <w:t>“</w:t>
      </w:r>
      <w:r>
        <w:rPr/>
        <w:t>青创科技</w:t>
      </w:r>
      <w:r>
        <w:rPr>
          <w:rFonts w:ascii="Times New Roman" w:hAnsi="Times New Roman" w:cs="Times New Roman" w:eastAsia="Times New Roman" w:hint="default"/>
        </w:rPr>
        <w:t>”</w:t>
      </w:r>
      <w:r>
        <w:rPr/>
        <w:t>）签订了房屋租赁合同，将坐落在广州市高唐路</w:t>
      </w:r>
    </w:p>
    <w:p>
      <w:pPr>
        <w:pStyle w:val="BodyText"/>
        <w:spacing w:line="240" w:lineRule="auto" w:before="63"/>
        <w:ind w:right="0"/>
        <w:jc w:val="left"/>
      </w:pPr>
      <w:r>
        <w:rPr>
          <w:rFonts w:ascii="Times New Roman" w:hAnsi="Times New Roman" w:cs="Times New Roman" w:eastAsia="Times New Roman" w:hint="default"/>
        </w:rPr>
        <w:t>234</w:t>
      </w:r>
      <w:r>
        <w:rPr/>
        <w:t>号</w:t>
      </w:r>
      <w:r>
        <w:rPr>
          <w:rFonts w:ascii="Times New Roman" w:hAnsi="Times New Roman" w:cs="Times New Roman" w:eastAsia="Times New Roman" w:hint="default"/>
        </w:rPr>
        <w:t>A1</w:t>
      </w:r>
      <w:r>
        <w:rPr/>
        <w:t>栋四楼整层的房屋出租给青创科技，出租的房屋建筑面积共</w:t>
      </w:r>
      <w:r>
        <w:rPr>
          <w:rFonts w:ascii="Times New Roman" w:hAnsi="Times New Roman" w:cs="Times New Roman" w:eastAsia="Times New Roman" w:hint="default"/>
        </w:rPr>
        <w:t>634.74</w:t>
      </w:r>
      <w:r>
        <w:rPr/>
        <w:t>平方米，租赁期限从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3</w:t>
      </w:r>
      <w:r>
        <w:rPr/>
        <w:t>月</w:t>
      </w:r>
    </w:p>
    <w:p>
      <w:pPr>
        <w:pStyle w:val="BodyText"/>
        <w:spacing w:line="300" w:lineRule="auto" w:before="63"/>
        <w:ind w:right="0"/>
        <w:jc w:val="left"/>
      </w:pPr>
      <w:r>
        <w:rPr>
          <w:rFonts w:ascii="Times New Roman" w:hAnsi="Times New Roman" w:cs="Times New Roman" w:eastAsia="Times New Roman" w:hint="default"/>
          <w:spacing w:val="-1"/>
        </w:rPr>
        <w:t>16</w:t>
      </w:r>
      <w:r>
        <w:rPr>
          <w:spacing w:val="-1"/>
        </w:rPr>
        <w:t>日，其中装修免租期共</w:t>
      </w:r>
      <w:r>
        <w:rPr>
          <w:rFonts w:ascii="Times New Roman" w:hAnsi="Times New Roman" w:cs="Times New Roman" w:eastAsia="Times New Roman" w:hint="default"/>
          <w:spacing w:val="-1"/>
        </w:rPr>
        <w:t>6</w:t>
      </w:r>
      <w:r>
        <w:rPr>
          <w:spacing w:val="-1"/>
        </w:rPr>
        <w:t>个月，免租期内不需支付租赁费但需缴纳水电费，第一年租金为</w:t>
      </w:r>
      <w:r>
        <w:rPr>
          <w:rFonts w:ascii="Times New Roman" w:hAnsi="Times New Roman" w:cs="Times New Roman" w:eastAsia="Times New Roman" w:hint="default"/>
          <w:spacing w:val="-1"/>
        </w:rPr>
        <w:t>44,431.80</w:t>
      </w:r>
      <w:r>
        <w:rPr>
          <w:spacing w:val="-1"/>
        </w:rPr>
        <w:t>元</w:t>
      </w:r>
      <w:r>
        <w:rPr>
          <w:rFonts w:ascii="Times New Roman" w:hAnsi="Times New Roman" w:cs="Times New Roman" w:eastAsia="Times New Roman" w:hint="default"/>
          <w:spacing w:val="-1"/>
        </w:rPr>
        <w:t>/</w:t>
      </w:r>
      <w:r>
        <w:rPr>
          <w:spacing w:val="-1"/>
        </w:rPr>
        <w:t>月（含税），第二年</w:t>
      </w:r>
      <w:r>
        <w:rPr>
          <w:spacing w:val="-79"/>
        </w:rPr>
        <w:t> </w:t>
      </w:r>
      <w:r>
        <w:rPr>
          <w:spacing w:val="-79"/>
        </w:rPr>
      </w:r>
      <w:r>
        <w:rPr/>
        <w:t>起租金在上一年的基础上递增</w:t>
      </w:r>
      <w:r>
        <w:rPr>
          <w:rFonts w:ascii="Times New Roman" w:hAnsi="Times New Roman" w:cs="Times New Roman" w:eastAsia="Times New Roman" w:hint="default"/>
        </w:rPr>
        <w:t>8%</w:t>
      </w:r>
      <w:r>
        <w:rPr/>
        <w:t>，水电费根据实际使用情况结算。</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关联担保情况" w:id="368"/>
      <w:bookmarkEnd w:id="36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before="44"/>
        <w:ind w:left="1134" w:right="-20"/>
        <w:jc w:val="left"/>
      </w:pPr>
      <w:r>
        <w:rPr/>
        <w:t>本报告期不存在本公司为关联方提供的担保事项；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1134" w:right="8952"/>
        <w:jc w:val="left"/>
      </w:pPr>
      <w:r>
        <w:rPr/>
        <w:t>关联担保情况说明 本公司作为被担保方：</w:t>
      </w:r>
    </w:p>
    <w:p>
      <w:pPr>
        <w:spacing w:after="0" w:line="357"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130" w:firstLine="360"/>
        <w:jc w:val="both"/>
      </w:pPr>
      <w:r>
        <w:rPr>
          <w:spacing w:val="-2"/>
        </w:rPr>
        <w:t>①</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日，杨文江与中国工商银行股份有限公司广州工业大道支行签订了编号为工业支行</w:t>
      </w:r>
      <w:r>
        <w:rPr>
          <w:rFonts w:ascii="Times New Roman" w:hAnsi="Times New Roman" w:cs="Times New Roman" w:eastAsia="Times New Roman" w:hint="default"/>
          <w:spacing w:val="-2"/>
        </w:rPr>
        <w:t>2015</w:t>
      </w:r>
      <w:r>
        <w:rPr>
          <w:spacing w:val="-2"/>
        </w:rPr>
        <w:t>年最高保字第</w:t>
      </w:r>
      <w:r>
        <w:rPr>
          <w:rFonts w:ascii="Times New Roman" w:hAnsi="Times New Roman" w:cs="Times New Roman" w:eastAsia="Times New Roman" w:hint="default"/>
          <w:spacing w:val="-2"/>
        </w:rPr>
        <w:t>095</w:t>
      </w:r>
      <w:r>
        <w:rPr>
          <w:rFonts w:ascii="Times New Roman" w:hAnsi="Times New Roman" w:cs="Times New Roman" w:eastAsia="Times New Roman" w:hint="default"/>
        </w:rPr>
        <w:t> </w:t>
      </w:r>
      <w:r>
        <w:rPr>
          <w:spacing w:val="-2"/>
        </w:rPr>
        <w:t>号的最高额保证合同，为公司在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日期间所欠中国工商银行股份有限公司广州工业大道支行的债</w:t>
      </w:r>
      <w:r>
        <w:rPr>
          <w:spacing w:val="-50"/>
        </w:rPr>
        <w:t> </w:t>
      </w:r>
      <w:r>
        <w:rPr/>
        <w:t>务提供最高额为</w:t>
      </w:r>
      <w:r>
        <w:rPr>
          <w:rFonts w:ascii="Times New Roman" w:hAnsi="Times New Roman" w:cs="Times New Roman" w:eastAsia="Times New Roman" w:hint="default"/>
        </w:rPr>
        <w:t>300,000,000.00</w:t>
      </w:r>
      <w:r>
        <w:rPr/>
        <w:t>元的连带责任担保，上述保证合同的保证期间为：自主合同项下的借款期限届满之次日起两 </w:t>
      </w:r>
      <w:r>
        <w:rPr>
          <w:spacing w:val="-2"/>
        </w:rPr>
        <w:t>年；中国工商银行股份有限公司广州工业大道支行根据主合同之约定宣布借款提前到期的，则保证期间为借款提前到期日之</w:t>
      </w:r>
      <w:r>
        <w:rPr>
          <w:spacing w:val="-64"/>
        </w:rPr>
        <w:t> </w:t>
      </w:r>
      <w:r>
        <w:rPr>
          <w:spacing w:val="-64"/>
        </w:rPr>
      </w:r>
      <w:r>
        <w:rPr/>
        <w:t>次日起两年。截止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日，本担保合同项下的借款余额为</w:t>
      </w:r>
      <w:r>
        <w:rPr>
          <w:rFonts w:ascii="Times New Roman" w:hAnsi="Times New Roman" w:cs="Times New Roman" w:eastAsia="Times New Roman" w:hint="default"/>
        </w:rPr>
        <w:t>30,000,000.00</w:t>
      </w:r>
      <w:r>
        <w:rPr/>
        <w:t>元，详见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20</w:t>
      </w:r>
      <w:r>
        <w:rPr/>
        <w:t>短期借款</w:t>
      </w:r>
      <w:r>
        <w:rPr>
          <w:rFonts w:ascii="Times New Roman" w:hAnsi="Times New Roman" w:cs="Times New Roman" w:eastAsia="Times New Roman" w:hint="default"/>
        </w:rPr>
        <w:t>”</w:t>
      </w:r>
      <w:r>
        <w:rPr/>
        <w:t>；</w:t>
      </w:r>
    </w:p>
    <w:p>
      <w:pPr>
        <w:pStyle w:val="BodyText"/>
        <w:spacing w:line="304" w:lineRule="auto" w:before="9"/>
        <w:ind w:right="1130" w:firstLine="360"/>
        <w:jc w:val="both"/>
      </w:pPr>
      <w:r>
        <w:rPr>
          <w:spacing w:val="-1"/>
        </w:rPr>
        <w:t>②</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日，杨文江与兴业银行股份有限公司广州白云支行签订了编号为兴银粤保字</w:t>
      </w:r>
      <w:r>
        <w:rPr>
          <w:rFonts w:ascii="Times New Roman" w:hAnsi="Times New Roman" w:cs="Times New Roman" w:eastAsia="Times New Roman" w:hint="default"/>
          <w:spacing w:val="-1"/>
        </w:rPr>
        <w:t>(</w:t>
      </w:r>
      <w:r>
        <w:rPr>
          <w:spacing w:val="-1"/>
        </w:rPr>
        <w:t>白云）第</w:t>
      </w:r>
      <w:r>
        <w:rPr>
          <w:rFonts w:ascii="Times New Roman" w:hAnsi="Times New Roman" w:cs="Times New Roman" w:eastAsia="Times New Roman" w:hint="default"/>
          <w:spacing w:val="-1"/>
        </w:rPr>
        <w:t>201612021412</w:t>
      </w:r>
      <w:r>
        <w:rPr>
          <w:spacing w:val="-1"/>
        </w:rPr>
        <w:t>号的</w:t>
      </w:r>
      <w:r>
        <w:rPr/>
        <w:t> </w:t>
      </w:r>
      <w:r>
        <w:rPr>
          <w:spacing w:val="-2"/>
        </w:rPr>
        <w:t>最高额保证合同，为公司自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日在编号为兴银粤授字（白云）第</w:t>
      </w:r>
      <w:r>
        <w:rPr>
          <w:rFonts w:ascii="Times New Roman" w:hAnsi="Times New Roman" w:cs="Times New Roman" w:eastAsia="Times New Roman" w:hint="default"/>
          <w:spacing w:val="-2"/>
        </w:rPr>
        <w:t>201612021412</w:t>
      </w:r>
      <w:r>
        <w:rPr>
          <w:spacing w:val="-2"/>
        </w:rPr>
        <w:t>的《基本额度授信</w:t>
      </w:r>
      <w:r>
        <w:rPr>
          <w:spacing w:val="-40"/>
        </w:rPr>
        <w:t> </w:t>
      </w:r>
      <w:r>
        <w:rPr>
          <w:spacing w:val="-40"/>
        </w:rPr>
      </w:r>
      <w:r>
        <w:rPr>
          <w:spacing w:val="-1"/>
        </w:rPr>
        <w:t>合同》项下所欠兴业银行股份有限公司广州白云支行的所有债务承担连带保证责任，保证金额为</w:t>
      </w:r>
      <w:r>
        <w:rPr>
          <w:rFonts w:ascii="Times New Roman" w:hAnsi="Times New Roman" w:cs="Times New Roman" w:eastAsia="Times New Roman" w:hint="default"/>
          <w:spacing w:val="-1"/>
        </w:rPr>
        <w:t>50,000,000.00</w:t>
      </w:r>
      <w:r>
        <w:rPr>
          <w:spacing w:val="-1"/>
        </w:rPr>
        <w:t>元，保证期间</w:t>
      </w:r>
      <w:r>
        <w:rPr>
          <w:spacing w:val="-71"/>
        </w:rPr>
        <w:t> </w:t>
      </w:r>
      <w:r>
        <w:rPr>
          <w:spacing w:val="-71"/>
        </w:rPr>
      </w:r>
      <w:r>
        <w:rPr>
          <w:spacing w:val="-2"/>
        </w:rPr>
        <w:t>为：自主合同项下的借款期限届满之次日起两年；兴业银行股份有限公司广州白云支行根据主合同之约定宣布借款提前到期</w:t>
      </w:r>
      <w:r>
        <w:rPr>
          <w:spacing w:val="-64"/>
        </w:rPr>
        <w:t> </w:t>
      </w:r>
      <w:r>
        <w:rPr>
          <w:spacing w:val="-64"/>
        </w:rPr>
      </w:r>
      <w:r>
        <w:rPr>
          <w:spacing w:val="-1"/>
        </w:rPr>
        <w:t>的，则保证期间为借款提前到期日之次日起两年。截止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日，本担保合同项下的借款余额为</w:t>
      </w:r>
      <w:r>
        <w:rPr>
          <w:rFonts w:ascii="Times New Roman" w:hAnsi="Times New Roman" w:cs="Times New Roman" w:eastAsia="Times New Roman" w:hint="default"/>
          <w:spacing w:val="-1"/>
        </w:rPr>
        <w:t>50,000,000.00</w:t>
      </w:r>
      <w:r>
        <w:rPr>
          <w:spacing w:val="-1"/>
        </w:rPr>
        <w:t>元，详</w:t>
      </w:r>
      <w:r>
        <w:rPr>
          <w:spacing w:val="-67"/>
        </w:rPr>
        <w:t> </w:t>
      </w:r>
      <w:r>
        <w:rPr>
          <w:spacing w:val="-67"/>
        </w:rPr>
      </w:r>
      <w:r>
        <w:rPr/>
        <w:t>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20</w:t>
      </w:r>
      <w:r>
        <w:rPr/>
        <w:t>短期借款</w:t>
      </w:r>
      <w:r>
        <w:rPr>
          <w:rFonts w:ascii="Times New Roman" w:hAnsi="Times New Roman" w:cs="Times New Roman" w:eastAsia="Times New Roman" w:hint="default"/>
        </w:rPr>
        <w:t>”</w:t>
      </w:r>
      <w:r>
        <w:rPr/>
        <w:t>；</w:t>
      </w:r>
    </w:p>
    <w:p>
      <w:pPr>
        <w:pStyle w:val="BodyText"/>
        <w:spacing w:line="300" w:lineRule="auto" w:before="9"/>
        <w:ind w:left="1134" w:right="1132" w:firstLine="360"/>
        <w:jc w:val="both"/>
      </w:pPr>
      <w:r>
        <w:rPr>
          <w:spacing w:val="-1"/>
        </w:rPr>
        <w:t>③</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日，公司与汇丰银行（中国）有限公司广州分行签订了编号为</w:t>
      </w:r>
      <w:r>
        <w:rPr>
          <w:rFonts w:ascii="Times New Roman" w:hAnsi="Times New Roman" w:cs="Times New Roman" w:eastAsia="Times New Roman" w:hint="default"/>
          <w:spacing w:val="-1"/>
        </w:rPr>
        <w:t>CN11009061060-160716</w:t>
      </w:r>
      <w:r>
        <w:rPr>
          <w:spacing w:val="-1"/>
        </w:rPr>
        <w:t>的授信函，授信额</w:t>
      </w:r>
      <w:r>
        <w:rPr/>
        <w:t> 度为</w:t>
      </w:r>
      <w:r>
        <w:rPr>
          <w:rFonts w:ascii="Times New Roman" w:hAnsi="Times New Roman" w:cs="Times New Roman" w:eastAsia="Times New Roman" w:hint="default"/>
        </w:rPr>
        <w:t>80,000,000.00</w:t>
      </w:r>
      <w:r>
        <w:rPr/>
        <w:t>元，以杨文江作担保，最高担保额度为</w:t>
      </w:r>
      <w:r>
        <w:rPr>
          <w:rFonts w:ascii="Times New Roman" w:hAnsi="Times New Roman" w:cs="Times New Roman" w:eastAsia="Times New Roman" w:hint="default"/>
        </w:rPr>
        <w:t>88,000,000.00</w:t>
      </w:r>
      <w:r>
        <w:rPr/>
        <w:t>元，保证期间为自担保款项到期日起两年。截止</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日，本担保合同项下的借款余额为</w:t>
      </w:r>
      <w:r>
        <w:rPr>
          <w:rFonts w:ascii="Times New Roman" w:hAnsi="Times New Roman" w:cs="Times New Roman" w:eastAsia="Times New Roman" w:hint="default"/>
        </w:rPr>
        <w:t>30,000,000.00</w:t>
      </w:r>
      <w:r>
        <w:rPr/>
        <w:t>元，详见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20</w:t>
      </w:r>
      <w:r>
        <w:rPr/>
        <w:t>短期借款</w:t>
      </w:r>
      <w:r>
        <w:rPr>
          <w:rFonts w:ascii="Times New Roman" w:hAnsi="Times New Roman" w:cs="Times New Roman" w:eastAsia="Times New Roman" w:hint="default"/>
        </w:rPr>
        <w:t>”</w:t>
      </w:r>
      <w:r>
        <w:rPr/>
        <w:t>；</w:t>
      </w:r>
    </w:p>
    <w:p>
      <w:pPr>
        <w:pStyle w:val="BodyText"/>
        <w:spacing w:line="304" w:lineRule="auto" w:before="13"/>
        <w:ind w:right="0" w:firstLine="360"/>
        <w:jc w:val="left"/>
      </w:pPr>
      <w:r>
        <w:rPr>
          <w:spacing w:val="-2"/>
        </w:rPr>
        <w:t>④</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日，杨文江与招商银行股份有限公司广州黄埔大道支行签订了编号为</w:t>
      </w:r>
      <w:r>
        <w:rPr>
          <w:rFonts w:ascii="Times New Roman" w:hAnsi="Times New Roman" w:cs="Times New Roman" w:eastAsia="Times New Roman" w:hint="default"/>
          <w:spacing w:val="-2"/>
        </w:rPr>
        <w:t>21170801</w:t>
      </w:r>
      <w:r>
        <w:rPr>
          <w:spacing w:val="-2"/>
        </w:rPr>
        <w:t>的最高额不可撤销担保书，</w:t>
      </w:r>
      <w:r>
        <w:rPr/>
        <w:t> </w:t>
      </w:r>
      <w:r>
        <w:rPr>
          <w:spacing w:val="-2"/>
        </w:rPr>
        <w:t>为公司自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日在编号为</w:t>
      </w:r>
      <w:r>
        <w:rPr>
          <w:rFonts w:ascii="Times New Roman" w:hAnsi="Times New Roman" w:cs="Times New Roman" w:eastAsia="Times New Roman" w:hint="default"/>
          <w:spacing w:val="-2"/>
        </w:rPr>
        <w:t>21170801</w:t>
      </w:r>
      <w:r>
        <w:rPr>
          <w:spacing w:val="-2"/>
        </w:rPr>
        <w:t>的《授信协议》项下所欠招商银行股份有限公司广州黄埔大道支</w:t>
      </w:r>
      <w:r>
        <w:rPr>
          <w:spacing w:val="-42"/>
        </w:rPr>
        <w:t> </w:t>
      </w:r>
      <w:r>
        <w:rPr>
          <w:spacing w:val="-42"/>
        </w:rPr>
      </w:r>
      <w:r>
        <w:rPr/>
        <w:t>行的所有债务承担连带保证责任，保证金额为</w:t>
      </w:r>
      <w:r>
        <w:rPr>
          <w:rFonts w:ascii="Times New Roman" w:hAnsi="Times New Roman" w:cs="Times New Roman" w:eastAsia="Times New Roman" w:hint="default"/>
        </w:rPr>
        <w:t>60,000,000.00</w:t>
      </w:r>
      <w:r>
        <w:rPr/>
        <w:t>元，保证期间为本担保书生效之日起至《授信协议》项下每笔贷 </w:t>
      </w:r>
      <w:r>
        <w:rPr>
          <w:spacing w:val="-2"/>
        </w:rPr>
        <w:t>款或其他融资或招商银行股份有限公司广州黄埔大道支行受让的应收账款债权的到期日或每笔垫款的垫款日另加两年；截止</w:t>
      </w:r>
      <w:r>
        <w:rPr>
          <w:spacing w:val="-64"/>
        </w:rPr>
        <w:t> </w:t>
      </w:r>
      <w:r>
        <w:rPr>
          <w:spacing w:val="-64"/>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日，本担保合同项下的借款余额为</w:t>
      </w:r>
      <w:r>
        <w:rPr>
          <w:rFonts w:ascii="Times New Roman" w:hAnsi="Times New Roman" w:cs="Times New Roman" w:eastAsia="Times New Roman" w:hint="default"/>
        </w:rPr>
        <w:t>20,000,000.00</w:t>
      </w:r>
      <w:r>
        <w:rPr/>
        <w:t>元，详见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20</w:t>
      </w:r>
      <w:r>
        <w:rPr/>
        <w:t>短期借款</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5）本期无关联方资产转让、债务重组情况" w:id="369"/>
      <w:bookmarkEnd w:id="369"/>
      <w:r>
        <w:rPr>
          <w:b w:val="0"/>
          <w:bCs w:val="0"/>
        </w:rPr>
      </w:r>
      <w:r>
        <w:rPr/>
        <w:t>（</w:t>
      </w:r>
      <w:r>
        <w:rPr>
          <w:rFonts w:ascii="Times New Roman" w:hAnsi="Times New Roman" w:cs="Times New Roman" w:eastAsia="Times New Roman" w:hint="default"/>
        </w:rPr>
        <w:t>5</w:t>
      </w:r>
      <w:r>
        <w:rPr/>
        <w:t>）本期无关联方资产转让、债务重组情况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键管理人员报酬" w:id="370"/>
      <w:bookmarkEnd w:id="370"/>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342.89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关联方应收应付款项" w:id="371"/>
      <w:bookmarkEnd w:id="37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372"/>
      <w:bookmarkEnd w:id="37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60"/>
        <w:gridCol w:w="3060"/>
        <w:gridCol w:w="1260"/>
        <w:gridCol w:w="1328"/>
        <w:gridCol w:w="1329"/>
        <w:gridCol w:w="1330"/>
      </w:tblGrid>
      <w:tr>
        <w:trPr>
          <w:trHeight w:val="402"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3060"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广州青创科技企业孵化器有限公司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1,046.13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52.31</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1,099.78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54.99</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北京二加一汽车租赁有限公司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114,285.71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5,714.29</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0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1" w:right="0"/>
              <w:jc w:val="left"/>
              <w:rPr>
                <w:rFonts w:ascii="Times New Roman" w:hAnsi="Times New Roman" w:cs="Times New Roman" w:eastAsia="Times New Roman" w:hint="default"/>
                <w:sz w:val="18"/>
                <w:szCs w:val="18"/>
              </w:rPr>
            </w:pPr>
            <w:r>
              <w:rPr>
                <w:rFonts w:ascii="Times New Roman"/>
                <w:sz w:val="18"/>
              </w:rPr>
              <w:t>2,893,806.83</w:t>
            </w: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60"/>
        <w:gridCol w:w="3060"/>
        <w:gridCol w:w="1260"/>
        <w:gridCol w:w="1328"/>
        <w:gridCol w:w="1329"/>
        <w:gridCol w:w="1330"/>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广州一贯机电设备有限公司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2,109,686.93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543,415.71</w:t>
            </w: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27,030.86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13,515.43</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55,506.49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5" w:right="0"/>
              <w:jc w:val="left"/>
              <w:rPr>
                <w:rFonts w:ascii="Times New Roman" w:hAnsi="Times New Roman" w:cs="Times New Roman" w:eastAsia="Times New Roman" w:hint="default"/>
                <w:sz w:val="18"/>
                <w:szCs w:val="18"/>
              </w:rPr>
            </w:pPr>
            <w:r>
              <w:rPr>
                <w:rFonts w:ascii="Times New Roman"/>
                <w:sz w:val="18"/>
              </w:rPr>
              <w:t>5,550.65</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373"/>
      <w:bookmarkEnd w:id="37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649"/>
        <w:gridCol w:w="2265"/>
        <w:gridCol w:w="226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49" w:type="dxa"/>
            <w:tcBorders>
              <w:top w:val="single" w:sz="4" w:space="0" w:color="000000"/>
              <w:left w:val="single" w:sz="4" w:space="0" w:color="000000"/>
              <w:bottom w:val="single" w:sz="4" w:space="0" w:color="000000"/>
              <w:right w:val="single" w:sz="4" w:space="0" w:color="000000"/>
            </w:tcBorders>
          </w:tcPr>
          <w:p>
            <w:pPr/>
          </w:p>
        </w:tc>
        <w:tc>
          <w:tcPr>
            <w:tcW w:w="2265" w:type="dxa"/>
            <w:tcBorders>
              <w:top w:val="single" w:sz="4" w:space="0" w:color="000000"/>
              <w:left w:val="single" w:sz="4" w:space="0" w:color="000000"/>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6,838,081.03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19,365,925.93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广州粤心安物业管理有限公司</w:t>
            </w:r>
          </w:p>
        </w:tc>
        <w:tc>
          <w:tcPr>
            <w:tcW w:w="2265" w:type="dxa"/>
            <w:tcBorders>
              <w:top w:val="single" w:sz="4" w:space="0" w:color="000000"/>
              <w:left w:val="single" w:sz="4" w:space="0" w:color="000000"/>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196,518.50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49" w:type="dxa"/>
            <w:tcBorders>
              <w:top w:val="single" w:sz="4" w:space="0" w:color="000000"/>
              <w:left w:val="single" w:sz="4" w:space="0" w:color="000000"/>
              <w:bottom w:val="single" w:sz="4" w:space="0" w:color="000000"/>
              <w:right w:val="single" w:sz="4" w:space="0" w:color="000000"/>
            </w:tcBorders>
          </w:tcPr>
          <w:p>
            <w:pPr/>
          </w:p>
        </w:tc>
        <w:tc>
          <w:tcPr>
            <w:tcW w:w="2265" w:type="dxa"/>
            <w:tcBorders>
              <w:top w:val="single" w:sz="4" w:space="0" w:color="000000"/>
              <w:left w:val="single" w:sz="4" w:space="0" w:color="000000"/>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佛山盛普达汽车租赁有限公司</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联方承诺" w:id="374"/>
      <w:bookmarkEnd w:id="37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与关联方相关的承诺事项明细详见</w:t>
      </w:r>
      <w:r>
        <w:rPr>
          <w:rFonts w:ascii="Times New Roman" w:hAnsi="Times New Roman" w:cs="Times New Roman" w:eastAsia="Times New Roman" w:hint="default"/>
        </w:rPr>
        <w:t>“</w:t>
      </w:r>
      <w:r>
        <w:rPr/>
        <w:t>财务报告十二、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三、 政府补助" w:id="375"/>
      <w:bookmarkEnd w:id="375"/>
      <w:r>
        <w:rPr>
          <w:b w:val="0"/>
          <w:bCs w:val="0"/>
        </w:rPr>
      </w:r>
      <w:r>
        <w:rPr/>
        <w:t>十三、</w:t>
      </w:r>
      <w:r>
        <w:rPr>
          <w:spacing w:val="-5"/>
        </w:rPr>
        <w:t> </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本公司的政府补助情况详见</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44</w:t>
      </w:r>
      <w:r>
        <w:rPr/>
        <w:t>其他收益</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财务报告七、</w:t>
      </w:r>
      <w:r>
        <w:rPr>
          <w:rFonts w:ascii="Times New Roman" w:hAnsi="Times New Roman" w:cs="Times New Roman" w:eastAsia="Times New Roman" w:hint="default"/>
        </w:rPr>
        <w:t>45</w:t>
      </w:r>
      <w:r>
        <w:rPr/>
        <w:t>营业外收入</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四、承诺及或有事项" w:id="376"/>
      <w:bookmarkEnd w:id="376"/>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77"/>
      <w:bookmarkEnd w:id="37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4833"/>
        <w:jc w:val="left"/>
      </w:pPr>
      <w:r>
        <w:rPr/>
        <w:t>资产负债表日存在的重要承诺 与关联方相关的承诺事项明细详见</w:t>
      </w:r>
      <w:r>
        <w:rPr>
          <w:rFonts w:ascii="Times New Roman" w:hAnsi="Times New Roman" w:cs="Times New Roman" w:eastAsia="Times New Roman" w:hint="default"/>
        </w:rPr>
        <w:t>“</w:t>
      </w:r>
      <w:r>
        <w:rPr/>
        <w:t>财务报告十二、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或有事项" w:id="378"/>
      <w:bookmarkEnd w:id="37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公司无需要披露的重要或有事项。" w:id="379"/>
      <w:bookmarkEnd w:id="379"/>
      <w:r>
        <w:rPr>
          <w:b w:val="0"/>
          <w:bCs w:val="0"/>
        </w:rPr>
      </w:r>
      <w:r>
        <w:rPr/>
        <w:t>（</w:t>
      </w:r>
      <w:r>
        <w:rPr>
          <w:rFonts w:ascii="Times New Roman" w:hAnsi="Times New Roman" w:cs="Times New Roman" w:eastAsia="Times New Roman" w:hint="default"/>
        </w:rPr>
        <w:t>1</w:t>
      </w:r>
      <w:r>
        <w:rPr/>
        <w:t>）本报告期公司无需要披露的重要或有事项。</w:t>
      </w:r>
      <w:r>
        <w:rPr>
          <w:b w:val="0"/>
          <w:bCs w:val="0"/>
        </w:rPr>
      </w:r>
    </w:p>
    <w:p>
      <w:pPr>
        <w:spacing w:line="240" w:lineRule="auto" w:before="8"/>
        <w:rPr>
          <w:rFonts w:ascii="宋体" w:hAnsi="宋体" w:cs="宋体" w:eastAsia="宋体" w:hint="default"/>
          <w:b/>
          <w:bCs/>
          <w:sz w:val="24"/>
          <w:szCs w:val="24"/>
        </w:rPr>
      </w:pPr>
    </w:p>
    <w:p>
      <w:pPr>
        <w:spacing w:line="463" w:lineRule="auto" w:before="0"/>
        <w:ind w:left="1134" w:right="6641" w:firstLine="0"/>
        <w:jc w:val="left"/>
        <w:rPr>
          <w:rFonts w:ascii="宋体" w:hAnsi="宋体" w:cs="宋体" w:eastAsia="宋体" w:hint="default"/>
          <w:sz w:val="21"/>
          <w:szCs w:val="21"/>
        </w:rPr>
      </w:pPr>
      <w:bookmarkStart w:name="（2）公司不存在需要披露的重要或有事项。"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）公司不存在需要披露的重要或有事项。</w:t>
      </w:r>
      <w:r>
        <w:rPr>
          <w:rFonts w:ascii="宋体" w:hAnsi="宋体" w:cs="宋体" w:eastAsia="宋体" w:hint="default"/>
          <w:b/>
          <w:bCs/>
          <w:w w:val="99"/>
          <w:sz w:val="21"/>
          <w:szCs w:val="21"/>
        </w:rPr>
        <w:t> </w:t>
      </w:r>
      <w:bookmarkStart w:name="十五、资产负债表日后事项" w:id="381"/>
      <w:bookmarkEnd w:id="381"/>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利润分配情况" w:id="382"/>
      <w:bookmarkEnd w:id="3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7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11,417,869.41</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11,417,869.41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其他资产负债表日后事项说明" w:id="383"/>
      <w:bookmarkEnd w:id="383"/>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1"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月，公司第五届董事会第二十一次会议审议通过，全资孙公司广州御银金融电子设备有限公司拟投资建设</w:t>
      </w:r>
      <w:r>
        <w:rPr/>
        <w:t> </w:t>
      </w:r>
      <w:r>
        <w:rPr>
          <w:spacing w:val="-2"/>
        </w:rPr>
        <w:t>高新科技园，项目名称为御银金融电子高新科技园，项目建设地点为广州黄埔区永和开发区禾丰路以南、春分路以东，项目</w:t>
      </w:r>
      <w:r>
        <w:rPr>
          <w:spacing w:val="-66"/>
        </w:rPr>
        <w:t> </w:t>
      </w:r>
      <w:r>
        <w:rPr>
          <w:spacing w:val="-66"/>
        </w:rPr>
      </w:r>
      <w:r>
        <w:rPr>
          <w:spacing w:val="-2"/>
        </w:rPr>
        <w:t>总投资计划不超过人民币</w:t>
      </w:r>
      <w:r>
        <w:rPr>
          <w:rFonts w:ascii="Times New Roman" w:hAnsi="Times New Roman" w:cs="Times New Roman" w:eastAsia="Times New Roman" w:hint="default"/>
          <w:spacing w:val="-2"/>
        </w:rPr>
        <w:t>32,365.50</w:t>
      </w:r>
      <w:r>
        <w:rPr>
          <w:spacing w:val="-2"/>
        </w:rPr>
        <w:t>万元，为智慧银行提供解决方案。该项目已取得广东省企业投资项目备案证，备案项目编</w:t>
      </w:r>
      <w:r>
        <w:rPr>
          <w:spacing w:val="-58"/>
        </w:rPr>
        <w:t> </w:t>
      </w:r>
      <w:r>
        <w:rPr>
          <w:spacing w:val="-58"/>
        </w:rPr>
      </w:r>
      <w:r>
        <w:rPr/>
        <w:t>号为</w:t>
      </w:r>
      <w:r>
        <w:rPr>
          <w:rFonts w:ascii="Times New Roman" w:hAnsi="Times New Roman" w:cs="Times New Roman" w:eastAsia="Times New Roman" w:hint="default"/>
        </w:rPr>
        <w:t>2017-440116-35-03-011813</w:t>
      </w:r>
      <w:r>
        <w:rPr/>
        <w:t>。</w:t>
      </w:r>
    </w:p>
    <w:p>
      <w:pPr>
        <w:pStyle w:val="BodyText"/>
        <w:spacing w:line="300" w:lineRule="auto" w:before="7"/>
        <w:ind w:right="0"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月，杨文江先生将其所持有的部分公司股票进行股票质押式回购交易补充质押。本次股票质押式回购交易</w:t>
      </w:r>
      <w:r>
        <w:rPr/>
        <w:t> 补充质押是对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日杨文江先生与中银国际证券有限责任公司进行股票质押式回购交易的补充及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日杨 </w:t>
      </w:r>
      <w:r>
        <w:rPr>
          <w:spacing w:val="-3"/>
        </w:rPr>
        <w:t>文江先生与华泰证券股份有限公司进行股票质押式回购交易的补充。本次补充质押的股份共</w:t>
      </w:r>
      <w:r>
        <w:rPr>
          <w:rFonts w:ascii="Times New Roman" w:hAnsi="Times New Roman" w:cs="Times New Roman" w:eastAsia="Times New Roman" w:hint="default"/>
          <w:spacing w:val="-3"/>
        </w:rPr>
        <w:t>6,980,000.00</w:t>
      </w:r>
      <w:r>
        <w:rPr>
          <w:spacing w:val="-3"/>
        </w:rPr>
        <w:t>股，其中</w:t>
      </w:r>
      <w:r>
        <w:rPr>
          <w:rFonts w:ascii="Times New Roman" w:hAnsi="Times New Roman" w:cs="Times New Roman" w:eastAsia="Times New Roman" w:hint="default"/>
          <w:spacing w:val="-3"/>
        </w:rPr>
        <w:t>3,080,000.00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股质押期限为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3,900,000.00</w:t>
      </w:r>
      <w:r>
        <w:rPr>
          <w:spacing w:val="-2"/>
        </w:rPr>
        <w:t>股质押期限为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日。本次补充质押后，</w:t>
      </w:r>
      <w:r>
        <w:rPr>
          <w:spacing w:val="-69"/>
        </w:rPr>
        <w:t> </w:t>
      </w:r>
      <w:r>
        <w:rPr>
          <w:spacing w:val="-69"/>
        </w:rPr>
      </w:r>
      <w:r>
        <w:rPr/>
        <w:t>杨文江先生累计已质押的公司股份为</w:t>
      </w:r>
      <w:r>
        <w:rPr>
          <w:rFonts w:ascii="Times New Roman" w:hAnsi="Times New Roman" w:cs="Times New Roman" w:eastAsia="Times New Roman" w:hint="default"/>
        </w:rPr>
        <w:t>143,870,000.00</w:t>
      </w:r>
      <w:r>
        <w:rPr/>
        <w:t>股，占其所持公司股份总数的</w:t>
      </w:r>
      <w:r>
        <w:rPr>
          <w:rFonts w:ascii="Times New Roman" w:hAnsi="Times New Roman" w:cs="Times New Roman" w:eastAsia="Times New Roman" w:hint="default"/>
        </w:rPr>
        <w:t>92.48%</w:t>
      </w:r>
      <w:r>
        <w:rPr/>
        <w:t>，占公司总股本的</w:t>
      </w:r>
      <w:r>
        <w:rPr>
          <w:rFonts w:ascii="Times New Roman" w:hAnsi="Times New Roman" w:cs="Times New Roman" w:eastAsia="Times New Roman" w:hint="default"/>
        </w:rPr>
        <w:t>18.90%</w:t>
      </w:r>
      <w:r>
        <w:rPr/>
        <w:t>。</w:t>
      </w:r>
    </w:p>
    <w:p>
      <w:pPr>
        <w:pStyle w:val="BodyText"/>
        <w:spacing w:line="300" w:lineRule="auto" w:before="13"/>
        <w:ind w:left="1134" w:right="1118" w:firstLine="36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月，杨文江先生将其所持有的公司部分股份进行解除质押，本次解除质押的股份共</w:t>
      </w:r>
      <w:r>
        <w:rPr>
          <w:rFonts w:ascii="Times New Roman" w:hAnsi="Times New Roman" w:cs="Times New Roman" w:eastAsia="Times New Roman" w:hint="default"/>
          <w:spacing w:val="-1"/>
        </w:rPr>
        <w:t>22,300,000.00</w:t>
      </w:r>
      <w:r>
        <w:rPr>
          <w:spacing w:val="-1"/>
        </w:rPr>
        <w:t>股，本次</w:t>
      </w:r>
      <w:r>
        <w:rPr/>
        <w:t> 解除质押后，杨文江先生累计已质押的公司股份为</w:t>
      </w:r>
      <w:r>
        <w:rPr>
          <w:rFonts w:ascii="Times New Roman" w:hAnsi="Times New Roman" w:cs="Times New Roman" w:eastAsia="Times New Roman" w:hint="default"/>
        </w:rPr>
        <w:t>121,570,000.00</w:t>
      </w:r>
      <w:r>
        <w:rPr/>
        <w:t>股，占其所持公司股份总数的</w:t>
      </w:r>
      <w:r>
        <w:rPr>
          <w:rFonts w:ascii="Times New Roman" w:hAnsi="Times New Roman" w:cs="Times New Roman" w:eastAsia="Times New Roman" w:hint="default"/>
        </w:rPr>
        <w:t>78.15%</w:t>
      </w:r>
      <w:r>
        <w:rPr/>
        <w:t>，占公司总股本的 </w:t>
      </w:r>
      <w:r>
        <w:rPr>
          <w:rFonts w:ascii="Times New Roman" w:hAnsi="Times New Roman" w:cs="Times New Roman" w:eastAsia="Times New Roman" w:hint="default"/>
        </w:rPr>
        <w:t>15.97%</w:t>
      </w:r>
      <w:r>
        <w:rPr/>
        <w:t>。</w:t>
      </w:r>
    </w:p>
    <w:p>
      <w:pPr>
        <w:pStyle w:val="BodyText"/>
        <w:spacing w:line="300" w:lineRule="auto" w:before="13"/>
        <w:ind w:right="1132" w:firstLine="36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月，杨文江先生将其所持有的公司部分股票进行股票质押式回购交易，所质押股份为</w:t>
      </w:r>
      <w:r>
        <w:rPr>
          <w:rFonts w:ascii="Times New Roman" w:hAnsi="Times New Roman" w:cs="Times New Roman" w:eastAsia="Times New Roman" w:hint="default"/>
          <w:spacing w:val="-1"/>
        </w:rPr>
        <w:t>19,370,000.00</w:t>
      </w:r>
      <w:r>
        <w:rPr>
          <w:spacing w:val="-1"/>
        </w:rPr>
        <w:t>股，质</w:t>
      </w:r>
      <w:r>
        <w:rPr/>
        <w:t> 押期限为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日。本次质押后，杨文江先生累计已质押的公司股份为</w:t>
      </w:r>
      <w:r>
        <w:rPr>
          <w:rFonts w:ascii="Times New Roman" w:hAnsi="Times New Roman" w:cs="Times New Roman" w:eastAsia="Times New Roman" w:hint="default"/>
        </w:rPr>
        <w:t>140,940,000.00</w:t>
      </w:r>
      <w:r>
        <w:rPr/>
        <w:t>股，占其所持公 司股份总数的</w:t>
      </w:r>
      <w:r>
        <w:rPr>
          <w:rFonts w:ascii="Times New Roman" w:hAnsi="Times New Roman" w:cs="Times New Roman" w:eastAsia="Times New Roman" w:hint="default"/>
        </w:rPr>
        <w:t>90.60%</w:t>
      </w:r>
      <w:r>
        <w:rPr/>
        <w:t>，占公司总股本的</w:t>
      </w:r>
      <w:r>
        <w:rPr>
          <w:rFonts w:ascii="Times New Roman" w:hAnsi="Times New Roman" w:cs="Times New Roman" w:eastAsia="Times New Roman" w:hint="default"/>
        </w:rPr>
        <w:t>18.52%</w:t>
      </w:r>
      <w:r>
        <w:rPr/>
        <w:t>。</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十六、其他重要事项" w:id="384"/>
      <w:bookmarkEnd w:id="384"/>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前期会计差错更正" w:id="385"/>
      <w:bookmarkEnd w:id="38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追溯重述法" w:id="386"/>
      <w:bookmarkEnd w:id="38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bookmarkStart w:name="本报告期未发生采用追溯重述法的前期会计差错更正事项。" w:id="387"/>
      <w:bookmarkEnd w:id="387"/>
      <w:r>
        <w:rPr/>
      </w:r>
      <w:r>
        <w:rPr/>
        <w:t>本报告期未发生采用追溯重述法的前期会计差错更正事项。</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未来适用法" w:id="388"/>
      <w:bookmarkEnd w:id="38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本报告期未发生采用未来适用法的前期会计差错更正事项。</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债务重组" w:id="389"/>
      <w:bookmarkEnd w:id="38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本报告期未发生债务重组。</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3、资产置换" w:id="390"/>
      <w:bookmarkEnd w:id="39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本报告期未发生资产置换。</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4、年金计划" w:id="391"/>
      <w:bookmarkEnd w:id="39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本报告期未发生年金计划。</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5、终止经营" w:id="392"/>
      <w:bookmarkEnd w:id="39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769" w:type="dxa"/>
        <w:tblLayout w:type="fixed"/>
        <w:tblCellMar>
          <w:top w:w="0" w:type="dxa"/>
          <w:left w:w="0" w:type="dxa"/>
          <w:bottom w:w="0" w:type="dxa"/>
          <w:right w:w="0" w:type="dxa"/>
        </w:tblCellMar>
        <w:tblLook w:val="01E0"/>
      </w:tblPr>
      <w:tblGrid>
        <w:gridCol w:w="1728"/>
        <w:gridCol w:w="1368"/>
        <w:gridCol w:w="1367"/>
        <w:gridCol w:w="1367"/>
        <w:gridCol w:w="1368"/>
        <w:gridCol w:w="1527"/>
        <w:gridCol w:w="1536"/>
      </w:tblGrid>
      <w:tr>
        <w:trPr>
          <w:trHeight w:val="714"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 w:right="42"/>
              <w:jc w:val="left"/>
              <w:rPr>
                <w:rFonts w:ascii="宋体" w:hAnsi="宋体" w:cs="宋体" w:eastAsia="宋体" w:hint="default"/>
                <w:sz w:val="18"/>
                <w:szCs w:val="18"/>
              </w:rPr>
            </w:pPr>
            <w:r>
              <w:rPr>
                <w:rFonts w:ascii="宋体" w:hAnsi="宋体" w:cs="宋体" w:eastAsia="宋体" w:hint="default"/>
                <w:sz w:val="18"/>
                <w:szCs w:val="18"/>
              </w:rPr>
              <w:t>归属于母公司所有 者的终止经营利润</w:t>
            </w:r>
          </w:p>
        </w:tc>
      </w:tr>
      <w:tr>
        <w:trPr>
          <w:trHeight w:val="71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归属于母公司所有者 的持续经营净利润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569,714,606.45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616,867,342.40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21,735,086.14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7,968,060.26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13,767,025.88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13,767,025.88</w:t>
            </w:r>
          </w:p>
        </w:tc>
      </w:tr>
      <w:tr>
        <w:trPr>
          <w:trHeight w:val="71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归属于母公司所有者 的终止经营净利润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分部信息" w:id="393"/>
      <w:bookmarkEnd w:id="39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公司无报告分部" w:id="394"/>
      <w:bookmarkEnd w:id="394"/>
      <w:r>
        <w:rPr>
          <w:b w:val="0"/>
          <w:bCs w:val="0"/>
        </w:rPr>
      </w:r>
      <w:r>
        <w:rPr/>
        <w:t>（</w:t>
      </w:r>
      <w:r>
        <w:rPr>
          <w:rFonts w:ascii="Times New Roman" w:hAnsi="Times New Roman" w:cs="Times New Roman" w:eastAsia="Times New Roman" w:hint="default"/>
        </w:rPr>
        <w:t>1</w:t>
      </w:r>
      <w:r>
        <w:rPr/>
        <w:t>）公司无报告分部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其他说明" w:id="395"/>
      <w:bookmarkEnd w:id="395"/>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①业务分产品</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086"/>
        <w:gridCol w:w="1603"/>
        <w:gridCol w:w="1560"/>
        <w:gridCol w:w="1560"/>
        <w:gridCol w:w="1562"/>
      </w:tblGrid>
      <w:tr>
        <w:trPr>
          <w:trHeight w:val="347" w:hRule="exact"/>
        </w:trPr>
        <w:tc>
          <w:tcPr>
            <w:tcW w:w="2086" w:type="dxa"/>
            <w:vMerge w:val="restart"/>
            <w:tcBorders>
              <w:top w:val="single" w:sz="6" w:space="0" w:color="000000"/>
              <w:left w:val="single" w:sz="6" w:space="0" w:color="000000"/>
              <w:right w:val="single" w:sz="6" w:space="0" w:color="000000"/>
            </w:tcBorders>
            <w:shd w:val="clear" w:color="auto" w:fill="CCC0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164" w:type="dxa"/>
            <w:gridSpan w:val="2"/>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22" w:type="dxa"/>
            <w:gridSpan w:val="2"/>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2086" w:type="dxa"/>
            <w:vMerge/>
            <w:tcBorders>
              <w:left w:val="single" w:sz="6" w:space="0" w:color="000000"/>
              <w:bottom w:val="single" w:sz="6" w:space="0" w:color="000000"/>
              <w:right w:val="single" w:sz="6" w:space="0" w:color="000000"/>
            </w:tcBorders>
            <w:shd w:val="clear" w:color="auto" w:fill="CCC0D9"/>
          </w:tcPr>
          <w:p>
            <w:pPr/>
          </w:p>
        </w:tc>
        <w:tc>
          <w:tcPr>
            <w:tcW w:w="1603"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2"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销售</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305,468,345.90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211,111,631.87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531,056,685.46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335,122,337.95</w:t>
            </w: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合作运营</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49,262,982.50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50,723,880.64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82,596,984.46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70,681,035.64</w:t>
            </w: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融资租赁</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10,047,438.91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210,009.08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18,071,938.14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14,398,794.49</w:t>
            </w:r>
          </w:p>
        </w:tc>
      </w:tr>
      <w:tr>
        <w:trPr>
          <w:trHeight w:val="348"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技术、金融服务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116,019,542.46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82,592,404.13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85,501,104.06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64,445,093.76</w:t>
            </w: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13,252,415.57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9,655,421.04</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75,663,881.11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39,378,165.72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53,715,790.33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29,027,243.80</w:t>
            </w:r>
          </w:p>
        </w:tc>
      </w:tr>
      <w:tr>
        <w:trPr>
          <w:trHeight w:val="348" w:hRule="exact"/>
        </w:trPr>
        <w:tc>
          <w:tcPr>
            <w:tcW w:w="2086"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569,714,606.45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393,671,512.48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770,942,502.45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513,674,505.64</w:t>
            </w:r>
          </w:p>
        </w:tc>
      </w:tr>
    </w:tbl>
    <w:p>
      <w:pPr>
        <w:pStyle w:val="BodyText"/>
        <w:spacing w:line="240" w:lineRule="auto" w:before="10"/>
        <w:ind w:left="1134" w:right="0"/>
        <w:jc w:val="left"/>
      </w:pPr>
      <w:r>
        <w:rPr/>
        <w:t>②业务分地区</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086"/>
        <w:gridCol w:w="1603"/>
        <w:gridCol w:w="1560"/>
        <w:gridCol w:w="1560"/>
        <w:gridCol w:w="1562"/>
      </w:tblGrid>
      <w:tr>
        <w:trPr>
          <w:trHeight w:val="347" w:hRule="exact"/>
        </w:trPr>
        <w:tc>
          <w:tcPr>
            <w:tcW w:w="2086" w:type="dxa"/>
            <w:vMerge w:val="restart"/>
            <w:tcBorders>
              <w:top w:val="single" w:sz="6" w:space="0" w:color="000000"/>
              <w:left w:val="single" w:sz="6" w:space="0" w:color="000000"/>
              <w:right w:val="single" w:sz="6" w:space="0" w:color="000000"/>
            </w:tcBorders>
            <w:shd w:val="clear" w:color="auto" w:fill="CCC0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164" w:type="dxa"/>
            <w:gridSpan w:val="2"/>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22" w:type="dxa"/>
            <w:gridSpan w:val="2"/>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2086" w:type="dxa"/>
            <w:vMerge/>
            <w:tcBorders>
              <w:left w:val="single" w:sz="6" w:space="0" w:color="000000"/>
              <w:bottom w:val="single" w:sz="6" w:space="0" w:color="000000"/>
              <w:right w:val="single" w:sz="6" w:space="0" w:color="000000"/>
            </w:tcBorders>
            <w:shd w:val="clear" w:color="auto" w:fill="CCC0D9"/>
          </w:tcPr>
          <w:p>
            <w:pPr/>
          </w:p>
        </w:tc>
        <w:tc>
          <w:tcPr>
            <w:tcW w:w="1603"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2"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26,217,215.33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18,549,719.01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24,969,967.24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19,139,349.41</w:t>
            </w: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76,717,168.48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61,878,734.73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166,030,478.52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130,487,289.48</w:t>
            </w:r>
          </w:p>
        </w:tc>
      </w:tr>
      <w:tr>
        <w:trPr>
          <w:trHeight w:val="347" w:hRule="exact"/>
        </w:trPr>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466,780,222.64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313,243,058.74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579,942,056.69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364,047,866.75</w:t>
            </w:r>
          </w:p>
        </w:tc>
      </w:tr>
      <w:tr>
        <w:trPr>
          <w:trHeight w:val="348" w:hRule="exact"/>
        </w:trPr>
        <w:tc>
          <w:tcPr>
            <w:tcW w:w="2086"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569,714,606.45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393,671,512.48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770,942,502.45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513,674,505.64</w:t>
            </w:r>
          </w:p>
        </w:tc>
      </w:tr>
    </w:tbl>
    <w:p>
      <w:pPr>
        <w:pStyle w:val="BodyText"/>
        <w:spacing w:line="240" w:lineRule="auto" w:before="10"/>
        <w:ind w:left="1134" w:right="0"/>
        <w:jc w:val="left"/>
      </w:pPr>
      <w:r>
        <w:rPr/>
        <w:t>③公司前五名客户的营业收入情况</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129"/>
        <w:gridCol w:w="3120"/>
        <w:gridCol w:w="3122"/>
      </w:tblGrid>
      <w:tr>
        <w:trPr>
          <w:trHeight w:val="347"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2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1011"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122"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36,164,695.80</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6.35</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28,283,199.29</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4.96</w:t>
            </w:r>
          </w:p>
        </w:tc>
      </w:tr>
      <w:tr>
        <w:trPr>
          <w:trHeight w:val="3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26,255,789.44</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4.61</w:t>
            </w:r>
          </w:p>
        </w:tc>
      </w:tr>
      <w:tr>
        <w:trPr>
          <w:trHeight w:val="3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22,286,325.73</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w:t>
            </w:r>
          </w:p>
        </w:tc>
      </w:tr>
      <w:tr>
        <w:trPr>
          <w:trHeight w:val="3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17,225,195.85</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3.02</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130,215,206.11</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22.85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十七、母公司财务报表主要项目注释" w:id="396"/>
      <w:bookmarkEnd w:id="396"/>
      <w:r>
        <w:rPr>
          <w:b w:val="0"/>
          <w:bCs w:val="0"/>
        </w:rPr>
      </w:r>
      <w:r>
        <w:rPr/>
        <w:t>十七、母公司财务报表主要项目注释</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0"/>
        <w:jc w:val="left"/>
        <w:rPr>
          <w:b w:val="0"/>
          <w:bCs w:val="0"/>
        </w:rPr>
      </w:pPr>
      <w:bookmarkStart w:name="1、应收账款" w:id="397"/>
      <w:bookmarkEnd w:id="39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bookmarkStart w:name="（1）应收账款分类披露" w:id="398"/>
      <w:bookmarkEnd w:id="39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409" w:type="dxa"/>
        <w:tblLayout w:type="fixed"/>
        <w:tblCellMar>
          <w:top w:w="0" w:type="dxa"/>
          <w:left w:w="0" w:type="dxa"/>
          <w:bottom w:w="0" w:type="dxa"/>
          <w:right w:w="0" w:type="dxa"/>
        </w:tblCellMar>
        <w:tblLook w:val="01E0"/>
      </w:tblPr>
      <w:tblGrid>
        <w:gridCol w:w="1190"/>
        <w:gridCol w:w="1193"/>
        <w:gridCol w:w="701"/>
        <w:gridCol w:w="1091"/>
        <w:gridCol w:w="701"/>
        <w:gridCol w:w="1182"/>
        <w:gridCol w:w="1181"/>
        <w:gridCol w:w="701"/>
        <w:gridCol w:w="1091"/>
        <w:gridCol w:w="572"/>
        <w:gridCol w:w="1198"/>
      </w:tblGrid>
      <w:tr>
        <w:trPr>
          <w:trHeight w:val="403"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48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4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18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1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8"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94" w:type="dxa"/>
            <w:gridSpan w:val="2"/>
            <w:vMerge/>
            <w:tcBorders>
              <w:left w:val="single" w:sz="4" w:space="0" w:color="000000"/>
              <w:bottom w:val="single" w:sz="4" w:space="0" w:color="000000"/>
              <w:right w:val="single" w:sz="4" w:space="0" w:color="000000"/>
            </w:tcBorders>
            <w:shd w:val="clear" w:color="auto" w:fill="D2D2D2"/>
          </w:tcPr>
          <w:p>
            <w:pPr/>
          </w:p>
        </w:tc>
        <w:tc>
          <w:tcPr>
            <w:tcW w:w="1792" w:type="dxa"/>
            <w:gridSpan w:val="2"/>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882" w:type="dxa"/>
            <w:gridSpan w:val="2"/>
            <w:vMerge/>
            <w:tcBorders>
              <w:left w:val="single" w:sz="4" w:space="0" w:color="000000"/>
              <w:bottom w:val="single" w:sz="4" w:space="0" w:color="000000"/>
              <w:right w:val="single" w:sz="4" w:space="0" w:color="000000"/>
            </w:tcBorders>
            <w:shd w:val="clear" w:color="auto" w:fill="D2D2D2"/>
          </w:tcPr>
          <w:p>
            <w:pPr/>
          </w:p>
        </w:tc>
        <w:tc>
          <w:tcPr>
            <w:tcW w:w="1663" w:type="dxa"/>
            <w:gridSpan w:val="2"/>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5" w:right="7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3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2"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90"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189,326,942.47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15,604,958.46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173,721,984.01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209,243,331.91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16,067,491.75</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193,175,840.16</w:t>
            </w:r>
          </w:p>
        </w:tc>
      </w:tr>
      <w:tr>
        <w:trPr>
          <w:trHeight w:val="1338"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坏账准备的应 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3,925,900.00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3,925,900.00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193,252,842.47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19,530,858.46</w:t>
            </w:r>
          </w:p>
        </w:tc>
        <w:tc>
          <w:tcPr>
            <w:tcW w:w="70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173,721,984.01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209,243,331.91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16,067,491.75</w:t>
            </w:r>
          </w:p>
        </w:tc>
        <w:tc>
          <w:tcPr>
            <w:tcW w:w="57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193,175,840.16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150,335,343.60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7,516,767.18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30,419,020.57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3,041,902.06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6,672,578.15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3,336,289.08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1,710,000.14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189,326,942.47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15,604,958.46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51"/>
        <w:ind w:right="6433"/>
        <w:jc w:val="left"/>
      </w:pPr>
      <w:r>
        <w:rPr/>
        <w:t>确定该组合依据的说明： 详见</w:t>
      </w:r>
      <w:r>
        <w:rPr>
          <w:rFonts w:ascii="Times New Roman" w:hAnsi="Times New Roman" w:cs="Times New Roman" w:eastAsia="Times New Roman" w:hint="default"/>
        </w:rPr>
        <w:t>“</w:t>
      </w:r>
      <w:r>
        <w:rPr/>
        <w:t>财务报告五、</w:t>
      </w:r>
      <w:r>
        <w:rPr>
          <w:rFonts w:ascii="Times New Roman" w:hAnsi="Times New Roman" w:cs="Times New Roman" w:eastAsia="Times New Roman" w:hint="default"/>
        </w:rPr>
        <w:t>10</w:t>
      </w:r>
      <w:r>
        <w:rPr/>
        <w:t>应收款项坏账准备</w:t>
      </w:r>
      <w:r>
        <w:rPr>
          <w:rFonts w:ascii="Times New Roman" w:hAnsi="Times New Roman" w:cs="Times New Roman" w:eastAsia="Times New Roman" w:hint="default"/>
        </w:rPr>
        <w:t>”</w:t>
      </w:r>
      <w:r>
        <w:rPr/>
        <w:t>。 组合中，采用余额百分比法计提坏账准备的应收账款：</w:t>
      </w:r>
    </w:p>
    <w:p>
      <w:pPr>
        <w:pStyle w:val="BodyText"/>
        <w:spacing w:line="348" w:lineRule="auto" w:before="33"/>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期末单项金额不重大但单独计提坏账准备的应收账款</w:t>
      </w:r>
    </w:p>
    <w:p>
      <w:pPr>
        <w:spacing w:after="0" w:line="348" w:lineRule="auto"/>
        <w:jc w:val="lef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700"/>
        <w:gridCol w:w="1696"/>
        <w:gridCol w:w="1559"/>
        <w:gridCol w:w="1276"/>
        <w:gridCol w:w="2126"/>
      </w:tblGrid>
      <w:tr>
        <w:trPr>
          <w:trHeight w:val="347" w:hRule="exact"/>
        </w:trPr>
        <w:tc>
          <w:tcPr>
            <w:tcW w:w="2700" w:type="dxa"/>
            <w:vMerge w:val="restart"/>
            <w:tcBorders>
              <w:top w:val="single" w:sz="6" w:space="0" w:color="000000"/>
              <w:left w:val="single" w:sz="6" w:space="0" w:color="000000"/>
              <w:right w:val="single" w:sz="6" w:space="0" w:color="000000"/>
            </w:tcBorders>
            <w:shd w:val="clear" w:color="auto" w:fill="CCC0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657" w:type="dxa"/>
            <w:gridSpan w:val="4"/>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700" w:type="dxa"/>
            <w:vMerge/>
            <w:tcBorders>
              <w:left w:val="single" w:sz="6" w:space="0" w:color="000000"/>
              <w:bottom w:val="single" w:sz="6" w:space="0" w:color="000000"/>
              <w:right w:val="single" w:sz="6" w:space="0" w:color="000000"/>
            </w:tcBorders>
            <w:shd w:val="clear" w:color="auto" w:fill="CCC0D9"/>
          </w:tcPr>
          <w:p>
            <w:pPr/>
          </w:p>
        </w:tc>
        <w:tc>
          <w:tcPr>
            <w:tcW w:w="1696"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7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13"/>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8" w:hRule="exact"/>
        </w:trPr>
        <w:tc>
          <w:tcPr>
            <w:tcW w:w="270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西安冠林智能科技有限公司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270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3,925,900.00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4"/>
          <w:szCs w:val="14"/>
        </w:rPr>
      </w:pPr>
    </w:p>
    <w:p>
      <w:pPr>
        <w:pStyle w:val="Heading3"/>
        <w:spacing w:line="240" w:lineRule="auto" w:before="35"/>
        <w:ind w:left="1134" w:right="0"/>
        <w:jc w:val="left"/>
        <w:rPr>
          <w:b w:val="0"/>
          <w:bCs w:val="0"/>
        </w:rPr>
      </w:pPr>
      <w:bookmarkStart w:name="（2）本期计提坏账准备金额3,463,366.71元；本期收回或转回坏账准备金额" w:id="399"/>
      <w:bookmarkEnd w:id="399"/>
      <w:r>
        <w:rPr>
          <w:b w:val="0"/>
          <w:bCs w:val="0"/>
        </w:rPr>
      </w:r>
      <w:r>
        <w:rPr/>
        <w:t>（</w:t>
      </w:r>
      <w:r>
        <w:rPr>
          <w:rFonts w:ascii="Times New Roman" w:hAnsi="Times New Roman" w:cs="Times New Roman" w:eastAsia="Times New Roman" w:hint="default"/>
        </w:rPr>
        <w:t>2</w:t>
      </w:r>
      <w:r>
        <w:rPr/>
        <w:t>）本期计提坏账准备金额</w:t>
      </w:r>
      <w:r>
        <w:rPr>
          <w:spacing w:val="-55"/>
        </w:rPr>
        <w:t> </w:t>
      </w:r>
      <w:r>
        <w:rPr>
          <w:rFonts w:ascii="Times New Roman" w:hAnsi="Times New Roman" w:cs="Times New Roman" w:eastAsia="Times New Roman" w:hint="default"/>
        </w:rPr>
        <w:t>3,463,366.71</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bookmarkStart w:name="（3）本期无实际核销的应收账款情况。" w:id="400"/>
      <w:bookmarkEnd w:id="400"/>
      <w:r>
        <w:rPr>
          <w:b w:val="0"/>
          <w:bCs w:val="0"/>
        </w:rPr>
      </w:r>
      <w:r>
        <w:rPr/>
        <w:t>（</w:t>
      </w:r>
      <w:r>
        <w:rPr>
          <w:rFonts w:ascii="Times New Roman" w:hAnsi="Times New Roman" w:cs="Times New Roman" w:eastAsia="Times New Roman" w:hint="default"/>
        </w:rPr>
        <w:t>3</w:t>
      </w:r>
      <w:r>
        <w:rPr/>
        <w:t>）本期无实际核销的应收账款情况。</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bookmarkStart w:name="（4）按欠款方归集的期末余额前五名的应收账款情况" w:id="401"/>
      <w:bookmarkEnd w:id="40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1"/>
          <w:szCs w:val="21"/>
        </w:rPr>
      </w:pPr>
    </w:p>
    <w:tbl>
      <w:tblPr>
        <w:tblW w:w="0" w:type="auto"/>
        <w:jc w:val="left"/>
        <w:tblInd w:w="1486" w:type="dxa"/>
        <w:tblLayout w:type="fixed"/>
        <w:tblCellMar>
          <w:top w:w="0" w:type="dxa"/>
          <w:left w:w="0" w:type="dxa"/>
          <w:bottom w:w="0" w:type="dxa"/>
          <w:right w:w="0" w:type="dxa"/>
        </w:tblCellMar>
        <w:tblLook w:val="01E0"/>
      </w:tblPr>
      <w:tblGrid>
        <w:gridCol w:w="1980"/>
        <w:gridCol w:w="1980"/>
        <w:gridCol w:w="2700"/>
        <w:gridCol w:w="1800"/>
      </w:tblGrid>
      <w:tr>
        <w:trPr>
          <w:trHeight w:val="347" w:hRule="exact"/>
        </w:trPr>
        <w:tc>
          <w:tcPr>
            <w:tcW w:w="1980" w:type="dxa"/>
            <w:vMerge w:val="restart"/>
            <w:tcBorders>
              <w:top w:val="single" w:sz="6" w:space="0" w:color="000000"/>
              <w:left w:val="single" w:sz="6" w:space="0" w:color="000000"/>
              <w:right w:val="single" w:sz="6" w:space="0" w:color="000000"/>
            </w:tcBorders>
            <w:shd w:val="clear" w:color="auto" w:fill="CCC0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481" w:type="dxa"/>
            <w:gridSpan w:val="3"/>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980" w:type="dxa"/>
            <w:vMerge/>
            <w:tcBorders>
              <w:left w:val="single" w:sz="6" w:space="0" w:color="000000"/>
              <w:bottom w:val="single" w:sz="6" w:space="0" w:color="000000"/>
              <w:right w:val="single" w:sz="6" w:space="0" w:color="000000"/>
            </w:tcBorders>
            <w:shd w:val="clear" w:color="auto" w:fill="CCC0D9"/>
          </w:tcPr>
          <w:p>
            <w:pPr/>
          </w:p>
        </w:tc>
        <w:tc>
          <w:tcPr>
            <w:tcW w:w="198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6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2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54,132,973.07</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28.01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2,706,648.65</w:t>
            </w:r>
          </w:p>
        </w:tc>
      </w:tr>
      <w:tr>
        <w:trPr>
          <w:trHeight w:val="34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37,743,523.72</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19.53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2,886,931.50</w:t>
            </w:r>
          </w:p>
        </w:tc>
      </w:tr>
      <w:tr>
        <w:trPr>
          <w:trHeight w:val="34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8,717,294.82</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435,864.74</w:t>
            </w:r>
          </w:p>
        </w:tc>
      </w:tr>
      <w:tr>
        <w:trPr>
          <w:trHeight w:val="34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7,359,904.42</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367,995.22</w:t>
            </w:r>
          </w:p>
        </w:tc>
      </w:tr>
      <w:tr>
        <w:trPr>
          <w:trHeight w:val="347"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7,290,311.65</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3,166,002.00</w:t>
            </w:r>
          </w:p>
        </w:tc>
      </w:tr>
      <w:tr>
        <w:trPr>
          <w:trHeight w:val="348" w:hRule="exact"/>
        </w:trPr>
        <w:tc>
          <w:tcPr>
            <w:tcW w:w="1980" w:type="dxa"/>
            <w:tcBorders>
              <w:top w:val="single" w:sz="6" w:space="0" w:color="000000"/>
              <w:left w:val="single" w:sz="6" w:space="0" w:color="000000"/>
              <w:bottom w:val="single" w:sz="6" w:space="0" w:color="000000"/>
              <w:right w:val="single" w:sz="6" w:space="0" w:color="000000"/>
            </w:tcBorders>
            <w:shd w:val="clear" w:color="auto" w:fill="CCC0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115,244,007.68</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59.63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9,563,442.11</w:t>
            </w:r>
          </w:p>
        </w:tc>
      </w:tr>
    </w:tbl>
    <w:p>
      <w:pPr>
        <w:spacing w:line="240" w:lineRule="auto" w:before="7"/>
        <w:rPr>
          <w:rFonts w:ascii="宋体" w:hAnsi="宋体" w:cs="宋体" w:eastAsia="宋体" w:hint="default"/>
          <w:b/>
          <w:bCs/>
          <w:sz w:val="14"/>
          <w:szCs w:val="14"/>
        </w:rPr>
      </w:pPr>
    </w:p>
    <w:p>
      <w:pPr>
        <w:pStyle w:val="Heading3"/>
        <w:spacing w:line="240" w:lineRule="auto" w:before="35"/>
        <w:ind w:left="1134" w:right="0"/>
        <w:jc w:val="left"/>
        <w:rPr>
          <w:b w:val="0"/>
          <w:bCs w:val="0"/>
        </w:rPr>
      </w:pPr>
      <w:bookmarkStart w:name="（5）本期无因金融资产转移而终止确认的应收款项" w:id="402"/>
      <w:bookmarkEnd w:id="402"/>
      <w:r>
        <w:rPr>
          <w:b w:val="0"/>
          <w:bCs w:val="0"/>
        </w:rPr>
      </w:r>
      <w:r>
        <w:rPr/>
        <w:t>（</w:t>
      </w:r>
      <w:r>
        <w:rPr>
          <w:rFonts w:ascii="Times New Roman" w:hAnsi="Times New Roman" w:cs="Times New Roman" w:eastAsia="Times New Roman" w:hint="default"/>
        </w:rPr>
        <w:t>5</w:t>
      </w:r>
      <w:r>
        <w:rPr/>
        <w:t>）本期无因金融资产转移而终止确认的应收款项</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1134" w:right="0"/>
        <w:jc w:val="left"/>
        <w:rPr>
          <w:b w:val="0"/>
          <w:bCs w:val="0"/>
        </w:rPr>
      </w:pPr>
      <w:bookmarkStart w:name="（6）本期无转移应收账款且继续涉入形成的资产、负债金额" w:id="403"/>
      <w:bookmarkEnd w:id="403"/>
      <w:r>
        <w:rPr>
          <w:b w:val="0"/>
          <w:bCs w:val="0"/>
        </w:rPr>
      </w:r>
      <w:r>
        <w:rPr/>
        <w:t>（</w:t>
      </w:r>
      <w:r>
        <w:rPr>
          <w:rFonts w:ascii="Times New Roman" w:hAnsi="Times New Roman" w:cs="Times New Roman" w:eastAsia="Times New Roman" w:hint="default"/>
        </w:rPr>
        <w:t>6</w:t>
      </w:r>
      <w:r>
        <w:rPr/>
        <w:t>）本期无转移应收账款且继续涉入形成的资产、负债金额</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1134" w:right="0"/>
        <w:jc w:val="left"/>
        <w:rPr>
          <w:b w:val="0"/>
          <w:bCs w:val="0"/>
        </w:rPr>
      </w:pPr>
      <w:bookmarkStart w:name="2、其他应收款" w:id="404"/>
      <w:bookmarkEnd w:id="40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1134" w:right="0"/>
        <w:jc w:val="left"/>
        <w:rPr>
          <w:b w:val="0"/>
          <w:bCs w:val="0"/>
        </w:rPr>
      </w:pPr>
      <w:bookmarkStart w:name="（1）其他应收款分类披露" w:id="405"/>
      <w:bookmarkEnd w:id="4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573" w:type="dxa"/>
        <w:tblLayout w:type="fixed"/>
        <w:tblCellMar>
          <w:top w:w="0" w:type="dxa"/>
          <w:left w:w="0" w:type="dxa"/>
          <w:bottom w:w="0" w:type="dxa"/>
          <w:right w:w="0" w:type="dxa"/>
        </w:tblCellMar>
        <w:tblLook w:val="01E0"/>
      </w:tblPr>
      <w:tblGrid>
        <w:gridCol w:w="1370"/>
        <w:gridCol w:w="1187"/>
        <w:gridCol w:w="701"/>
        <w:gridCol w:w="1091"/>
        <w:gridCol w:w="565"/>
        <w:gridCol w:w="1181"/>
        <w:gridCol w:w="1091"/>
        <w:gridCol w:w="701"/>
        <w:gridCol w:w="1002"/>
        <w:gridCol w:w="564"/>
        <w:gridCol w:w="1092"/>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
        </w:tc>
        <w:tc>
          <w:tcPr>
            <w:tcW w:w="47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8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3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888" w:type="dxa"/>
            <w:gridSpan w:val="2"/>
            <w:vMerge/>
            <w:tcBorders>
              <w:left w:val="single" w:sz="4" w:space="0" w:color="000000"/>
              <w:bottom w:val="single" w:sz="4" w:space="0" w:color="000000"/>
              <w:right w:val="single" w:sz="4" w:space="0" w:color="000000"/>
            </w:tcBorders>
            <w:shd w:val="clear" w:color="auto" w:fill="D2D2D2"/>
          </w:tcPr>
          <w:p>
            <w:pPr/>
          </w:p>
        </w:tc>
        <w:tc>
          <w:tcPr>
            <w:tcW w:w="1656"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792" w:type="dxa"/>
            <w:gridSpan w:val="2"/>
            <w:vMerge/>
            <w:tcBorders>
              <w:left w:val="single" w:sz="4" w:space="0" w:color="000000"/>
              <w:bottom w:val="single" w:sz="4" w:space="0" w:color="000000"/>
              <w:right w:val="single" w:sz="4" w:space="0" w:color="000000"/>
            </w:tcBorders>
            <w:shd w:val="clear" w:color="auto" w:fill="D2D2D2"/>
          </w:tcPr>
          <w:p>
            <w:pPr/>
          </w:p>
        </w:tc>
        <w:tc>
          <w:tcPr>
            <w:tcW w:w="1566" w:type="dxa"/>
            <w:gridSpan w:val="2"/>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7"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7"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4"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70" w:type="dxa"/>
            <w:vMerge/>
            <w:tcBorders>
              <w:left w:val="single" w:sz="4" w:space="0" w:color="000000"/>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56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7"/>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211,803,399.83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18,251,451.83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193,551,948.00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83,344,351.28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5,041,094.19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78,303,257.09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211,803,399.83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18,251,451.83</w:t>
            </w:r>
          </w:p>
        </w:tc>
        <w:tc>
          <w:tcPr>
            <w:tcW w:w="5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193,551,948.00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83,344,351.28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5,041,094.19</w:t>
            </w:r>
          </w:p>
        </w:tc>
        <w:tc>
          <w:tcPr>
            <w:tcW w:w="56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78,303,257.09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131,068,619.65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6,553,430.98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75,774,897.42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7,577,489.74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695,523.77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347,761.89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4,191,965.80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3,772,769.22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211,731,006.64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18,251,451.83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348" w:lineRule="auto" w:before="51"/>
        <w:ind w:right="-19"/>
        <w:jc w:val="left"/>
      </w:pPr>
      <w:r>
        <w:rPr/>
        <w:t>确定该组合依据的说明： 详见</w:t>
      </w:r>
      <w:r>
        <w:rPr>
          <w:rFonts w:ascii="Times New Roman" w:hAnsi="Times New Roman" w:cs="Times New Roman" w:eastAsia="Times New Roman" w:hint="default"/>
        </w:rPr>
        <w:t>“</w:t>
      </w:r>
      <w:r>
        <w:rPr/>
        <w:t>财务报告五、</w:t>
      </w:r>
      <w:r>
        <w:rPr>
          <w:rFonts w:ascii="Times New Roman" w:hAnsi="Times New Roman" w:cs="Times New Roman" w:eastAsia="Times New Roman" w:hint="default"/>
        </w:rPr>
        <w:t>10</w:t>
      </w:r>
      <w:r>
        <w:rPr/>
        <w:t>应收款项坏账准备</w:t>
      </w:r>
      <w:r>
        <w:rPr>
          <w:rFonts w:ascii="Times New Roman" w:hAnsi="Times New Roman" w:cs="Times New Roman" w:eastAsia="Times New Roman" w:hint="default"/>
        </w:rPr>
        <w:t>”</w:t>
      </w:r>
      <w:r>
        <w:rPr/>
        <w:t>。 组合中，采用余额百分比法计提坏账准备的其他应收款：</w:t>
      </w:r>
    </w:p>
    <w:p>
      <w:pPr>
        <w:pStyle w:val="BodyText"/>
        <w:spacing w:line="240" w:lineRule="auto" w:before="36"/>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72,393.19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72,393.19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51"/>
        <w:ind w:right="6613"/>
        <w:jc w:val="left"/>
      </w:pPr>
      <w:r>
        <w:rPr/>
        <w:t>确定该组合依据的说明： 详见</w:t>
      </w:r>
      <w:r>
        <w:rPr>
          <w:rFonts w:ascii="Times New Roman" w:hAnsi="Times New Roman" w:cs="Times New Roman" w:eastAsia="Times New Roman" w:hint="default"/>
        </w:rPr>
        <w:t>“</w:t>
      </w:r>
      <w:r>
        <w:rPr/>
        <w:t>财务报告五、</w:t>
      </w:r>
      <w:r>
        <w:rPr>
          <w:rFonts w:ascii="Times New Roman" w:hAnsi="Times New Roman" w:cs="Times New Roman" w:eastAsia="Times New Roman" w:hint="default"/>
        </w:rPr>
        <w:t>10</w:t>
      </w:r>
      <w:r>
        <w:rPr/>
        <w:t>应收款项坏账准备</w:t>
      </w:r>
      <w:r>
        <w:rPr>
          <w:rFonts w:ascii="Times New Roman" w:hAnsi="Times New Roman" w:cs="Times New Roman" w:eastAsia="Times New Roman" w:hint="default"/>
        </w:rPr>
        <w:t>”</w:t>
      </w:r>
      <w:r>
        <w:rPr/>
        <w:t>。 组合中，采用其他方法计提坏账准备的其他应收款：</w:t>
      </w:r>
    </w:p>
    <w:p>
      <w:pPr>
        <w:pStyle w:val="BodyText"/>
        <w:spacing w:line="240" w:lineRule="auto" w:before="3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坏账准备金额13,210,357.64元；本期收回或转回坏账准备金" w:id="406"/>
      <w:bookmarkEnd w:id="406"/>
      <w:r>
        <w:rPr>
          <w:b w:val="0"/>
          <w:bCs w:val="0"/>
        </w:rPr>
      </w:r>
      <w:r>
        <w:rPr/>
        <w:t>（</w:t>
      </w:r>
      <w:r>
        <w:rPr>
          <w:rFonts w:ascii="Times New Roman" w:hAnsi="Times New Roman" w:cs="Times New Roman" w:eastAsia="Times New Roman" w:hint="default"/>
        </w:rPr>
        <w:t>2</w:t>
      </w:r>
      <w:r>
        <w:rPr/>
        <w:t>）本期计提坏账准备金额</w:t>
      </w:r>
      <w:r>
        <w:rPr>
          <w:spacing w:val="-55"/>
        </w:rPr>
        <w:t> </w:t>
      </w:r>
      <w:r>
        <w:rPr>
          <w:rFonts w:ascii="Times New Roman" w:hAnsi="Times New Roman" w:cs="Times New Roman" w:eastAsia="Times New Roman" w:hint="default"/>
        </w:rPr>
        <w:t>13,210,357.64</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bookmarkStart w:name="（3）本期无实际核销的其他应收款情况。" w:id="407"/>
      <w:bookmarkEnd w:id="407"/>
      <w:r>
        <w:rPr>
          <w:b w:val="0"/>
          <w:bCs w:val="0"/>
        </w:rPr>
      </w:r>
      <w:r>
        <w:rPr/>
        <w:t>（</w:t>
      </w:r>
      <w:r>
        <w:rPr>
          <w:rFonts w:ascii="Times New Roman" w:hAnsi="Times New Roman" w:cs="Times New Roman" w:eastAsia="Times New Roman" w:hint="default"/>
        </w:rPr>
        <w:t>3</w:t>
      </w:r>
      <w:r>
        <w:rPr/>
        <w:t>）本期无实际核销的其他应收款情况。</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1134" w:right="0"/>
        <w:jc w:val="left"/>
        <w:rPr>
          <w:b w:val="0"/>
          <w:bCs w:val="0"/>
        </w:rPr>
      </w:pPr>
      <w:bookmarkStart w:name="（4）其他应收款按款项性质分类情况" w:id="408"/>
      <w:bookmarkEnd w:id="4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72,393.19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174,370.85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198,475,803.29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69,815,012.91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3,122,250.23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2,673,186.49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204,306.12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196,769.03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9,928,647.00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10,485,012.00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211,803,399.83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83,344,351.28</w:t>
            </w:r>
          </w:p>
        </w:tc>
      </w:tr>
    </w:tbl>
    <w:p>
      <w:pPr>
        <w:spacing w:line="240" w:lineRule="auto" w:before="1"/>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409"/>
      <w:bookmarkEnd w:id="4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80"/>
        <w:gridCol w:w="1080"/>
        <w:gridCol w:w="1440"/>
        <w:gridCol w:w="2740"/>
        <w:gridCol w:w="1614"/>
        <w:gridCol w:w="1615"/>
      </w:tblGrid>
      <w:tr>
        <w:trPr>
          <w:trHeight w:val="71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88,580,000.00</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4,429,000.00</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29,530,002.20</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1,050,002.2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28,480,000.00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2,900,500.11</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29,457,454.87</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1,053,854.87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28,403,600.00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2,893,052.74</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19,419,190.61</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年以内</w:t>
            </w:r>
            <w:r>
              <w:rPr>
                <w:rFonts w:ascii="宋体" w:hAnsi="宋体" w:cs="宋体" w:eastAsia="宋体" w:hint="default"/>
                <w:spacing w:val="-53"/>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4,560,59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4,858,600.00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1,213,889.53</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19,414,190.61</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年以内</w:t>
            </w:r>
            <w:r>
              <w:rPr>
                <w:rFonts w:ascii="宋体" w:hAnsi="宋体" w:cs="宋体" w:eastAsia="宋体" w:hint="default"/>
                <w:spacing w:val="-53"/>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4,560,59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4,853,600.00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1,213,389.53</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186,400,838.29</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12,649,831.91</w:t>
            </w:r>
          </w:p>
        </w:tc>
      </w:tr>
    </w:tbl>
    <w:p>
      <w:pPr>
        <w:spacing w:line="240" w:lineRule="auto" w:before="1"/>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410"/>
      <w:bookmarkEnd w:id="4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949" w:type="dxa"/>
        <w:tblLayout w:type="fixed"/>
        <w:tblCellMar>
          <w:top w:w="0" w:type="dxa"/>
          <w:left w:w="0" w:type="dxa"/>
          <w:bottom w:w="0" w:type="dxa"/>
          <w:right w:w="0" w:type="dxa"/>
        </w:tblCellMar>
        <w:tblLook w:val="01E0"/>
      </w:tblPr>
      <w:tblGrid>
        <w:gridCol w:w="2165"/>
        <w:gridCol w:w="1559"/>
        <w:gridCol w:w="1419"/>
        <w:gridCol w:w="1559"/>
        <w:gridCol w:w="3048"/>
      </w:tblGrid>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广州市天河区国家税务局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72,393.19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72,393.19</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1026" w:firstLine="360"/>
        <w:jc w:val="left"/>
      </w:pPr>
      <w:r>
        <w:rPr>
          <w:spacing w:val="-1"/>
        </w:rPr>
        <w:t>公司在销售自行开发生产的软件产品后，根据其软件销售增值税实际税负超过</w:t>
      </w:r>
      <w:r>
        <w:rPr>
          <w:rFonts w:ascii="Times New Roman" w:hAnsi="Times New Roman" w:cs="Times New Roman" w:eastAsia="Times New Roman" w:hint="default"/>
          <w:spacing w:val="-1"/>
        </w:rPr>
        <w:t>3%</w:t>
      </w:r>
      <w:r>
        <w:rPr>
          <w:spacing w:val="-1"/>
        </w:rPr>
        <w:t>的部分计算应收退税款，截止报告日，</w:t>
      </w:r>
      <w:r>
        <w:rPr/>
        <w:t> 已收到退税款合计</w:t>
      </w:r>
      <w:r>
        <w:rPr>
          <w:rFonts w:ascii="Times New Roman" w:hAnsi="Times New Roman" w:cs="Times New Roman" w:eastAsia="Times New Roman" w:hint="default"/>
        </w:rPr>
        <w:t>69,401.71</w:t>
      </w:r>
      <w:r>
        <w:rPr/>
        <w:t>元。</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7）本期无因金融资产转移而终止确认的其他应收款。" w:id="411"/>
      <w:bookmarkEnd w:id="411"/>
      <w:r>
        <w:rPr>
          <w:b w:val="0"/>
          <w:bCs w:val="0"/>
        </w:rPr>
      </w:r>
      <w:r>
        <w:rPr/>
        <w:t>（</w:t>
      </w:r>
      <w:r>
        <w:rPr>
          <w:rFonts w:ascii="Times New Roman" w:hAnsi="Times New Roman" w:cs="Times New Roman" w:eastAsia="Times New Roman" w:hint="default"/>
        </w:rPr>
        <w:t>7</w:t>
      </w:r>
      <w:r>
        <w:rPr/>
        <w:t>）本期无因金融资产转移而终止确认的其他应收款。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本期无转移其他应收款且继续涉入形成的资产、负债。" w:id="412"/>
      <w:bookmarkEnd w:id="412"/>
      <w:r>
        <w:rPr>
          <w:b w:val="0"/>
          <w:bCs w:val="0"/>
        </w:rPr>
      </w:r>
      <w:r>
        <w:rPr/>
        <w:t>（</w:t>
      </w:r>
      <w:r>
        <w:rPr>
          <w:rFonts w:ascii="Times New Roman" w:hAnsi="Times New Roman" w:cs="Times New Roman" w:eastAsia="Times New Roman" w:hint="default"/>
        </w:rPr>
        <w:t>8</w:t>
      </w:r>
      <w:r>
        <w:rPr/>
        <w:t>）本期无转移其他应收款且继续涉入形成的资产、负债。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34" w:right="0"/>
        <w:jc w:val="left"/>
        <w:rPr>
          <w:b w:val="0"/>
          <w:bCs w:val="0"/>
        </w:rPr>
      </w:pPr>
      <w:bookmarkStart w:name="3、长期股权投资" w:id="413"/>
      <w:bookmarkEnd w:id="413"/>
      <w:r>
        <w:rPr>
          <w:b w:val="0"/>
          <w:bCs w:val="0"/>
        </w:rPr>
      </w:r>
      <w:r>
        <w:rPr>
          <w:rFonts w:ascii="Times New Roman" w:hAnsi="Times New Roman" w:cs="Times New Roman" w:eastAsia="Times New Roman" w:hint="default"/>
        </w:rPr>
        <w:t>3</w:t>
      </w:r>
      <w:r>
        <w:rPr/>
        <w:t>、长期股权投资</w:t>
      </w:r>
      <w:r>
        <w:rPr>
          <w:b w:val="0"/>
          <w:bCs w:val="0"/>
        </w:rPr>
      </w:r>
    </w:p>
    <w:p>
      <w:pPr>
        <w:pStyle w:val="BodyText"/>
        <w:spacing w:line="240" w:lineRule="auto" w:before="16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69" w:type="dxa"/>
        <w:tblLayout w:type="fixed"/>
        <w:tblCellMar>
          <w:top w:w="0" w:type="dxa"/>
          <w:left w:w="0" w:type="dxa"/>
          <w:bottom w:w="0" w:type="dxa"/>
          <w:right w:w="0" w:type="dxa"/>
        </w:tblCellMar>
        <w:tblLook w:val="01E0"/>
      </w:tblPr>
      <w:tblGrid>
        <w:gridCol w:w="1980"/>
        <w:gridCol w:w="1620"/>
        <w:gridCol w:w="863"/>
        <w:gridCol w:w="1477"/>
        <w:gridCol w:w="1620"/>
        <w:gridCol w:w="1004"/>
        <w:gridCol w:w="1367"/>
      </w:tblGrid>
      <w:tr>
        <w:trPr>
          <w:trHeight w:val="206" w:hRule="exact"/>
        </w:trPr>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0" w:type="dxa"/>
            <w:gridSpan w:val="3"/>
            <w:vMerge/>
            <w:tcBorders>
              <w:left w:val="single" w:sz="4" w:space="0" w:color="000000"/>
              <w:bottom w:val="single" w:sz="4" w:space="0" w:color="000000"/>
              <w:right w:val="single" w:sz="4" w:space="0" w:color="000000"/>
            </w:tcBorders>
            <w:shd w:val="clear" w:color="auto" w:fill="D2D2D2"/>
          </w:tcPr>
          <w:p>
            <w:pPr/>
          </w:p>
        </w:tc>
        <w:tc>
          <w:tcPr>
            <w:tcW w:w="399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0" w:type="dxa"/>
            <w:vMerge/>
            <w:tcBorders>
              <w:left w:val="single" w:sz="4" w:space="0" w:color="000000"/>
              <w:bottom w:val="nil" w:sz="6" w:space="0" w:color="auto"/>
              <w:right w:val="single" w:sz="4" w:space="0" w:color="000000"/>
            </w:tcBorders>
            <w:shd w:val="clear" w:color="auto" w:fill="D2D2D2"/>
          </w:tcPr>
          <w:p>
            <w:pP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1477" w:type="dxa"/>
            <w:vMerge/>
            <w:tcBorders>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486,362,718.86</w:t>
            </w:r>
          </w:p>
        </w:tc>
        <w:tc>
          <w:tcPr>
            <w:tcW w:w="86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486,362,718.86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473,662,718.86</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473,662,718.86</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108,678.37</w:t>
            </w:r>
          </w:p>
        </w:tc>
        <w:tc>
          <w:tcPr>
            <w:tcW w:w="86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108,678.37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486,471,397.23</w:t>
            </w:r>
          </w:p>
        </w:tc>
        <w:tc>
          <w:tcPr>
            <w:tcW w:w="86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486,471,397.23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473,662,718.86</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473,662,718.86</w:t>
            </w:r>
          </w:p>
        </w:tc>
      </w:tr>
    </w:tbl>
    <w:p>
      <w:pPr>
        <w:spacing w:line="240" w:lineRule="auto" w:before="7"/>
        <w:rPr>
          <w:rFonts w:ascii="宋体" w:hAnsi="宋体" w:cs="宋体" w:eastAsia="宋体" w:hint="default"/>
          <w:sz w:val="14"/>
          <w:szCs w:val="14"/>
        </w:rPr>
      </w:pPr>
    </w:p>
    <w:p>
      <w:pPr>
        <w:pStyle w:val="Heading3"/>
        <w:spacing w:line="240" w:lineRule="auto" w:before="35"/>
        <w:ind w:left="1134" w:right="0"/>
        <w:jc w:val="left"/>
        <w:rPr>
          <w:b w:val="0"/>
          <w:bCs w:val="0"/>
        </w:rPr>
      </w:pPr>
      <w:bookmarkStart w:name="（1）对子公司投资" w:id="414"/>
      <w:bookmarkEnd w:id="41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2880"/>
        <w:gridCol w:w="1440"/>
        <w:gridCol w:w="1440"/>
        <w:gridCol w:w="900"/>
        <w:gridCol w:w="1260"/>
        <w:gridCol w:w="1093"/>
        <w:gridCol w:w="1081"/>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1" w:right="9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1" w:right="78"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589" w:type="dxa"/>
        <w:tblLayout w:type="fixed"/>
        <w:tblCellMar>
          <w:top w:w="0" w:type="dxa"/>
          <w:left w:w="0" w:type="dxa"/>
          <w:bottom w:w="0" w:type="dxa"/>
          <w:right w:w="0" w:type="dxa"/>
        </w:tblCellMar>
        <w:tblLook w:val="01E0"/>
      </w:tblPr>
      <w:tblGrid>
        <w:gridCol w:w="2880"/>
        <w:gridCol w:w="1440"/>
        <w:gridCol w:w="1440"/>
        <w:gridCol w:w="900"/>
        <w:gridCol w:w="1260"/>
        <w:gridCol w:w="1093"/>
        <w:gridCol w:w="1093"/>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4,992,258.86</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4,992,258.86</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670,460.00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670,460.00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北京御新赢创科技有限公司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北京天成智合科技有限公司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广东小炬人创业园有限公司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北京御新智合科技有限公司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广州御联软件有限公司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广州十方软件科技有限公司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473,662,718.86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486,362,718.86</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4"/>
          <w:szCs w:val="14"/>
        </w:rPr>
      </w:pPr>
    </w:p>
    <w:p>
      <w:pPr>
        <w:pStyle w:val="Heading3"/>
        <w:spacing w:line="240" w:lineRule="auto" w:before="35"/>
        <w:ind w:left="1134" w:right="0"/>
        <w:jc w:val="left"/>
        <w:rPr>
          <w:b w:val="0"/>
          <w:bCs w:val="0"/>
        </w:rPr>
      </w:pPr>
      <w:bookmarkStart w:name="（2）对联营、合营企业投资" w:id="415"/>
      <w:bookmarkEnd w:id="41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29" w:type="dxa"/>
        <w:tblLayout w:type="fixed"/>
        <w:tblCellMar>
          <w:top w:w="0" w:type="dxa"/>
          <w:left w:w="0" w:type="dxa"/>
          <w:bottom w:w="0" w:type="dxa"/>
          <w:right w:w="0" w:type="dxa"/>
        </w:tblCellMar>
        <w:tblLook w:val="01E0"/>
      </w:tblPr>
      <w:tblGrid>
        <w:gridCol w:w="1520"/>
        <w:gridCol w:w="511"/>
        <w:gridCol w:w="866"/>
        <w:gridCol w:w="511"/>
        <w:gridCol w:w="1491"/>
        <w:gridCol w:w="877"/>
        <w:gridCol w:w="694"/>
        <w:gridCol w:w="1152"/>
        <w:gridCol w:w="695"/>
        <w:gridCol w:w="328"/>
        <w:gridCol w:w="866"/>
        <w:gridCol w:w="877"/>
      </w:tblGrid>
      <w:tr>
        <w:trPr>
          <w:trHeight w:val="402" w:hRule="exact"/>
        </w:trPr>
        <w:tc>
          <w:tcPr>
            <w:tcW w:w="1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5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70" w:right="6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61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73" w:right="7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511" w:type="dxa"/>
            <w:vMerge/>
            <w:tcBorders>
              <w:left w:val="single" w:sz="4" w:space="0" w:color="000000"/>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0" w:right="108"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29"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7"/>
              <w:jc w:val="left"/>
              <w:rPr>
                <w:rFonts w:ascii="宋体" w:hAnsi="宋体" w:cs="宋体" w:eastAsia="宋体" w:hint="default"/>
                <w:sz w:val="18"/>
                <w:szCs w:val="18"/>
              </w:rPr>
            </w:pPr>
            <w:r>
              <w:rPr>
                <w:rFonts w:ascii="宋体" w:hAnsi="宋体" w:cs="宋体" w:eastAsia="宋体" w:hint="default"/>
                <w:sz w:val="18"/>
                <w:szCs w:val="18"/>
              </w:rPr>
              <w:t>其 他</w:t>
            </w:r>
          </w:p>
        </w:tc>
        <w:tc>
          <w:tcPr>
            <w:tcW w:w="866" w:type="dxa"/>
            <w:vMerge/>
            <w:tcBorders>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38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38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广州青创科技企业 孵化器有限公司</w:t>
            </w:r>
          </w:p>
        </w:tc>
        <w:tc>
          <w:tcPr>
            <w:tcW w:w="5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32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108,678.37</w:t>
            </w: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32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108,678.37</w:t>
            </w: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32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108,678.37</w:t>
            </w:r>
          </w:p>
        </w:tc>
        <w:tc>
          <w:tcPr>
            <w:tcW w:w="8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1134" w:right="0"/>
        <w:jc w:val="left"/>
      </w:pPr>
      <w:bookmarkStart w:name="其他说明：2017年4月10日，公司与高云展、广州小炬人科技服务有限公司合计认缴" w:id="416"/>
      <w:bookmarkEnd w:id="416"/>
      <w:r>
        <w:rPr/>
      </w:r>
      <w:r>
        <w:rPr/>
        <w:t>其他说明：</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日，公司与高云展、广州小炬人科技服务有限公司合计认缴出资</w:t>
      </w:r>
      <w:r>
        <w:rPr>
          <w:spacing w:val="-5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6"/>
        </w:rPr>
        <w:t> </w:t>
      </w:r>
      <w:r>
        <w:rPr/>
        <w:t>万元成立广州青创科技企</w:t>
      </w:r>
    </w:p>
    <w:p>
      <w:pPr>
        <w:pStyle w:val="BodyText"/>
        <w:spacing w:line="240" w:lineRule="auto" w:before="63"/>
        <w:ind w:right="0"/>
        <w:jc w:val="left"/>
      </w:pPr>
      <w:r>
        <w:rPr/>
        <w:t>业孵化器有限公司，其中公司认缴出资</w:t>
      </w:r>
      <w:r>
        <w:rPr>
          <w:spacing w:val="-33"/>
        </w:rPr>
        <w:t> </w:t>
      </w:r>
      <w:r>
        <w:rPr>
          <w:rFonts w:ascii="Times New Roman" w:hAnsi="Times New Roman" w:cs="Times New Roman" w:eastAsia="Times New Roman" w:hint="default"/>
        </w:rPr>
        <w:t>40.00</w:t>
      </w:r>
      <w:r>
        <w:rPr>
          <w:rFonts w:ascii="Times New Roman" w:hAnsi="Times New Roman" w:cs="Times New Roman" w:eastAsia="Times New Roman" w:hint="default"/>
          <w:spacing w:val="-7"/>
        </w:rPr>
        <w:t> </w:t>
      </w:r>
      <w:r>
        <w:rPr/>
        <w:t>万元，认缴出资比例为</w:t>
      </w:r>
      <w:r>
        <w:rPr>
          <w:spacing w:val="-33"/>
        </w:rPr>
        <w:t> </w:t>
      </w:r>
      <w:r>
        <w:rPr>
          <w:rFonts w:ascii="Times New Roman" w:hAnsi="Times New Roman" w:cs="Times New Roman" w:eastAsia="Times New Roman" w:hint="default"/>
        </w:rPr>
        <w:t>20%</w:t>
      </w:r>
      <w:r>
        <w:rPr/>
        <w:t>，截止</w:t>
      </w:r>
      <w:r>
        <w:rPr>
          <w:spacing w:val="-3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日，公司已支付投资款共</w:t>
      </w:r>
    </w:p>
    <w:p>
      <w:pPr>
        <w:pStyle w:val="BodyText"/>
        <w:spacing w:line="240" w:lineRule="auto" w:before="63"/>
        <w:ind w:right="0"/>
        <w:jc w:val="left"/>
      </w:pPr>
      <w:r>
        <w:rPr>
          <w:rFonts w:ascii="Times New Roman" w:hAnsi="Times New Roman" w:cs="Times New Roman" w:eastAsia="Times New Roman" w:hint="default"/>
        </w:rPr>
        <w:t>40.00</w:t>
      </w:r>
      <w:r>
        <w:rPr>
          <w:rFonts w:ascii="Times New Roman" w:hAnsi="Times New Roman" w:cs="Times New Roman" w:eastAsia="Times New Roman" w:hint="default"/>
          <w:spacing w:val="-9"/>
        </w:rPr>
        <w:t> </w:t>
      </w:r>
      <w:r>
        <w:rPr/>
        <w:t>万元。</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营业收入和营业成本" w:id="417"/>
      <w:bookmarkEnd w:id="41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415,477,527.25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361,536,839.17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690,422,262.17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530,296,114.93</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100,152,734.33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56,175,182.65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266,494,494.95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258,295,483.86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515,630,261.58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417,712,021.82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956,916,757.12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788,591,598.79</w:t>
            </w:r>
          </w:p>
        </w:tc>
      </w:tr>
    </w:tbl>
    <w:p>
      <w:pPr>
        <w:spacing w:line="240" w:lineRule="auto" w:before="12"/>
        <w:rPr>
          <w:rFonts w:ascii="宋体" w:hAnsi="宋体" w:cs="宋体" w:eastAsia="宋体" w:hint="default"/>
          <w:sz w:val="9"/>
          <w:szCs w:val="9"/>
        </w:rPr>
      </w:pPr>
    </w:p>
    <w:p>
      <w:pPr>
        <w:pStyle w:val="Heading3"/>
        <w:spacing w:line="240" w:lineRule="auto" w:before="35"/>
        <w:ind w:left="1134" w:right="0"/>
        <w:jc w:val="left"/>
        <w:rPr>
          <w:b w:val="0"/>
          <w:bCs w:val="0"/>
        </w:rPr>
      </w:pPr>
      <w:bookmarkStart w:name="5、投资收益" w:id="418"/>
      <w:bookmarkEnd w:id="41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14"/>
          <w:szCs w:val="1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-291,321.63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-1,999,999.00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32,522,857.84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CC0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400,526.03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1,471,473.77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132,632,062.24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102,471,474.77</w:t>
            </w:r>
          </w:p>
        </w:tc>
      </w:tr>
    </w:tbl>
    <w:p>
      <w:pPr>
        <w:spacing w:line="240" w:lineRule="auto" w:before="10"/>
        <w:rPr>
          <w:rFonts w:ascii="宋体" w:hAnsi="宋体" w:cs="宋体" w:eastAsia="宋体" w:hint="default"/>
          <w:sz w:val="8"/>
          <w:szCs w:val="8"/>
        </w:rPr>
      </w:pPr>
    </w:p>
    <w:p>
      <w:pPr>
        <w:pStyle w:val="Heading2"/>
        <w:spacing w:line="240" w:lineRule="auto" w:before="26"/>
        <w:ind w:left="1134" w:right="0"/>
        <w:jc w:val="left"/>
        <w:rPr>
          <w:b w:val="0"/>
          <w:bCs w:val="0"/>
        </w:rPr>
      </w:pPr>
      <w:bookmarkStart w:name="十八、补充资料" w:id="419"/>
      <w:bookmarkEnd w:id="419"/>
      <w:r>
        <w:rPr>
          <w:b w:val="0"/>
          <w:bCs w:val="0"/>
        </w:rPr>
      </w:r>
      <w:r>
        <w:rPr/>
        <w:t>十八、补充资料</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0"/>
        <w:jc w:val="left"/>
        <w:rPr>
          <w:b w:val="0"/>
          <w:bCs w:val="0"/>
        </w:rPr>
      </w:pPr>
      <w:bookmarkStart w:name="1、当期非经常性损益明细表" w:id="420"/>
      <w:bookmarkEnd w:id="42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group style="position:absolute;margin-left:435pt;margin-top:62.281727pt;width:61.4pt;height:20.8pt;mso-position-horizontal-relative:page;mso-position-vertical-relative:paragraph;z-index:-800464" coordorigin="8700,1246" coordsize="1228,416">
            <v:group style="position:absolute;left:8711;top:1257;width:2;height:393" coordorigin="8711,1257" coordsize="2,393">
              <v:shape style="position:absolute;left:8711;top:1257;width:2;height:393" coordorigin="8711,1257" coordsize="0,393" path="m8711,1257l8711,1649e" filled="false" stroked="true" strokeweight="1.140pt" strokecolor="#ffffff">
                <v:path arrowok="t"/>
              </v:shape>
            </v:group>
            <v:group style="position:absolute;left:8723;top:1257;width:1205;height:393" coordorigin="8723,1257" coordsize="1205,393">
              <v:shape style="position:absolute;left:8723;top:1257;width:1205;height:393" coordorigin="8723,1257" coordsize="1205,393" path="m8723,1649l9928,1649,9928,1257,8723,1257,8723,1649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780" w:type="dxa"/>
        <w:tblLayout w:type="fixed"/>
        <w:tblCellMar>
          <w:top w:w="0" w:type="dxa"/>
          <w:left w:w="0" w:type="dxa"/>
          <w:bottom w:w="0" w:type="dxa"/>
          <w:right w:w="0" w:type="dxa"/>
        </w:tblCellMar>
        <w:tblLook w:val="01E0"/>
      </w:tblPr>
      <w:tblGrid>
        <w:gridCol w:w="7898"/>
        <w:gridCol w:w="140"/>
        <w:gridCol w:w="1132"/>
        <w:gridCol w:w="749"/>
      </w:tblGrid>
      <w:tr>
        <w:trPr>
          <w:trHeight w:val="402" w:hRule="exact"/>
        </w:trPr>
        <w:tc>
          <w:tcPr>
            <w:tcW w:w="7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7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2" w:right="0"/>
              <w:jc w:val="left"/>
              <w:rPr>
                <w:rFonts w:ascii="Times New Roman" w:hAnsi="Times New Roman" w:cs="Times New Roman" w:eastAsia="Times New Roman" w:hint="default"/>
                <w:sz w:val="18"/>
                <w:szCs w:val="18"/>
              </w:rPr>
            </w:pPr>
            <w:r>
              <w:rPr>
                <w:rFonts w:ascii="Times New Roman"/>
                <w:sz w:val="18"/>
              </w:rPr>
              <w:t>-8,939,953.30</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w:t>
            </w:r>
            <w:r>
              <w:rPr>
                <w:rFonts w:ascii="宋体" w:hAnsi="宋体" w:cs="宋体" w:eastAsia="宋体" w:hint="default"/>
                <w:spacing w:val="-74"/>
                <w:sz w:val="18"/>
                <w:szCs w:val="18"/>
              </w:rPr>
              <w:t>助</w:t>
            </w:r>
            <w:r>
              <w:rPr>
                <w:rFonts w:ascii="宋体" w:hAnsi="宋体" w:cs="宋体" w:eastAsia="宋体" w:hint="default"/>
                <w:sz w:val="18"/>
                <w:szCs w:val="18"/>
              </w:rPr>
              <w:t>（与企业业务密切相关</w:t>
            </w:r>
            <w:r>
              <w:rPr>
                <w:rFonts w:ascii="宋体" w:hAnsi="宋体" w:cs="宋体" w:eastAsia="宋体" w:hint="default"/>
                <w:spacing w:val="-74"/>
                <w:sz w:val="18"/>
                <w:szCs w:val="18"/>
              </w:rPr>
              <w:t>，</w:t>
            </w:r>
            <w:r>
              <w:rPr>
                <w:rFonts w:ascii="宋体" w:hAnsi="宋体" w:cs="宋体" w:eastAsia="宋体" w:hint="default"/>
                <w:sz w:val="18"/>
                <w:szCs w:val="18"/>
              </w:rPr>
              <w:t>按照国家统一标准定额或定量享受的政府补助除外</w:t>
            </w:r>
          </w:p>
        </w:tc>
        <w:tc>
          <w:tcPr>
            <w:tcW w:w="1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20,482,092.00</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除同公司正常经营业务相关的有效套期保值业务外，持有交易性金融资产、交易性金融负债产生的公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允价值变动损益，以及处置交易性金融资产、交易性金融负债和可供出售金融资产取得的投资收益</w:t>
            </w:r>
          </w:p>
        </w:tc>
        <w:tc>
          <w:tcPr>
            <w:tcW w:w="12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56,728,048.35</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2" w:right="0"/>
              <w:jc w:val="left"/>
              <w:rPr>
                <w:rFonts w:ascii="Times New Roman" w:hAnsi="Times New Roman" w:cs="Times New Roman" w:eastAsia="Times New Roman" w:hint="default"/>
                <w:sz w:val="18"/>
                <w:szCs w:val="18"/>
              </w:rPr>
            </w:pPr>
            <w:r>
              <w:rPr>
                <w:rFonts w:ascii="Times New Roman"/>
                <w:sz w:val="18"/>
              </w:rPr>
              <w:t>-3,758,700.09</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10,291,991.43</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54,219,495.53</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净资产收益率及每股收益" w:id="421"/>
      <w:bookmarkEnd w:id="42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1"/>
          <w:szCs w:val="21"/>
        </w:rPr>
      </w:pPr>
    </w:p>
    <w:tbl>
      <w:tblPr>
        <w:tblW w:w="0" w:type="auto"/>
        <w:jc w:val="left"/>
        <w:tblInd w:w="1140" w:type="dxa"/>
        <w:tblLayout w:type="fixed"/>
        <w:tblCellMar>
          <w:top w:w="0" w:type="dxa"/>
          <w:left w:w="0" w:type="dxa"/>
          <w:bottom w:w="0" w:type="dxa"/>
          <w:right w:w="0" w:type="dxa"/>
        </w:tblCellMar>
        <w:tblLook w:val="01E0"/>
      </w:tblPr>
      <w:tblGrid>
        <w:gridCol w:w="4309"/>
        <w:gridCol w:w="1422"/>
        <w:gridCol w:w="1913"/>
        <w:gridCol w:w="1913"/>
      </w:tblGrid>
      <w:tr>
        <w:trPr>
          <w:trHeight w:val="205" w:hRule="exact"/>
        </w:trPr>
        <w:tc>
          <w:tcPr>
            <w:tcW w:w="43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435" w:right="74"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3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22"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309" w:type="dxa"/>
            <w:vMerge/>
            <w:tcBorders>
              <w:left w:val="single" w:sz="4" w:space="0" w:color="000000"/>
              <w:bottom w:val="nil" w:sz="6" w:space="0" w:color="auto"/>
              <w:right w:val="single" w:sz="4" w:space="0" w:color="000000"/>
            </w:tcBorders>
            <w:shd w:val="clear" w:color="auto" w:fill="D2D2D2"/>
          </w:tcPr>
          <w:p>
            <w:pPr/>
          </w:p>
        </w:tc>
        <w:tc>
          <w:tcPr>
            <w:tcW w:w="1422"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3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2"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22"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z w:val="18"/>
              </w:rPr>
              <w:t>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0.0181</w:t>
            </w:r>
          </w:p>
        </w:tc>
      </w:tr>
      <w:tr>
        <w:trPr>
          <w:trHeight w:val="402" w:hRule="exact"/>
        </w:trPr>
        <w:tc>
          <w:tcPr>
            <w:tcW w:w="4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9" w:right="20"/>
        <w:jc w:val="center"/>
        <w:rPr>
          <w:b w:val="0"/>
          <w:bCs w:val="0"/>
        </w:rPr>
      </w:pPr>
      <w:bookmarkStart w:name="第十二节 备查文件目录" w:id="422"/>
      <w:bookmarkEnd w:id="422"/>
      <w:r>
        <w:rPr>
          <w:b w:val="0"/>
          <w:bCs w:val="0"/>
        </w:rPr>
      </w:r>
      <w:bookmarkStart w:name="_bookmark10" w:id="423"/>
      <w:bookmarkEnd w:id="423"/>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right="3733"/>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2017</w:t>
      </w:r>
      <w:r>
        <w:rPr/>
        <w:t>年年度报告文本。 五、以上备查文件的备置地点：公司证券部、深圳证券交易所。</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1064" type="#_x0000_t75" stroked="false">
          <v:imagedata r:id="rId1" o:title=""/>
        </v:shape>
      </w:pict>
    </w:r>
    <w:r>
      <w:rPr/>
      <w:pict>
        <v:shape style="position:absolute;margin-left:533.179993pt;margin-top:795.517944pt;width:6.5pt;height:11pt;mso-position-horizontal-relative:page;mso-position-vertical-relative:page;z-index:-801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1016" type="#_x0000_t75" stroked="false">
          <v:imagedata r:id="rId1" o:title=""/>
        </v:shape>
      </w:pict>
    </w:r>
    <w:r>
      <w:rPr/>
      <w:pict>
        <v:shape style="position:absolute;margin-left:527.679993pt;margin-top:781.957947pt;width:13pt;height:11pt;mso-position-horizontal-relative:page;mso-position-vertical-relative:page;z-index:-800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0968" type="#_x0000_t75" stroked="false">
          <v:imagedata r:id="rId1" o:title=""/>
        </v:shape>
      </w:pict>
    </w:r>
    <w:r>
      <w:rPr/>
      <w:pict>
        <v:shape style="position:absolute;margin-left:524.179993pt;margin-top:781.957947pt;width:15.5pt;height:11pt;mso-position-horizontal-relative:page;mso-position-vertical-relative:page;z-index:-8009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0920" type="#_x0000_t75" stroked="false">
          <v:imagedata r:id="rId1" o:title=""/>
        </v:shape>
      </w:pict>
    </w:r>
    <w:r>
      <w:rPr/>
      <w:pict>
        <v:shape style="position:absolute;margin-left:523.179993pt;margin-top:781.957947pt;width:17.5pt;height:11pt;mso-position-horizontal-relative:page;mso-position-vertical-relative:page;z-index:-800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01088" type="#_x0000_t202" filled="false" stroked="false">
          <v:textbox inset="0,0,0,0">
            <w:txbxContent>
              <w:p>
                <w:pPr>
                  <w:pStyle w:val="BodyText"/>
                  <w:spacing w:line="214" w:lineRule="exact"/>
                  <w:ind w:left="20" w:right="0"/>
                  <w:jc w:val="left"/>
                </w:pPr>
                <w:r>
                  <w:rPr/>
                  <w:t>广州御银科技股份有限公司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ind w:left="113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kingteller.com.cn/" TargetMode="External"/><Relationship Id="rId10" Type="http://schemas.openxmlformats.org/officeDocument/2006/relationships/hyperlink" Target="mailto:zqb@kingteller.com.cn" TargetMode="External"/><Relationship Id="rId11" Type="http://schemas.openxmlformats.org/officeDocument/2006/relationships/hyperlink" Target="http://www.cninfo.com.cn/" TargetMode="External"/><Relationship Id="rId12" Type="http://schemas.openxmlformats.org/officeDocument/2006/relationships/hyperlink" Target="http://ww/" TargetMode="External"/><Relationship Id="rId13" Type="http://schemas.openxmlformats.org/officeDocument/2006/relationships/hyperlink" Target="http://www.cninfo.com.cn&#21002;&#30331;&#30340;/" TargetMode="External"/><Relationship Id="rId14" Type="http://schemas.openxmlformats.org/officeDocument/2006/relationships/hyperlink" Target="http://www.cninfo.com/" TargetMode="External"/><Relationship Id="rId15" Type="http://schemas.openxmlformats.org/officeDocument/2006/relationships/image" Target="media/image3.png"/><Relationship Id="rId16" Type="http://schemas.openxmlformats.org/officeDocument/2006/relationships/hyperlink" Target="http://www.cninfo.com.cn/)%E7%9A%84" TargetMode="External"/><Relationship Id="rId17" Type="http://schemas.openxmlformats.org/officeDocument/2006/relationships/footer" Target="footer3.xml"/><Relationship Id="rId1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广州御银科技股份有限公司</dc:creator>
  <dc:title>广州御银科技股份有限公司2017年年度报告全文</dc:title>
  <dcterms:created xsi:type="dcterms:W3CDTF">2020-05-02T21:34:58Z</dcterms:created>
  <dcterms:modified xsi:type="dcterms:W3CDTF">2020-05-02T21:34:58Z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Microsoft® Office Word 2007</vt:lpwstr>
  </property>
  <property fmtid="{D5CDD505-2E9C-101B-9397-08002B2CF9AE}" pid="4" name="LastSaved">
    <vt:filetime>2020-05-02T00:00:00Z</vt:filetime>
  </property>
</Properties>
</file>