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tabs>
          <w:tab w:pos="6020" w:val="left" w:leader="none"/>
        </w:tabs>
        <w:spacing w:before="14"/>
        <w:ind w:left="0" w:right="954" w:firstLine="0"/>
        <w:jc w:val="center"/>
        <w:rPr>
          <w:rFonts w:ascii="宋体" w:hAnsi="宋体" w:cs="宋体" w:eastAsia="宋体" w:hint="default"/>
          <w:sz w:val="28"/>
          <w:szCs w:val="28"/>
        </w:rPr>
      </w:pPr>
      <w:r>
        <w:rPr/>
        <w:pict>
          <v:group style="position:absolute;margin-left:55.200001pt;margin-top:-49.928452pt;width:484.9pt;height:.1pt;mso-position-horizontal-relative:page;mso-position-vertical-relative:paragraph;z-index:0" coordorigin="1104,-999" coordsize="9698,2">
            <v:shape style="position:absolute;left:1104;top:-999;width:9698;height:2" coordorigin="1104,-999" coordsize="9698,0" path="m1104,-999l10802,-999e" filled="false" stroked="true" strokeweight=".72pt" strokecolor="#000000">
              <v:path arrowok="t"/>
            </v:shape>
            <w10:wrap type="none"/>
          </v:group>
        </w:pict>
      </w:r>
      <w:r>
        <w:rPr>
          <w:rFonts w:ascii="宋体" w:hAnsi="宋体" w:cs="宋体" w:eastAsia="宋体" w:hint="default"/>
          <w:spacing w:val="-1"/>
          <w:sz w:val="28"/>
          <w:szCs w:val="28"/>
        </w:rPr>
        <w:t>证券代码：</w:t>
      </w:r>
      <w:r>
        <w:rPr>
          <w:rFonts w:ascii="Times New Roman" w:hAnsi="Times New Roman" w:cs="Times New Roman" w:eastAsia="Times New Roman" w:hint="default"/>
          <w:spacing w:val="-1"/>
          <w:sz w:val="28"/>
          <w:szCs w:val="28"/>
        </w:rPr>
        <w:t>002177</w:t>
        <w:tab/>
      </w:r>
      <w:r>
        <w:rPr>
          <w:rFonts w:ascii="宋体" w:hAnsi="宋体" w:cs="宋体" w:eastAsia="宋体" w:hint="default"/>
          <w:spacing w:val="-1"/>
          <w:sz w:val="28"/>
          <w:szCs w:val="28"/>
        </w:rPr>
        <w:t>证券简称：御银股份</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3"/>
          <w:szCs w:val="33"/>
        </w:rPr>
      </w:pPr>
    </w:p>
    <w:p>
      <w:pPr>
        <w:spacing w:before="0"/>
        <w:ind w:left="0" w:right="981" w:firstLine="0"/>
        <w:jc w:val="center"/>
        <w:rPr>
          <w:rFonts w:ascii="宋体" w:hAnsi="宋体" w:cs="宋体" w:eastAsia="宋体" w:hint="default"/>
          <w:sz w:val="52"/>
          <w:szCs w:val="52"/>
        </w:rPr>
      </w:pPr>
      <w:r>
        <w:rPr>
          <w:rFonts w:ascii="宋体" w:hAnsi="宋体" w:cs="宋体" w:eastAsia="宋体" w:hint="default"/>
          <w:b/>
          <w:bCs/>
          <w:sz w:val="52"/>
          <w:szCs w:val="52"/>
        </w:rPr>
        <w:t>广州御银科技股份有限公司</w:t>
      </w:r>
      <w:r>
        <w:rPr>
          <w:rFonts w:ascii="宋体" w:hAnsi="宋体" w:cs="宋体" w:eastAsia="宋体" w:hint="default"/>
          <w:sz w:val="52"/>
          <w:szCs w:val="52"/>
        </w:rPr>
      </w:r>
    </w:p>
    <w:p>
      <w:pPr>
        <w:spacing w:before="395"/>
        <w:ind w:left="0" w:right="979"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2018</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line="1644" w:lineRule="exact"/>
        <w:ind w:left="364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84327" cy="104413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684327"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_TOC_250011"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公司负责人谭骅、主管会计工作负责人陈国军及会计机构负责人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陈国军声明：保证年度报告中财务报告的真实、准确、完整。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年度报告涉及未来计划等前瞻性陈述，只是公司生产经营计划的预测，不</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构成公司对投资者的实质性承诺，投资者及相关人士均应当对此保持足够的风</w:t>
      </w:r>
      <w:r>
        <w:rPr>
          <w:rFonts w:ascii="宋体" w:hAnsi="宋体" w:cs="宋体" w:eastAsia="宋体" w:hint="default"/>
          <w:b/>
          <w:bCs/>
          <w:w w:val="99"/>
          <w:sz w:val="28"/>
          <w:szCs w:val="28"/>
        </w:rPr>
        <w:t> </w:t>
      </w:r>
      <w:r>
        <w:rPr>
          <w:rFonts w:ascii="宋体" w:hAnsi="宋体" w:cs="宋体" w:eastAsia="宋体" w:hint="default"/>
          <w:b/>
          <w:bCs/>
          <w:sz w:val="28"/>
          <w:szCs w:val="28"/>
        </w:rPr>
        <w:t>险意识，并且应当理解计划、预测与承诺之间的差异。</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sz w:val="28"/>
          <w:szCs w:val="28"/>
        </w:rPr>
        <w:t>公司需遵守《深圳证券交易所行业信息披露指引第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上市公司从事房</w:t>
      </w:r>
      <w:r>
        <w:rPr>
          <w:rFonts w:ascii="宋体" w:hAnsi="宋体" w:cs="宋体" w:eastAsia="宋体" w:hint="default"/>
          <w:b/>
          <w:bCs/>
          <w:w w:val="99"/>
          <w:sz w:val="28"/>
          <w:szCs w:val="28"/>
        </w:rPr>
        <w:t> </w:t>
      </w:r>
      <w:r>
        <w:rPr>
          <w:rFonts w:ascii="宋体" w:hAnsi="宋体" w:cs="宋体" w:eastAsia="宋体" w:hint="default"/>
          <w:b/>
          <w:bCs/>
          <w:sz w:val="28"/>
          <w:szCs w:val="28"/>
        </w:rPr>
        <w:t>地产业务》的披露要求</w:t>
      </w:r>
      <w:r>
        <w:rPr>
          <w:rFonts w:ascii="宋体" w:hAnsi="宋体" w:cs="宋体" w:eastAsia="宋体" w:hint="default"/>
          <w:sz w:val="28"/>
          <w:szCs w:val="28"/>
        </w:rPr>
      </w:r>
    </w:p>
    <w:p>
      <w:pPr>
        <w:spacing w:line="398" w:lineRule="auto" w:before="187"/>
        <w:ind w:left="152" w:right="1135"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公司已在本报告中详细描述存在的行业风险、市场风险等，敬请投资者予</w:t>
      </w:r>
      <w:r>
        <w:rPr>
          <w:rFonts w:ascii="宋体" w:hAnsi="宋体" w:cs="宋体" w:eastAsia="宋体" w:hint="default"/>
          <w:b/>
          <w:bCs/>
          <w:w w:val="99"/>
          <w:sz w:val="28"/>
          <w:szCs w:val="28"/>
        </w:rPr>
        <w:t> </w:t>
      </w:r>
      <w:r>
        <w:rPr>
          <w:rFonts w:ascii="宋体" w:hAnsi="宋体" w:cs="宋体" w:eastAsia="宋体" w:hint="default"/>
          <w:b/>
          <w:bCs/>
          <w:spacing w:val="2"/>
          <w:sz w:val="28"/>
          <w:szCs w:val="28"/>
        </w:rPr>
        <w:t>以关注，详见本年度报告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中有关公司面临风险的</w:t>
      </w:r>
      <w:r>
        <w:rPr>
          <w:rFonts w:ascii="宋体" w:hAnsi="宋体" w:cs="宋体" w:eastAsia="宋体" w:hint="default"/>
          <w:b/>
          <w:bCs/>
          <w:w w:val="99"/>
          <w:sz w:val="28"/>
          <w:szCs w:val="28"/>
        </w:rPr>
        <w:t> </w:t>
      </w:r>
      <w:r>
        <w:rPr>
          <w:rFonts w:ascii="宋体" w:hAnsi="宋体" w:cs="宋体" w:eastAsia="宋体" w:hint="default"/>
          <w:b/>
          <w:bCs/>
          <w:sz w:val="28"/>
          <w:szCs w:val="28"/>
        </w:rPr>
        <w:t>描述。</w:t>
      </w:r>
      <w:r>
        <w:rPr>
          <w:rFonts w:ascii="宋体" w:hAnsi="宋体" w:cs="宋体" w:eastAsia="宋体" w:hint="default"/>
          <w:sz w:val="28"/>
          <w:szCs w:val="28"/>
        </w:rPr>
      </w:r>
    </w:p>
    <w:p>
      <w:pPr>
        <w:spacing w:before="171"/>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8"/>
              </w:rPr>
              <w:t> </w:t>
            </w:r>
            <w:r>
              <w:rPr/>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公司债券相关情况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t>131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pict>
          <v:group style="position:absolute;margin-left:139.100006pt;margin-top:293.089996pt;width:15.25pt;height:19.7pt;mso-position-horizontal-relative:page;mso-position-vertical-relative:page;z-index:-771928" coordorigin="2782,5862" coordsize="305,394">
            <v:shape style="position:absolute;left:2782;top:5862;width:305;height:394" coordorigin="2782,5862" coordsize="305,394" path="m2782,6255l3087,6255,3087,5862,2782,5862,2782,6255xe" filled="true" fillcolor="#d2d2d2" stroked="false">
              <v:path arrowok="t"/>
              <v:fill type="solid"/>
            </v:shape>
            <w10:wrap type="none"/>
          </v:group>
        </w:pict>
      </w:r>
      <w:r>
        <w:rPr/>
        <w:pict>
          <v:shape style="position:absolute;margin-left:138.020004pt;margin-top:321.049988pt;width:17.444539pt;height:35.25pt;mso-position-horizontal-relative:page;mso-position-vertical-relative:page;z-index:1120" type="#_x0000_t75" stroked="false">
            <v:imagedata r:id="rId9" o:title=""/>
          </v:shape>
        </w:pict>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661"/>
        <w:gridCol w:w="348"/>
        <w:gridCol w:w="7689"/>
      </w:tblGrid>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御银有限</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广州御银科技有限公司，公司改组为股份有限公司前的主体</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中华人民共和国法定货币人民币元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广州御新</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广州御新软件有限公司，公司下属全资子公司，持有其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自动柜员机技术</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广州御银自动柜员机技术有限公司，公司下属全资子公司，通过广州御新持有其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715"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安徽御银</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300" w:lineRule="auto" w:before="49"/>
              <w:ind w:left="17" w:right="22"/>
              <w:jc w:val="left"/>
              <w:rPr>
                <w:rFonts w:ascii="宋体" w:hAnsi="宋体" w:cs="宋体" w:eastAsia="宋体" w:hint="default"/>
                <w:sz w:val="18"/>
                <w:szCs w:val="18"/>
              </w:rPr>
            </w:pPr>
            <w:r>
              <w:rPr>
                <w:rFonts w:ascii="宋体" w:hAnsi="宋体" w:cs="宋体" w:eastAsia="宋体" w:hint="default"/>
                <w:sz w:val="18"/>
                <w:szCs w:val="18"/>
              </w:rPr>
              <w:t>安徽御银电子科技有限公司，公司下属全资子公司，持有其</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股权，公司于第五届董事会第十 二次会议审议通过拟将其注销</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御银金融</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广州御银金融服务有限公司，公司下属全资子公司，直接持有其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股权，通过广州御新持有其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股权，公司合共持有其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御银国际</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自动柜员机科技</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御银香港</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御银科技（香港）有限公司，公司下属全资子公司，通过御银国际持有其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上海博科</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上海博科资讯股份有限公司，参股公司，通过广州御新持有其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1.55%</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御银信息</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前海股交投资</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前海股交投资控股（深圳）有限公司，参股公司，持有其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7.64%</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佛山海晟金融租赁</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佛山海晟金融租赁股份有限公司，参股公司，持有其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御新智合</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御新赢创</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御新科技</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北京御新科技有限公司，公司下属全资子公司，持有其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小炬人</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天成智合</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661"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同位素</w:t>
            </w:r>
          </w:p>
        </w:tc>
        <w:tc>
          <w:tcPr>
            <w:tcW w:w="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89"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31"/>
              <w:jc w:val="left"/>
              <w:rPr>
                <w:rFonts w:ascii="宋体" w:hAnsi="宋体" w:cs="宋体" w:eastAsia="宋体" w:hint="default"/>
                <w:sz w:val="18"/>
                <w:szCs w:val="18"/>
              </w:rPr>
            </w:pPr>
            <w:r>
              <w:rPr>
                <w:rFonts w:ascii="宋体" w:hAnsi="宋体" w:cs="宋体" w:eastAsia="宋体" w:hint="default"/>
                <w:sz w:val="18"/>
                <w:szCs w:val="18"/>
              </w:rPr>
              <w:t>广州同位素智能科技有限公司，公司下属全资子公司，直接持有其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82.33%</w:t>
            </w:r>
            <w:r>
              <w:rPr>
                <w:rFonts w:ascii="宋体" w:hAnsi="宋体" w:cs="宋体" w:eastAsia="宋体" w:hint="default"/>
                <w:sz w:val="18"/>
                <w:szCs w:val="18"/>
              </w:rPr>
              <w:t>股权，通过小炬人持有 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17.67%</w:t>
            </w:r>
            <w:r>
              <w:rPr>
                <w:rFonts w:ascii="宋体" w:hAnsi="宋体" w:cs="宋体" w:eastAsia="宋体" w:hint="default"/>
                <w:sz w:val="18"/>
                <w:szCs w:val="18"/>
              </w:rPr>
              <w:t>股权</w:t>
            </w:r>
          </w:p>
        </w:tc>
      </w:tr>
      <w:tr>
        <w:trPr>
          <w:trHeight w:val="394" w:hRule="exact"/>
        </w:trPr>
        <w:tc>
          <w:tcPr>
            <w:tcW w:w="1661" w:type="dxa"/>
            <w:vMerge/>
            <w:tcBorders>
              <w:left w:val="single" w:sz="4" w:space="0" w:color="000000"/>
              <w:right w:val="single" w:sz="9" w:space="0" w:color="D2D2D2"/>
            </w:tcBorders>
          </w:tcPr>
          <w:p>
            <w:pPr/>
          </w:p>
        </w:tc>
        <w:tc>
          <w:tcPr>
            <w:tcW w:w="3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vMerge/>
            <w:tcBorders>
              <w:left w:val="single" w:sz="9" w:space="0" w:color="D2D2D2"/>
              <w:right w:val="single" w:sz="4" w:space="0" w:color="000000"/>
            </w:tcBorders>
          </w:tcPr>
          <w:p>
            <w:pPr/>
          </w:p>
        </w:tc>
      </w:tr>
      <w:tr>
        <w:trPr>
          <w:trHeight w:val="161" w:hRule="exact"/>
        </w:trPr>
        <w:tc>
          <w:tcPr>
            <w:tcW w:w="1661" w:type="dxa"/>
            <w:vMerge/>
            <w:tcBorders>
              <w:left w:val="single" w:sz="4" w:space="0" w:color="000000"/>
              <w:bottom w:val="single" w:sz="4" w:space="0" w:color="000000"/>
              <w:right w:val="single" w:sz="9" w:space="0" w:color="D2D2D2"/>
            </w:tcBorders>
          </w:tcPr>
          <w:p>
            <w:pPr/>
          </w:p>
        </w:tc>
        <w:tc>
          <w:tcPr>
            <w:tcW w:w="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9" w:type="dxa"/>
            <w:vMerge/>
            <w:tcBorders>
              <w:left w:val="single" w:sz="9" w:space="0" w:color="D2D2D2"/>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广州御银金融电子设备有限公司，公司下属全资子公司，通过自动柜员机科技持有其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十方软件</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御联软件</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广州御联软件有限公司，公司下属全资子公司，持有其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6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御商信息</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661"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花都村镇银行</w:t>
            </w:r>
          </w:p>
        </w:tc>
        <w:tc>
          <w:tcPr>
            <w:tcW w:w="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89"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75"/>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广州花都稠州村镇银行股份有限公司，参股公司，持有其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股权；公司于第六届董事会第四次 会议审议通过转让其持有的全部股权，目前相关事项尚在有关监管部门审批中</w:t>
            </w:r>
          </w:p>
        </w:tc>
      </w:tr>
      <w:tr>
        <w:trPr>
          <w:trHeight w:val="391" w:hRule="exact"/>
        </w:trPr>
        <w:tc>
          <w:tcPr>
            <w:tcW w:w="1661" w:type="dxa"/>
            <w:vMerge/>
            <w:tcBorders>
              <w:left w:val="single" w:sz="4" w:space="0" w:color="000000"/>
              <w:right w:val="single" w:sz="9" w:space="0" w:color="D2D2D2"/>
            </w:tcBorders>
          </w:tcPr>
          <w:p>
            <w:pPr/>
          </w:p>
        </w:tc>
        <w:tc>
          <w:tcPr>
            <w:tcW w:w="3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指</w:t>
            </w:r>
          </w:p>
        </w:tc>
        <w:tc>
          <w:tcPr>
            <w:tcW w:w="7689" w:type="dxa"/>
            <w:vMerge/>
            <w:tcBorders>
              <w:left w:val="single" w:sz="9" w:space="0" w:color="D2D2D2"/>
              <w:right w:val="single" w:sz="4" w:space="0" w:color="000000"/>
            </w:tcBorders>
          </w:tcPr>
          <w:p>
            <w:pPr/>
          </w:p>
        </w:tc>
      </w:tr>
      <w:tr>
        <w:trPr>
          <w:trHeight w:val="161" w:hRule="exact"/>
        </w:trPr>
        <w:tc>
          <w:tcPr>
            <w:tcW w:w="1661" w:type="dxa"/>
            <w:vMerge/>
            <w:tcBorders>
              <w:left w:val="single" w:sz="4" w:space="0" w:color="000000"/>
              <w:bottom w:val="single" w:sz="4" w:space="0" w:color="000000"/>
              <w:right w:val="single" w:sz="9" w:space="0" w:color="D2D2D2"/>
            </w:tcBorders>
          </w:tcPr>
          <w:p>
            <w:pPr/>
          </w:p>
        </w:tc>
        <w:tc>
          <w:tcPr>
            <w:tcW w:w="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9"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8598pt;width:361.55pt;height:19.6pt;mso-position-horizontal-relative:page;mso-position-vertical-relative:page;z-index:-771880"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33"/>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002177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Guangzhou Kingteller Technology</w:t>
            </w:r>
            <w:r>
              <w:rPr>
                <w:rFonts w:ascii="Times New Roman"/>
                <w:spacing w:val="-27"/>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KINGTELLER</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谭骅</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广州市天河区高唐路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 </w:t>
            </w:r>
            <w:r>
              <w:rPr>
                <w:rFonts w:ascii="宋体" w:hAnsi="宋体" w:cs="宋体" w:eastAsia="宋体" w:hint="default"/>
                <w:sz w:val="18"/>
                <w:szCs w:val="18"/>
              </w:rPr>
              <w:t>房</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510530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http://www.kingteller.com.cn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778"/>
        <w:gridCol w:w="3972"/>
        <w:gridCol w:w="3809"/>
      </w:tblGrid>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余咏芳</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9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9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020-29087848</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020-29087848</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9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020-29087850</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020-29087850</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9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zqb@kingteller.com.cn</w:t>
              </w:r>
            </w:hyperlink>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http://</w:t>
            </w:r>
            <w:r>
              <w:rPr>
                <w:rFonts w:ascii="Times New Roman"/>
                <w:spacing w:val="-24"/>
                <w:sz w:val="18"/>
              </w:rPr>
              <w:t> </w:t>
            </w:r>
            <w:hyperlink r:id="rId12">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left="652" w:right="1042"/>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649" w:type="dxa"/>
        <w:tblLayout w:type="fixed"/>
        <w:tblCellMar>
          <w:top w:w="0" w:type="dxa"/>
          <w:left w:w="0" w:type="dxa"/>
          <w:bottom w:w="0" w:type="dxa"/>
          <w:right w:w="0" w:type="dxa"/>
        </w:tblCellMar>
        <w:tblLook w:val="01E0"/>
      </w:tblPr>
      <w:tblGrid>
        <w:gridCol w:w="3780"/>
        <w:gridCol w:w="5790"/>
      </w:tblGrid>
      <w:tr>
        <w:trPr>
          <w:trHeight w:val="401" w:hRule="exact"/>
        </w:trPr>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9144010172680151XE</w:t>
            </w:r>
          </w:p>
        </w:tc>
      </w:tr>
      <w:tr>
        <w:trPr>
          <w:trHeight w:val="403" w:hRule="exact"/>
        </w:trPr>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left="652" w:right="1042"/>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52" w:right="1042"/>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6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漆江燕、张锦坤</w:t>
            </w:r>
          </w:p>
        </w:tc>
      </w:tr>
    </w:tbl>
    <w:p>
      <w:pPr>
        <w:pStyle w:val="BodyText"/>
        <w:spacing w:line="240" w:lineRule="auto" w:before="8"/>
        <w:ind w:left="652" w:right="1042"/>
        <w:jc w:val="left"/>
      </w:pPr>
      <w:r>
        <w:rPr/>
        <w:t>公司聘请的报告期内履行持续督导职责的保荐机构</w:t>
      </w:r>
    </w:p>
    <w:p>
      <w:pPr>
        <w:pStyle w:val="BodyText"/>
        <w:spacing w:line="300" w:lineRule="auto" w:before="76"/>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1"/>
        <w:ind w:left="652"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652" w:right="1042"/>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52" w:right="1042"/>
        <w:jc w:val="left"/>
      </w:pPr>
      <w:r>
        <w:rPr/>
        <w:t>公司是否需追溯调整或重述以前年度会计数据</w:t>
      </w:r>
    </w:p>
    <w:p>
      <w:pPr>
        <w:pStyle w:val="BodyText"/>
        <w:spacing w:line="240" w:lineRule="auto" w:before="76"/>
        <w:ind w:left="652" w:right="10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4478"/>
        <w:gridCol w:w="1497"/>
        <w:gridCol w:w="1486"/>
        <w:gridCol w:w="1484"/>
        <w:gridCol w:w="1486"/>
      </w:tblGrid>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394,213,945.82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569,714,606.45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770,942,502.45</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-94,817,582.68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13,767,025.88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23,246,241.18</w:t>
            </w:r>
          </w:p>
        </w:tc>
      </w:tr>
      <w:tr>
        <w:trPr>
          <w:trHeight w:val="403" w:hRule="exact"/>
        </w:trPr>
        <w:tc>
          <w:tcPr>
            <w:tcW w:w="447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归属于上市公司股东的扣除非经常性损益的净利润（元）</w:t>
            </w:r>
          </w:p>
        </w:tc>
        <w:tc>
          <w:tcPr>
            <w:tcW w:w="1497"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-44,687,445.70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-40,452,469.65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26,800,330.12</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109,976,975.80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147,774,384.35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379,299,368.49</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0.0181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0.0305</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0.0181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0.0305</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r>
      <w:tr>
        <w:trPr>
          <w:trHeight w:val="161" w:hRule="exact"/>
        </w:trPr>
        <w:tc>
          <w:tcPr>
            <w:tcW w:w="4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56" w:right="104" w:hanging="449"/>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4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4478" w:type="dxa"/>
            <w:tcBorders>
              <w:top w:val="nil" w:sz="6" w:space="0" w:color="auto"/>
              <w:left w:val="single" w:sz="4" w:space="0" w:color="000000"/>
              <w:bottom w:val="nil" w:sz="6" w:space="0" w:color="auto"/>
              <w:right w:val="single" w:sz="4" w:space="0" w:color="000000"/>
            </w:tcBorders>
            <w:shd w:val="clear" w:color="auto" w:fill="D2D2D2"/>
          </w:tcPr>
          <w:p>
            <w:pPr/>
          </w:p>
        </w:tc>
        <w:tc>
          <w:tcPr>
            <w:tcW w:w="14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84" w:type="dxa"/>
            <w:vMerge/>
            <w:tcBorders>
              <w:left w:val="single" w:sz="4" w:space="0" w:color="000000"/>
              <w:right w:val="single" w:sz="4" w:space="0" w:color="000000"/>
            </w:tcBorders>
            <w:shd w:val="clear" w:color="auto" w:fill="D2D2D2"/>
          </w:tcPr>
          <w:p>
            <w:pPr/>
          </w:p>
        </w:tc>
        <w:tc>
          <w:tcPr>
            <w:tcW w:w="14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4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4" w:type="dxa"/>
            <w:vMerge/>
            <w:tcBorders>
              <w:left w:val="single" w:sz="4" w:space="0" w:color="000000"/>
              <w:bottom w:val="single" w:sz="4" w:space="0" w:color="000000"/>
              <w:right w:val="single" w:sz="4" w:space="0" w:color="000000"/>
            </w:tcBorders>
            <w:shd w:val="clear" w:color="auto" w:fill="D2D2D2"/>
          </w:tcPr>
          <w:p>
            <w:pPr/>
          </w:p>
        </w:tc>
        <w:tc>
          <w:tcPr>
            <w:tcW w:w="14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1,754,070,887.95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2,062,368,704.15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2,168,265,760.36</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4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1,584,364,353.33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1,690,511,645.81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1,676,861,540.73</w:t>
            </w:r>
          </w:p>
        </w:tc>
      </w:tr>
    </w:tbl>
    <w:p>
      <w:pPr>
        <w:spacing w:line="240" w:lineRule="auto" w:before="1"/>
        <w:rPr>
          <w:rFonts w:ascii="宋体" w:hAnsi="宋体" w:cs="宋体" w:eastAsia="宋体" w:hint="default"/>
          <w:sz w:val="18"/>
          <w:szCs w:val="18"/>
        </w:rPr>
      </w:pPr>
    </w:p>
    <w:p>
      <w:pPr>
        <w:pStyle w:val="Heading2"/>
        <w:spacing w:line="240" w:lineRule="auto" w:before="26"/>
        <w:ind w:left="652" w:right="1042"/>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652"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after="0" w:line="300" w:lineRule="auto"/>
        <w:jc w:val="left"/>
        <w:sectPr>
          <w:pgSz w:w="11910" w:h="16840"/>
          <w:pgMar w:header="745" w:footer="980" w:top="1060" w:bottom="1160" w:left="4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8"/>
        <w:gridCol w:w="1362"/>
        <w:gridCol w:w="1349"/>
        <w:gridCol w:w="1352"/>
        <w:gridCol w:w="1349"/>
      </w:tblGrid>
      <w:tr>
        <w:trPr>
          <w:trHeight w:val="403" w:hRule="exact"/>
        </w:trPr>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131,405,033.48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104,931,268.53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67,168,801.35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90,708,842.46</w:t>
            </w:r>
          </w:p>
        </w:tc>
      </w:tr>
      <w:tr>
        <w:trPr>
          <w:trHeight w:val="402" w:hRule="exact"/>
        </w:trPr>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3,847,540.71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619,043.94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2" w:right="0"/>
              <w:jc w:val="left"/>
              <w:rPr>
                <w:rFonts w:ascii="Times New Roman" w:hAnsi="Times New Roman" w:cs="Times New Roman" w:eastAsia="Times New Roman" w:hint="default"/>
                <w:sz w:val="18"/>
                <w:szCs w:val="18"/>
              </w:rPr>
            </w:pPr>
            <w:r>
              <w:rPr>
                <w:rFonts w:ascii="Times New Roman"/>
                <w:sz w:val="18"/>
              </w:rPr>
              <w:t>-1,838,703.39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-97,445,463.94</w:t>
            </w:r>
          </w:p>
        </w:tc>
      </w:tr>
      <w:tr>
        <w:trPr>
          <w:trHeight w:val="403" w:hRule="exact"/>
        </w:trPr>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3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8,490,203.37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-5,620,856.41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-3,422,155.40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-44,134,637.26</w:t>
            </w:r>
          </w:p>
        </w:tc>
      </w:tr>
      <w:tr>
        <w:trPr>
          <w:trHeight w:val="402" w:hRule="exact"/>
        </w:trPr>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-66,643,081.02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81,261,896.47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3" w:right="0"/>
              <w:jc w:val="left"/>
              <w:rPr>
                <w:rFonts w:ascii="Times New Roman" w:hAnsi="Times New Roman" w:cs="Times New Roman" w:eastAsia="Times New Roman" w:hint="default"/>
                <w:sz w:val="18"/>
                <w:szCs w:val="18"/>
              </w:rPr>
            </w:pPr>
            <w:r>
              <w:rPr>
                <w:rFonts w:ascii="Times New Roman"/>
                <w:sz w:val="18"/>
              </w:rPr>
              <w:t>20,826,693.53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74,531,466.82</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3"/>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950"/>
        <w:gridCol w:w="1163"/>
        <w:gridCol w:w="1093"/>
        <w:gridCol w:w="1150"/>
        <w:gridCol w:w="559"/>
      </w:tblGrid>
      <w:tr>
        <w:trPr>
          <w:trHeight w:val="402" w:hRule="exact"/>
        </w:trPr>
        <w:tc>
          <w:tcPr>
            <w:tcW w:w="5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-9,890,033.63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-8,939,953.30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-14,315,874.03</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计入当期损益的政府补助（与企业业务密切相关，按照国家统一标准定额或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定量享受的政府补助除外）</w:t>
            </w:r>
          </w:p>
        </w:tc>
        <w:tc>
          <w:tcPr>
            <w:tcW w:w="1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12,670,184.00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20,482,092.00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11,355,162.70</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1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1"/>
                <w:sz w:val="18"/>
                <w:szCs w:val="18"/>
              </w:rPr>
              <w:t>交易性金融负债产生的公允价值变动损益，以及处置交易性金融资产、交易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性金融负债和可供出售金融资产取得的投资收益</w:t>
            </w:r>
          </w:p>
        </w:tc>
        <w:tc>
          <w:tcPr>
            <w:tcW w:w="1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-50,362,184.75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56,728,048.35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4,588,884.73</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-7,662,420.28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-3,758,700.09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-6,294,757.45</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-5,114,317.68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10,291,991.43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-1,112,495.11</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-50,130,136.98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54,219,495.53</w:t>
            </w:r>
          </w:p>
        </w:tc>
        <w:tc>
          <w:tcPr>
            <w:tcW w:w="11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-3,554,088.94</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left="513" w:right="0"/>
        <w:jc w:val="left"/>
      </w:pPr>
      <w:r>
        <w:rPr/>
        <w:t>对公司根据《公开发行证券的公司信息披露解释性公告第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0" w:lineRule="auto" w:before="63"/>
        <w:ind w:right="1120"/>
        <w:jc w:val="left"/>
      </w:pPr>
      <w:r>
        <w:rPr>
          <w:spacing w:val="-2"/>
        </w:rPr>
        <w:t>把《公开发行证券的公司信息披露解释性公告第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3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63"/>
        <w:ind w:right="1114" w:firstLine="360"/>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7694"/>
        <w:jc w:val="left"/>
      </w:pPr>
      <w:r>
        <w:rPr/>
        <w:t>公司是否需要遵守特殊行业的披露要求 是</w:t>
      </w:r>
    </w:p>
    <w:p>
      <w:pPr>
        <w:pStyle w:val="BodyText"/>
        <w:spacing w:line="240" w:lineRule="auto" w:before="19"/>
        <w:ind w:right="1133"/>
        <w:jc w:val="left"/>
      </w:pPr>
      <w:r>
        <w:rPr/>
        <w:t>房地产业</w:t>
      </w:r>
    </w:p>
    <w:p>
      <w:pPr>
        <w:pStyle w:val="BodyText"/>
        <w:spacing w:line="300" w:lineRule="auto" w:before="76"/>
        <w:ind w:right="1148" w:firstLine="360"/>
        <w:jc w:val="both"/>
      </w:pPr>
      <w:r>
        <w:rPr/>
        <w:t>公司专注金融设备整体方案解决十余年，在</w:t>
      </w:r>
      <w:r>
        <w:rPr>
          <w:rFonts w:ascii="Times New Roman" w:hAnsi="Times New Roman" w:cs="Times New Roman" w:eastAsia="Times New Roman" w:hint="default"/>
        </w:rPr>
        <w:t>ATM</w:t>
      </w:r>
      <w:r>
        <w:rPr/>
        <w:t>设备产能和销售规模在国内</w:t>
      </w:r>
      <w:r>
        <w:rPr>
          <w:rFonts w:ascii="Times New Roman" w:hAnsi="Times New Roman" w:cs="Times New Roman" w:eastAsia="Times New Roman" w:hint="default"/>
        </w:rPr>
        <w:t>ATM</w:t>
      </w:r>
      <w:r>
        <w:rPr/>
        <w:t>制造厂商中位居前列，是国内较领先 运用生物识别技术于金融自助设备中的高端服务商，创新性地打造智慧银行等更加适应市场的高科技产品。</w:t>
      </w:r>
    </w:p>
    <w:p>
      <w:pPr>
        <w:pStyle w:val="BodyText"/>
        <w:spacing w:line="300" w:lineRule="auto" w:before="31"/>
        <w:ind w:right="1133" w:firstLine="360"/>
        <w:jc w:val="both"/>
      </w:pPr>
      <w:r>
        <w:rPr>
          <w:spacing w:val="-1"/>
        </w:rPr>
        <w:t>主要产品为</w:t>
      </w:r>
      <w:r>
        <w:rPr>
          <w:rFonts w:ascii="Times New Roman" w:hAnsi="Times New Roman" w:cs="Times New Roman" w:eastAsia="Times New Roman" w:hint="default"/>
          <w:spacing w:val="-1"/>
        </w:rPr>
        <w:t>ATM</w:t>
      </w:r>
      <w:r>
        <w:rPr>
          <w:spacing w:val="-1"/>
        </w:rPr>
        <w:t>自助设备，和向银行类金融机构用于为其客户提供自助式金融服务，主营业务由</w:t>
      </w:r>
      <w:r>
        <w:rPr>
          <w:rFonts w:ascii="Times New Roman" w:hAnsi="Times New Roman" w:cs="Times New Roman" w:eastAsia="Times New Roman" w:hint="default"/>
          <w:spacing w:val="-1"/>
        </w:rPr>
        <w:t>ATM</w:t>
      </w:r>
      <w:r>
        <w:rPr>
          <w:spacing w:val="-1"/>
        </w:rPr>
        <w:t>产品销售、</w:t>
      </w:r>
      <w:r>
        <w:rPr>
          <w:rFonts w:ascii="Times New Roman" w:hAnsi="Times New Roman" w:cs="Times New Roman" w:eastAsia="Times New Roman" w:hint="default"/>
          <w:spacing w:val="-1"/>
        </w:rPr>
        <w:t>ATM</w:t>
      </w:r>
      <w:r>
        <w:rPr>
          <w:rFonts w:ascii="Times New Roman" w:hAnsi="Times New Roman" w:cs="Times New Roman" w:eastAsia="Times New Roman" w:hint="default"/>
          <w:w w:val="99"/>
        </w:rPr>
        <w:t> </w:t>
      </w:r>
      <w:r>
        <w:rPr/>
        <w:t>运营服务和</w:t>
      </w:r>
      <w:r>
        <w:rPr>
          <w:rFonts w:ascii="Times New Roman" w:hAnsi="Times New Roman" w:cs="Times New Roman" w:eastAsia="Times New Roman" w:hint="default"/>
        </w:rPr>
        <w:t>ATM</w:t>
      </w:r>
      <w:r>
        <w:rPr/>
        <w:t>技术服务等组成；另对自持的御银科技园区部分物业对外出租的租赁业务。</w:t>
      </w:r>
    </w:p>
    <w:p>
      <w:pPr>
        <w:pStyle w:val="BodyText"/>
        <w:spacing w:line="300" w:lineRule="auto" w:before="13"/>
        <w:ind w:right="1132" w:firstLine="360"/>
        <w:jc w:val="both"/>
      </w:pPr>
      <w:r>
        <w:rPr>
          <w:rFonts w:ascii="Times New Roman" w:hAnsi="Times New Roman" w:cs="Times New Roman" w:eastAsia="Times New Roman" w:hint="default"/>
          <w:spacing w:val="-2"/>
        </w:rPr>
        <w:t>1</w:t>
      </w:r>
      <w:r>
        <w:rPr>
          <w:spacing w:val="-2"/>
        </w:rPr>
        <w:t>、金融自助设备及相关系统软件的研发、制造、销售，公司主要产品为</w:t>
      </w:r>
      <w:r>
        <w:rPr>
          <w:rFonts w:ascii="Times New Roman" w:hAnsi="Times New Roman" w:cs="Times New Roman" w:eastAsia="Times New Roman" w:hint="default"/>
          <w:spacing w:val="-2"/>
        </w:rPr>
        <w:t>KingTeller</w:t>
      </w:r>
      <w:r>
        <w:rPr>
          <w:spacing w:val="-2"/>
        </w:rPr>
        <w:t>系列金融自助设备，包括但不限于单</w:t>
      </w:r>
      <w:r>
        <w:rPr/>
        <w:t> 取款、存取款一体机、</w:t>
      </w:r>
      <w:r>
        <w:rPr>
          <w:rFonts w:ascii="Times New Roman" w:hAnsi="Times New Roman" w:cs="Times New Roman" w:eastAsia="Times New Roman" w:hint="default"/>
        </w:rPr>
        <w:t>VTM</w:t>
      </w:r>
      <w:r>
        <w:rPr/>
        <w:t>、高速大容量存款机、智能现金出纳机、清分机等；</w:t>
      </w:r>
    </w:p>
    <w:p>
      <w:pPr>
        <w:pStyle w:val="BodyText"/>
        <w:spacing w:line="307" w:lineRule="auto" w:before="13"/>
        <w:ind w:right="1130" w:firstLine="360"/>
        <w:jc w:val="both"/>
      </w:pPr>
      <w:r>
        <w:rPr>
          <w:rFonts w:ascii="Times New Roman" w:hAnsi="Times New Roman" w:cs="Times New Roman" w:eastAsia="Times New Roman" w:hint="default"/>
        </w:rPr>
        <w:t>2</w:t>
      </w:r>
      <w:r>
        <w:rPr/>
        <w:t>、为银行类金融机构提供</w:t>
      </w:r>
      <w:r>
        <w:rPr>
          <w:rFonts w:ascii="Times New Roman" w:hAnsi="Times New Roman" w:cs="Times New Roman" w:eastAsia="Times New Roman" w:hint="default"/>
        </w:rPr>
        <w:t>ATM</w:t>
      </w:r>
      <w:r>
        <w:rPr/>
        <w:t>运营服务，即公司与银行类金融机构合作建设</w:t>
      </w:r>
      <w:r>
        <w:rPr>
          <w:rFonts w:ascii="Times New Roman" w:hAnsi="Times New Roman" w:cs="Times New Roman" w:eastAsia="Times New Roman" w:hint="default"/>
        </w:rPr>
        <w:t>ATM</w:t>
      </w:r>
      <w:r>
        <w:rPr/>
        <w:t>终端，公司负责提供</w:t>
      </w:r>
      <w:r>
        <w:rPr>
          <w:rFonts w:ascii="Times New Roman" w:hAnsi="Times New Roman" w:cs="Times New Roman" w:eastAsia="Times New Roman" w:hint="default"/>
        </w:rPr>
        <w:t>ATM</w:t>
      </w:r>
      <w:r>
        <w:rPr/>
        <w:t>设备、网 点选址、设备维护、技术支持等服务，银行类金融机构负责将</w:t>
      </w:r>
      <w:r>
        <w:rPr>
          <w:rFonts w:ascii="Times New Roman" w:hAnsi="Times New Roman" w:cs="Times New Roman" w:eastAsia="Times New Roman" w:hint="default"/>
        </w:rPr>
        <w:t>ATM</w:t>
      </w:r>
      <w:r>
        <w:rPr/>
        <w:t>网点向中国银监会或其授权机构报备、提供加钞和清算 </w:t>
      </w:r>
      <w:r>
        <w:rPr>
          <w:spacing w:val="-2"/>
        </w:rPr>
        <w:t>等，合作银行在收取跨行交易的代理手续费后，按照合作协议约定的比例将公司应收取的服务费支付给公司，公司的运营服</w:t>
      </w:r>
      <w:r>
        <w:rPr>
          <w:spacing w:val="-63"/>
        </w:rPr>
        <w:t> </w:t>
      </w:r>
      <w:r>
        <w:rPr>
          <w:spacing w:val="-63"/>
        </w:rPr>
      </w:r>
      <w:r>
        <w:rPr/>
        <w:t>务根据合作条件、收款方式、收入确认等方面的差异可分为</w:t>
      </w:r>
      <w:r>
        <w:rPr>
          <w:rFonts w:ascii="Times New Roman" w:hAnsi="Times New Roman" w:cs="Times New Roman" w:eastAsia="Times New Roman" w:hint="default"/>
        </w:rPr>
        <w:t>ATM</w:t>
      </w:r>
      <w:r>
        <w:rPr/>
        <w:t>合作运营服务和</w:t>
      </w:r>
      <w:r>
        <w:rPr>
          <w:rFonts w:ascii="Times New Roman" w:hAnsi="Times New Roman" w:cs="Times New Roman" w:eastAsia="Times New Roman" w:hint="default"/>
        </w:rPr>
        <w:t>ATM</w:t>
      </w:r>
      <w:r>
        <w:rPr/>
        <w:t>融资租赁两种模式；</w:t>
      </w:r>
    </w:p>
    <w:p>
      <w:pPr>
        <w:pStyle w:val="BodyText"/>
        <w:spacing w:line="300" w:lineRule="auto" w:before="7"/>
        <w:ind w:right="1138" w:firstLine="360"/>
        <w:jc w:val="both"/>
      </w:pPr>
      <w:r>
        <w:rPr>
          <w:rFonts w:ascii="Times New Roman" w:hAnsi="Times New Roman" w:cs="Times New Roman" w:eastAsia="Times New Roman" w:hint="default"/>
        </w:rPr>
        <w:t>3</w:t>
      </w:r>
      <w:r>
        <w:rPr/>
        <w:t>、依托于自有的强大售后服务体系，公司正在为众多银行类金融客户提供各类型设备的安装、维修、保养、升级、技 术咨询及培训等完善的售后技术服务；同时在正在为其他非金融机构以及</w:t>
      </w:r>
      <w:r>
        <w:rPr>
          <w:rFonts w:ascii="Times New Roman" w:hAnsi="Times New Roman" w:cs="Times New Roman" w:eastAsia="Times New Roman" w:hint="default"/>
        </w:rPr>
        <w:t>TC</w:t>
      </w:r>
      <w:r>
        <w:rPr/>
        <w:t>市场提供专业化、完善的售后技术服务。通过 自身的技术升级、管理升级，努力将公司打造成为一支专业化、泛社会化的售后技术服务平台；</w:t>
      </w:r>
    </w:p>
    <w:p>
      <w:pPr>
        <w:pStyle w:val="BodyText"/>
        <w:spacing w:line="240" w:lineRule="auto" w:before="31"/>
        <w:ind w:left="513" w:right="1133"/>
        <w:jc w:val="left"/>
      </w:pPr>
      <w:r>
        <w:rPr>
          <w:rFonts w:ascii="Times New Roman" w:hAnsi="Times New Roman" w:cs="Times New Roman" w:eastAsia="Times New Roman" w:hint="default"/>
        </w:rPr>
        <w:t>4</w:t>
      </w:r>
      <w:r>
        <w:rPr/>
        <w:t>、公司对自有不动产进行运营管理。报告期内，以御银科技园区部分闲置物业对外出租收取租金。</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40"/>
        <w:gridCol w:w="7230"/>
      </w:tblGrid>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61" w:hRule="exact"/>
        </w:trPr>
        <w:tc>
          <w:tcPr>
            <w:tcW w:w="2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2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6,954.11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万元，主要原因是公</w:t>
            </w:r>
            <w:r>
              <w:rPr>
                <w:rFonts w:ascii="宋体" w:hAnsi="宋体" w:cs="宋体" w:eastAsia="宋体" w:hint="default"/>
                <w:sz w:val="18"/>
                <w:szCs w:val="18"/>
              </w:rPr>
              <w:t> 司以自有资金购入上市公司股票和基金所致。</w:t>
            </w:r>
          </w:p>
        </w:tc>
      </w:tr>
      <w:tr>
        <w:trPr>
          <w:trHeight w:val="391" w:hRule="exact"/>
        </w:trPr>
        <w:tc>
          <w:tcPr>
            <w:tcW w:w="2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230" w:type="dxa"/>
            <w:vMerge/>
            <w:tcBorders>
              <w:left w:val="single" w:sz="9" w:space="0" w:color="D2D2D2"/>
              <w:right w:val="single" w:sz="4" w:space="0" w:color="000000"/>
            </w:tcBorders>
          </w:tcPr>
          <w:p>
            <w:pPr/>
          </w:p>
        </w:tc>
      </w:tr>
      <w:tr>
        <w:trPr>
          <w:trHeight w:val="161" w:hRule="exact"/>
        </w:trPr>
        <w:tc>
          <w:tcPr>
            <w:tcW w:w="2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0" w:type="dxa"/>
            <w:vMerge/>
            <w:tcBorders>
              <w:left w:val="single" w:sz="9" w:space="0" w:color="D2D2D2"/>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4,123.63 </w:t>
            </w:r>
            <w:r>
              <w:rPr>
                <w:rFonts w:ascii="宋体" w:hAnsi="宋体" w:cs="宋体" w:eastAsia="宋体" w:hint="default"/>
                <w:sz w:val="18"/>
                <w:szCs w:val="18"/>
              </w:rPr>
              <w:t>万元，主要原因是合作运营</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机器处置以及计提减值准备所致。</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1,482.30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万元，主要原因是无形资产计提减值准备所致。</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4"/>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8,021.99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万元，主要原因是公司以自有资金购入上市公司股票和理财产品所致。</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2,115.71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万元，主要原因是公司一年内到期长期应收租金减少所致。</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2,895.14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万元，主要原因是公司出售理财产品所致。</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1172.72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万元，主要原因是公司一年以上长期应收租金减少所致。</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万元，主要原因是被投资方广州青创公司经营亏损所致。</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7,086.92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万元，主要原因是收回账期内应收货款所致。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33"/>
        <w:jc w:val="left"/>
      </w:pPr>
      <w:r>
        <w:rPr/>
        <w:t>房地产业</w:t>
      </w:r>
    </w:p>
    <w:p>
      <w:pPr>
        <w:pStyle w:val="BodyText"/>
        <w:spacing w:line="300" w:lineRule="auto" w:before="117"/>
        <w:ind w:left="513" w:right="1129"/>
        <w:jc w:val="left"/>
      </w:pPr>
      <w:r>
        <w:rPr>
          <w:rFonts w:ascii="Times New Roman" w:hAnsi="Times New Roman" w:cs="Times New Roman" w:eastAsia="Times New Roman" w:hint="default"/>
        </w:rPr>
        <w:t>1</w:t>
      </w:r>
      <w:r>
        <w:rPr/>
        <w:t>、品牌优势 </w:t>
      </w:r>
      <w:r>
        <w:rPr>
          <w:spacing w:val="-2"/>
        </w:rPr>
        <w:t>公司专注于金融自助设备领域，历经十七年的努力创新和持续发展，已走在金融自助设备行业的前沿，坚持以研发创新</w:t>
      </w:r>
    </w:p>
    <w:p>
      <w:pPr>
        <w:pStyle w:val="BodyText"/>
        <w:spacing w:line="312" w:lineRule="auto" w:before="31"/>
        <w:ind w:right="1034"/>
        <w:jc w:val="left"/>
      </w:pPr>
      <w:r>
        <w:rPr/>
        <w:t>为客户创造价值，顺应市场要求并追求行业技术高峰，增强科研实力和产品竞争力，成为智能化综合服务解决方案提供商， 曾获得</w:t>
      </w:r>
      <w:r>
        <w:rPr>
          <w:rFonts w:ascii="Times New Roman" w:hAnsi="Times New Roman" w:cs="Times New Roman" w:eastAsia="Times New Roman" w:hint="default"/>
        </w:rPr>
        <w:t>“</w:t>
      </w:r>
      <w:r>
        <w:rPr/>
        <w:t>广东省诚信示范企业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广东省企业</w:t>
      </w:r>
      <w:r>
        <w:rPr>
          <w:rFonts w:ascii="Times New Roman" w:hAnsi="Times New Roman" w:cs="Times New Roman" w:eastAsia="Times New Roman" w:hint="default"/>
        </w:rPr>
        <w:t>500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广东省制造业百强</w:t>
      </w:r>
      <w:r>
        <w:rPr>
          <w:rFonts w:ascii="Times New Roman" w:hAnsi="Times New Roman" w:cs="Times New Roman" w:eastAsia="Times New Roman" w:hint="default"/>
        </w:rPr>
        <w:t>”</w:t>
      </w:r>
      <w:r>
        <w:rPr/>
        <w:t>等多项荣誉，与多家银行机构建立了持续多年的 </w:t>
      </w:r>
      <w:r>
        <w:rPr>
          <w:spacing w:val="-2"/>
        </w:rPr>
        <w:t>业务合作关系，公司高质量的服务水平、高可靠的技术产品赢得客户的信任，使得产品覆盖全国。在国家对金融信息安全重</w:t>
      </w:r>
      <w:r>
        <w:rPr>
          <w:spacing w:val="-65"/>
        </w:rPr>
        <w:t> </w:t>
      </w:r>
      <w:r>
        <w:rPr>
          <w:spacing w:val="-65"/>
        </w:rPr>
      </w:r>
      <w:r>
        <w:rPr/>
        <w:t>视下，国产化金融机具在各大银行采购份额加大，公司作为行业民族品牌的代表，更能够享受到政策红利。</w:t>
      </w:r>
    </w:p>
    <w:p>
      <w:pPr>
        <w:pStyle w:val="BodyText"/>
        <w:spacing w:line="300" w:lineRule="auto" w:before="22"/>
        <w:ind w:left="513" w:right="1034"/>
        <w:jc w:val="left"/>
      </w:pPr>
      <w:r>
        <w:rPr>
          <w:rFonts w:ascii="Times New Roman" w:hAnsi="Times New Roman" w:cs="Times New Roman" w:eastAsia="Times New Roman" w:hint="default"/>
        </w:rPr>
        <w:t>2</w:t>
      </w:r>
      <w:r>
        <w:rPr/>
        <w:t>、研发优势 </w:t>
      </w:r>
      <w:r>
        <w:rPr>
          <w:spacing w:val="-4"/>
        </w:rPr>
        <w:t>公司始终坚持以科技创新作为公司的发展主线，高度重视产品研发，坚持自主研发、自主创新，不断加强产品创新力度，</w:t>
      </w:r>
    </w:p>
    <w:p>
      <w:pPr>
        <w:pStyle w:val="BodyText"/>
        <w:spacing w:line="316" w:lineRule="auto" w:before="31"/>
        <w:ind w:right="1130"/>
        <w:jc w:val="both"/>
      </w:pPr>
      <w:r>
        <w:rPr>
          <w:spacing w:val="-2"/>
        </w:rPr>
        <w:t>自主研发能力和研发设施达到或部分达到国际先进水平，并持续保持业内领先地位。软硬件产品获得数百项国内外认证、技</w:t>
      </w:r>
      <w:r>
        <w:rPr>
          <w:spacing w:val="-63"/>
        </w:rPr>
        <w:t> </w:t>
      </w:r>
      <w:r>
        <w:rPr>
          <w:spacing w:val="-63"/>
        </w:rPr>
      </w:r>
      <w:r>
        <w:rPr>
          <w:spacing w:val="-2"/>
        </w:rPr>
        <w:t>术专利以及著作权，并参与了多项国家火炬级计划项目。目前，公司已形成涵盖自主品牌整机集成、纸币处理模块开发、设</w:t>
      </w:r>
      <w:r>
        <w:rPr>
          <w:spacing w:val="-67"/>
        </w:rPr>
        <w:t> </w:t>
      </w:r>
      <w:r>
        <w:rPr>
          <w:spacing w:val="-67"/>
        </w:rPr>
      </w:r>
      <w:r>
        <w:rPr>
          <w:spacing w:val="-2"/>
        </w:rPr>
        <w:t>备功能模块开发、新型单体机开发、产品升级换代、多功能交易系统机型设计开发等综合研发能力，设备搭载各种生物识别</w:t>
      </w:r>
      <w:r>
        <w:rPr>
          <w:spacing w:val="-64"/>
        </w:rPr>
        <w:t> </w:t>
      </w:r>
      <w:r>
        <w:rPr>
          <w:spacing w:val="-64"/>
        </w:rPr>
      </w:r>
      <w:r>
        <w:rPr>
          <w:spacing w:val="-2"/>
        </w:rPr>
        <w:t>技术、语音识别技术，探索人工智能技术。科技技术与自助设备融合，大大提升信息的安全性和客户快捷方便的体验感，这</w:t>
      </w:r>
      <w:r>
        <w:rPr>
          <w:spacing w:val="-67"/>
        </w:rPr>
        <w:t> </w:t>
      </w:r>
      <w:r>
        <w:rPr>
          <w:spacing w:val="-67"/>
        </w:rPr>
      </w:r>
      <w:r>
        <w:rPr/>
        <w:t>为银行智能网点的升级改造奠下基础，助力传统网点正在向轻型化、智能化、场景化方向转型。</w:t>
      </w:r>
    </w:p>
    <w:p>
      <w:pPr>
        <w:pStyle w:val="BodyText"/>
        <w:spacing w:line="300" w:lineRule="auto" w:before="19"/>
        <w:ind w:left="513" w:right="1153"/>
        <w:jc w:val="left"/>
      </w:pPr>
      <w:r>
        <w:rPr>
          <w:rFonts w:ascii="Times New Roman" w:hAnsi="Times New Roman" w:cs="Times New Roman" w:eastAsia="Times New Roman" w:hint="default"/>
        </w:rPr>
        <w:t>3</w:t>
      </w:r>
      <w:r>
        <w:rPr/>
        <w:t>、客户服务系统优势 御银拥有国内首屈一指的服务体系，秉承</w:t>
      </w:r>
      <w:r>
        <w:rPr>
          <w:rFonts w:ascii="Times New Roman" w:hAnsi="Times New Roman" w:cs="Times New Roman" w:eastAsia="Times New Roman" w:hint="default"/>
        </w:rPr>
        <w:t>“</w:t>
      </w:r>
      <w:r>
        <w:rPr/>
        <w:t>追求卓越，服务至上</w:t>
      </w:r>
      <w:r>
        <w:rPr>
          <w:rFonts w:ascii="Times New Roman" w:hAnsi="Times New Roman" w:cs="Times New Roman" w:eastAsia="Times New Roman" w:hint="default"/>
        </w:rPr>
        <w:t>”</w:t>
      </w:r>
      <w:r>
        <w:rPr/>
        <w:t>的服务理念，坚持做到</w:t>
      </w:r>
      <w:r>
        <w:rPr>
          <w:rFonts w:ascii="Times New Roman" w:hAnsi="Times New Roman" w:cs="Times New Roman" w:eastAsia="Times New Roman" w:hint="default"/>
        </w:rPr>
        <w:t>“</w:t>
      </w:r>
      <w:r>
        <w:rPr/>
        <w:t>三个不漏、三个保证、一个避</w:t>
      </w:r>
    </w:p>
    <w:p>
      <w:pPr>
        <w:pStyle w:val="BodyText"/>
        <w:spacing w:line="300" w:lineRule="auto" w:before="13"/>
        <w:ind w:right="1130"/>
        <w:jc w:val="both"/>
      </w:pPr>
      <w:r>
        <w:rPr/>
        <w:t>免</w:t>
      </w:r>
      <w:r>
        <w:rPr>
          <w:rFonts w:ascii="Times New Roman" w:hAnsi="Times New Roman" w:cs="Times New Roman" w:eastAsia="Times New Roman" w:hint="default"/>
        </w:rPr>
        <w:t>”</w:t>
      </w:r>
      <w:r>
        <w:rPr/>
        <w:t>，确保实现全面、可靠、周到、快捷的优质售后服务。公司独有囊括强大信息量的智能管理云平台，通过</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应用</w:t>
      </w:r>
      <w:r>
        <w:rPr>
          <w:spacing w:val="-88"/>
        </w:rPr>
        <w:t> </w:t>
      </w:r>
      <w:r>
        <w:rPr>
          <w:spacing w:val="-2"/>
        </w:rPr>
        <w:t>和</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的理念，使得空间和时间不再受限，极大提高信息获取和反馈的速度，从而提高各方的工作效率，降低运营成本并提</w:t>
      </w:r>
      <w:r>
        <w:rPr>
          <w:spacing w:val="-42"/>
        </w:rPr>
        <w:t> </w:t>
      </w:r>
      <w:r>
        <w:rPr>
          <w:spacing w:val="-42"/>
        </w:rPr>
      </w:r>
      <w:r>
        <w:rPr>
          <w:spacing w:val="-1"/>
        </w:rPr>
        <w:t>升客户的满意度；同时完善先进的物联网技术，将各类设备将互联网连接起来，实现</w:t>
      </w:r>
      <w:r>
        <w:rPr>
          <w:rFonts w:ascii="Times New Roman" w:hAnsi="Times New Roman" w:cs="Times New Roman" w:eastAsia="Times New Roman" w:hint="default"/>
          <w:spacing w:val="-1"/>
        </w:rPr>
        <w:t>“</w:t>
      </w:r>
      <w:r>
        <w:rPr>
          <w:spacing w:val="-1"/>
        </w:rPr>
        <w:t>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物</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信息</w:t>
      </w:r>
      <w:r>
        <w:rPr>
          <w:rFonts w:ascii="Times New Roman" w:hAnsi="Times New Roman" w:cs="Times New Roman" w:eastAsia="Times New Roman" w:hint="default"/>
          <w:spacing w:val="-1"/>
        </w:rPr>
        <w:t>”</w:t>
      </w:r>
      <w:r>
        <w:rPr>
          <w:spacing w:val="-1"/>
        </w:rPr>
        <w:t>的有机结合，能够</w:t>
      </w:r>
      <w:r>
        <w:rPr>
          <w:spacing w:val="-57"/>
        </w:rPr>
        <w:t> </w:t>
      </w:r>
      <w:r>
        <w:rPr>
          <w:spacing w:val="-57"/>
        </w:rPr>
      </w:r>
      <w:r>
        <w:rPr/>
        <w:t>更准确、更全面的进行管理，最大程度提高了运行效率。</w:t>
      </w:r>
    </w:p>
    <w:p>
      <w:pPr>
        <w:pStyle w:val="BodyText"/>
        <w:spacing w:line="300" w:lineRule="auto" w:before="31"/>
        <w:ind w:left="513" w:right="1033"/>
        <w:jc w:val="left"/>
      </w:pPr>
      <w:r>
        <w:rPr>
          <w:rFonts w:ascii="Times New Roman" w:hAnsi="Times New Roman" w:cs="Times New Roman" w:eastAsia="Times New Roman" w:hint="default"/>
        </w:rPr>
        <w:t>4</w:t>
      </w:r>
      <w:r>
        <w:rPr/>
        <w:t>、人才优势 公司坚持自主研发、自主创新，在发展中积累、建立起一套完备、成熟、前瞻的研发体系，拥有一支高素质、多层次、</w:t>
      </w:r>
    </w:p>
    <w:p>
      <w:pPr>
        <w:pStyle w:val="BodyText"/>
        <w:spacing w:line="316" w:lineRule="auto" w:before="31"/>
        <w:ind w:right="1034"/>
        <w:jc w:val="left"/>
      </w:pPr>
      <w:r>
        <w:rPr>
          <w:spacing w:val="-2"/>
        </w:rPr>
        <w:t>结构合理的技术研发队伍。凝聚了一批经验丰富的银行自助设备资深专家，同时，引进了众多优秀的中、高级人才，建立高</w:t>
      </w:r>
      <w:r>
        <w:rPr>
          <w:spacing w:val="-67"/>
        </w:rPr>
        <w:t> </w:t>
      </w:r>
      <w:r>
        <w:rPr>
          <w:spacing w:val="-67"/>
        </w:rPr>
      </w:r>
      <w:r>
        <w:rPr/>
        <w:t>校、研究院与企业的技术共享机制，为公司的长期、稳定发展进行人才、技术储备。公司创建一系列科学的研发管理机制， 使公司产品开发和市场需求、企业效益、社会效益紧密结合，极大地激发科研技术人员的工作积极性和创造力。</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TOC_250008" w:id="4"/>
      <w:r>
        <w:rPr/>
        <w:t>第四节</w:t>
      </w:r>
      <w:r>
        <w:rPr>
          <w:spacing w:val="-6"/>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034" w:firstLine="360"/>
        <w:jc w:val="left"/>
      </w:pPr>
      <w:r>
        <w:rPr/>
        <w:t>报告期内，随着人工智能、区块链、大数据、云计算等科技技术的蓬勃发展，尤其移动支付的快速发展，</w:t>
      </w:r>
      <w:r>
        <w:rPr>
          <w:rFonts w:ascii="Times New Roman" w:hAnsi="Times New Roman" w:cs="Times New Roman" w:eastAsia="Times New Roman" w:hint="default"/>
        </w:rPr>
        <w:t>ATM</w:t>
      </w:r>
      <w:r>
        <w:rPr/>
        <w:t>机相关 产业受到一定的冲击，导致国内</w:t>
      </w:r>
      <w:r>
        <w:rPr>
          <w:rFonts w:ascii="Times New Roman" w:hAnsi="Times New Roman" w:cs="Times New Roman" w:eastAsia="Times New Roman" w:hint="default"/>
        </w:rPr>
        <w:t>ATM</w:t>
      </w:r>
      <w:r>
        <w:rPr/>
        <w:t>市场需求增速下滑。面对银行业转型变革，行业市场竞争激烈，整体行业的设备与服 </w:t>
      </w:r>
      <w:r>
        <w:rPr>
          <w:spacing w:val="-2"/>
        </w:rPr>
        <w:t>务价格继续下行，公司进一步调整和优化行业结构和产品结构，积极推出各类智能化新型自助设备，与依托全方位监测管理</w:t>
      </w:r>
      <w:r>
        <w:rPr>
          <w:spacing w:val="-63"/>
        </w:rPr>
        <w:t> </w:t>
      </w:r>
      <w:r>
        <w:rPr>
          <w:spacing w:val="-63"/>
        </w:rPr>
      </w:r>
      <w:r>
        <w:rPr/>
        <w:t>的云平台综合维保服务，为智慧银行建设提供了技术支撑，推动银行由传统业务转向数字化、轻型化、综合化的智慧银行。</w:t>
      </w:r>
    </w:p>
    <w:p>
      <w:pPr>
        <w:pStyle w:val="BodyText"/>
        <w:spacing w:line="300" w:lineRule="auto" w:before="26"/>
        <w:ind w:right="1037" w:firstLine="360"/>
        <w:jc w:val="left"/>
      </w:pPr>
      <w:r>
        <w:rPr>
          <w:spacing w:val="-4"/>
        </w:rPr>
        <w:t>报告期内，公司主营业务、主要产品及服务未发生变化。公司实现营业总收入</w:t>
      </w:r>
      <w:r>
        <w:rPr>
          <w:rFonts w:ascii="Times New Roman" w:hAnsi="Times New Roman" w:cs="Times New Roman" w:eastAsia="Times New Roman" w:hint="default"/>
          <w:spacing w:val="-4"/>
        </w:rPr>
        <w:t>394,213,945.82</w:t>
      </w:r>
      <w:r>
        <w:rPr>
          <w:spacing w:val="-4"/>
        </w:rPr>
        <w:t>元，比上年同期减少</w:t>
      </w:r>
      <w:r>
        <w:rPr>
          <w:rFonts w:ascii="Times New Roman" w:hAnsi="Times New Roman" w:cs="Times New Roman" w:eastAsia="Times New Roman" w:hint="default"/>
          <w:spacing w:val="-4"/>
        </w:rPr>
        <w:t>30.81%</w:t>
      </w:r>
      <w:r>
        <w:rPr>
          <w:spacing w:val="-4"/>
        </w:rPr>
        <w:t>；</w:t>
      </w:r>
      <w:r>
        <w:rPr/>
        <w:t> 实现利润总额</w:t>
      </w:r>
      <w:r>
        <w:rPr>
          <w:rFonts w:ascii="Times New Roman" w:hAnsi="Times New Roman" w:cs="Times New Roman" w:eastAsia="Times New Roman" w:hint="default"/>
        </w:rPr>
        <w:t>-97,947,739.98</w:t>
      </w:r>
      <w:r>
        <w:rPr/>
        <w:t>元，比上年同期减少</w:t>
      </w:r>
      <w:r>
        <w:rPr>
          <w:rFonts w:ascii="Times New Roman" w:hAnsi="Times New Roman" w:cs="Times New Roman" w:eastAsia="Times New Roman" w:hint="default"/>
        </w:rPr>
        <w:t>550.64%</w:t>
      </w:r>
      <w:r>
        <w:rPr/>
        <w:t>；归属上市公司股东的净利润为</w:t>
      </w:r>
      <w:r>
        <w:rPr>
          <w:rFonts w:ascii="Times New Roman" w:hAnsi="Times New Roman" w:cs="Times New Roman" w:eastAsia="Times New Roman" w:hint="default"/>
        </w:rPr>
        <w:t>-94,817,582.68</w:t>
      </w:r>
      <w:r>
        <w:rPr/>
        <w:t>元，比上年同期减少 </w:t>
      </w:r>
      <w:r>
        <w:rPr>
          <w:rFonts w:ascii="Times New Roman" w:hAnsi="Times New Roman" w:cs="Times New Roman" w:eastAsia="Times New Roman" w:hint="default"/>
        </w:rPr>
        <w:t>788.73%</w:t>
      </w:r>
      <w:r>
        <w:rPr/>
        <w:t>。</w:t>
      </w:r>
    </w:p>
    <w:p>
      <w:pPr>
        <w:pStyle w:val="BodyText"/>
        <w:spacing w:line="314" w:lineRule="auto" w:before="13"/>
        <w:ind w:right="1130" w:firstLine="360"/>
        <w:jc w:val="both"/>
      </w:pPr>
      <w:r>
        <w:rPr>
          <w:spacing w:val="-2"/>
        </w:rPr>
        <w:t>在研发创新方面，坚持以研发创新为客户创造价值，顺应市场要求并追求行业技术高峰，增强科研实力，不断拓宽产品</w:t>
      </w:r>
      <w:r>
        <w:rPr/>
        <w:t> </w:t>
      </w:r>
      <w:r>
        <w:rPr>
          <w:spacing w:val="-1"/>
        </w:rPr>
        <w:t>线，形成了涵盖</w:t>
      </w:r>
      <w:r>
        <w:rPr>
          <w:rFonts w:ascii="Times New Roman" w:hAnsi="Times New Roman" w:cs="Times New Roman" w:eastAsia="Times New Roman" w:hint="default"/>
          <w:spacing w:val="-1"/>
        </w:rPr>
        <w:t>ATM</w:t>
      </w:r>
      <w:r>
        <w:rPr>
          <w:spacing w:val="-1"/>
        </w:rPr>
        <w:t>、</w:t>
      </w:r>
      <w:r>
        <w:rPr>
          <w:rFonts w:ascii="Times New Roman" w:hAnsi="Times New Roman" w:cs="Times New Roman" w:eastAsia="Times New Roman" w:hint="default"/>
          <w:spacing w:val="-1"/>
        </w:rPr>
        <w:t>CRS</w:t>
      </w:r>
      <w:r>
        <w:rPr>
          <w:spacing w:val="-1"/>
        </w:rPr>
        <w:t>、大额存取款机等金融类产品以及</w:t>
      </w:r>
      <w:r>
        <w:rPr>
          <w:rFonts w:ascii="Times New Roman" w:hAnsi="Times New Roman" w:cs="Times New Roman" w:eastAsia="Times New Roman" w:hint="default"/>
          <w:spacing w:val="-1"/>
        </w:rPr>
        <w:t>STM</w:t>
      </w:r>
      <w:r>
        <w:rPr>
          <w:spacing w:val="-1"/>
        </w:rPr>
        <w:t>（新一代智慧柜员机）、</w:t>
      </w:r>
      <w:r>
        <w:rPr>
          <w:rFonts w:ascii="Times New Roman" w:hAnsi="Times New Roman" w:cs="Times New Roman" w:eastAsia="Times New Roman" w:hint="default"/>
          <w:spacing w:val="-1"/>
        </w:rPr>
        <w:t>VTM(</w:t>
      </w:r>
      <w:r>
        <w:rPr>
          <w:spacing w:val="-1"/>
        </w:rPr>
        <w:t>远程可视柜员机）、清分</w:t>
      </w:r>
      <w:r>
        <w:rPr>
          <w:spacing w:val="-73"/>
        </w:rPr>
        <w:t> </w:t>
      </w:r>
      <w:r>
        <w:rPr>
          <w:spacing w:val="-73"/>
        </w:rPr>
      </w:r>
      <w:r>
        <w:rPr>
          <w:spacing w:val="-2"/>
        </w:rPr>
        <w:t>机等泛金融类产品的多元化产品系列。公司坚持自主研发、自主创新，每年投入大量的资金进行自主研发，形成了涵盖银行</w:t>
      </w:r>
      <w:r>
        <w:rPr>
          <w:spacing w:val="-65"/>
        </w:rPr>
        <w:t> </w:t>
      </w:r>
      <w:r>
        <w:rPr>
          <w:spacing w:val="-65"/>
        </w:rPr>
      </w:r>
      <w:r>
        <w:rPr>
          <w:spacing w:val="-2"/>
        </w:rPr>
        <w:t>现金设备和非现金设备主流产品，满足客户业务发展需求的新型设备，自主研发能力和研发设施达到或部分达到国际先进水</w:t>
      </w:r>
      <w:r>
        <w:rPr>
          <w:spacing w:val="-65"/>
        </w:rPr>
        <w:t> </w:t>
      </w:r>
      <w:r>
        <w:rPr>
          <w:spacing w:val="-65"/>
        </w:rPr>
      </w:r>
      <w:r>
        <w:rPr/>
        <w:t>平。</w:t>
      </w:r>
    </w:p>
    <w:p>
      <w:pPr>
        <w:pStyle w:val="BodyText"/>
        <w:spacing w:line="316" w:lineRule="auto" w:before="20"/>
        <w:ind w:right="1133" w:firstLine="360"/>
        <w:jc w:val="both"/>
      </w:pPr>
      <w:r>
        <w:rPr>
          <w:spacing w:val="-2"/>
        </w:rPr>
        <w:t>在智能化设备方面，公司推出多款新型智能化设备。研发出新一代智慧柜员机，帮助中小银行业务流程优化，提升业务</w:t>
      </w:r>
      <w:r>
        <w:rPr/>
        <w:t> </w:t>
      </w:r>
      <w:r>
        <w:rPr>
          <w:spacing w:val="-2"/>
        </w:rPr>
        <w:t>效率、降低运营成本，为银行提供前置系统、运用系统的综合解决方案；研发出智能现金出纳机，专门针对银行柜员解决繁</w:t>
      </w:r>
      <w:r>
        <w:rPr>
          <w:spacing w:val="-67"/>
        </w:rPr>
        <w:t> </w:t>
      </w:r>
      <w:r>
        <w:rPr>
          <w:spacing w:val="-67"/>
        </w:rPr>
      </w:r>
      <w:r>
        <w:rPr>
          <w:spacing w:val="-2"/>
        </w:rPr>
        <w:t>重现金点收工作的现金处理设备，协助银行柜员电子化处理现金清点、存取、识别等现金业务，提高柜台效率、优化服务流</w:t>
      </w:r>
      <w:r>
        <w:rPr>
          <w:spacing w:val="-66"/>
        </w:rPr>
        <w:t> </w:t>
      </w:r>
      <w:r>
        <w:rPr>
          <w:spacing w:val="-66"/>
        </w:rPr>
      </w:r>
      <w:r>
        <w:rPr>
          <w:spacing w:val="-2"/>
        </w:rPr>
        <w:t>程、节约客户时间；研发出大容量高速存取款机，即可实现高速存入大量钞票、快速取款的设备，目前正在探索新的业务模</w:t>
      </w:r>
      <w:r>
        <w:rPr>
          <w:spacing w:val="-67"/>
        </w:rPr>
        <w:t> </w:t>
      </w:r>
      <w:r>
        <w:rPr>
          <w:spacing w:val="-67"/>
        </w:rPr>
      </w:r>
      <w:r>
        <w:rPr/>
        <w:t>式：有人值守时，是高速大容量存取款功能，无人值守时，是普通</w:t>
      </w:r>
      <w:r>
        <w:rPr>
          <w:rFonts w:ascii="Times New Roman" w:hAnsi="Times New Roman" w:cs="Times New Roman" w:eastAsia="Times New Roman" w:hint="default"/>
        </w:rPr>
        <w:t>CRS</w:t>
      </w:r>
      <w:r>
        <w:rPr/>
        <w:t>功能。</w:t>
      </w:r>
    </w:p>
    <w:p>
      <w:pPr>
        <w:pStyle w:val="BodyText"/>
        <w:spacing w:line="319" w:lineRule="auto"/>
        <w:ind w:right="0" w:firstLine="360"/>
        <w:jc w:val="left"/>
      </w:pPr>
      <w:r>
        <w:rPr>
          <w:spacing w:val="-4"/>
        </w:rPr>
        <w:t>在生物识别技术方面，公司投入大量研发资源，开发了多模态生物识别解决方案平台，进一步完善人脸识别、语音识别、</w:t>
      </w:r>
      <w:r>
        <w:rPr/>
        <w:t> </w:t>
      </w:r>
      <w:r>
        <w:rPr>
          <w:spacing w:val="-2"/>
        </w:rPr>
        <w:t>虹膜识别、指静脉识别等系统。可以实现自助设备刷脸取款功能，用户可以不带卡，只要刷脸就能取款；在自助设备上加入</w:t>
      </w:r>
      <w:r>
        <w:rPr>
          <w:spacing w:val="-67"/>
        </w:rPr>
        <w:t> </w:t>
      </w:r>
      <w:r>
        <w:rPr>
          <w:spacing w:val="-67"/>
        </w:rPr>
      </w:r>
      <w:r>
        <w:rPr>
          <w:spacing w:val="-2"/>
        </w:rPr>
        <w:t>语音识别系统，语音识别进行人机交互，可以实现取款、存款、查询等功能。利用各智能技术、生物识别技术与自助设备的</w:t>
      </w:r>
      <w:r>
        <w:rPr>
          <w:spacing w:val="-67"/>
        </w:rPr>
        <w:t> </w:t>
      </w:r>
      <w:r>
        <w:rPr>
          <w:spacing w:val="-67"/>
        </w:rPr>
      </w:r>
      <w:r>
        <w:rPr/>
        <w:t>深入融合，改造现有的流程和客户服务模式，塑造新服务、新产品、新的运营和业务模式，提高客户资源利用效率。</w:t>
      </w:r>
    </w:p>
    <w:p>
      <w:pPr>
        <w:pStyle w:val="BodyText"/>
        <w:spacing w:line="314" w:lineRule="auto" w:before="17"/>
        <w:ind w:right="1129" w:firstLine="360"/>
        <w:jc w:val="both"/>
      </w:pPr>
      <w:r>
        <w:rPr>
          <w:spacing w:val="-2"/>
        </w:rPr>
        <w:t>在维护服务方面，公司继续推行精细化管理，进一步提高运行效率，保持客户满意度的同时，公司积极推广新型服务管</w:t>
      </w:r>
      <w:r>
        <w:rPr/>
        <w:t> </w:t>
      </w:r>
      <w:r>
        <w:rPr>
          <w:spacing w:val="-2"/>
        </w:rPr>
        <w:t>理模式，实现维修服务全流程的网络化和智能化，并在大部分区域运行全新的运维模式。由于运维模式最大程度上减少了中</w:t>
      </w:r>
      <w:r>
        <w:rPr>
          <w:spacing w:val="-63"/>
        </w:rPr>
        <w:t> </w:t>
      </w:r>
      <w:r>
        <w:rPr>
          <w:spacing w:val="-63"/>
        </w:rPr>
      </w:r>
      <w:r>
        <w:rPr>
          <w:spacing w:val="-1"/>
        </w:rPr>
        <w:t>间层，优化了管理效率，公司整体的维修效率提高了</w:t>
      </w:r>
      <w:r>
        <w:rPr>
          <w:rFonts w:ascii="Times New Roman" w:hAnsi="Times New Roman" w:cs="Times New Roman" w:eastAsia="Times New Roman" w:hint="default"/>
          <w:spacing w:val="-1"/>
        </w:rPr>
        <w:t>30%</w:t>
      </w:r>
      <w:r>
        <w:rPr>
          <w:spacing w:val="-1"/>
        </w:rPr>
        <w:t>左右，同时新的运维系统提供了最终客户的使用端，帮助公司最大</w:t>
      </w:r>
      <w:r>
        <w:rPr/>
        <w:t> </w:t>
      </w:r>
      <w:r>
        <w:rPr>
          <w:spacing w:val="-2"/>
        </w:rPr>
        <w:t>程度上增加了客户的粘性。公司大力推广跨行业技术服务，与众多国内知名企业签订了战略合作协议，为公司未来的发展奠</w:t>
      </w:r>
      <w:r>
        <w:rPr>
          <w:spacing w:val="-62"/>
        </w:rPr>
        <w:t> </w:t>
      </w:r>
      <w:r>
        <w:rPr>
          <w:spacing w:val="-62"/>
        </w:rPr>
      </w:r>
      <w:r>
        <w:rPr/>
        <w:t>定扎实的基础。</w:t>
      </w:r>
    </w:p>
    <w:p>
      <w:pPr>
        <w:pStyle w:val="BodyText"/>
        <w:spacing w:line="316" w:lineRule="auto" w:before="20"/>
        <w:ind w:right="1130" w:firstLine="360"/>
        <w:jc w:val="both"/>
      </w:pPr>
      <w:r>
        <w:rPr>
          <w:spacing w:val="-2"/>
        </w:rPr>
        <w:t>在资产运营方面，公司结合当年的生产经营情况，将自有物业其中御银科技园区的部分闲置物业对外出租收取租金，实</w:t>
      </w:r>
      <w:r>
        <w:rPr/>
        <w:t> </w:t>
      </w:r>
      <w:r>
        <w:rPr>
          <w:spacing w:val="-2"/>
        </w:rPr>
        <w:t>现公司资源的合理配置，优化公司资产保值增值和改善经营活动现金流量，保障公司主营业务稳定有序有效开展。从而促进</w:t>
      </w:r>
      <w:r>
        <w:rPr>
          <w:spacing w:val="-63"/>
        </w:rPr>
        <w:t> </w:t>
      </w:r>
      <w:r>
        <w:rPr>
          <w:spacing w:val="-63"/>
        </w:rPr>
      </w:r>
      <w:r>
        <w:rPr/>
        <w:t>公司持续、稳定、健康的发展。</w:t>
      </w:r>
    </w:p>
    <w:p>
      <w:pPr>
        <w:pStyle w:val="BodyText"/>
        <w:spacing w:line="309" w:lineRule="auto" w:before="19"/>
        <w:ind w:right="1034" w:firstLine="360"/>
        <w:jc w:val="left"/>
      </w:pPr>
      <w:r>
        <w:rPr>
          <w:rFonts w:ascii="Times New Roman" w:hAnsi="Times New Roman" w:cs="Times New Roman" w:eastAsia="Times New Roman" w:hint="default"/>
        </w:rPr>
        <w:t>2018</w:t>
      </w:r>
      <w:r>
        <w:rPr/>
        <w:t>年，公司不断完善公司内部控制体系建设，消除内控薄弱环节；开源节流，控制成本；根据政策环境及自身情况， </w:t>
      </w:r>
      <w:r>
        <w:rPr>
          <w:spacing w:val="-2"/>
        </w:rPr>
        <w:t>明晰经营战略，提升公司核心竞争力，努力寻求突破，进一步加强协同性，更好地发挥资源统筹、战略协同作用，切实提升</w:t>
      </w:r>
      <w:r>
        <w:rPr>
          <w:spacing w:val="-68"/>
        </w:rPr>
        <w:t> </w:t>
      </w:r>
      <w:r>
        <w:rPr>
          <w:spacing w:val="-68"/>
        </w:rPr>
      </w:r>
      <w:r>
        <w:rPr/>
        <w:t>公司的运营效率，寻求公司可持续发展道路。</w:t>
      </w:r>
    </w:p>
    <w:p>
      <w:pPr>
        <w:pStyle w:val="BodyText"/>
        <w:spacing w:line="240" w:lineRule="auto" w:before="65"/>
        <w:ind w:left="513" w:right="1133"/>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、概述</w:t>
      </w:r>
      <w:r>
        <w:rPr>
          <w:b w:val="0"/>
          <w:bCs w:val="0"/>
        </w:rPr>
      </w:r>
    </w:p>
    <w:p>
      <w:pPr>
        <w:pStyle w:val="BodyText"/>
        <w:spacing w:line="240" w:lineRule="auto" w:before="82"/>
        <w:ind w:right="113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472" w:right="714"/>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1"/>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45" w:footer="980" w:top="1060" w:bottom="1160" w:left="660" w:right="0"/>
        </w:sectPr>
      </w:pPr>
    </w:p>
    <w:p>
      <w:pPr>
        <w:pStyle w:val="Heading3"/>
        <w:spacing w:line="240" w:lineRule="auto" w:before="36"/>
        <w:ind w:left="472" w:right="-1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left="472" w:right="0"/>
        <w:jc w:val="left"/>
      </w:pPr>
      <w:r>
        <w:rPr/>
        <w:t>单位：元</w:t>
      </w:r>
    </w:p>
    <w:p>
      <w:pPr>
        <w:spacing w:after="0" w:line="240" w:lineRule="auto"/>
        <w:jc w:val="left"/>
        <w:sectPr>
          <w:type w:val="continuous"/>
          <w:pgSz w:w="11910" w:h="16840"/>
          <w:pgMar w:top="1060" w:bottom="1160" w:left="660" w:right="0"/>
          <w:cols w:num="2" w:equalWidth="0">
            <w:col w:w="2269" w:space="6651"/>
            <w:col w:w="2330"/>
          </w:cols>
        </w:sectPr>
      </w:pPr>
    </w:p>
    <w:p>
      <w:pPr>
        <w:spacing w:line="240" w:lineRule="auto" w:before="3"/>
        <w:rPr>
          <w:rFonts w:ascii="宋体" w:hAnsi="宋体" w:cs="宋体" w:eastAsia="宋体" w:hint="default"/>
          <w:sz w:val="5"/>
          <w:szCs w:val="5"/>
        </w:rPr>
      </w:pPr>
    </w:p>
    <w:tbl>
      <w:tblPr>
        <w:tblW w:w="0" w:type="auto"/>
        <w:jc w:val="left"/>
        <w:tblInd w:w="467" w:type="dxa"/>
        <w:tblLayout w:type="fixed"/>
        <w:tblCellMar>
          <w:top w:w="0" w:type="dxa"/>
          <w:left w:w="0" w:type="dxa"/>
          <w:bottom w:w="0" w:type="dxa"/>
          <w:right w:w="0" w:type="dxa"/>
        </w:tblCellMar>
        <w:tblLook w:val="01E0"/>
      </w:tblPr>
      <w:tblGrid>
        <w:gridCol w:w="1803"/>
        <w:gridCol w:w="1544"/>
        <w:gridCol w:w="1541"/>
        <w:gridCol w:w="1546"/>
        <w:gridCol w:w="1538"/>
        <w:gridCol w:w="1597"/>
      </w:tblGrid>
      <w:tr>
        <w:trPr>
          <w:trHeight w:val="206" w:hRule="exact"/>
        </w:trPr>
        <w:tc>
          <w:tcPr>
            <w:tcW w:w="18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803" w:type="dxa"/>
            <w:vMerge w:val="restart"/>
            <w:tcBorders>
              <w:top w:val="nil" w:sz="6" w:space="0" w:color="auto"/>
              <w:left w:val="single" w:sz="4" w:space="0" w:color="000000"/>
              <w:right w:val="single" w:sz="4" w:space="0" w:color="000000"/>
            </w:tcBorders>
            <w:shd w:val="clear" w:color="auto" w:fill="D2D2D2"/>
          </w:tcPr>
          <w:p>
            <w:pPr/>
          </w:p>
        </w:tc>
        <w:tc>
          <w:tcPr>
            <w:tcW w:w="3084" w:type="dxa"/>
            <w:gridSpan w:val="2"/>
            <w:vMerge/>
            <w:tcBorders>
              <w:left w:val="single" w:sz="4" w:space="0" w:color="000000"/>
              <w:bottom w:val="single" w:sz="4" w:space="0" w:color="000000"/>
              <w:right w:val="single" w:sz="4" w:space="0" w:color="000000"/>
            </w:tcBorders>
            <w:shd w:val="clear" w:color="auto" w:fill="D2D2D2"/>
          </w:tcPr>
          <w:p>
            <w:pPr/>
          </w:p>
        </w:tc>
        <w:tc>
          <w:tcPr>
            <w:tcW w:w="3084"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803" w:type="dxa"/>
            <w:vMerge/>
            <w:tcBorders>
              <w:left w:val="single" w:sz="4" w:space="0" w:color="000000"/>
              <w:bottom w:val="nil" w:sz="6" w:space="0" w:color="auto"/>
              <w:right w:val="single" w:sz="4" w:space="0" w:color="000000"/>
            </w:tcBorders>
            <w:shd w:val="clear" w:color="auto" w:fill="D2D2D2"/>
          </w:tcPr>
          <w:p>
            <w:pPr/>
          </w:p>
        </w:tc>
        <w:tc>
          <w:tcPr>
            <w:tcW w:w="1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4" w:type="dxa"/>
            <w:vMerge/>
            <w:tcBorders>
              <w:left w:val="single" w:sz="4" w:space="0" w:color="000000"/>
              <w:bottom w:val="single" w:sz="4" w:space="0" w:color="000000"/>
              <w:right w:val="single" w:sz="4" w:space="0" w:color="000000"/>
            </w:tcBorders>
            <w:shd w:val="clear" w:color="auto" w:fill="D2D2D2"/>
          </w:tcPr>
          <w:p>
            <w:pPr/>
          </w:p>
        </w:tc>
        <w:tc>
          <w:tcPr>
            <w:tcW w:w="1541" w:type="dxa"/>
            <w:vMerge/>
            <w:tcBorders>
              <w:left w:val="single" w:sz="4" w:space="0" w:color="000000"/>
              <w:bottom w:val="single" w:sz="4" w:space="0" w:color="000000"/>
              <w:right w:val="single" w:sz="4" w:space="0" w:color="000000"/>
            </w:tcBorders>
            <w:shd w:val="clear" w:color="auto" w:fill="D2D2D2"/>
          </w:tcPr>
          <w:p>
            <w:pPr/>
          </w:p>
        </w:tc>
        <w:tc>
          <w:tcPr>
            <w:tcW w:w="1546" w:type="dxa"/>
            <w:vMerge/>
            <w:tcBorders>
              <w:left w:val="single" w:sz="4" w:space="0" w:color="000000"/>
              <w:bottom w:val="single" w:sz="4" w:space="0" w:color="000000"/>
              <w:right w:val="single" w:sz="4" w:space="0" w:color="000000"/>
            </w:tcBorders>
            <w:shd w:val="clear" w:color="auto" w:fill="D2D2D2"/>
          </w:tcPr>
          <w:p>
            <w:pPr/>
          </w:p>
        </w:tc>
        <w:tc>
          <w:tcPr>
            <w:tcW w:w="153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44"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394,213,945.82</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46"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569,714,606.45</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394,213,945.82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569,714,606.45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139,072,219.41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305,468,345.90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-54.47%</w:t>
            </w:r>
          </w:p>
        </w:tc>
      </w:tr>
      <w:tr>
        <w:trPr>
          <w:trHeight w:val="40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30,525,610.09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7.74%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49,262,982.50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-38.04%</w:t>
            </w:r>
          </w:p>
        </w:tc>
      </w:tr>
      <w:tr>
        <w:trPr>
          <w:trHeight w:val="401"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融资租赁</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8,548,990.54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10,047,438.91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-14.91%</w:t>
            </w:r>
          </w:p>
        </w:tc>
      </w:tr>
      <w:tr>
        <w:trPr>
          <w:trHeight w:val="403"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138,013,495.10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35.01%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116,019,542.46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18.96%</w:t>
            </w:r>
          </w:p>
        </w:tc>
      </w:tr>
      <w:tr>
        <w:trPr>
          <w:trHeight w:val="401"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24,346,502.78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13,252,415.57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83.71%</w:t>
            </w:r>
          </w:p>
        </w:tc>
      </w:tr>
      <w:tr>
        <w:trPr>
          <w:trHeight w:val="403"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53,707,127.90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75,663,881.11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-29.02%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25,797,689.70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26,217,215.33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-1.60%</w:t>
            </w:r>
          </w:p>
        </w:tc>
      </w:tr>
      <w:tr>
        <w:trPr>
          <w:trHeight w:val="401"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80,054,016.63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76,717,168.48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w:t>
            </w:r>
          </w:p>
        </w:tc>
      </w:tr>
      <w:tr>
        <w:trPr>
          <w:trHeight w:val="403"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288,362,239.49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73.15%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466,780,222.64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81.93%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-38.22%</w:t>
            </w:r>
          </w:p>
        </w:tc>
      </w:tr>
    </w:tbl>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160" w:left="660" w:right="0"/>
        </w:sectPr>
      </w:pPr>
    </w:p>
    <w:p>
      <w:pPr>
        <w:pStyle w:val="Heading3"/>
        <w:spacing w:line="240" w:lineRule="auto" w:before="36"/>
        <w:ind w:left="472" w:right="-15"/>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pStyle w:val="BodyText"/>
        <w:spacing w:line="309" w:lineRule="auto" w:before="44"/>
        <w:ind w:left="472" w:right="31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24"/>
        <w:ind w:left="472" w:right="-15"/>
        <w:jc w:val="left"/>
      </w:pPr>
      <w:r>
        <w:rPr/>
        <w:t>房地产业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left="472" w:right="0"/>
        <w:jc w:val="left"/>
      </w:pPr>
      <w:r>
        <w:rPr/>
        <w:t>单位：元</w:t>
      </w:r>
    </w:p>
    <w:p>
      <w:pPr>
        <w:spacing w:after="0" w:line="240" w:lineRule="auto"/>
        <w:jc w:val="left"/>
        <w:sectPr>
          <w:type w:val="continuous"/>
          <w:pgSz w:w="11910" w:h="16840"/>
          <w:pgMar w:top="1060" w:bottom="1160" w:left="660" w:right="0"/>
          <w:cols w:num="2" w:equalWidth="0">
            <w:col w:w="6748" w:space="2172"/>
            <w:col w:w="2330"/>
          </w:cols>
        </w:sectPr>
      </w:pP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728"/>
        <w:gridCol w:w="1366"/>
        <w:gridCol w:w="1366"/>
        <w:gridCol w:w="1368"/>
        <w:gridCol w:w="1366"/>
        <w:gridCol w:w="1369"/>
        <w:gridCol w:w="1370"/>
      </w:tblGrid>
      <w:tr>
        <w:trPr>
          <w:trHeight w:val="715"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93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394,213,945.82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270,173,781.01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r>
      <w:tr>
        <w:trPr>
          <w:trHeight w:val="401" w:hRule="exact"/>
        </w:trPr>
        <w:tc>
          <w:tcPr>
            <w:tcW w:w="993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139,072,219.41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110,577,110.31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-10.40%</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30,525,610.09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26,408,794.09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16.46%</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8,548,990.54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3,158,170.76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-34.85%</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技术、金融服务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138,013,495.10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100,022,163.11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24,346,502.78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13,117,786.33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6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728"/>
        <w:gridCol w:w="1366"/>
        <w:gridCol w:w="1366"/>
        <w:gridCol w:w="1368"/>
        <w:gridCol w:w="1366"/>
        <w:gridCol w:w="1369"/>
        <w:gridCol w:w="1370"/>
      </w:tblGrid>
      <w:tr>
        <w:trPr>
          <w:trHeight w:val="40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53,707,127.90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16,889,756.41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20.59%</w:t>
            </w:r>
          </w:p>
        </w:tc>
      </w:tr>
      <w:tr>
        <w:trPr>
          <w:trHeight w:val="402" w:hRule="exact"/>
        </w:trPr>
        <w:tc>
          <w:tcPr>
            <w:tcW w:w="993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25,797,689.70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15,634,937.59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10.14%</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80,054,016.63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37,125,031.31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34.29%</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288,362,239.49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217,413,812.11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r>
    </w:tbl>
    <w:p>
      <w:pPr>
        <w:pStyle w:val="BodyText"/>
        <w:spacing w:line="240" w:lineRule="auto" w:before="49"/>
        <w:ind w:left="472" w:right="71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left="472" w:right="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472" w:right="71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pStyle w:val="BodyText"/>
        <w:spacing w:line="240" w:lineRule="auto" w:before="85"/>
        <w:ind w:left="472" w:right="7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3"/>
        <w:rPr>
          <w:rFonts w:ascii="宋体" w:hAnsi="宋体" w:cs="宋体" w:eastAsia="宋体" w:hint="default"/>
          <w:sz w:val="3"/>
          <w:szCs w:val="3"/>
        </w:rPr>
      </w:pPr>
    </w:p>
    <w:tbl>
      <w:tblPr>
        <w:tblW w:w="0" w:type="auto"/>
        <w:jc w:val="left"/>
        <w:tblInd w:w="467"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-52.29%</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-68.56%</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-76.05%</w:t>
            </w:r>
          </w:p>
        </w:tc>
      </w:tr>
    </w:tbl>
    <w:p>
      <w:pPr>
        <w:pStyle w:val="BodyText"/>
        <w:spacing w:line="240" w:lineRule="auto" w:before="49"/>
        <w:ind w:left="472" w:right="71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19" w:lineRule="auto" w:before="103"/>
        <w:ind w:left="472" w:right="28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报告期内公司销售量较去年同期减少</w:t>
      </w:r>
      <w:r>
        <w:rPr>
          <w:rFonts w:ascii="Times New Roman" w:hAnsi="Times New Roman" w:cs="Times New Roman" w:eastAsia="Times New Roman" w:hint="default"/>
        </w:rPr>
        <w:t>52.29%</w:t>
      </w:r>
      <w:r>
        <w:rPr/>
        <w:t>，主要原因是国内柜员机行业需求减少所致； 报告期内公司生产量较去年同期减少</w:t>
      </w:r>
      <w:r>
        <w:rPr>
          <w:rFonts w:ascii="Times New Roman" w:hAnsi="Times New Roman" w:cs="Times New Roman" w:eastAsia="Times New Roman" w:hint="default"/>
        </w:rPr>
        <w:t>68.56%</w:t>
      </w:r>
      <w:r>
        <w:rPr/>
        <w:t>，主要原因是随着销售订单减少，生产量相应减少所致；</w:t>
      </w:r>
    </w:p>
    <w:p>
      <w:pPr>
        <w:pStyle w:val="BodyText"/>
        <w:spacing w:line="246" w:lineRule="exact"/>
        <w:ind w:left="472" w:right="714"/>
        <w:jc w:val="left"/>
      </w:pPr>
      <w:r>
        <w:rPr/>
        <w:t>报告期内公司库存量较去年同期减少</w:t>
      </w:r>
      <w:r>
        <w:rPr>
          <w:rFonts w:ascii="Times New Roman" w:hAnsi="Times New Roman" w:cs="Times New Roman" w:eastAsia="Times New Roman" w:hint="default"/>
        </w:rPr>
        <w:t>76.05%</w:t>
      </w:r>
      <w:r>
        <w:rPr/>
        <w:t>，主要原因是生产量减少所致。</w:t>
      </w:r>
    </w:p>
    <w:p>
      <w:pPr>
        <w:spacing w:line="240" w:lineRule="auto" w:before="2"/>
        <w:rPr>
          <w:rFonts w:ascii="宋体" w:hAnsi="宋体" w:cs="宋体" w:eastAsia="宋体" w:hint="default"/>
          <w:sz w:val="26"/>
          <w:szCs w:val="26"/>
        </w:rPr>
      </w:pPr>
    </w:p>
    <w:p>
      <w:pPr>
        <w:pStyle w:val="Heading3"/>
        <w:spacing w:line="240" w:lineRule="auto"/>
        <w:ind w:left="472" w:right="71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BodyText"/>
        <w:spacing w:line="240" w:lineRule="auto" w:before="44"/>
        <w:ind w:left="472" w:right="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980" w:top="1060" w:bottom="1160" w:left="660" w:right="0"/>
        </w:sectPr>
      </w:pPr>
    </w:p>
    <w:p>
      <w:pPr>
        <w:pStyle w:val="Heading3"/>
        <w:spacing w:line="240" w:lineRule="auto" w:before="36"/>
        <w:ind w:left="472" w:right="-16"/>
        <w:jc w:val="left"/>
        <w:rPr>
          <w:b w:val="0"/>
          <w:bCs w:val="0"/>
        </w:rPr>
      </w:pPr>
      <w:r>
        <w:rPr/>
        <w:t>（</w:t>
      </w:r>
      <w:r>
        <w:rPr>
          <w:rFonts w:ascii="Times New Roman" w:hAnsi="Times New Roman" w:cs="Times New Roman" w:eastAsia="Times New Roman" w:hint="default"/>
        </w:rPr>
        <w:t>5</w:t>
      </w:r>
      <w:r>
        <w:rPr/>
        <w:t>）营业成本构成</w:t>
      </w:r>
      <w:r>
        <w:rPr>
          <w:b w:val="0"/>
          <w:bCs w:val="0"/>
        </w:rPr>
      </w:r>
    </w:p>
    <w:p>
      <w:pPr>
        <w:pStyle w:val="BodyText"/>
        <w:spacing w:line="240" w:lineRule="auto" w:before="82"/>
        <w:ind w:left="472" w:right="-16"/>
        <w:jc w:val="left"/>
      </w:pPr>
      <w:r>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240" w:lineRule="auto"/>
        <w:ind w:left="472" w:right="0"/>
        <w:jc w:val="left"/>
      </w:pPr>
      <w:r>
        <w:rPr/>
        <w:t>单位：元</w:t>
      </w:r>
    </w:p>
    <w:p>
      <w:pPr>
        <w:spacing w:after="0" w:line="240" w:lineRule="auto"/>
        <w:jc w:val="left"/>
        <w:sectPr>
          <w:type w:val="continuous"/>
          <w:pgSz w:w="11910" w:h="16840"/>
          <w:pgMar w:top="1060" w:bottom="1160" w:left="660" w:right="0"/>
          <w:cols w:num="2" w:equalWidth="0">
            <w:col w:w="2269" w:space="6651"/>
            <w:col w:w="2330"/>
          </w:cols>
        </w:sectPr>
      </w:pPr>
    </w:p>
    <w:p>
      <w:pPr>
        <w:spacing w:line="240" w:lineRule="auto" w:before="3"/>
        <w:rPr>
          <w:rFonts w:ascii="宋体" w:hAnsi="宋体" w:cs="宋体" w:eastAsia="宋体" w:hint="default"/>
          <w:sz w:val="5"/>
          <w:szCs w:val="5"/>
        </w:rPr>
      </w:pPr>
    </w:p>
    <w:tbl>
      <w:tblPr>
        <w:tblW w:w="0" w:type="auto"/>
        <w:jc w:val="left"/>
        <w:tblInd w:w="469" w:type="dxa"/>
        <w:tblLayout w:type="fixed"/>
        <w:tblCellMar>
          <w:top w:w="0" w:type="dxa"/>
          <w:left w:w="0" w:type="dxa"/>
          <w:bottom w:w="0" w:type="dxa"/>
          <w:right w:w="0" w:type="dxa"/>
        </w:tblCellMar>
        <w:tblLook w:val="01E0"/>
      </w:tblPr>
      <w:tblGrid>
        <w:gridCol w:w="1314"/>
        <w:gridCol w:w="1565"/>
        <w:gridCol w:w="1394"/>
        <w:gridCol w:w="1397"/>
        <w:gridCol w:w="1394"/>
        <w:gridCol w:w="1395"/>
        <w:gridCol w:w="1080"/>
      </w:tblGrid>
      <w:tr>
        <w:trPr>
          <w:trHeight w:val="401" w:hRule="exact"/>
        </w:trPr>
        <w:tc>
          <w:tcPr>
            <w:tcW w:w="13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14" w:type="dxa"/>
            <w:vMerge/>
            <w:tcBorders>
              <w:left w:val="single" w:sz="4" w:space="0" w:color="000000"/>
              <w:bottom w:val="single" w:sz="4" w:space="0" w:color="000000"/>
              <w:right w:val="single" w:sz="4" w:space="0" w:color="000000"/>
            </w:tcBorders>
            <w:shd w:val="clear" w:color="auto" w:fill="D2D2D2"/>
          </w:tcPr>
          <w:p>
            <w:pPr/>
          </w:p>
        </w:tc>
        <w:tc>
          <w:tcPr>
            <w:tcW w:w="1565" w:type="dxa"/>
            <w:vMerge/>
            <w:tcBorders>
              <w:left w:val="single" w:sz="4" w:space="0" w:color="000000"/>
              <w:bottom w:val="single" w:sz="4" w:space="0" w:color="000000"/>
              <w:right w:val="single" w:sz="4" w:space="0" w:color="000000"/>
            </w:tcBorders>
            <w:shd w:val="clear" w:color="auto" w:fill="D2D2D2"/>
          </w:tcPr>
          <w:p>
            <w:pP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8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270,173,781.01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393,671,512.48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-31.37%</w:t>
            </w:r>
          </w:p>
        </w:tc>
      </w:tr>
    </w:tbl>
    <w:p>
      <w:pPr>
        <w:pStyle w:val="BodyText"/>
        <w:spacing w:line="240" w:lineRule="auto" w:before="49"/>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439" w:type="dxa"/>
        <w:tblLayout w:type="fixed"/>
        <w:tblCellMar>
          <w:top w:w="0" w:type="dxa"/>
          <w:left w:w="0" w:type="dxa"/>
          <w:bottom w:w="0" w:type="dxa"/>
          <w:right w:w="0" w:type="dxa"/>
        </w:tblCellMar>
        <w:tblLook w:val="01E0"/>
      </w:tblPr>
      <w:tblGrid>
        <w:gridCol w:w="1743"/>
        <w:gridCol w:w="1167"/>
        <w:gridCol w:w="1394"/>
        <w:gridCol w:w="1397"/>
        <w:gridCol w:w="1394"/>
        <w:gridCol w:w="1395"/>
        <w:gridCol w:w="1080"/>
      </w:tblGrid>
      <w:tr>
        <w:trPr>
          <w:trHeight w:val="401" w:hRule="exact"/>
        </w:trPr>
        <w:tc>
          <w:tcPr>
            <w:tcW w:w="1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743"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8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110,577,110.31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211,111,631.87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-47.62%</w:t>
            </w:r>
          </w:p>
        </w:tc>
      </w:tr>
      <w:tr>
        <w:trPr>
          <w:trHeight w:val="40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26,408,794.09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50,723,880.64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-47.94%</w:t>
            </w:r>
          </w:p>
        </w:tc>
      </w:tr>
      <w:tr>
        <w:trPr>
          <w:trHeight w:val="40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融资租赁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3,158,170.76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210,009.08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1,403.83%</w:t>
            </w:r>
          </w:p>
        </w:tc>
      </w:tr>
      <w:tr>
        <w:trPr>
          <w:trHeight w:val="40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100,022,163.11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37.02%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82,592,404.13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21.10%</w:t>
            </w:r>
          </w:p>
        </w:tc>
      </w:tr>
      <w:tr>
        <w:trPr>
          <w:trHeight w:val="40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13,117,786.33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9,655,421.04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6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743"/>
        <w:gridCol w:w="1167"/>
        <w:gridCol w:w="1394"/>
        <w:gridCol w:w="1397"/>
        <w:gridCol w:w="1394"/>
        <w:gridCol w:w="1395"/>
        <w:gridCol w:w="1080"/>
      </w:tblGrid>
      <w:tr>
        <w:trPr>
          <w:trHeight w:val="40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16,889,756.41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6.25%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39,378,165.72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9" w:right="0"/>
              <w:jc w:val="left"/>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-57.11%</w:t>
            </w:r>
          </w:p>
        </w:tc>
      </w:tr>
    </w:tbl>
    <w:p>
      <w:pPr>
        <w:pStyle w:val="BodyText"/>
        <w:spacing w:line="240" w:lineRule="auto" w:before="49"/>
        <w:ind w:right="1133"/>
        <w:jc w:val="left"/>
      </w:pPr>
      <w:r>
        <w:rPr/>
        <w:t>说明</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74"/>
        <w:gridCol w:w="2377"/>
        <w:gridCol w:w="2374"/>
        <w:gridCol w:w="2377"/>
      </w:tblGrid>
      <w:tr>
        <w:trPr>
          <w:trHeight w:val="329" w:hRule="exact"/>
        </w:trPr>
        <w:tc>
          <w:tcPr>
            <w:tcW w:w="23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23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3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3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变动</w:t>
            </w:r>
          </w:p>
        </w:tc>
      </w:tr>
      <w:tr>
        <w:trPr>
          <w:trHeight w:val="365" w:hRule="exact"/>
        </w:trPr>
        <w:tc>
          <w:tcPr>
            <w:tcW w:w="237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237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74.43%</w:t>
            </w:r>
          </w:p>
        </w:tc>
        <w:tc>
          <w:tcPr>
            <w:tcW w:w="237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86.79%</w:t>
            </w:r>
          </w:p>
        </w:tc>
        <w:tc>
          <w:tcPr>
            <w:tcW w:w="237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-12.36%</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直接人工及制造费用</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25.57%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13.21%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12.36%</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37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9" w:lineRule="auto" w:before="10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08</w:t>
      </w:r>
      <w:r>
        <w:rPr>
          <w:spacing w:val="-2"/>
        </w:rPr>
        <w:t>月</w:t>
      </w:r>
      <w:r>
        <w:rPr>
          <w:rFonts w:ascii="Times New Roman" w:hAnsi="Times New Roman" w:cs="Times New Roman" w:eastAsia="Times New Roman" w:hint="default"/>
          <w:spacing w:val="-2"/>
        </w:rPr>
        <w:t>22</w:t>
      </w:r>
      <w:r>
        <w:rPr>
          <w:spacing w:val="-2"/>
        </w:rPr>
        <w:t>日，本公司召开第六届董事会第二次会议审计通过了《关于投资设立全资子公司广州御商信息科技有限公</w:t>
      </w:r>
      <w:r>
        <w:rPr/>
        <w:t> </w:t>
      </w:r>
      <w:r>
        <w:rPr>
          <w:spacing w:val="-2"/>
        </w:rPr>
        <w:t>司的议案》，同意通过固定资产及货币资金出资的方式设立全资子公司出资广州御商信息科技有限公司，注册资本为人民币</w:t>
      </w:r>
      <w:r>
        <w:rPr>
          <w:spacing w:val="-66"/>
        </w:rPr>
        <w:t> </w:t>
      </w:r>
      <w:r>
        <w:rPr>
          <w:spacing w:val="-66"/>
        </w:rPr>
      </w:r>
      <w:r>
        <w:rPr>
          <w:rFonts w:ascii="Times New Roman" w:hAnsi="Times New Roman" w:cs="Times New Roman" w:eastAsia="Times New Roman" w:hint="default"/>
        </w:rPr>
        <w:t>18,500,000.00</w:t>
      </w:r>
      <w:r>
        <w:rPr/>
        <w:t>元，公司持有其</w:t>
      </w:r>
      <w:r>
        <w:rPr>
          <w:rFonts w:ascii="Times New Roman" w:hAnsi="Times New Roman" w:cs="Times New Roman" w:eastAsia="Times New Roman" w:hint="default"/>
        </w:rPr>
        <w:t>100%</w:t>
      </w:r>
      <w:r>
        <w:rPr/>
        <w:t>股权。从成立日起，广州御商信息科技有限公司纳入合并范围。</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480"/>
        <w:gridCol w:w="3089"/>
      </w:tblGrid>
      <w:tr>
        <w:trPr>
          <w:trHeight w:val="401" w:hRule="exact"/>
        </w:trPr>
        <w:tc>
          <w:tcPr>
            <w:tcW w:w="6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105,760,064.15</w:t>
            </w:r>
          </w:p>
        </w:tc>
      </w:tr>
      <w:tr>
        <w:trPr>
          <w:trHeight w:val="403" w:hRule="exact"/>
        </w:trPr>
        <w:tc>
          <w:tcPr>
            <w:tcW w:w="6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26.82%</w:t>
            </w:r>
          </w:p>
        </w:tc>
      </w:tr>
      <w:tr>
        <w:trPr>
          <w:trHeight w:val="401" w:hRule="exact"/>
        </w:trPr>
        <w:tc>
          <w:tcPr>
            <w:tcW w:w="6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43,978,373.20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22,961,742.79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14,993,301.09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12,552,046.58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11,274,600.49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105,760,064.15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26.82%</w:t>
            </w:r>
          </w:p>
        </w:tc>
      </w:tr>
    </w:tbl>
    <w:p>
      <w:pPr>
        <w:pStyle w:val="BodyText"/>
        <w:spacing w:line="240" w:lineRule="auto" w:before="49"/>
        <w:ind w:right="1133"/>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220"/>
        <w:gridCol w:w="4349"/>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33,007,915.74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63.36%</w:t>
            </w:r>
          </w:p>
        </w:tc>
      </w:tr>
      <w:tr>
        <w:trPr>
          <w:trHeight w:val="403" w:hRule="exact"/>
        </w:trPr>
        <w:tc>
          <w:tcPr>
            <w:tcW w:w="5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51.52%</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25,367,247.41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48.69%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2,152,652.42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2,060,537.26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1,952,052.82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1,475,425.83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33,007,915.74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63.36%</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3431"/>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48,064,501.74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78,428,289.86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-38.72%</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市场服务费、差旅费、招待费减少所致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46,266,393.13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53,947,139.57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-14.24%</w:t>
            </w:r>
          </w:p>
        </w:tc>
        <w:tc>
          <w:tcPr>
            <w:tcW w:w="34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3,730,229.05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2,610,606.43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42.89%</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利息费用增加所致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32,706,830.69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38,921,187.46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w:t>
            </w:r>
          </w:p>
        </w:tc>
        <w:tc>
          <w:tcPr>
            <w:tcW w:w="34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-3,130,157.30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7,968,060.26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-139.28%</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应纳所得税及所得税费用减少所致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公司高度重视技术研发，把研究开发作为一项长期性战略性工作持续加大投入，以市场需求为导向，积极落实政府供给</w:t>
      </w:r>
    </w:p>
    <w:p>
      <w:pPr>
        <w:pStyle w:val="BodyText"/>
        <w:spacing w:line="316" w:lineRule="auto" w:before="1"/>
        <w:ind w:right="1129"/>
        <w:jc w:val="left"/>
      </w:pPr>
      <w:r>
        <w:rPr>
          <w:spacing w:val="-2"/>
        </w:rPr>
        <w:t>侧结构改革的指导意见，不断突破创新，开发新产品新工艺，使产品持续升级换代，铸造出以核心技术为导向的综合企业竞</w:t>
      </w:r>
      <w:r>
        <w:rPr>
          <w:spacing w:val="-64"/>
        </w:rPr>
        <w:t> </w:t>
      </w:r>
      <w:r>
        <w:rPr>
          <w:spacing w:val="-64"/>
        </w:rPr>
      </w:r>
      <w:r>
        <w:rPr/>
        <w:t>争力。</w:t>
      </w:r>
    </w:p>
    <w:p>
      <w:pPr>
        <w:pStyle w:val="BodyText"/>
        <w:spacing w:line="300" w:lineRule="auto" w:before="19"/>
        <w:ind w:right="0" w:firstLine="360"/>
        <w:jc w:val="left"/>
      </w:pPr>
      <w:r>
        <w:rPr>
          <w:spacing w:val="-4"/>
        </w:rPr>
        <w:t>报告期内，公司及子公司获得了</w:t>
      </w:r>
      <w:r>
        <w:rPr>
          <w:rFonts w:ascii="Times New Roman" w:hAnsi="Times New Roman" w:cs="Times New Roman" w:eastAsia="Times New Roman" w:hint="default"/>
          <w:spacing w:val="-4"/>
        </w:rPr>
        <w:t>16</w:t>
      </w:r>
      <w:r>
        <w:rPr>
          <w:spacing w:val="-4"/>
        </w:rPr>
        <w:t>项发明专利、</w:t>
      </w:r>
      <w:r>
        <w:rPr>
          <w:rFonts w:ascii="Times New Roman" w:hAnsi="Times New Roman" w:cs="Times New Roman" w:eastAsia="Times New Roman" w:hint="default"/>
          <w:spacing w:val="-4"/>
        </w:rPr>
        <w:t>28</w:t>
      </w:r>
      <w:r>
        <w:rPr>
          <w:spacing w:val="-4"/>
        </w:rPr>
        <w:t>项实用新型专利、</w:t>
      </w:r>
      <w:r>
        <w:rPr>
          <w:rFonts w:ascii="Times New Roman" w:hAnsi="Times New Roman" w:cs="Times New Roman" w:eastAsia="Times New Roman" w:hint="default"/>
          <w:spacing w:val="-4"/>
        </w:rPr>
        <w:t>4</w:t>
      </w:r>
      <w:r>
        <w:rPr>
          <w:spacing w:val="-4"/>
        </w:rPr>
        <w:t>项外观设计专利、</w:t>
      </w:r>
      <w:r>
        <w:rPr>
          <w:rFonts w:ascii="Times New Roman" w:hAnsi="Times New Roman" w:cs="Times New Roman" w:eastAsia="Times New Roman" w:hint="default"/>
          <w:spacing w:val="-4"/>
        </w:rPr>
        <w:t>5</w:t>
      </w:r>
      <w:r>
        <w:rPr>
          <w:spacing w:val="-4"/>
        </w:rPr>
        <w:t>项计算机软件著作权登记证书、</w:t>
      </w:r>
      <w:r>
        <w:rPr/>
        <w:t> </w:t>
      </w:r>
      <w:r>
        <w:rPr>
          <w:rFonts w:ascii="Times New Roman" w:hAnsi="Times New Roman" w:cs="Times New Roman" w:eastAsia="Times New Roman" w:hint="default"/>
        </w:rPr>
        <w:t>8</w:t>
      </w:r>
      <w:r>
        <w:rPr/>
        <w:t>项资格认证证书、</w:t>
      </w:r>
      <w:r>
        <w:rPr>
          <w:rFonts w:ascii="Times New Roman" w:hAnsi="Times New Roman" w:cs="Times New Roman" w:eastAsia="Times New Roman" w:hint="default"/>
        </w:rPr>
        <w:t>9</w:t>
      </w:r>
      <w:r>
        <w:rPr/>
        <w:t>项产品认证证书；公司获得</w:t>
      </w:r>
      <w:r>
        <w:rPr>
          <w:rFonts w:ascii="Times New Roman" w:hAnsi="Times New Roman" w:cs="Times New Roman" w:eastAsia="Times New Roman" w:hint="default"/>
        </w:rPr>
        <w:t>“</w:t>
      </w:r>
      <w:r>
        <w:rPr/>
        <w:t>广州市总部企业</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广州市</w:t>
      </w:r>
      <w:r>
        <w:rPr>
          <w:rFonts w:ascii="Times New Roman" w:hAnsi="Times New Roman" w:cs="Times New Roman" w:eastAsia="Times New Roman" w:hint="default"/>
        </w:rPr>
        <w:t>“</w:t>
      </w:r>
      <w:r>
        <w:rPr/>
        <w:t>三个一批</w:t>
      </w:r>
      <w:r>
        <w:rPr>
          <w:rFonts w:ascii="Times New Roman" w:hAnsi="Times New Roman" w:cs="Times New Roman" w:eastAsia="Times New Roman" w:hint="default"/>
        </w:rPr>
        <w:t>”</w:t>
      </w:r>
      <w:r>
        <w:rPr/>
        <w:t>企业入库</w:t>
      </w:r>
      <w:r>
        <w:rPr>
          <w:rFonts w:ascii="Times New Roman" w:hAnsi="Times New Roman" w:cs="Times New Roman" w:eastAsia="Times New Roman" w:hint="default"/>
        </w:rPr>
        <w:t>”“2018</w:t>
      </w:r>
      <w:r>
        <w:rPr/>
        <w:t>年第一批人工智能 企业</w:t>
      </w:r>
      <w:r>
        <w:rPr>
          <w:rFonts w:ascii="Times New Roman" w:hAnsi="Times New Roman" w:cs="Times New Roman" w:eastAsia="Times New Roman" w:hint="default"/>
        </w:rPr>
        <w:t>”</w:t>
      </w:r>
      <w:r>
        <w:rPr/>
        <w:t>等荣誉称号。公司已经连续十二年获得</w:t>
      </w:r>
      <w:r>
        <w:rPr>
          <w:rFonts w:ascii="Times New Roman" w:hAnsi="Times New Roman" w:cs="Times New Roman" w:eastAsia="Times New Roman" w:hint="default"/>
        </w:rPr>
        <w:t>“</w:t>
      </w:r>
      <w:r>
        <w:rPr/>
        <w:t>广东省诚信示范企业</w:t>
      </w:r>
      <w:r>
        <w:rPr>
          <w:rFonts w:ascii="Times New Roman" w:hAnsi="Times New Roman" w:cs="Times New Roman" w:eastAsia="Times New Roman" w:hint="default"/>
        </w:rPr>
        <w:t>”</w:t>
      </w:r>
      <w:r>
        <w:rPr/>
        <w:t>，连续十三年获得</w:t>
      </w:r>
      <w:r>
        <w:rPr>
          <w:rFonts w:ascii="Times New Roman" w:hAnsi="Times New Roman" w:cs="Times New Roman" w:eastAsia="Times New Roman" w:hint="default"/>
        </w:rPr>
        <w:t>“</w:t>
      </w:r>
      <w:r>
        <w:rPr/>
        <w:t>广东省守合同重信用企业</w:t>
      </w:r>
      <w:r>
        <w:rPr>
          <w:rFonts w:ascii="Times New Roman" w:hAnsi="Times New Roman" w:cs="Times New Roman" w:eastAsia="Times New Roman" w:hint="default"/>
        </w:rPr>
        <w:t>”</w:t>
      </w:r>
      <w:r>
        <w:rPr/>
        <w:t>。</w:t>
      </w:r>
    </w:p>
    <w:p>
      <w:pPr>
        <w:pStyle w:val="BodyText"/>
        <w:spacing w:line="240" w:lineRule="auto" w:before="53"/>
        <w:ind w:right="113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98"/>
        <w:gridCol w:w="2061"/>
        <w:gridCol w:w="2050"/>
        <w:gridCol w:w="2050"/>
      </w:tblGrid>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40.15%</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33,933,219.35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56,316,843.82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-39.75%</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58"/>
        <w:gridCol w:w="2241"/>
        <w:gridCol w:w="2230"/>
        <w:gridCol w:w="2230"/>
      </w:tblGrid>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502,159,763.46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735,057,405.79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-31.68%</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392,182,787.66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587,283,021.44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-33.22%</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109,976,975.80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147,774,384.35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-25.58%</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1,036,539,351.56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310,510,743.58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233.82%</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1,178,488,476.25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621,890,374.77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89.50%</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-141,949,124.69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-311,379,631.19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54.41%</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70,617,697.26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-45.68%</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158,336,685.09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152,189,496.44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-87,718,987.83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-22,189,496.44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-295.32%</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-118,698,997.99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-186,424,439.91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36.33%</w:t>
            </w:r>
          </w:p>
        </w:tc>
      </w:tr>
    </w:tbl>
    <w:p>
      <w:pPr>
        <w:pStyle w:val="BodyText"/>
        <w:spacing w:line="240" w:lineRule="auto" w:before="49"/>
        <w:ind w:right="1133"/>
        <w:jc w:val="left"/>
      </w:pPr>
      <w:r>
        <w:rPr/>
        <w:t>相关数据同比发生重大变动的主要影响因素说明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33"/>
        <w:jc w:val="left"/>
      </w:pPr>
      <w:r>
        <w:rPr/>
        <w:t>（</w:t>
      </w:r>
      <w:r>
        <w:rPr>
          <w:rFonts w:ascii="Times New Roman" w:hAnsi="Times New Roman" w:cs="Times New Roman" w:eastAsia="Times New Roman" w:hint="default"/>
        </w:rPr>
        <w:t>1</w:t>
      </w:r>
      <w:r>
        <w:rPr/>
        <w:t>）经营活动现金流量</w:t>
      </w:r>
    </w:p>
    <w:p>
      <w:pPr>
        <w:pStyle w:val="BodyText"/>
        <w:spacing w:line="240" w:lineRule="auto" w:before="63"/>
        <w:ind w:right="1133"/>
        <w:jc w:val="left"/>
      </w:pPr>
      <w:r>
        <w:rPr/>
        <w:t>①报告期内公司经营活动现金流入比去年同期减少</w:t>
      </w:r>
      <w:r>
        <w:rPr>
          <w:rFonts w:ascii="Times New Roman" w:hAnsi="Times New Roman" w:cs="Times New Roman" w:eastAsia="Times New Roman" w:hint="default"/>
        </w:rPr>
        <w:t>31.68%</w:t>
      </w:r>
      <w:r>
        <w:rPr/>
        <w:t>，主要原因是行业需求减少导致销售收入减少所致；</w:t>
      </w:r>
    </w:p>
    <w:p>
      <w:pPr>
        <w:pStyle w:val="BodyText"/>
        <w:spacing w:line="240" w:lineRule="auto" w:before="63"/>
        <w:ind w:right="1133"/>
        <w:jc w:val="left"/>
      </w:pPr>
      <w:r>
        <w:rPr/>
        <w:t>②报告期内公司经营活动现金流出比去年同期减少</w:t>
      </w:r>
      <w:r>
        <w:rPr>
          <w:rFonts w:ascii="Times New Roman" w:hAnsi="Times New Roman" w:cs="Times New Roman" w:eastAsia="Times New Roman" w:hint="default"/>
        </w:rPr>
        <w:t>33.22%</w:t>
      </w:r>
      <w:r>
        <w:rPr/>
        <w:t>，主要原因是原材料采购减少所致；</w:t>
      </w:r>
    </w:p>
    <w:p>
      <w:pPr>
        <w:pStyle w:val="BodyText"/>
        <w:spacing w:line="240" w:lineRule="auto" w:before="63"/>
        <w:ind w:right="1133"/>
        <w:jc w:val="left"/>
      </w:pPr>
      <w:r>
        <w:rPr/>
        <w:t>③报告期内公司经营活动产生的现金流量净额比去年同期减少</w:t>
      </w:r>
      <w:r>
        <w:rPr>
          <w:rFonts w:ascii="Times New Roman" w:hAnsi="Times New Roman" w:cs="Times New Roman" w:eastAsia="Times New Roman" w:hint="default"/>
        </w:rPr>
        <w:t>25.58%</w:t>
      </w:r>
      <w:r>
        <w:rPr/>
        <w:t>，主要原因是经营活动收款减少所致。</w:t>
      </w:r>
    </w:p>
    <w:p>
      <w:pPr>
        <w:pStyle w:val="BodyText"/>
        <w:spacing w:line="240" w:lineRule="auto" w:before="63"/>
        <w:ind w:right="1133"/>
        <w:jc w:val="left"/>
      </w:pPr>
      <w:r>
        <w:rPr/>
        <w:t>（</w:t>
      </w:r>
      <w:r>
        <w:rPr>
          <w:rFonts w:ascii="Times New Roman" w:hAnsi="Times New Roman" w:cs="Times New Roman" w:eastAsia="Times New Roman" w:hint="default"/>
        </w:rPr>
        <w:t>2</w:t>
      </w:r>
      <w:r>
        <w:rPr/>
        <w:t>）投资活动现金流量</w:t>
      </w:r>
    </w:p>
    <w:p>
      <w:pPr>
        <w:pStyle w:val="BodyText"/>
        <w:spacing w:line="240" w:lineRule="auto" w:before="63"/>
        <w:ind w:right="1133"/>
        <w:jc w:val="left"/>
      </w:pPr>
      <w:r>
        <w:rPr/>
        <w:t>①报告期内公司投资活动现金流入比去年同期增长</w:t>
      </w:r>
      <w:r>
        <w:rPr>
          <w:rFonts w:ascii="Times New Roman" w:hAnsi="Times New Roman" w:cs="Times New Roman" w:eastAsia="Times New Roman" w:hint="default"/>
        </w:rPr>
        <w:t>233.82%</w:t>
      </w:r>
      <w:r>
        <w:rPr/>
        <w:t>，主要原因是购买金融资产所致；</w:t>
      </w:r>
    </w:p>
    <w:p>
      <w:pPr>
        <w:pStyle w:val="BodyText"/>
        <w:spacing w:line="240" w:lineRule="auto" w:before="63"/>
        <w:ind w:right="1133"/>
        <w:jc w:val="left"/>
      </w:pPr>
      <w:r>
        <w:rPr/>
        <w:t>②报告期内公司投资活动现金流出比去年同期增长</w:t>
      </w:r>
      <w:r>
        <w:rPr>
          <w:rFonts w:ascii="Times New Roman" w:hAnsi="Times New Roman" w:cs="Times New Roman" w:eastAsia="Times New Roman" w:hint="default"/>
        </w:rPr>
        <w:t>89.50%</w:t>
      </w:r>
      <w:r>
        <w:rPr/>
        <w:t>，主要原因是出售金融资产所致；</w:t>
      </w:r>
    </w:p>
    <w:p>
      <w:pPr>
        <w:pStyle w:val="BodyText"/>
        <w:spacing w:line="240" w:lineRule="auto" w:before="63"/>
        <w:ind w:right="1133"/>
        <w:jc w:val="left"/>
      </w:pPr>
      <w:r>
        <w:rPr/>
        <w:t>③报告期内公司投资活动产生的现金流量净额比去年同期增长</w:t>
      </w:r>
      <w:r>
        <w:rPr>
          <w:rFonts w:ascii="Times New Roman" w:hAnsi="Times New Roman" w:cs="Times New Roman" w:eastAsia="Times New Roman" w:hint="default"/>
        </w:rPr>
        <w:t>54.41%</w:t>
      </w:r>
      <w:r>
        <w:rPr/>
        <w:t>，主要原因是出售金融资产增加所致。</w:t>
      </w:r>
    </w:p>
    <w:p>
      <w:pPr>
        <w:pStyle w:val="BodyText"/>
        <w:spacing w:line="240" w:lineRule="auto" w:before="63"/>
        <w:ind w:right="1133"/>
        <w:jc w:val="left"/>
      </w:pPr>
      <w:r>
        <w:rPr/>
        <w:t>（</w:t>
      </w:r>
      <w:r>
        <w:rPr>
          <w:rFonts w:ascii="Times New Roman" w:hAnsi="Times New Roman" w:cs="Times New Roman" w:eastAsia="Times New Roman" w:hint="default"/>
        </w:rPr>
        <w:t>3</w:t>
      </w:r>
      <w:r>
        <w:rPr/>
        <w:t>）筹资活动现金流量</w:t>
      </w:r>
    </w:p>
    <w:p>
      <w:pPr>
        <w:pStyle w:val="BodyText"/>
        <w:spacing w:line="240" w:lineRule="auto" w:before="63"/>
        <w:ind w:right="1133"/>
        <w:jc w:val="left"/>
      </w:pPr>
      <w:r>
        <w:rPr/>
        <w:t>①报告期内公司筹资活动现金流出比去年同期减少</w:t>
      </w:r>
      <w:r>
        <w:rPr>
          <w:rFonts w:ascii="Times New Roman" w:hAnsi="Times New Roman" w:cs="Times New Roman" w:eastAsia="Times New Roman" w:hint="default"/>
        </w:rPr>
        <w:t>45.68%,</w:t>
      </w:r>
      <w:r>
        <w:rPr/>
        <w:t>主要原因是获得短期贷款资金减少所致；</w:t>
      </w:r>
    </w:p>
    <w:p>
      <w:pPr>
        <w:pStyle w:val="BodyText"/>
        <w:spacing w:line="340" w:lineRule="auto" w:before="63"/>
        <w:ind w:right="1829"/>
        <w:jc w:val="left"/>
      </w:pPr>
      <w:r>
        <w:rPr/>
        <w:t>②报告期内公司筹资活动产生的现金流量净额比去年同期减少</w:t>
      </w:r>
      <w:r>
        <w:rPr>
          <w:rFonts w:ascii="Times New Roman" w:hAnsi="Times New Roman" w:cs="Times New Roman" w:eastAsia="Times New Roman" w:hint="default"/>
        </w:rPr>
        <w:t>295.32%</w:t>
      </w:r>
      <w:r>
        <w:rPr/>
        <w:t>，主要原因是获得短期贷款资金减少所致。 报告期内公司经营活动产生的现金净流量与本年度净利润存在重大差异的原因说明</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5763"/>
        <w:gridCol w:w="1530"/>
        <w:gridCol w:w="1529"/>
      </w:tblGrid>
      <w:tr>
        <w:trPr>
          <w:trHeight w:val="342" w:hRule="exact"/>
        </w:trPr>
        <w:tc>
          <w:tcPr>
            <w:tcW w:w="5763"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30"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4"/>
              <w:ind w:left="39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29"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4"/>
              <w:ind w:left="39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5763"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763"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-94,817,582.68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347" w:hRule="exact"/>
        </w:trPr>
        <w:tc>
          <w:tcPr>
            <w:tcW w:w="5763"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30,022,129.19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37,822,541.89</w:t>
            </w:r>
          </w:p>
        </w:tc>
      </w:tr>
      <w:tr>
        <w:trPr>
          <w:trHeight w:val="347" w:hRule="exact"/>
        </w:trPr>
        <w:tc>
          <w:tcPr>
            <w:tcW w:w="5763"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9"/>
              <w:ind w:left="29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30,071,054.67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43,347,745.45</w:t>
            </w:r>
          </w:p>
        </w:tc>
      </w:tr>
      <w:tr>
        <w:trPr>
          <w:trHeight w:val="342" w:hRule="exact"/>
        </w:trPr>
        <w:tc>
          <w:tcPr>
            <w:tcW w:w="5763"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5,149,843.15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5,134,736.36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825" w:type="dxa"/>
        <w:tblLayout w:type="fixed"/>
        <w:tblCellMar>
          <w:top w:w="0" w:type="dxa"/>
          <w:left w:w="0" w:type="dxa"/>
          <w:bottom w:w="0" w:type="dxa"/>
          <w:right w:w="0" w:type="dxa"/>
        </w:tblCellMar>
        <w:tblLook w:val="01E0"/>
      </w:tblPr>
      <w:tblGrid>
        <w:gridCol w:w="5761"/>
        <w:gridCol w:w="330"/>
        <w:gridCol w:w="1201"/>
        <w:gridCol w:w="1529"/>
      </w:tblGrid>
      <w:tr>
        <w:trPr>
          <w:trHeight w:val="348"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03" w:right="0"/>
              <w:jc w:val="left"/>
              <w:rPr>
                <w:rFonts w:ascii="Times New Roman" w:hAnsi="Times New Roman" w:cs="Times New Roman" w:eastAsia="Times New Roman" w:hint="default"/>
                <w:sz w:val="18"/>
                <w:szCs w:val="18"/>
              </w:rPr>
            </w:pPr>
            <w:r>
              <w:rPr>
                <w:rFonts w:ascii="Times New Roman"/>
                <w:sz w:val="18"/>
              </w:rPr>
              <w:t>780,823.14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699,619.89</w:t>
            </w:r>
          </w:p>
        </w:tc>
      </w:tr>
      <w:tr>
        <w:trPr>
          <w:trHeight w:val="346"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8"/>
              <w:ind w:left="2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2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left="245" w:right="0"/>
              <w:jc w:val="left"/>
              <w:rPr>
                <w:rFonts w:ascii="Times New Roman" w:hAnsi="Times New Roman" w:cs="Times New Roman" w:eastAsia="Times New Roman" w:hint="default"/>
                <w:sz w:val="18"/>
                <w:szCs w:val="18"/>
              </w:rPr>
            </w:pPr>
            <w:r>
              <w:rPr>
                <w:rFonts w:ascii="Times New Roman"/>
                <w:sz w:val="18"/>
              </w:rPr>
              <w:t>9,916,846.70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8,939,953.30</w:t>
            </w:r>
          </w:p>
        </w:tc>
      </w:tr>
      <w:tr>
        <w:trPr>
          <w:trHeight w:val="348"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34" w:right="0"/>
              <w:jc w:val="left"/>
              <w:rPr>
                <w:rFonts w:ascii="Times New Roman" w:hAnsi="Times New Roman" w:cs="Times New Roman" w:eastAsia="Times New Roman" w:hint="default"/>
                <w:sz w:val="18"/>
                <w:szCs w:val="18"/>
              </w:rPr>
            </w:pPr>
            <w:r>
              <w:rPr>
                <w:rFonts w:ascii="Times New Roman"/>
                <w:sz w:val="18"/>
              </w:rPr>
              <w:t>-26,813.07</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79" w:right="0"/>
              <w:jc w:val="left"/>
              <w:rPr>
                <w:rFonts w:ascii="Times New Roman" w:hAnsi="Times New Roman" w:cs="Times New Roman" w:eastAsia="Times New Roman" w:hint="default"/>
                <w:sz w:val="18"/>
                <w:szCs w:val="18"/>
              </w:rPr>
            </w:pPr>
            <w:r>
              <w:rPr>
                <w:rFonts w:ascii="Times New Roman"/>
                <w:sz w:val="18"/>
              </w:rPr>
              <w:t>29,930,969.65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-23,621,022.04</w:t>
            </w:r>
          </w:p>
        </w:tc>
      </w:tr>
      <w:tr>
        <w:trPr>
          <w:trHeight w:val="348"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68" w:right="0"/>
              <w:jc w:val="left"/>
              <w:rPr>
                <w:rFonts w:ascii="Times New Roman" w:hAnsi="Times New Roman" w:cs="Times New Roman" w:eastAsia="Times New Roman" w:hint="default"/>
                <w:sz w:val="18"/>
                <w:szCs w:val="18"/>
              </w:rPr>
            </w:pPr>
            <w:r>
              <w:rPr>
                <w:rFonts w:ascii="Times New Roman"/>
                <w:sz w:val="18"/>
              </w:rPr>
              <w:t>5,201,129.87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346"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79" w:right="0"/>
              <w:jc w:val="left"/>
              <w:rPr>
                <w:rFonts w:ascii="Times New Roman" w:hAnsi="Times New Roman" w:cs="Times New Roman" w:eastAsia="Times New Roman" w:hint="default"/>
                <w:sz w:val="18"/>
                <w:szCs w:val="18"/>
              </w:rPr>
            </w:pPr>
            <w:r>
              <w:rPr>
                <w:rFonts w:ascii="Times New Roman"/>
                <w:sz w:val="18"/>
              </w:rPr>
              <w:t>20,539,893.47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-32,815,704.68</w:t>
            </w:r>
          </w:p>
        </w:tc>
      </w:tr>
      <w:tr>
        <w:trPr>
          <w:trHeight w:val="348"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43" w:right="0"/>
              <w:jc w:val="left"/>
              <w:rPr>
                <w:rFonts w:ascii="Times New Roman" w:hAnsi="Times New Roman" w:cs="Times New Roman" w:eastAsia="Times New Roman" w:hint="default"/>
                <w:sz w:val="18"/>
                <w:szCs w:val="18"/>
              </w:rPr>
            </w:pPr>
            <w:r>
              <w:rPr>
                <w:rFonts w:ascii="Times New Roman"/>
                <w:sz w:val="18"/>
              </w:rPr>
              <w:t>-279,411.30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-110,656.46</w:t>
            </w:r>
          </w:p>
        </w:tc>
      </w:tr>
      <w:tr>
        <w:trPr>
          <w:trHeight w:val="348"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8" w:right="0"/>
              <w:jc w:val="left"/>
              <w:rPr>
                <w:rFonts w:ascii="Times New Roman" w:hAnsi="Times New Roman" w:cs="Times New Roman" w:eastAsia="Times New Roman" w:hint="default"/>
                <w:sz w:val="18"/>
                <w:szCs w:val="18"/>
              </w:rPr>
            </w:pPr>
            <w:r>
              <w:rPr>
                <w:rFonts w:ascii="Times New Roman"/>
                <w:sz w:val="18"/>
              </w:rPr>
              <w:t>-3,596,451.63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1,211,410.61</w:t>
            </w:r>
          </w:p>
        </w:tc>
      </w:tr>
      <w:tr>
        <w:trPr>
          <w:trHeight w:val="346"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79" w:right="0"/>
              <w:jc w:val="left"/>
              <w:rPr>
                <w:rFonts w:ascii="Times New Roman" w:hAnsi="Times New Roman" w:cs="Times New Roman" w:eastAsia="Times New Roman" w:hint="default"/>
                <w:sz w:val="18"/>
                <w:szCs w:val="18"/>
              </w:rPr>
            </w:pPr>
            <w:r>
              <w:rPr>
                <w:rFonts w:ascii="Times New Roman"/>
                <w:sz w:val="18"/>
              </w:rPr>
              <w:t>77,286,826.68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114,265,900.88</w:t>
            </w:r>
          </w:p>
        </w:tc>
      </w:tr>
      <w:tr>
        <w:trPr>
          <w:trHeight w:val="348"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8" w:right="0"/>
              <w:jc w:val="left"/>
              <w:rPr>
                <w:rFonts w:ascii="Times New Roman" w:hAnsi="Times New Roman" w:cs="Times New Roman" w:eastAsia="Times New Roman" w:hint="default"/>
                <w:sz w:val="18"/>
                <w:szCs w:val="18"/>
              </w:rPr>
            </w:pPr>
            <w:r>
              <w:rPr>
                <w:rFonts w:ascii="Times New Roman"/>
                <w:sz w:val="18"/>
              </w:rPr>
              <w:t>123,458,727.56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84,249,857.59</w:t>
            </w:r>
          </w:p>
        </w:tc>
      </w:tr>
      <w:tr>
        <w:trPr>
          <w:trHeight w:val="346"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8" w:right="0"/>
              <w:jc w:val="left"/>
              <w:rPr>
                <w:rFonts w:ascii="Times New Roman" w:hAnsi="Times New Roman" w:cs="Times New Roman" w:eastAsia="Times New Roman" w:hint="default"/>
                <w:sz w:val="18"/>
                <w:szCs w:val="18"/>
              </w:rPr>
            </w:pPr>
            <w:r>
              <w:rPr>
                <w:rFonts w:ascii="Times New Roman"/>
                <w:sz w:val="18"/>
              </w:rPr>
              <w:t>-123,661,009.60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-108,291,174.56</w:t>
            </w:r>
          </w:p>
        </w:tc>
      </w:tr>
      <w:tr>
        <w:trPr>
          <w:trHeight w:val="349"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3" w:hRule="exact"/>
        </w:trPr>
        <w:tc>
          <w:tcPr>
            <w:tcW w:w="5761"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88" w:right="0"/>
              <w:jc w:val="left"/>
              <w:rPr>
                <w:rFonts w:ascii="Times New Roman" w:hAnsi="Times New Roman" w:cs="Times New Roman" w:eastAsia="Times New Roman" w:hint="default"/>
                <w:sz w:val="18"/>
                <w:szCs w:val="18"/>
              </w:rPr>
            </w:pPr>
            <w:r>
              <w:rPr>
                <w:rFonts w:ascii="Times New Roman"/>
                <w:sz w:val="18"/>
              </w:rPr>
              <w:t>109,976,975.80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147,774,384.35</w:t>
            </w:r>
          </w:p>
        </w:tc>
      </w:tr>
    </w:tbl>
    <w:p>
      <w:pPr>
        <w:spacing w:line="240" w:lineRule="auto" w:before="5"/>
        <w:rPr>
          <w:rFonts w:ascii="宋体" w:hAnsi="宋体" w:cs="宋体" w:eastAsia="宋体" w:hint="default"/>
          <w:sz w:val="18"/>
          <w:szCs w:val="18"/>
        </w:rPr>
      </w:pPr>
    </w:p>
    <w:p>
      <w:pPr>
        <w:pStyle w:val="Heading2"/>
        <w:spacing w:line="240" w:lineRule="auto" w:before="26"/>
        <w:ind w:left="832" w:right="1142"/>
        <w:jc w:val="left"/>
        <w:rPr>
          <w:b w:val="0"/>
          <w:bCs w:val="0"/>
        </w:rPr>
      </w:pPr>
      <w:r>
        <w:rPr/>
        <w:t>三、非主营业务分析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pict>
          <v:group style="position:absolute;margin-left:480.100006pt;margin-top:83.10173pt;width:80.45pt;height:28.05pt;mso-position-horizontal-relative:page;mso-position-vertical-relative:paragraph;z-index:-771856" coordorigin="9602,1662" coordsize="1609,561">
            <v:group style="position:absolute;left:9602;top:1662;width:1609;height:156" coordorigin="9602,1662" coordsize="1609,156">
              <v:shape style="position:absolute;left:9602;top:1662;width:1609;height:156" coordorigin="9602,1662" coordsize="1609,156" path="m9602,1818l11210,1818,11210,1662,9602,1662,9602,1818xe" filled="true" fillcolor="#ffffff" stroked="false">
                <v:path arrowok="t"/>
                <v:fill type="solid"/>
              </v:shape>
            </v:group>
            <v:group style="position:absolute;left:9613;top:1818;width:2;height:395" coordorigin="9613,1818" coordsize="2,395">
              <v:shape style="position:absolute;left:9613;top:1818;width:2;height:395" coordorigin="9613,1818" coordsize="0,395" path="m9613,1818l9613,2212e" filled="false" stroked="true" strokeweight="1.08pt" strokecolor="#ffffff">
                <v:path arrowok="t"/>
              </v:shape>
            </v:group>
            <v:group style="position:absolute;left:9624;top:1818;width:1566;height:395" coordorigin="9624,1818" coordsize="1566,395">
              <v:shape style="position:absolute;left:9624;top:1818;width:1566;height:395" coordorigin="9624,1818" coordsize="1566,395" path="m9624,2212l11189,2212,11189,1818,9624,1818,9624,2212xe" filled="true" fillcolor="#ffffff" stroked="false">
                <v:path arrowok="t"/>
                <v:fill type="solid"/>
              </v:shape>
            </v:group>
            <w10:wrap type="none"/>
          </v:group>
        </w:pict>
      </w:r>
      <w:r>
        <w:rPr/>
        <w:t>单位：元</w:t>
      </w:r>
    </w:p>
    <w:p>
      <w:pPr>
        <w:spacing w:line="240" w:lineRule="auto" w:before="4"/>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700"/>
        <w:gridCol w:w="1261"/>
        <w:gridCol w:w="1440"/>
        <w:gridCol w:w="3601"/>
        <w:gridCol w:w="391"/>
        <w:gridCol w:w="1230"/>
      </w:tblGrid>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-20,539,893.47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20.97%</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出售交易所上市股票产生亏损</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-29,930,969.65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股票持有期间市场交易价格下跌</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2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30,022,129.19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-30.65%</w:t>
            </w:r>
          </w:p>
        </w:tc>
        <w:tc>
          <w:tcPr>
            <w:tcW w:w="3601"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pacing w:val="-8"/>
                <w:sz w:val="18"/>
                <w:szCs w:val="18"/>
              </w:rPr>
              <w:t>坏账准备、存货跌价准备、无形资产减值准备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固定资产减值准备、长期应收款减值准备</w:t>
            </w:r>
          </w:p>
        </w:tc>
        <w:tc>
          <w:tcPr>
            <w:tcW w:w="391" w:type="dxa"/>
            <w:vMerge w:val="restart"/>
            <w:tcBorders>
              <w:top w:val="single" w:sz="4" w:space="0" w:color="000000"/>
              <w:left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30" w:type="dxa"/>
            <w:tcBorders>
              <w:top w:val="single" w:sz="4" w:space="0" w:color="000000"/>
              <w:left w:val="nil" w:sz="6" w:space="0" w:color="auto"/>
              <w:bottom w:val="nil" w:sz="6" w:space="0" w:color="auto"/>
              <w:right w:val="single" w:sz="4" w:space="0" w:color="000000"/>
            </w:tcBorders>
          </w:tcPr>
          <w:p>
            <w:pPr/>
          </w:p>
        </w:tc>
      </w:tr>
      <w:tr>
        <w:trPr>
          <w:trHeight w:val="394" w:hRule="exact"/>
        </w:trPr>
        <w:tc>
          <w:tcPr>
            <w:tcW w:w="2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61" w:type="dxa"/>
            <w:vMerge/>
            <w:tcBorders>
              <w:left w:val="single" w:sz="9" w:space="0" w:color="D2D2D2"/>
              <w:right w:val="single" w:sz="4" w:space="0" w:color="000000"/>
            </w:tcBorders>
          </w:tcPr>
          <w:p>
            <w:pPr/>
          </w:p>
        </w:tc>
        <w:tc>
          <w:tcPr>
            <w:tcW w:w="1440" w:type="dxa"/>
            <w:vMerge/>
            <w:tcBorders>
              <w:left w:val="single" w:sz="4" w:space="0" w:color="000000"/>
              <w:right w:val="single" w:sz="4" w:space="0" w:color="000000"/>
            </w:tcBorders>
          </w:tcPr>
          <w:p>
            <w:pPr/>
          </w:p>
        </w:tc>
        <w:tc>
          <w:tcPr>
            <w:tcW w:w="3601" w:type="dxa"/>
            <w:vMerge/>
            <w:tcBorders>
              <w:left w:val="single" w:sz="4" w:space="0" w:color="000000"/>
              <w:right w:val="single" w:sz="4" w:space="0" w:color="000000"/>
            </w:tcBorders>
          </w:tcPr>
          <w:p>
            <w:pPr/>
          </w:p>
        </w:tc>
        <w:tc>
          <w:tcPr>
            <w:tcW w:w="391" w:type="dxa"/>
            <w:vMerge/>
            <w:tcBorders>
              <w:left w:val="single" w:sz="4" w:space="0" w:color="000000"/>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2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9" w:space="0" w:color="D2D2D2"/>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601" w:type="dxa"/>
            <w:vMerge/>
            <w:tcBorders>
              <w:left w:val="single" w:sz="4" w:space="0" w:color="000000"/>
              <w:bottom w:val="single" w:sz="4" w:space="0" w:color="000000"/>
              <w:right w:val="single" w:sz="4" w:space="0" w:color="000000"/>
            </w:tcBorders>
          </w:tcPr>
          <w:p>
            <w:pPr/>
          </w:p>
        </w:tc>
        <w:tc>
          <w:tcPr>
            <w:tcW w:w="391" w:type="dxa"/>
            <w:tcBorders>
              <w:top w:val="nil" w:sz="6" w:space="0" w:color="auto"/>
              <w:left w:val="single" w:sz="4" w:space="0" w:color="000000"/>
              <w:bottom w:val="single" w:sz="4" w:space="0" w:color="000000"/>
              <w:right w:val="nil" w:sz="6" w:space="0" w:color="auto"/>
            </w:tcBorders>
          </w:tcPr>
          <w:p>
            <w:pPr/>
          </w:p>
        </w:tc>
        <w:tc>
          <w:tcPr>
            <w:tcW w:w="1230" w:type="dxa"/>
            <w:tcBorders>
              <w:top w:val="nil" w:sz="6" w:space="0" w:color="auto"/>
              <w:left w:val="nil" w:sz="6" w:space="0" w:color="auto"/>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468,445.34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非流动资产报废收益</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8,104,052.55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非流动资产报废损失、对外捐赠、</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短款</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-8,531,296.25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13,718,624.38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left="832" w:right="1142"/>
        <w:jc w:val="left"/>
        <w:rPr>
          <w:b w:val="0"/>
          <w:bCs w:val="0"/>
        </w:rPr>
      </w:pPr>
      <w:r>
        <w:rPr/>
        <w:pict>
          <v:group style="position:absolute;margin-left:165.020004pt;margin-top:-52.54438pt;width:61.35pt;height:20.65pt;mso-position-horizontal-relative:page;mso-position-vertical-relative:paragraph;z-index:-771832" coordorigin="3300,-1051" coordsize="1227,413">
            <v:group style="position:absolute;left:3311;top:-1040;width:2;height:392" coordorigin="3311,-1040" coordsize="2,392">
              <v:shape style="position:absolute;left:3311;top:-1040;width:2;height:392" coordorigin="3311,-1040" coordsize="0,392" path="m3311,-1040l3311,-649e" filled="false" stroked="true" strokeweight="1.08pt" strokecolor="#ffffff">
                <v:path arrowok="t"/>
              </v:shape>
            </v:group>
            <v:group style="position:absolute;left:3322;top:-1040;width:1206;height:392" coordorigin="3322,-1040" coordsize="1206,392">
              <v:shape style="position:absolute;left:3322;top:-1040;width:1206;height:392" coordorigin="3322,-1040" coordsize="1206,392" path="m3322,-649l4527,-649,4527,-1040,3322,-1040,3322,-649xe" filled="true" fillcolor="#ffffff" stroked="false">
                <v:path arrowok="t"/>
                <v:fill type="solid"/>
              </v:shape>
            </v:group>
            <w10:wrap type="none"/>
          </v:group>
        </w:pict>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832" w:right="114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88"/>
        <w:gridCol w:w="1333"/>
        <w:gridCol w:w="895"/>
        <w:gridCol w:w="1445"/>
        <w:gridCol w:w="814"/>
        <w:gridCol w:w="797"/>
        <w:gridCol w:w="3611"/>
      </w:tblGrid>
      <w:tr>
        <w:trPr>
          <w:trHeight w:val="384" w:hRule="exact"/>
        </w:trPr>
        <w:tc>
          <w:tcPr>
            <w:tcW w:w="2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2088" w:type="dxa"/>
            <w:vMerge w:val="restart"/>
            <w:tcBorders>
              <w:top w:val="nil" w:sz="6" w:space="0" w:color="auto"/>
              <w:left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3"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21" w:right="4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2088"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vMerge/>
            <w:tcBorders>
              <w:left w:val="single" w:sz="4" w:space="0" w:color="000000"/>
              <w:right w:val="single" w:sz="4" w:space="0" w:color="000000"/>
            </w:tcBorders>
            <w:shd w:val="clear" w:color="auto" w:fill="D2D2D2"/>
          </w:tcPr>
          <w:p>
            <w:pPr/>
          </w:p>
        </w:tc>
        <w:tc>
          <w:tcPr>
            <w:tcW w:w="14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361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088" w:type="dxa"/>
            <w:vMerge w:val="restart"/>
            <w:tcBorders>
              <w:top w:val="nil" w:sz="6" w:space="0" w:color="auto"/>
              <w:left w:val="single" w:sz="4" w:space="0" w:color="000000"/>
              <w:right w:val="single" w:sz="4" w:space="0" w:color="000000"/>
            </w:tcBorders>
            <w:shd w:val="clear" w:color="auto" w:fill="D2D2D2"/>
          </w:tcPr>
          <w:p>
            <w:pPr/>
          </w:p>
        </w:tc>
        <w:tc>
          <w:tcPr>
            <w:tcW w:w="133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14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361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88"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4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361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86,941,361.05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167,161,255.75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经营投入和证券投资所致</w:t>
            </w:r>
          </w:p>
        </w:tc>
      </w:tr>
      <w:tr>
        <w:trPr>
          <w:trHeight w:val="403"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98,821,593.67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169,690,788.64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36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66,466,052.11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147,402,023.75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本年度采购原材料较上年同期减少所致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30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087"/>
        <w:gridCol w:w="1333"/>
        <w:gridCol w:w="895"/>
        <w:gridCol w:w="1445"/>
        <w:gridCol w:w="814"/>
        <w:gridCol w:w="797"/>
        <w:gridCol w:w="3611"/>
      </w:tblGrid>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366,984,032.21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376,463,890.80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c>
          <w:tcPr>
            <w:tcW w:w="36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108,678.37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联营企业广州青创科技企业孵化器有限公司 经营亏损所致</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216,046,561.38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257,282,918.88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36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1,265,901.52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4,819,582.60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-0.16%</w:t>
            </w:r>
          </w:p>
        </w:tc>
        <w:tc>
          <w:tcPr>
            <w:tcW w:w="36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本年度偿还短期银行借款所致</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本年度取得银行长期借款所致</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845,363.81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10,683,506.61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御银科技园区投资项目供应商结算所致</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6,866,623.24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14,811,955.75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-0.33%</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收回投标保证金所致</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13,796,260.89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34,953,392.39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-0.90%</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一年内到期长期应收款较上年末减少所致</w:t>
            </w:r>
          </w:p>
        </w:tc>
      </w:tr>
      <w:tr>
        <w:trPr>
          <w:trHeight w:val="716"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14,738,350.26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43,689,740.98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待抵扣的增值税进项税以及预缴所得税较上 年末减少所致</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402,791,000.00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c>
          <w:tcPr>
            <w:tcW w:w="36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3,041,071.57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973,148.03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办公场地装修费用增加所致</w:t>
            </w:r>
          </w:p>
        </w:tc>
      </w:tr>
      <w:tr>
        <w:trPr>
          <w:trHeight w:val="71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4,106,220.50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15,833,400.40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一年以上应收融资租赁租金较上年末减少所 致</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63,283,013.88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78,106,051.40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-0.18%</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无形资产减值所致</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4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买入汽车牌照所致</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7,202,112.36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8,473,486.43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6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357,425.50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21,453,045.25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应交增值税较去年末减少所致</w:t>
            </w:r>
          </w:p>
        </w:tc>
      </w:tr>
      <w:tr>
        <w:trPr>
          <w:trHeight w:val="404"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29,738,269.62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1.70%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49,165,911.84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-0.68%</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原材料采购减少所致</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21,784,798.65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81,033,845.23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预收销售机器款结算所致</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26,709,178.42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35,892,071.14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-0.22%</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应付工程款较上年末减少所致</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17,860,600.00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30,559,200.00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计提机器维护费减少所致</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3,596,451.63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金融资产公允价值变动所致</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93,350.16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5,202.00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外币财务报表汇率变动所致</w:t>
            </w:r>
          </w:p>
        </w:tc>
      </w:tr>
    </w:tbl>
    <w:p>
      <w:pPr>
        <w:spacing w:line="240" w:lineRule="auto" w:before="3"/>
        <w:rPr>
          <w:rFonts w:ascii="宋体" w:hAnsi="宋体" w:cs="宋体" w:eastAsia="宋体" w:hint="default"/>
          <w:sz w:val="19"/>
          <w:szCs w:val="19"/>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160"/>
        <w:gridCol w:w="1267"/>
        <w:gridCol w:w="1255"/>
        <w:gridCol w:w="1440"/>
        <w:gridCol w:w="894"/>
        <w:gridCol w:w="1326"/>
        <w:gridCol w:w="1320"/>
        <w:gridCol w:w="1310"/>
      </w:tblGrid>
      <w:tr>
        <w:trPr>
          <w:trHeight w:val="161" w:hRule="exact"/>
        </w:trPr>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60" w:right="8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74" w:right="83"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74" w:right="76"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55"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3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5"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894"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81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7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3"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动计入当期损益的金融资</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316,301,656.72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-29,930,969.65</w:t>
            </w:r>
          </w:p>
        </w:tc>
        <w:tc>
          <w:tcPr>
            <w:tcW w:w="144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1,154,557,924.83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1,055,471,543.54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385,842,757.48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30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59"/>
        <w:gridCol w:w="1261"/>
        <w:gridCol w:w="1260"/>
        <w:gridCol w:w="1440"/>
        <w:gridCol w:w="900"/>
        <w:gridCol w:w="1321"/>
        <w:gridCol w:w="1320"/>
        <w:gridCol w:w="1320"/>
      </w:tblGrid>
      <w:tr>
        <w:trPr>
          <w:trHeight w:val="362"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产（不含衍生金融资产）</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316,301,656.72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-29,930,969.65</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1,154,557,924.83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1,055,471,543.54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385,842,757.48</w:t>
            </w:r>
          </w:p>
        </w:tc>
      </w:tr>
      <w:tr>
        <w:trPr>
          <w:trHeight w:val="403"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316,301,656.72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-29,930,969.65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1,154,557,924.83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1,055,471,543.54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385,842,757.48</w:t>
            </w:r>
          </w:p>
        </w:tc>
      </w:tr>
      <w:tr>
        <w:trPr>
          <w:trHeight w:val="401"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652" w:right="1042"/>
        <w:jc w:val="left"/>
      </w:pPr>
      <w:r>
        <w:rPr/>
        <w:t>报告期内公司主要资产计量属性是否发生重大变化</w:t>
      </w:r>
    </w:p>
    <w:p>
      <w:pPr>
        <w:pStyle w:val="BodyText"/>
        <w:spacing w:line="240" w:lineRule="auto" w:before="117"/>
        <w:ind w:left="652" w:right="10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left="652" w:right="1042"/>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tbl>
      <w:tblPr>
        <w:tblW w:w="0" w:type="auto"/>
        <w:jc w:val="left"/>
        <w:tblInd w:w="645" w:type="dxa"/>
        <w:tblLayout w:type="fixed"/>
        <w:tblCellMar>
          <w:top w:w="0" w:type="dxa"/>
          <w:left w:w="0" w:type="dxa"/>
          <w:bottom w:w="0" w:type="dxa"/>
          <w:right w:w="0" w:type="dxa"/>
        </w:tblCellMar>
        <w:tblLook w:val="01E0"/>
      </w:tblPr>
      <w:tblGrid>
        <w:gridCol w:w="3215"/>
        <w:gridCol w:w="3214"/>
        <w:gridCol w:w="3212"/>
      </w:tblGrid>
      <w:tr>
        <w:trPr>
          <w:trHeight w:val="335" w:hRule="exact"/>
        </w:trPr>
        <w:tc>
          <w:tcPr>
            <w:tcW w:w="3215"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7"/>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7"/>
              <w:ind w:left="105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12" w:type="dxa"/>
            <w:tcBorders>
              <w:top w:val="single" w:sz="6" w:space="0" w:color="000000"/>
              <w:left w:val="single" w:sz="6" w:space="0" w:color="000000"/>
              <w:bottom w:val="single" w:sz="6" w:space="0" w:color="000000"/>
              <w:right w:val="single" w:sz="6" w:space="0" w:color="000000"/>
            </w:tcBorders>
            <w:shd w:val="clear" w:color="auto" w:fill="D4DCE3"/>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32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1,029,767.08</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46"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206,700,902.94</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348" w:hRule="exact"/>
        </w:trPr>
        <w:tc>
          <w:tcPr>
            <w:tcW w:w="32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207,730,670.02</w:t>
            </w:r>
          </w:p>
        </w:tc>
        <w:tc>
          <w:tcPr>
            <w:tcW w:w="321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8"/>
        <w:ind w:left="652" w:right="1042" w:firstLine="360"/>
        <w:jc w:val="left"/>
      </w:pPr>
      <w:r>
        <w:rPr>
          <w:spacing w:val="-2"/>
        </w:rPr>
        <w:t>公司与中国工商银行股份有限公司广州工业大道支行签订了最高额抵押合同，将广州市天河区高唐路的部分房屋建筑物</w:t>
      </w:r>
      <w:r>
        <w:rPr/>
        <w:t> 作为抵押，截至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206,700,902.94</w:t>
      </w:r>
      <w:r>
        <w:rPr/>
        <w:t>元，该抵押担保合同项下的借款余额为</w:t>
      </w:r>
      <w:r>
        <w:rPr>
          <w:rFonts w:ascii="Times New Roman" w:hAnsi="Times New Roman" w:cs="Times New Roman" w:eastAsia="Times New Roman" w:hint="default"/>
        </w:rPr>
        <w:t>29,200,000.00</w:t>
      </w:r>
      <w:r>
        <w:rPr/>
        <w:t>元。</w:t>
      </w:r>
    </w:p>
    <w:p>
      <w:pPr>
        <w:spacing w:line="240" w:lineRule="auto" w:before="4"/>
        <w:rPr>
          <w:rFonts w:ascii="宋体" w:hAnsi="宋体" w:cs="宋体" w:eastAsia="宋体" w:hint="default"/>
          <w:sz w:val="19"/>
          <w:szCs w:val="19"/>
        </w:rPr>
      </w:pPr>
    </w:p>
    <w:p>
      <w:pPr>
        <w:pStyle w:val="Heading2"/>
        <w:spacing w:line="240" w:lineRule="auto"/>
        <w:ind w:left="652" w:right="1042"/>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1</w:t>
      </w:r>
      <w:r>
        <w:rPr/>
        <w:t>、总体情况</w:t>
      </w:r>
      <w:r>
        <w:rPr>
          <w:b w:val="0"/>
          <w:bCs w:val="0"/>
        </w:rPr>
      </w:r>
    </w:p>
    <w:p>
      <w:pPr>
        <w:pStyle w:val="BodyText"/>
        <w:spacing w:line="240" w:lineRule="auto" w:before="85"/>
        <w:ind w:left="652"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4"/>
          <w:szCs w:val="4"/>
        </w:rPr>
      </w:pPr>
    </w:p>
    <w:tbl>
      <w:tblPr>
        <w:tblW w:w="0" w:type="auto"/>
        <w:jc w:val="left"/>
        <w:tblInd w:w="6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442,949,708.81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-89.48%</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5" w:footer="980" w:top="1060" w:bottom="1160" w:left="480" w:right="0"/>
        </w:sectPr>
      </w:pPr>
    </w:p>
    <w:p>
      <w:pPr>
        <w:pStyle w:val="Heading3"/>
        <w:spacing w:line="240" w:lineRule="auto" w:before="36"/>
        <w:ind w:left="652" w:right="0"/>
        <w:jc w:val="left"/>
        <w:rPr>
          <w:b w:val="0"/>
          <w:bCs w:val="0"/>
        </w:rPr>
      </w:pPr>
      <w:r>
        <w:rPr>
          <w:rFonts w:ascii="Times New Roman" w:hAnsi="Times New Roman" w:cs="Times New Roman" w:eastAsia="Times New Roman" w:hint="default"/>
          <w:spacing w:val="-1"/>
        </w:rPr>
        <w:t>2</w:t>
      </w:r>
      <w:r>
        <w:rPr>
          <w:spacing w:val="-1"/>
        </w:rPr>
        <w:t>、报告期内获取的重大的股权投资情况</w:t>
      </w:r>
      <w:r>
        <w:rPr>
          <w:b w:val="0"/>
          <w:bCs w:val="0"/>
          <w:spacing w:val="-1"/>
        </w:rPr>
      </w:r>
    </w:p>
    <w:p>
      <w:pPr>
        <w:pStyle w:val="BodyText"/>
        <w:spacing w:line="240" w:lineRule="auto" w:before="82"/>
        <w:ind w:left="6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240" w:lineRule="auto"/>
        <w:ind w:left="652" w:right="0"/>
        <w:jc w:val="left"/>
      </w:pPr>
      <w:r>
        <w:rPr/>
        <w:t>单位：元</w:t>
      </w:r>
    </w:p>
    <w:p>
      <w:pPr>
        <w:spacing w:after="0" w:line="240" w:lineRule="auto"/>
        <w:jc w:val="left"/>
        <w:sectPr>
          <w:type w:val="continuous"/>
          <w:pgSz w:w="11910" w:h="16840"/>
          <w:pgMar w:top="1060" w:bottom="1160" w:left="480" w:right="0"/>
          <w:cols w:num="2" w:equalWidth="0">
            <w:col w:w="4345" w:space="4576"/>
            <w:col w:w="2509"/>
          </w:cols>
        </w:sectPr>
      </w:pP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40"/>
        <w:gridCol w:w="1820"/>
        <w:gridCol w:w="341"/>
        <w:gridCol w:w="1102"/>
        <w:gridCol w:w="708"/>
        <w:gridCol w:w="425"/>
        <w:gridCol w:w="466"/>
        <w:gridCol w:w="540"/>
        <w:gridCol w:w="540"/>
        <w:gridCol w:w="722"/>
        <w:gridCol w:w="425"/>
        <w:gridCol w:w="425"/>
        <w:gridCol w:w="428"/>
        <w:gridCol w:w="566"/>
        <w:gridCol w:w="1394"/>
      </w:tblGrid>
      <w:tr>
        <w:trPr>
          <w:trHeight w:val="1650"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36" w:right="47"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86" w:right="82"/>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86" w:right="8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 w:right="24"/>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31" w:right="2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20"/>
              <w:ind w:left="98" w:right="96"/>
              <w:jc w:val="left"/>
              <w:rPr>
                <w:rFonts w:ascii="宋体" w:hAnsi="宋体" w:cs="宋体" w:eastAsia="宋体" w:hint="default"/>
                <w:sz w:val="18"/>
                <w:szCs w:val="18"/>
              </w:rPr>
            </w:pPr>
            <w:r>
              <w:rPr>
                <w:rFonts w:ascii="宋体" w:hAnsi="宋体" w:cs="宋体" w:eastAsia="宋体" w:hint="default"/>
                <w:sz w:val="18"/>
                <w:szCs w:val="18"/>
              </w:rPr>
              <w:t>（如 有）</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590" w:right="72"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321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44"/>
              <w:jc w:val="both"/>
              <w:rPr>
                <w:rFonts w:ascii="宋体" w:hAnsi="宋体" w:cs="宋体" w:eastAsia="宋体" w:hint="default"/>
                <w:sz w:val="18"/>
                <w:szCs w:val="18"/>
              </w:rPr>
            </w:pPr>
            <w:r>
              <w:rPr>
                <w:rFonts w:ascii="宋体" w:hAnsi="宋体" w:cs="宋体" w:eastAsia="宋体" w:hint="default"/>
                <w:sz w:val="18"/>
                <w:szCs w:val="18"/>
              </w:rPr>
              <w:t>广州 十方 软件 科技 有限 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19"/>
              <w:jc w:val="left"/>
              <w:rPr>
                <w:rFonts w:ascii="宋体" w:hAnsi="宋体" w:cs="宋体" w:eastAsia="宋体" w:hint="default"/>
                <w:sz w:val="18"/>
                <w:szCs w:val="18"/>
              </w:rPr>
            </w:pPr>
            <w:r>
              <w:rPr>
                <w:rFonts w:ascii="宋体" w:hAnsi="宋体" w:cs="宋体" w:eastAsia="宋体" w:hint="default"/>
                <w:sz w:val="18"/>
                <w:szCs w:val="18"/>
              </w:rPr>
              <w:t>信息系统集成服务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数 据处理和存储服务</w:t>
            </w:r>
            <w:r>
              <w:rPr>
                <w:rFonts w:ascii="Times New Roman" w:hAnsi="Times New Roman" w:cs="Times New Roman" w:eastAsia="Times New Roman" w:hint="default"/>
                <w:sz w:val="18"/>
                <w:szCs w:val="18"/>
              </w:rPr>
              <w:t>;</w:t>
            </w:r>
            <w:r>
              <w:rPr>
                <w:rFonts w:ascii="宋体" w:hAnsi="宋体" w:cs="宋体" w:eastAsia="宋体" w:hint="default"/>
                <w:sz w:val="18"/>
                <w:szCs w:val="18"/>
              </w:rPr>
              <w:t>集 成电路设计</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 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 件测试服务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软件零售</w:t>
            </w:r>
            <w:r>
              <w:rPr>
                <w:rFonts w:ascii="Times New Roman" w:hAnsi="Times New Roman" w:cs="Times New Roman" w:eastAsia="Times New Roman" w:hint="default"/>
                <w:sz w:val="18"/>
                <w:szCs w:val="18"/>
              </w:rPr>
              <w:t>; </w:t>
            </w:r>
            <w:r>
              <w:rPr>
                <w:rFonts w:ascii="宋体" w:hAnsi="宋体" w:cs="宋体" w:eastAsia="宋体" w:hint="default"/>
                <w:sz w:val="18"/>
                <w:szCs w:val="18"/>
              </w:rPr>
              <w:t>软件批发</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计算机技术 </w:t>
            </w:r>
            <w:r>
              <w:rPr>
                <w:rFonts w:ascii="宋体" w:hAnsi="宋体" w:cs="宋体" w:eastAsia="宋体" w:hint="default"/>
                <w:spacing w:val="-8"/>
                <w:sz w:val="18"/>
                <w:szCs w:val="18"/>
              </w:rPr>
              <w:t>开发、技术服务</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商品信</w:t>
            </w:r>
            <w:r>
              <w:rPr>
                <w:rFonts w:ascii="宋体" w:hAnsi="宋体" w:cs="宋体" w:eastAsia="宋体" w:hint="default"/>
                <w:sz w:val="18"/>
                <w:szCs w:val="18"/>
              </w:rPr>
              <w:t> 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科技信息 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科技项目代 </w:t>
            </w:r>
            <w:r>
              <w:rPr>
                <w:rFonts w:ascii="宋体" w:hAnsi="宋体" w:cs="宋体" w:eastAsia="宋体" w:hint="default"/>
                <w:spacing w:val="-8"/>
                <w:sz w:val="18"/>
                <w:szCs w:val="18"/>
              </w:rPr>
              <w:t>理服务</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场地租赁（不含</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25"/>
              <w:jc w:val="left"/>
              <w:rPr>
                <w:rFonts w:ascii="宋体" w:hAnsi="宋体" w:cs="宋体" w:eastAsia="宋体" w:hint="default"/>
                <w:sz w:val="18"/>
                <w:szCs w:val="18"/>
              </w:rPr>
            </w:pPr>
            <w:r>
              <w:rPr>
                <w:rFonts w:ascii="宋体" w:hAnsi="宋体" w:cs="宋体" w:eastAsia="宋体" w:hint="default"/>
                <w:sz w:val="18"/>
                <w:szCs w:val="18"/>
              </w:rPr>
              <w:t>新 设</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23,300,000.00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44"/>
              <w:jc w:val="both"/>
              <w:rPr>
                <w:rFonts w:ascii="宋体" w:hAnsi="宋体" w:cs="宋体" w:eastAsia="宋体" w:hint="default"/>
                <w:sz w:val="18"/>
                <w:szCs w:val="18"/>
              </w:rPr>
            </w:pPr>
            <w:r>
              <w:rPr>
                <w:rFonts w:ascii="宋体" w:hAnsi="宋体" w:cs="宋体" w:eastAsia="宋体" w:hint="default"/>
                <w:sz w:val="18"/>
                <w:szCs w:val="18"/>
              </w:rPr>
              <w:t>与自 动柜 员机 技术 相关 软件</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46"/>
              <w:jc w:val="both"/>
              <w:rPr>
                <w:rFonts w:ascii="宋体" w:hAnsi="宋体" w:cs="宋体" w:eastAsia="宋体" w:hint="default"/>
                <w:sz w:val="18"/>
                <w:szCs w:val="18"/>
              </w:rPr>
            </w:pPr>
            <w:r>
              <w:rPr>
                <w:rFonts w:ascii="宋体" w:hAnsi="宋体" w:cs="宋体" w:eastAsia="宋体" w:hint="default"/>
                <w:sz w:val="18"/>
                <w:szCs w:val="18"/>
              </w:rPr>
              <w:t>截至资 产负债 表日全 部完成 出资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具体内容详见巨 潮资讯网</w:t>
            </w:r>
          </w:p>
          <w:p>
            <w:pPr>
              <w:pStyle w:val="TableParagraph"/>
              <w:spacing w:line="312" w:lineRule="auto" w:before="1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6"/>
                <w:sz w:val="18"/>
                <w:szCs w:val="18"/>
              </w:rPr>
              <w:t>nfo.com.cn)</w:t>
            </w:r>
            <w:r>
              <w:rPr>
                <w:rFonts w:ascii="宋体" w:hAnsi="宋体" w:cs="宋体" w:eastAsia="宋体" w:hint="default"/>
                <w:spacing w:val="-6"/>
                <w:sz w:val="18"/>
                <w:szCs w:val="18"/>
              </w:rPr>
              <w:t>的《关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于投资设立全资 子公司广州十方 软件科技有限公 </w:t>
            </w:r>
            <w:r>
              <w:rPr>
                <w:rFonts w:ascii="宋体" w:hAnsi="宋体" w:cs="宋体" w:eastAsia="宋体" w:hint="default"/>
                <w:spacing w:val="-13"/>
                <w:sz w:val="18"/>
                <w:szCs w:val="18"/>
              </w:rPr>
              <w:t>司的公告》（公告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2017-027</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type w:val="continuous"/>
          <w:pgSz w:w="11910" w:h="16840"/>
          <w:pgMar w:top="1060" w:bottom="1160" w:left="4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540"/>
        <w:gridCol w:w="1820"/>
        <w:gridCol w:w="341"/>
        <w:gridCol w:w="1102"/>
        <w:gridCol w:w="708"/>
        <w:gridCol w:w="425"/>
        <w:gridCol w:w="466"/>
        <w:gridCol w:w="540"/>
        <w:gridCol w:w="540"/>
        <w:gridCol w:w="722"/>
        <w:gridCol w:w="425"/>
        <w:gridCol w:w="425"/>
        <w:gridCol w:w="428"/>
        <w:gridCol w:w="566"/>
        <w:gridCol w:w="1394"/>
      </w:tblGrid>
      <w:tr>
        <w:trPr>
          <w:trHeight w:val="362"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仓储）</w:t>
            </w:r>
            <w:r>
              <w:rPr>
                <w:rFonts w:ascii="Times New Roman" w:hAnsi="Times New Roman" w:cs="Times New Roman" w:eastAsia="Times New Roman" w:hint="default"/>
                <w:sz w:val="18"/>
                <w:szCs w:val="18"/>
              </w:rPr>
              <w:t>;</w:t>
            </w:r>
            <w:r>
              <w:rPr>
                <w:rFonts w:ascii="宋体" w:hAnsi="宋体" w:cs="宋体" w:eastAsia="宋体" w:hint="default"/>
                <w:sz w:val="18"/>
                <w:szCs w:val="18"/>
              </w:rPr>
              <w:t>物业管理</w:t>
            </w:r>
            <w:r>
              <w:rPr>
                <w:rFonts w:ascii="Times New Roman" w:hAnsi="Times New Roman" w:cs="Times New Roman" w:eastAsia="Times New Roman" w:hint="default"/>
                <w:sz w:val="18"/>
                <w:szCs w:val="18"/>
              </w:rPr>
              <w:t>;</w:t>
            </w:r>
          </w:p>
        </w:tc>
        <w:tc>
          <w:tcPr>
            <w:tcW w:w="34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广州 同位 素智 能科 技有 限公 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科技信息咨询服务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 技项目代理服务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场地 </w:t>
            </w:r>
            <w:r>
              <w:rPr>
                <w:rFonts w:ascii="宋体" w:hAnsi="宋体" w:cs="宋体" w:eastAsia="宋体" w:hint="default"/>
                <w:spacing w:val="-8"/>
                <w:sz w:val="18"/>
                <w:szCs w:val="18"/>
              </w:rPr>
              <w:t>租赁（不含仓储）</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物业</w:t>
            </w:r>
            <w:r>
              <w:rPr>
                <w:rFonts w:ascii="宋体" w:hAnsi="宋体" w:cs="宋体" w:eastAsia="宋体" w:hint="default"/>
                <w:sz w:val="18"/>
                <w:szCs w:val="18"/>
              </w:rPr>
              <w:t> 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专利服务</w:t>
            </w:r>
            <w:r>
              <w:rPr>
                <w:rFonts w:ascii="Times New Roman" w:hAnsi="Times New Roman" w:cs="Times New Roman" w:eastAsia="Times New Roman" w:hint="default"/>
                <w:sz w:val="18"/>
                <w:szCs w:val="18"/>
              </w:rPr>
              <w:t>;</w:t>
            </w:r>
            <w:r>
              <w:rPr>
                <w:rFonts w:ascii="宋体" w:hAnsi="宋体" w:cs="宋体" w:eastAsia="宋体" w:hint="default"/>
                <w:sz w:val="18"/>
                <w:szCs w:val="18"/>
              </w:rPr>
              <w:t>商标代 理等服务</w:t>
            </w:r>
            <w:r>
              <w:rPr>
                <w:rFonts w:ascii="Times New Roman" w:hAnsi="Times New Roman" w:cs="Times New Roman" w:eastAsia="Times New Roman" w:hint="default"/>
                <w:sz w:val="18"/>
                <w:szCs w:val="18"/>
              </w:rPr>
              <w:t>;</w:t>
            </w:r>
            <w:r>
              <w:rPr>
                <w:rFonts w:ascii="宋体" w:hAnsi="宋体" w:cs="宋体" w:eastAsia="宋体" w:hint="default"/>
                <w:sz w:val="18"/>
                <w:szCs w:val="18"/>
              </w:rPr>
              <w:t>版权服务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 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工商登记代理 服务</w:t>
            </w:r>
            <w:r>
              <w:rPr>
                <w:rFonts w:ascii="Times New Roman" w:hAnsi="Times New Roman" w:cs="Times New Roman" w:eastAsia="Times New Roman" w:hint="default"/>
                <w:sz w:val="18"/>
                <w:szCs w:val="18"/>
              </w:rPr>
              <w:t>;</w:t>
            </w:r>
            <w:r>
              <w:rPr>
                <w:rFonts w:ascii="宋体" w:hAnsi="宋体" w:cs="宋体" w:eastAsia="宋体" w:hint="default"/>
                <w:sz w:val="18"/>
                <w:szCs w:val="18"/>
              </w:rPr>
              <w:t>集成电路布图设 计代理服务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 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会议及展览 服务</w:t>
            </w:r>
            <w:r>
              <w:rPr>
                <w:rFonts w:ascii="Times New Roman" w:hAnsi="Times New Roman" w:cs="Times New Roman" w:eastAsia="Times New Roman" w:hint="default"/>
                <w:sz w:val="18"/>
                <w:szCs w:val="18"/>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25"/>
              <w:jc w:val="left"/>
              <w:rPr>
                <w:rFonts w:ascii="宋体" w:hAnsi="宋体" w:cs="宋体" w:eastAsia="宋体" w:hint="default"/>
                <w:sz w:val="18"/>
                <w:szCs w:val="18"/>
              </w:rPr>
            </w:pPr>
            <w:r>
              <w:rPr>
                <w:rFonts w:ascii="宋体" w:hAnsi="宋体" w:cs="宋体" w:eastAsia="宋体" w:hint="default"/>
                <w:sz w:val="18"/>
                <w:szCs w:val="18"/>
              </w:rPr>
              <w:t>增 资</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82.33%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广东 小炬 人创 业园 有限 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长期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44"/>
              <w:jc w:val="both"/>
              <w:rPr>
                <w:rFonts w:ascii="宋体" w:hAnsi="宋体" w:cs="宋体" w:eastAsia="宋体" w:hint="default"/>
                <w:sz w:val="18"/>
                <w:szCs w:val="18"/>
              </w:rPr>
            </w:pPr>
            <w:r>
              <w:rPr>
                <w:rFonts w:ascii="宋体" w:hAnsi="宋体" w:cs="宋体" w:eastAsia="宋体" w:hint="default"/>
                <w:sz w:val="18"/>
                <w:szCs w:val="18"/>
              </w:rPr>
              <w:t>科技 推广 和应 用服 务业</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46"/>
              <w:jc w:val="both"/>
              <w:rPr>
                <w:rFonts w:ascii="宋体" w:hAnsi="宋体" w:cs="宋体" w:eastAsia="宋体" w:hint="default"/>
                <w:sz w:val="18"/>
                <w:szCs w:val="18"/>
              </w:rPr>
            </w:pPr>
            <w:r>
              <w:rPr>
                <w:rFonts w:ascii="宋体" w:hAnsi="宋体" w:cs="宋体" w:eastAsia="宋体" w:hint="default"/>
                <w:sz w:val="18"/>
                <w:szCs w:val="18"/>
              </w:rPr>
              <w:t>截至资 产负债 表日全 部完成 出资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具体内容详见巨 潮资讯网</w:t>
            </w:r>
          </w:p>
          <w:p>
            <w:pPr>
              <w:pStyle w:val="TableParagraph"/>
              <w:spacing w:line="312" w:lineRule="auto" w:before="1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6"/>
                <w:sz w:val="18"/>
                <w:szCs w:val="18"/>
              </w:rPr>
              <w:t>nfo.com.cn)</w:t>
            </w:r>
            <w:r>
              <w:rPr>
                <w:rFonts w:ascii="宋体" w:hAnsi="宋体" w:cs="宋体" w:eastAsia="宋体" w:hint="default"/>
                <w:spacing w:val="-6"/>
                <w:sz w:val="18"/>
                <w:szCs w:val="18"/>
              </w:rPr>
              <w:t>的《关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于对全资孙公司 广州同位素智能 科技有限公司增 </w:t>
            </w:r>
            <w:r>
              <w:rPr>
                <w:rFonts w:ascii="宋体" w:hAnsi="宋体" w:cs="宋体" w:eastAsia="宋体" w:hint="default"/>
                <w:spacing w:val="-13"/>
                <w:sz w:val="18"/>
                <w:szCs w:val="18"/>
              </w:rPr>
              <w:t>资的公告》（公告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2017-026</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403"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w:t>
            </w:r>
          </w:p>
        </w:tc>
        <w:tc>
          <w:tcPr>
            <w:tcW w:w="11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46,600,000.00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15" w:space="0" w:color="D2D2D2"/>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0.00</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652" w:right="104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652"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591"/>
        <w:gridCol w:w="1186"/>
        <w:gridCol w:w="1160"/>
        <w:gridCol w:w="1385"/>
        <w:gridCol w:w="1534"/>
        <w:gridCol w:w="1534"/>
        <w:gridCol w:w="1167"/>
        <w:gridCol w:w="1346"/>
        <w:gridCol w:w="540"/>
      </w:tblGrid>
      <w:tr>
        <w:trPr>
          <w:trHeight w:val="714" w:hRule="exact"/>
        </w:trPr>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 w:right="108"/>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6" w:right="3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8" w:right="55"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累计投资收益</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2"/>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3"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406,767,486.03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-29,930,969.65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1,154,557,924.83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1,055,085,854.42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-23,913,549.24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3" w:hRule="exact"/>
        </w:trPr>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406,767,486.03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-29,930,969.65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1,154,557,924.83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1,055,085,854.42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-23,913,549.24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65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8"/>
        <w:rPr>
          <w:rFonts w:ascii="宋体" w:hAnsi="宋体" w:cs="宋体" w:eastAsia="宋体" w:hint="default"/>
          <w:sz w:val="19"/>
          <w:szCs w:val="19"/>
        </w:rPr>
      </w:pPr>
    </w:p>
    <w:p>
      <w:pPr>
        <w:pStyle w:val="Heading2"/>
        <w:spacing w:line="240" w:lineRule="auto"/>
        <w:ind w:left="652" w:right="1042"/>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65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left="652" w:right="1042"/>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480" w:right="0"/>
        </w:sectPr>
      </w:pPr>
    </w:p>
    <w:p>
      <w:pPr>
        <w:spacing w:line="240" w:lineRule="auto" w:before="8"/>
        <w:rPr>
          <w:rFonts w:ascii="宋体" w:hAnsi="宋体" w:cs="宋体" w:eastAsia="宋体" w:hint="default"/>
          <w:sz w:val="23"/>
          <w:szCs w:val="23"/>
        </w:rPr>
      </w:pPr>
    </w:p>
    <w:p>
      <w:pPr>
        <w:pStyle w:val="Heading2"/>
        <w:spacing w:line="240" w:lineRule="auto" w:before="26"/>
        <w:ind w:left="832" w:right="1142"/>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300" w:right="0"/>
        </w:sectPr>
      </w:pPr>
    </w:p>
    <w:p>
      <w:pPr>
        <w:pStyle w:val="BodyText"/>
        <w:spacing w:line="240" w:lineRule="auto" w:before="44"/>
        <w:ind w:left="83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3"/>
        <w:ind w:left="832"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832" w:right="0"/>
        <w:jc w:val="left"/>
      </w:pPr>
      <w:r>
        <w:rPr/>
        <w:t>单位：元</w:t>
      </w:r>
    </w:p>
    <w:p>
      <w:pPr>
        <w:spacing w:after="0" w:line="240" w:lineRule="auto"/>
        <w:jc w:val="left"/>
        <w:sectPr>
          <w:type w:val="continuous"/>
          <w:pgSz w:w="11910" w:h="16840"/>
          <w:pgMar w:top="1060" w:bottom="1160" w:left="300" w:right="0"/>
          <w:cols w:num="2" w:equalWidth="0">
            <w:col w:w="5531" w:space="3389"/>
            <w:col w:w="2690"/>
          </w:cols>
        </w:sectPr>
      </w:pPr>
    </w:p>
    <w:p>
      <w:pPr>
        <w:spacing w:line="240" w:lineRule="auto" w:before="3"/>
        <w:rPr>
          <w:rFonts w:ascii="宋体" w:hAnsi="宋体" w:cs="宋体" w:eastAsia="宋体" w:hint="default"/>
          <w:sz w:val="5"/>
          <w:szCs w:val="5"/>
        </w:rPr>
      </w:pPr>
      <w:r>
        <w:rPr/>
        <w:pict>
          <v:shape style="position:absolute;margin-left:158.663010pt;margin-top:564.909973pt;width:104.8pt;height:15.6pt;mso-position-horizontal-relative:page;mso-position-vertical-relative:page;z-index:-771760" type="#_x0000_t202" filled="false" stroked="false">
            <v:textbox inset="0,0,0,0">
              <w:txbxContent>
                <w:p>
                  <w:pPr>
                    <w:pStyle w:val="BodyText"/>
                    <w:spacing w:line="240" w:lineRule="auto" w:before="49"/>
                    <w:ind w:left="0" w:right="0"/>
                    <w:jc w:val="left"/>
                  </w:pPr>
                  <w:r>
                    <w:rPr/>
                    <w:t>技术服务、</w:t>
                  </w:r>
                </w:p>
              </w:txbxContent>
            </v:textbox>
            <w10:wrap type="none"/>
          </v:shape>
        </w:pict>
      </w:r>
      <w:r>
        <w:rPr/>
        <w:pict>
          <v:shape style="position:absolute;margin-left:158.663010pt;margin-top:616.269958pt;width:104.8pt;height:15.6pt;mso-position-horizontal-relative:page;mso-position-vertical-relative:page;z-index:-771736" type="#_x0000_t202" filled="false" stroked="false">
            <v:textbox inset="0,0,0,0">
              <w:txbxContent>
                <w:p>
                  <w:pPr>
                    <w:pStyle w:val="BodyText"/>
                    <w:spacing w:line="240" w:lineRule="auto" w:before="49"/>
                    <w:ind w:left="0" w:right="0"/>
                    <w:jc w:val="left"/>
                  </w:pPr>
                  <w:r>
                    <w:rPr/>
                    <w:t>技术咨询；</w:t>
                  </w:r>
                </w:p>
              </w:txbxContent>
            </v:textbox>
            <w10:wrap type="none"/>
          </v:shape>
        </w:pict>
      </w:r>
      <w:r>
        <w:rPr/>
        <w:pict>
          <v:shape style="position:absolute;margin-left:158.663010pt;margin-top:667.539978pt;width:104.8pt;height:15.6pt;mso-position-horizontal-relative:page;mso-position-vertical-relative:page;z-index:-771712" type="#_x0000_t202" filled="false" stroked="false">
            <v:textbox inset="0,0,0,0">
              <w:txbxContent>
                <w:p>
                  <w:pPr>
                    <w:pStyle w:val="BodyText"/>
                    <w:spacing w:line="240" w:lineRule="auto" w:before="49"/>
                    <w:ind w:left="0" w:right="0"/>
                    <w:jc w:val="left"/>
                  </w:pPr>
                  <w:r>
                    <w:rPr/>
                    <w:t>技术咨询；</w:t>
                  </w:r>
                </w:p>
              </w:txbxContent>
            </v:textbox>
            <w10:wrap type="none"/>
          </v:shape>
        </w:pict>
      </w:r>
      <w:r>
        <w:rPr/>
        <w:pict>
          <v:group style="position:absolute;margin-left:200.929993pt;margin-top:564.909973pt;width:62.55pt;height:35.85pt;mso-position-horizontal-relative:page;mso-position-vertical-relative:page;z-index:-771688" coordorigin="4019,11298" coordsize="1251,717">
            <v:group style="position:absolute;left:4019;top:11298;width:1251;height:312" coordorigin="4019,11298" coordsize="1251,312">
              <v:shape style="position:absolute;left:4019;top:11298;width:1251;height:312" coordorigin="4019,11298" coordsize="1251,312" path="m4019,11610l5269,11610,5269,11298,4019,11298,4019,11610xe" filled="true" fillcolor="#ffffff" stroked="false">
                <v:path arrowok="t"/>
                <v:fill type="solid"/>
              </v:shape>
            </v:group>
            <v:group style="position:absolute;left:4029;top:11610;width:2;height:394" coordorigin="4029,11610" coordsize="2,394">
              <v:shape style="position:absolute;left:4029;top:11610;width:2;height:394" coordorigin="4029,11610" coordsize="0,394" path="m4029,11610l4029,12004e" filled="false" stroked="true" strokeweight="1.08pt" strokecolor="#ffffff">
                <v:path arrowok="t"/>
              </v:shape>
            </v:group>
            <v:group style="position:absolute;left:4040;top:11610;width:1205;height:394" coordorigin="4040,11610" coordsize="1205,394">
              <v:shape style="position:absolute;left:4040;top:11610;width:1205;height:394" coordorigin="4040,11610" coordsize="1205,394" path="m4040,12004l5245,12004,5245,11610,4040,11610,4040,12004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289"/>
        <w:gridCol w:w="566"/>
        <w:gridCol w:w="1743"/>
        <w:gridCol w:w="1262"/>
        <w:gridCol w:w="1532"/>
        <w:gridCol w:w="1133"/>
        <w:gridCol w:w="1136"/>
        <w:gridCol w:w="1277"/>
        <w:gridCol w:w="1224"/>
      </w:tblGrid>
      <w:tr>
        <w:trPr>
          <w:trHeight w:val="713" w:hRule="exact"/>
        </w:trPr>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3"/>
              <w:jc w:val="left"/>
              <w:rPr>
                <w:rFonts w:ascii="宋体" w:hAnsi="宋体" w:cs="宋体" w:eastAsia="宋体" w:hint="default"/>
                <w:sz w:val="18"/>
                <w:szCs w:val="18"/>
              </w:rPr>
            </w:pPr>
            <w:r>
              <w:rPr>
                <w:rFonts w:ascii="宋体" w:hAnsi="宋体" w:cs="宋体" w:eastAsia="宋体" w:hint="default"/>
                <w:sz w:val="18"/>
                <w:szCs w:val="18"/>
              </w:rPr>
              <w:t>广州御新软件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 </w:t>
            </w:r>
            <w:r>
              <w:rPr>
                <w:rFonts w:ascii="宋体" w:hAnsi="宋体" w:cs="宋体" w:eastAsia="宋体" w:hint="default"/>
                <w:sz w:val="18"/>
                <w:szCs w:val="18"/>
              </w:rPr>
              <w:t>软件零售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电子、通信 与自动控制技术研 究、开发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164,622,318.57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147,594,257.1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2,481,147.82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545,993.03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-275,970.64</w:t>
            </w:r>
          </w:p>
        </w:tc>
      </w:tr>
      <w:tr>
        <w:trPr>
          <w:trHeight w:val="102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广州御银自动 柜员机技术有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电子产品、金融机具 设备、自动柜员机的 研究、开发、销售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134,075,315.60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113,881,840.4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3,465,742.07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-5,825,425.60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-5,930,717.93</w:t>
            </w:r>
          </w:p>
        </w:tc>
      </w:tr>
      <w:tr>
        <w:trPr>
          <w:trHeight w:val="102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广州御银金融 服务有限公司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对柜员机进行维护及 管理，对现金及有价 证券清分处理</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76,850,856.26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17,830,752.40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128,716,015.0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-7,958,268.75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-7,172,032.97</w:t>
            </w:r>
          </w:p>
        </w:tc>
      </w:tr>
      <w:tr>
        <w:trPr>
          <w:trHeight w:val="71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安徽御银电子 科技有限公司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自动柜员机及点钞机 设备的研发、销售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742,219.34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455,983.30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-3,884.75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-14,747.75</w:t>
            </w:r>
          </w:p>
        </w:tc>
      </w:tr>
      <w:tr>
        <w:trPr>
          <w:trHeight w:val="102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5"/>
                <w:sz w:val="18"/>
                <w:szCs w:val="18"/>
              </w:rPr>
              <w:t>御银（中国）科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技国际有限公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 </w:t>
            </w:r>
            <w:r>
              <w:rPr>
                <w:rFonts w:ascii="宋体" w:hAnsi="宋体" w:cs="宋体" w:eastAsia="宋体" w:hint="default"/>
                <w:sz w:val="18"/>
                <w:szCs w:val="18"/>
              </w:rPr>
              <w:t>美元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170,483.79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130,105.46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43,453.63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43,453.63</w:t>
            </w:r>
          </w:p>
        </w:tc>
      </w:tr>
      <w:tr>
        <w:trPr>
          <w:trHeight w:val="71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御银科技（香 港）有限公司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15,683,237.12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1,935,354.84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3,396,071.31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68,409.45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68,082.28</w:t>
            </w:r>
          </w:p>
        </w:tc>
      </w:tr>
      <w:tr>
        <w:trPr>
          <w:trHeight w:val="102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广州御银自动 柜员机科技有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电子产品、金融机具 设备、自动柜员机的 研究、开发、销售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474,915,402.53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456,450,424.6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41,398,813.90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-23,679,640.93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-21,138,736.02</w:t>
            </w:r>
          </w:p>
        </w:tc>
      </w:tr>
      <w:tr>
        <w:trPr>
          <w:trHeight w:val="71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广州御银信息 科技有限公司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软件和信息技术服务 业</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37,972,159.33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37,918,263.47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-35,851,112.83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-26,970,851.20</w:t>
            </w:r>
          </w:p>
        </w:tc>
      </w:tr>
      <w:tr>
        <w:trPr>
          <w:trHeight w:val="102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北京御新赢创 科技有限公司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技术开发、 </w:t>
            </w:r>
            <w:r>
              <w:rPr>
                <w:rFonts w:ascii="宋体" w:hAnsi="宋体" w:cs="宋体" w:eastAsia="宋体" w:hint="default"/>
                <w:spacing w:val="-6"/>
                <w:sz w:val="18"/>
                <w:szCs w:val="18"/>
              </w:rPr>
              <w:t>技术咨询、软件开发、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软件服务等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19,341,159.22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-240,440.29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-770,606.74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-770,606.74</w:t>
            </w:r>
          </w:p>
        </w:tc>
      </w:tr>
      <w:tr>
        <w:trPr>
          <w:trHeight w:val="102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北京御新科技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技术开发； </w:t>
            </w:r>
            <w:r>
              <w:rPr>
                <w:rFonts w:ascii="宋体" w:hAnsi="宋体" w:cs="宋体" w:eastAsia="宋体" w:hint="default"/>
                <w:spacing w:val="6"/>
                <w:sz w:val="18"/>
                <w:szCs w:val="18"/>
              </w:rPr>
              <w:t>技术服务；软件开发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2.55pt;height:15.6pt;mso-position-horizontal-relative:char;mso-position-vertical-relative:line" coordorigin="0,0" coordsize="1251,312">
                  <v:group style="position:absolute;left:0;top:0;width:1251;height:312" coordorigin="0,0" coordsize="1251,312">
                    <v:shape style="position:absolute;left:0;top:0;width:1251;height:312" coordorigin="0,0" coordsize="1251,312" path="m0,312l1250,312,125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19,345,906.73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-320,692.78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-771,803.02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-771,803.02</w:t>
            </w:r>
          </w:p>
        </w:tc>
      </w:tr>
      <w:tr>
        <w:trPr>
          <w:trHeight w:val="102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北京天成智合 科技有限公司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技术开发； 技术服务；软件开发 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2.55pt;height:15.6pt;mso-position-horizontal-relative:char;mso-position-vertical-relative:line" coordorigin="0,0" coordsize="1251,312">
                  <v:group style="position:absolute;left:0;top:0;width:1251;height:312" coordorigin="0,0" coordsize="1251,312">
                    <v:shape style="position:absolute;left:0;top:0;width:1251;height:312" coordorigin="0,0" coordsize="1251,312" path="m0,312l1250,312,125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28,915,509.50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37,509.50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-439,179.21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-439,179.21</w:t>
            </w:r>
          </w:p>
        </w:tc>
      </w:tr>
      <w:tr>
        <w:trPr>
          <w:trHeight w:val="986"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广东小炬人创 业园有限公司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场地租赁</w:t>
            </w:r>
          </w:p>
          <w:p>
            <w:pPr>
              <w:pStyle w:val="TableParagraph"/>
              <w:spacing w:line="300" w:lineRule="auto" w:before="60"/>
              <w:ind w:left="23" w:right="38"/>
              <w:jc w:val="left"/>
              <w:rPr>
                <w:rFonts w:ascii="宋体" w:hAnsi="宋体" w:cs="宋体" w:eastAsia="宋体" w:hint="default"/>
                <w:sz w:val="18"/>
                <w:szCs w:val="18"/>
              </w:rPr>
            </w:pPr>
            <w:r>
              <w:rPr>
                <w:rFonts w:ascii="宋体" w:hAnsi="宋体" w:cs="宋体" w:eastAsia="宋体" w:hint="default"/>
                <w:sz w:val="18"/>
                <w:szCs w:val="18"/>
              </w:rPr>
              <w:t>（不含仓储）</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 目代理服务、专利服</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9,176,554.33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9,171,193.18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-231,642.47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-176,017.47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00" w:right="0"/>
        </w:sectPr>
      </w:pPr>
    </w:p>
    <w:p>
      <w:pPr>
        <w:spacing w:line="240" w:lineRule="auto" w:before="0"/>
        <w:rPr>
          <w:rFonts w:ascii="Times New Roman" w:hAnsi="Times New Roman" w:cs="Times New Roman" w:eastAsia="Times New Roman" w:hint="default"/>
          <w:sz w:val="20"/>
          <w:szCs w:val="20"/>
        </w:rPr>
      </w:pPr>
      <w:r>
        <w:rPr/>
        <w:pict>
          <v:shape style="position:absolute;margin-left:158.662994pt;margin-top:90.595985pt;width:104.8pt;height:15.65pt;mso-position-horizontal-relative:page;mso-position-vertical-relative:page;z-index:-771616" type="#_x0000_t202" filled="false" stroked="false">
            <v:textbox inset="0,0,0,0">
              <w:txbxContent>
                <w:p>
                  <w:pPr>
                    <w:pStyle w:val="BodyText"/>
                    <w:spacing w:line="240" w:lineRule="auto" w:before="49"/>
                    <w:ind w:left="0" w:right="0"/>
                    <w:jc w:val="left"/>
                  </w:pPr>
                  <w:r>
                    <w:rPr/>
                    <w:t>技术服务；</w:t>
                  </w:r>
                </w:p>
              </w:txbxContent>
            </v:textbox>
            <w10:wrap type="none"/>
          </v:shape>
        </w:pict>
      </w:r>
      <w:r>
        <w:rPr/>
        <w:pict>
          <v:shape style="position:absolute;margin-left:158.663010pt;margin-top:315.889984pt;width:104.8pt;height:15.6pt;mso-position-horizontal-relative:page;mso-position-vertical-relative:page;z-index:-771592" type="#_x0000_t202" filled="false" stroked="false">
            <v:textbox inset="0,0,0,0">
              <w:txbxContent>
                <w:p>
                  <w:pPr>
                    <w:pStyle w:val="BodyText"/>
                    <w:spacing w:line="240" w:lineRule="auto" w:before="49"/>
                    <w:ind w:left="0" w:right="0"/>
                    <w:jc w:val="left"/>
                  </w:pPr>
                  <w:r>
                    <w:rPr/>
                    <w:t>技术服务；</w:t>
                  </w:r>
                </w:p>
              </w:txbxContent>
            </v:textbox>
            <w10:wrap type="none"/>
          </v:shape>
        </w:pict>
      </w:r>
      <w:r>
        <w:rPr/>
        <w:pict>
          <v:shape style="position:absolute;margin-left:149.662994pt;margin-top:730.295959pt;width:113.8pt;height:38.050pt;mso-position-horizontal-relative:page;mso-position-vertical-relative:page;z-index:-771568" type="#_x0000_t202" filled="false" stroked="false">
            <v:textbox inset="0,0,0,0">
              <w:txbxContent>
                <w:p>
                  <w:pPr>
                    <w:pStyle w:val="BodyText"/>
                    <w:spacing w:line="240" w:lineRule="auto" w:before="145"/>
                    <w:ind w:left="0" w:right="0"/>
                    <w:jc w:val="left"/>
                  </w:pPr>
                  <w:r>
                    <w:rPr/>
                    <w:t>设施和服务；</w:t>
                  </w:r>
                </w:p>
              </w:txbxContent>
            </v:textbox>
            <w10:wrap type="none"/>
          </v:shape>
        </w:pict>
      </w:r>
      <w:r>
        <w:rPr/>
        <w:pict>
          <v:group style="position:absolute;margin-left:200.929993pt;margin-top:597.369995pt;width:62.55pt;height:74.850pt;mso-position-horizontal-relative:page;mso-position-vertical-relative:page;z-index:-771544" coordorigin="4019,11947" coordsize="1251,1497">
            <v:group style="position:absolute;left:4029;top:11958;width:2;height:394" coordorigin="4029,11958" coordsize="2,394">
              <v:shape style="position:absolute;left:4029;top:11958;width:2;height:394" coordorigin="4029,11958" coordsize="0,394" path="m4029,11958l4029,12352e" filled="false" stroked="true" strokeweight="1.08pt" strokecolor="#ffffff">
                <v:path arrowok="t"/>
              </v:shape>
            </v:group>
            <v:group style="position:absolute;left:4019;top:12352;width:1251;height:1093" coordorigin="4019,12352" coordsize="1251,1093">
              <v:shape style="position:absolute;left:4019;top:12352;width:1251;height:1093" coordorigin="4019,12352" coordsize="1251,1093" path="m4019,13444l5269,13444,5269,12352,4019,12352,4019,13444xe" filled="true" fillcolor="#ffffff" stroked="false">
                <v:path arrowok="t"/>
                <v:fill type="solid"/>
              </v:shape>
            </v:group>
            <v:group style="position:absolute;left:4040;top:11958;width:1205;height:394" coordorigin="4040,11958" coordsize="1205,394">
              <v:shape style="position:absolute;left:4040;top:11958;width:1205;height:394" coordorigin="4040,11958" coordsize="1205,394" path="m4040,12352l5245,12352,5245,11958,4040,11958,4040,12352xe" filled="true" fillcolor="#ffffff" stroked="false">
                <v:path arrowok="t"/>
                <v:fill type="solid"/>
              </v:shape>
            </v:group>
            <w10:wrap type="none"/>
          </v:group>
        </w:pict>
      </w:r>
      <w:r>
        <w:rPr/>
        <w:pict>
          <v:group style="position:absolute;margin-left:200.929993pt;margin-top:730.295959pt;width:62.55pt;height:38.050pt;mso-position-horizontal-relative:page;mso-position-vertical-relative:page;z-index:-771520" coordorigin="4019,14606" coordsize="1251,761">
            <v:shape style="position:absolute;left:4019;top:14606;width:1251;height:761" coordorigin="4019,14606" coordsize="1251,761" path="m4019,15367l5269,15367,5269,14606,4019,14606,4019,153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289"/>
        <w:gridCol w:w="566"/>
        <w:gridCol w:w="1743"/>
        <w:gridCol w:w="1262"/>
        <w:gridCol w:w="1532"/>
        <w:gridCol w:w="1133"/>
        <w:gridCol w:w="1136"/>
        <w:gridCol w:w="1277"/>
        <w:gridCol w:w="1224"/>
      </w:tblGrid>
      <w:tr>
        <w:trPr>
          <w:trHeight w:val="362" w:hRule="exact"/>
        </w:trPr>
        <w:tc>
          <w:tcPr>
            <w:tcW w:w="12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北京御新智合 科技有限公司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技术开发、 技术研究；软件开发 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2.55pt;height:15.65pt;mso-position-horizontal-relative:char;mso-position-vertical-relative:line" coordorigin="0,0" coordsize="1251,313">
                  <v:group style="position:absolute;left:0;top:0;width:1251;height:313" coordorigin="0,0" coordsize="1251,313">
                    <v:shape style="position:absolute;left:0;top:0;width:1251;height:313" coordorigin="0,0" coordsize="1251,313" path="m0,312l1250,312,125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29,507,014.73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-180,949.58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-488,649.22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-488,649.22</w:t>
            </w:r>
          </w:p>
        </w:tc>
      </w:tr>
      <w:tr>
        <w:trPr>
          <w:trHeight w:val="102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广州同位素智 能科技有限公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28,210,518.59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28,137,970.19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534,731.43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48,969.59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40,604.53</w:t>
            </w:r>
          </w:p>
        </w:tc>
      </w:tr>
      <w:tr>
        <w:trPr>
          <w:trHeight w:val="71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广州十方软件 科技有限公司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25,227,882.07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25,147,222.50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668,412.00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282,467.52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212,155.85</w:t>
            </w:r>
          </w:p>
        </w:tc>
      </w:tr>
      <w:tr>
        <w:trPr>
          <w:trHeight w:val="1028"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广州御银金融 电子设备有限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电子产品、金融机具 设备、自动柜员机的 研究、开发、销售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15,294,041.88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-496,639.68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-336,976.97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-387,398.91</w:t>
            </w:r>
          </w:p>
        </w:tc>
      </w:tr>
      <w:tr>
        <w:trPr>
          <w:trHeight w:val="71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广州御联软件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65,380,875.55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-935,934.10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3,965,451.18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-13,608,307.77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-11,987,926.05</w:t>
            </w:r>
          </w:p>
        </w:tc>
      </w:tr>
      <w:tr>
        <w:trPr>
          <w:trHeight w:val="102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广州御商信息 科技有限公司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技术开发、 技术研究；软件开发 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2.55pt;height:15.6pt;mso-position-horizontal-relative:char;mso-position-vertical-relative:line" coordorigin="0,0" coordsize="1251,312">
                  <v:group style="position:absolute;left:0;top:0;width:1251;height:312" coordorigin="0,0" coordsize="1251,312">
                    <v:shape style="position:absolute;left:0;top:0;width:1251;height:312" coordorigin="0,0" coordsize="1251,312" path="m0,312l1250,312,125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18,500,000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2,106.71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-2,949.29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-2,949.29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-2,949.29</w:t>
            </w:r>
          </w:p>
        </w:tc>
      </w:tr>
      <w:tr>
        <w:trPr>
          <w:trHeight w:val="355" w:hRule="exact"/>
        </w:trPr>
        <w:tc>
          <w:tcPr>
            <w:tcW w:w="128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7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吸收人民币存款；发</w:t>
            </w:r>
          </w:p>
        </w:tc>
        <w:tc>
          <w:tcPr>
            <w:tcW w:w="1262" w:type="dxa"/>
            <w:tcBorders>
              <w:top w:val="single" w:sz="4" w:space="0" w:color="000000"/>
              <w:left w:val="single" w:sz="4" w:space="0" w:color="000000"/>
              <w:bottom w:val="nil" w:sz="6" w:space="0" w:color="auto"/>
              <w:right w:val="single" w:sz="4" w:space="0" w:color="000000"/>
            </w:tcBorders>
          </w:tcPr>
          <w:p>
            <w:pPr/>
          </w:p>
        </w:tc>
        <w:tc>
          <w:tcPr>
            <w:tcW w:w="153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放人民币短期、中期</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和长期贷款；办理国</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内结算；办理票据承</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8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73"/>
              <w:jc w:val="both"/>
              <w:rPr>
                <w:rFonts w:ascii="宋体" w:hAnsi="宋体" w:cs="宋体" w:eastAsia="宋体" w:hint="default"/>
                <w:sz w:val="18"/>
                <w:szCs w:val="18"/>
              </w:rPr>
            </w:pPr>
            <w:r>
              <w:rPr>
                <w:rFonts w:ascii="宋体" w:hAnsi="宋体" w:cs="宋体" w:eastAsia="宋体" w:hint="default"/>
                <w:sz w:val="18"/>
                <w:szCs w:val="18"/>
              </w:rPr>
              <w:t>广州花都稠州 村镇银行股份 有限公司</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70"/>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兑与贴现；从事同业 </w:t>
            </w:r>
            <w:r>
              <w:rPr>
                <w:rFonts w:ascii="宋体" w:hAnsi="宋体" w:cs="宋体" w:eastAsia="宋体" w:hint="default"/>
                <w:spacing w:val="-12"/>
                <w:sz w:val="18"/>
                <w:szCs w:val="18"/>
              </w:rPr>
              <w:t>拆借；从事银行卡（借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记卡）业务；代理发</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250,000,000</w:t>
            </w:r>
          </w:p>
        </w:tc>
        <w:tc>
          <w:tcPr>
            <w:tcW w:w="15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3,275,162,546.13</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391,951,299.7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117,309,021.9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69,750,727.28</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51,709,221.42</w:t>
            </w: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行、代理兑付、承销</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政府债券；代理收付</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款项及代理保险业</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8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7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62" w:type="dxa"/>
            <w:tcBorders>
              <w:top w:val="nil" w:sz="6" w:space="0" w:color="auto"/>
              <w:left w:val="single" w:sz="4" w:space="0" w:color="000000"/>
              <w:bottom w:val="single" w:sz="4" w:space="0" w:color="000000"/>
              <w:right w:val="single" w:sz="4" w:space="0" w:color="000000"/>
            </w:tcBorders>
          </w:tcPr>
          <w:p>
            <w:pPr/>
          </w:p>
        </w:tc>
        <w:tc>
          <w:tcPr>
            <w:tcW w:w="153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8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7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计算机软、硬件的技</w:t>
            </w:r>
          </w:p>
        </w:tc>
        <w:tc>
          <w:tcPr>
            <w:tcW w:w="1262" w:type="dxa"/>
            <w:tcBorders>
              <w:top w:val="single" w:sz="4" w:space="0" w:color="000000"/>
              <w:left w:val="single" w:sz="4" w:space="0" w:color="000000"/>
              <w:bottom w:val="nil" w:sz="6" w:space="0" w:color="auto"/>
              <w:right w:val="single" w:sz="4" w:space="0" w:color="000000"/>
            </w:tcBorders>
          </w:tcPr>
          <w:p>
            <w:pPr/>
          </w:p>
        </w:tc>
        <w:tc>
          <w:tcPr>
            <w:tcW w:w="153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24" w:type="dxa"/>
            <w:vMerge w:val="restart"/>
            <w:tcBorders>
              <w:top w:val="single" w:sz="4" w:space="0" w:color="000000"/>
              <w:left w:val="single" w:sz="4" w:space="0" w:color="000000"/>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术开发、技术服务、</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技术咨询、销售自产</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上海博科资讯</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产品，计算机网络结</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构的设计、综合布线</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3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维护，计算机设备的</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r>
      <w:tr>
        <w:trPr>
          <w:trHeight w:val="312"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安装、调试、维护，</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r>
      <w:tr>
        <w:trPr>
          <w:trHeight w:val="360" w:hRule="exact"/>
        </w:trPr>
        <w:tc>
          <w:tcPr>
            <w:tcW w:w="128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7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物流设备的批发。</w:t>
            </w:r>
          </w:p>
        </w:tc>
        <w:tc>
          <w:tcPr>
            <w:tcW w:w="1262" w:type="dxa"/>
            <w:tcBorders>
              <w:top w:val="nil" w:sz="6" w:space="0" w:color="auto"/>
              <w:left w:val="single" w:sz="4" w:space="0" w:color="000000"/>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r>
      <w:tr>
        <w:trPr>
          <w:trHeight w:val="360" w:hRule="exact"/>
        </w:trPr>
        <w:tc>
          <w:tcPr>
            <w:tcW w:w="128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7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为金融产品、金融工</w:t>
            </w:r>
          </w:p>
        </w:tc>
        <w:tc>
          <w:tcPr>
            <w:tcW w:w="1262" w:type="dxa"/>
            <w:tcBorders>
              <w:top w:val="single" w:sz="4" w:space="0" w:color="000000"/>
              <w:left w:val="single" w:sz="4" w:space="0" w:color="000000"/>
              <w:bottom w:val="nil" w:sz="6" w:space="0" w:color="auto"/>
              <w:right w:val="single" w:sz="4" w:space="0" w:color="000000"/>
            </w:tcBorders>
          </w:tcPr>
          <w:p>
            <w:pPr/>
          </w:p>
        </w:tc>
        <w:tc>
          <w:tcPr>
            <w:tcW w:w="153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r>
      <w:tr>
        <w:trPr>
          <w:trHeight w:val="998" w:hRule="exact"/>
        </w:trPr>
        <w:tc>
          <w:tcPr>
            <w:tcW w:w="1289" w:type="dxa"/>
            <w:tcBorders>
              <w:top w:val="nil" w:sz="6" w:space="0" w:color="auto"/>
              <w:left w:val="single" w:sz="4" w:space="0" w:color="000000"/>
              <w:bottom w:val="nil" w:sz="6" w:space="0" w:color="auto"/>
              <w:right w:val="single" w:sz="4" w:space="0" w:color="000000"/>
            </w:tcBorders>
          </w:tcPr>
          <w:p>
            <w:pPr>
              <w:pStyle w:val="TableParagraph"/>
              <w:spacing w:line="314" w:lineRule="auto" w:before="142"/>
              <w:ind w:left="23" w:right="22"/>
              <w:jc w:val="left"/>
              <w:rPr>
                <w:rFonts w:ascii="宋体" w:hAnsi="宋体" w:cs="宋体" w:eastAsia="宋体" w:hint="default"/>
                <w:sz w:val="18"/>
                <w:szCs w:val="18"/>
              </w:rPr>
            </w:pPr>
            <w:r>
              <w:rPr>
                <w:rFonts w:ascii="宋体" w:hAnsi="宋体" w:cs="宋体" w:eastAsia="宋体" w:hint="default"/>
                <w:sz w:val="18"/>
                <w:szCs w:val="18"/>
              </w:rPr>
              <w:t>前海股交投资 </w:t>
            </w:r>
            <w:r>
              <w:rPr>
                <w:rFonts w:ascii="宋体" w:hAnsi="宋体" w:cs="宋体" w:eastAsia="宋体" w:hint="default"/>
                <w:spacing w:val="-5"/>
                <w:sz w:val="18"/>
                <w:szCs w:val="18"/>
              </w:rPr>
              <w:t>控股（深圳）有</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87"/>
              <w:jc w:val="both"/>
              <w:rPr>
                <w:rFonts w:ascii="宋体" w:hAnsi="宋体" w:cs="宋体" w:eastAsia="宋体" w:hint="default"/>
                <w:sz w:val="18"/>
                <w:szCs w:val="18"/>
              </w:rPr>
            </w:pPr>
            <w:r>
              <w:rPr>
                <w:rFonts w:ascii="宋体" w:hAnsi="宋体" w:cs="宋体" w:eastAsia="宋体" w:hint="default"/>
                <w:sz w:val="18"/>
                <w:szCs w:val="18"/>
              </w:rPr>
              <w:t>具的登记、托管、挂 牌、鉴（见）证、转 让、过户、结算等提</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1,177,400,000</w:t>
            </w:r>
          </w:p>
        </w:tc>
        <w:tc>
          <w:tcPr>
            <w:tcW w:w="15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2,341,540,568.18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pacing w:val="-1"/>
                <w:sz w:val="18"/>
              </w:rPr>
              <w:t>1,970,710,694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.88</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2"/>
              <w:jc w:val="right"/>
              <w:rPr>
                <w:rFonts w:ascii="Times New Roman" w:hAnsi="Times New Roman" w:cs="Times New Roman" w:eastAsia="Times New Roman" w:hint="default"/>
                <w:sz w:val="18"/>
                <w:szCs w:val="18"/>
              </w:rPr>
            </w:pPr>
            <w:r>
              <w:rPr>
                <w:rFonts w:ascii="Times New Roman"/>
                <w:spacing w:val="-1"/>
                <w:sz w:val="18"/>
              </w:rPr>
              <w:t>196,196,331.0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15,268,439.02</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10,995,271.22</w:t>
            </w:r>
          </w:p>
        </w:tc>
      </w:tr>
      <w:tr>
        <w:trPr>
          <w:trHeight w:val="245" w:hRule="exact"/>
        </w:trPr>
        <w:tc>
          <w:tcPr>
            <w:tcW w:w="128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4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供场所、</w:t>
            </w:r>
          </w:p>
        </w:tc>
        <w:tc>
          <w:tcPr>
            <w:tcW w:w="1262"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8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7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提供融资、并购、资</w:t>
            </w:r>
          </w:p>
        </w:tc>
        <w:tc>
          <w:tcPr>
            <w:tcW w:w="1262" w:type="dxa"/>
            <w:tcBorders>
              <w:top w:val="nil" w:sz="6" w:space="0" w:color="auto"/>
              <w:left w:val="single" w:sz="4" w:space="0" w:color="000000"/>
              <w:bottom w:val="single" w:sz="4" w:space="0" w:color="000000"/>
              <w:right w:val="single" w:sz="4" w:space="0" w:color="000000"/>
            </w:tcBorders>
          </w:tcPr>
          <w:p>
            <w:pPr/>
          </w:p>
        </w:tc>
        <w:tc>
          <w:tcPr>
            <w:tcW w:w="153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3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289"/>
        <w:gridCol w:w="566"/>
        <w:gridCol w:w="1743"/>
        <w:gridCol w:w="1262"/>
        <w:gridCol w:w="1532"/>
        <w:gridCol w:w="1133"/>
        <w:gridCol w:w="1136"/>
        <w:gridCol w:w="1277"/>
        <w:gridCol w:w="1224"/>
      </w:tblGrid>
      <w:tr>
        <w:trPr>
          <w:trHeight w:val="362" w:hRule="exact"/>
        </w:trPr>
        <w:tc>
          <w:tcPr>
            <w:tcW w:w="12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本运作等服务等</w:t>
            </w:r>
            <w:r>
              <w:rPr>
                <w:rFonts w:ascii="Times New Roman" w:hAnsi="Times New Roman" w:cs="Times New Roman" w:eastAsia="Times New Roman" w:hint="default"/>
                <w:sz w:val="18"/>
                <w:szCs w:val="18"/>
              </w:rPr>
              <w:t>"</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佛山海晟金融 租赁股份有限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融资租赁业务；转让 和受让融资租赁资 产；固定收益类证券 投资业务；接受承租 人的租赁保证金；吸 收非银行股东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6" w:lineRule="auto"/>
              <w:ind w:left="23" w:right="87"/>
              <w:jc w:val="left"/>
              <w:rPr>
                <w:rFonts w:ascii="宋体" w:hAnsi="宋体" w:cs="宋体" w:eastAsia="宋体" w:hint="default"/>
                <w:sz w:val="18"/>
                <w:szCs w:val="18"/>
              </w:rPr>
            </w:pPr>
            <w:r>
              <w:rPr>
                <w:rFonts w:ascii="宋体" w:hAnsi="宋体" w:cs="宋体" w:eastAsia="宋体" w:hint="default"/>
                <w:sz w:val="18"/>
                <w:szCs w:val="18"/>
              </w:rPr>
              <w:t>（含） 同业拆借；向金融机 构借款；境外借款； 租赁物变卖及处理业 务；经济咨询。</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156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62.55pt;height:78pt;mso-position-horizontal-relative:char;mso-position-vertical-relative:line" coordorigin="0,0" coordsize="1251,1560">
                  <v:group style="position:absolute;left:0;top:0;width:1251;height:1560" coordorigin="0,0" coordsize="1251,1560">
                    <v:shape style="position:absolute;left:0;top:0;width:1251;height:1560" coordorigin="0,0" coordsize="1251,1560" path="m0,1560l1250,1560,1250,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12,026,438,133.55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2,211,201,298.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371,679,739.3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220,466,430.88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112,979,330.02</w:t>
            </w:r>
          </w:p>
        </w:tc>
      </w:tr>
    </w:tbl>
    <w:p>
      <w:pPr>
        <w:pStyle w:val="BodyText"/>
        <w:spacing w:line="240" w:lineRule="auto" w:before="49"/>
        <w:ind w:left="832" w:right="1142"/>
        <w:jc w:val="left"/>
      </w:pPr>
      <w:r>
        <w:rPr/>
        <w:pict>
          <v:shape style="position:absolute;margin-left:140.662994pt;margin-top:-78.508263pt;width:122.8pt;height:78pt;mso-position-horizontal-relative:page;mso-position-vertical-relative:paragraph;z-index:-771472" type="#_x0000_t202" filled="false" stroked="false">
            <v:textbox inset="0,0,0,0">
              <w:txbxContent>
                <w:p>
                  <w:pPr>
                    <w:pStyle w:val="BodyText"/>
                    <w:spacing w:line="205" w:lineRule="exact"/>
                    <w:ind w:left="0" w:right="0"/>
                    <w:jc w:val="left"/>
                  </w:pPr>
                  <w:r>
                    <w:rPr/>
                    <w:t>以上定期存款；</w:t>
                  </w:r>
                </w:p>
              </w:txbxContent>
            </v:textbox>
            <w10:wrap type="none"/>
          </v:shape>
        </w:pict>
      </w:r>
      <w:r>
        <w:rPr/>
        <w:t>报告期内取得和处置子公司的情况</w:t>
      </w:r>
    </w:p>
    <w:p>
      <w:pPr>
        <w:pStyle w:val="BodyText"/>
        <w:spacing w:line="240" w:lineRule="auto" w:before="117"/>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82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832" w:right="1142"/>
        <w:jc w:val="left"/>
      </w:pPr>
      <w:r>
        <w:rPr/>
        <w:t>主要控股参股公司情况说明</w:t>
      </w:r>
    </w:p>
    <w:p>
      <w:pPr>
        <w:pStyle w:val="BodyText"/>
        <w:spacing w:line="240" w:lineRule="auto" w:before="115"/>
        <w:ind w:left="1193" w:right="1142"/>
        <w:jc w:val="left"/>
      </w:pPr>
      <w:r>
        <w:rPr>
          <w:rFonts w:ascii="Times New Roman" w:hAnsi="Times New Roman" w:cs="Times New Roman" w:eastAsia="Times New Roman" w:hint="default"/>
        </w:rPr>
        <w:t>1</w:t>
      </w:r>
      <w:r>
        <w:rPr/>
        <w:t>、广州御新软件有限公司总资产较上年同期减少</w:t>
      </w:r>
      <w:r>
        <w:rPr>
          <w:rFonts w:ascii="Times New Roman" w:hAnsi="Times New Roman" w:cs="Times New Roman" w:eastAsia="Times New Roman" w:hint="default"/>
        </w:rPr>
        <w:t>38.04%</w:t>
      </w:r>
      <w:r>
        <w:rPr/>
        <w:t>，主要原因是其他应收款的减少；营业收入较上年同期减少</w:t>
      </w:r>
    </w:p>
    <w:p>
      <w:pPr>
        <w:pStyle w:val="BodyText"/>
        <w:spacing w:line="300" w:lineRule="auto" w:before="63"/>
        <w:ind w:left="832" w:right="1142"/>
        <w:jc w:val="left"/>
      </w:pPr>
      <w:r>
        <w:rPr>
          <w:rFonts w:ascii="Times New Roman" w:hAnsi="Times New Roman" w:cs="Times New Roman" w:eastAsia="Times New Roman" w:hint="default"/>
          <w:spacing w:val="-1"/>
        </w:rPr>
        <w:t>77.98%</w:t>
      </w:r>
      <w:r>
        <w:rPr>
          <w:spacing w:val="-1"/>
        </w:rPr>
        <w:t>，主要原因是本报告期内销售量减少所致；营业利润较上年同期减少</w:t>
      </w:r>
      <w:r>
        <w:rPr>
          <w:rFonts w:ascii="Times New Roman" w:hAnsi="Times New Roman" w:cs="Times New Roman" w:eastAsia="Times New Roman" w:hint="default"/>
          <w:spacing w:val="-1"/>
        </w:rPr>
        <w:t>95.27%</w:t>
      </w:r>
      <w:r>
        <w:rPr>
          <w:spacing w:val="-1"/>
        </w:rPr>
        <w:t>以及净利润较上年同期减少</w:t>
      </w:r>
      <w:r>
        <w:rPr>
          <w:rFonts w:ascii="Times New Roman" w:hAnsi="Times New Roman" w:cs="Times New Roman" w:eastAsia="Times New Roman" w:hint="default"/>
          <w:spacing w:val="-1"/>
        </w:rPr>
        <w:t>102.71%</w:t>
      </w:r>
      <w:r>
        <w:rPr>
          <w:spacing w:val="-1"/>
        </w:rPr>
        <w:t>，主</w:t>
      </w:r>
      <w:r>
        <w:rPr>
          <w:spacing w:val="-83"/>
        </w:rPr>
        <w:t> </w:t>
      </w:r>
      <w:r>
        <w:rPr/>
        <w:t>要原因是本报告期内随着营业收入的减少而减少所致；净资产较上年同期减少</w:t>
      </w:r>
      <w:r>
        <w:rPr>
          <w:rFonts w:ascii="Times New Roman" w:hAnsi="Times New Roman" w:cs="Times New Roman" w:eastAsia="Times New Roman" w:hint="default"/>
        </w:rPr>
        <w:t>40.46%</w:t>
      </w:r>
      <w:r>
        <w:rPr/>
        <w:t>，主要原因是本报告期内分派股息红 利所致。</w:t>
      </w:r>
    </w:p>
    <w:p>
      <w:pPr>
        <w:pStyle w:val="BodyText"/>
        <w:spacing w:line="300" w:lineRule="auto" w:before="31"/>
        <w:ind w:left="832" w:right="1142" w:firstLine="360"/>
        <w:jc w:val="left"/>
      </w:pPr>
      <w:r>
        <w:rPr>
          <w:rFonts w:ascii="Times New Roman" w:hAnsi="Times New Roman" w:cs="Times New Roman" w:eastAsia="Times New Roman" w:hint="default"/>
          <w:spacing w:val="-1"/>
        </w:rPr>
        <w:t>2</w:t>
      </w:r>
      <w:r>
        <w:rPr>
          <w:spacing w:val="-1"/>
        </w:rPr>
        <w:t>、御银科技（香港）有限公司总资产较上年同期增加</w:t>
      </w:r>
      <w:r>
        <w:rPr>
          <w:rFonts w:ascii="Times New Roman" w:hAnsi="Times New Roman" w:cs="Times New Roman" w:eastAsia="Times New Roman" w:hint="default"/>
          <w:spacing w:val="-1"/>
        </w:rPr>
        <w:t>47.01%</w:t>
      </w:r>
      <w:r>
        <w:rPr>
          <w:spacing w:val="-1"/>
        </w:rPr>
        <w:t>，主要原因是预收货款增加所致；营业收入较上年同期增</w:t>
      </w:r>
      <w:r>
        <w:rPr/>
        <w:t> 长</w:t>
      </w:r>
      <w:r>
        <w:rPr>
          <w:rFonts w:ascii="Times New Roman" w:hAnsi="Times New Roman" w:cs="Times New Roman" w:eastAsia="Times New Roman" w:hint="default"/>
        </w:rPr>
        <w:t>43.97%</w:t>
      </w:r>
      <w:r>
        <w:rPr/>
        <w:t>，主要原因是销售收入较上年同期增长所致；营业利润较上年同期减少</w:t>
      </w:r>
      <w:r>
        <w:rPr>
          <w:rFonts w:ascii="Times New Roman" w:hAnsi="Times New Roman" w:cs="Times New Roman" w:eastAsia="Times New Roman" w:hint="default"/>
        </w:rPr>
        <w:t>68.44%</w:t>
      </w:r>
      <w:r>
        <w:rPr/>
        <w:t>，主要原因是本报告期内人民币计 价的采购成本增长所致；净利润较上年同期减少</w:t>
      </w:r>
      <w:r>
        <w:rPr>
          <w:rFonts w:ascii="Times New Roman" w:hAnsi="Times New Roman" w:cs="Times New Roman" w:eastAsia="Times New Roman" w:hint="default"/>
        </w:rPr>
        <w:t>68.53%</w:t>
      </w:r>
      <w:r>
        <w:rPr/>
        <w:t>，主要原因是本报告期内营业利润减少所致。</w:t>
      </w:r>
    </w:p>
    <w:p>
      <w:pPr>
        <w:pStyle w:val="BodyText"/>
        <w:spacing w:line="300" w:lineRule="auto" w:before="13"/>
        <w:ind w:left="832" w:right="1213" w:firstLine="360"/>
        <w:jc w:val="both"/>
      </w:pPr>
      <w:r>
        <w:rPr>
          <w:rFonts w:ascii="Times New Roman" w:hAnsi="Times New Roman" w:cs="Times New Roman" w:eastAsia="Times New Roman" w:hint="default"/>
        </w:rPr>
        <w:t>3</w:t>
      </w:r>
      <w:r>
        <w:rPr/>
        <w:t>、广州御银金融服务有限公司营业利润较上年同期减少</w:t>
      </w:r>
      <w:r>
        <w:rPr>
          <w:rFonts w:ascii="Times New Roman" w:hAnsi="Times New Roman" w:cs="Times New Roman" w:eastAsia="Times New Roman" w:hint="default"/>
        </w:rPr>
        <w:t>323.65%</w:t>
      </w:r>
      <w:r>
        <w:rPr/>
        <w:t>，主要原因是本报告期内营业成本增加所致；净利润 较上年同期减少</w:t>
      </w:r>
      <w:r>
        <w:rPr>
          <w:rFonts w:ascii="Times New Roman" w:hAnsi="Times New Roman" w:cs="Times New Roman" w:eastAsia="Times New Roman" w:hint="default"/>
        </w:rPr>
        <w:t>627.00%</w:t>
      </w:r>
      <w:r>
        <w:rPr/>
        <w:t>，主要原因是营业成本增加所致。</w:t>
      </w:r>
    </w:p>
    <w:p>
      <w:pPr>
        <w:pStyle w:val="BodyText"/>
        <w:spacing w:line="300" w:lineRule="auto" w:before="13"/>
        <w:ind w:left="832" w:right="1125" w:firstLine="360"/>
        <w:jc w:val="left"/>
      </w:pPr>
      <w:r>
        <w:rPr>
          <w:rFonts w:ascii="Times New Roman" w:hAnsi="Times New Roman" w:cs="Times New Roman" w:eastAsia="Times New Roman" w:hint="default"/>
          <w:spacing w:val="-1"/>
        </w:rPr>
        <w:t>4</w:t>
      </w:r>
      <w:r>
        <w:rPr>
          <w:spacing w:val="-1"/>
        </w:rPr>
        <w:t>、广州御银自动柜员机科技有限公司营业收入较上年同期减少</w:t>
      </w:r>
      <w:r>
        <w:rPr>
          <w:rFonts w:ascii="Times New Roman" w:hAnsi="Times New Roman" w:cs="Times New Roman" w:eastAsia="Times New Roman" w:hint="default"/>
          <w:spacing w:val="-1"/>
        </w:rPr>
        <w:t>63.06%</w:t>
      </w:r>
      <w:r>
        <w:rPr>
          <w:spacing w:val="-1"/>
        </w:rPr>
        <w:t>，主要原因是报告期内</w:t>
      </w:r>
      <w:r>
        <w:rPr>
          <w:rFonts w:ascii="Times New Roman" w:hAnsi="Times New Roman" w:cs="Times New Roman" w:eastAsia="Times New Roman" w:hint="default"/>
          <w:spacing w:val="-1"/>
        </w:rPr>
        <w:t>ATM</w:t>
      </w:r>
      <w:r>
        <w:rPr>
          <w:spacing w:val="-1"/>
        </w:rPr>
        <w:t>销售减少所致；营业</w:t>
      </w:r>
      <w:r>
        <w:rPr/>
        <w:t> 利润较上年同期减少</w:t>
      </w:r>
      <w:r>
        <w:rPr>
          <w:rFonts w:ascii="Times New Roman" w:hAnsi="Times New Roman" w:cs="Times New Roman" w:eastAsia="Times New Roman" w:hint="default"/>
        </w:rPr>
        <w:t>205.56%</w:t>
      </w:r>
      <w:r>
        <w:rPr/>
        <w:t>，主要原因是报告期内营业收入减少所致；净利润较上年同期减少</w:t>
      </w:r>
      <w:r>
        <w:rPr>
          <w:rFonts w:ascii="Times New Roman" w:hAnsi="Times New Roman" w:cs="Times New Roman" w:eastAsia="Times New Roman" w:hint="default"/>
        </w:rPr>
        <w:t>205.80%</w:t>
      </w:r>
      <w:r>
        <w:rPr/>
        <w:t>，主要原因是营业 利润减少所致。</w:t>
      </w:r>
    </w:p>
    <w:p>
      <w:pPr>
        <w:pStyle w:val="BodyText"/>
        <w:spacing w:line="240" w:lineRule="auto" w:before="31"/>
        <w:ind w:left="1193" w:right="1142"/>
        <w:jc w:val="left"/>
      </w:pPr>
      <w:r>
        <w:rPr>
          <w:rFonts w:ascii="Times New Roman" w:hAnsi="Times New Roman" w:cs="Times New Roman" w:eastAsia="Times New Roman" w:hint="default"/>
        </w:rPr>
        <w:t>5</w:t>
      </w:r>
      <w:r>
        <w:rPr/>
        <w:t>、北京御新智合科技有限公司净资产较上年末减少</w:t>
      </w:r>
      <w:r>
        <w:rPr>
          <w:rFonts w:ascii="Times New Roman" w:hAnsi="Times New Roman" w:cs="Times New Roman" w:eastAsia="Times New Roman" w:hint="default"/>
        </w:rPr>
        <w:t>158.81%</w:t>
      </w:r>
      <w:r>
        <w:rPr/>
        <w:t>，主要原因是报告期内经营亏损所致。</w:t>
      </w:r>
    </w:p>
    <w:p>
      <w:pPr>
        <w:pStyle w:val="BodyText"/>
        <w:spacing w:line="240" w:lineRule="auto" w:before="63"/>
        <w:ind w:left="1193" w:right="1142"/>
        <w:jc w:val="left"/>
      </w:pPr>
      <w:r>
        <w:rPr>
          <w:rFonts w:ascii="Times New Roman" w:hAnsi="Times New Roman" w:cs="Times New Roman" w:eastAsia="Times New Roman" w:hint="default"/>
        </w:rPr>
        <w:t>6</w:t>
      </w:r>
      <w:r>
        <w:rPr/>
        <w:t>、北京天成智合科技有限公司净资产较上年末减少</w:t>
      </w:r>
      <w:r>
        <w:rPr>
          <w:rFonts w:ascii="Times New Roman" w:hAnsi="Times New Roman" w:cs="Times New Roman" w:eastAsia="Times New Roman" w:hint="default"/>
        </w:rPr>
        <w:t>92.13%</w:t>
      </w:r>
      <w:r>
        <w:rPr/>
        <w:t>，主要原因是报告期内经营亏损所致。</w:t>
      </w:r>
    </w:p>
    <w:p>
      <w:pPr>
        <w:pStyle w:val="BodyText"/>
        <w:spacing w:line="300" w:lineRule="auto" w:before="63"/>
        <w:ind w:left="832" w:right="1198" w:firstLine="360"/>
        <w:jc w:val="both"/>
      </w:pPr>
      <w:r>
        <w:rPr>
          <w:rFonts w:ascii="Times New Roman" w:hAnsi="Times New Roman" w:cs="Times New Roman" w:eastAsia="Times New Roman" w:hint="default"/>
        </w:rPr>
        <w:t>7</w:t>
      </w:r>
      <w:r>
        <w:rPr/>
        <w:t>、广州同位素智能科技有限公司总资产较上年末增加</w:t>
      </w:r>
      <w:r>
        <w:rPr>
          <w:rFonts w:ascii="Times New Roman" w:hAnsi="Times New Roman" w:cs="Times New Roman" w:eastAsia="Times New Roman" w:hint="default"/>
        </w:rPr>
        <w:t>486.21%</w:t>
      </w:r>
      <w:r>
        <w:rPr/>
        <w:t>，主要原因是报告期内收到股东出资资产所致；净资产 较上年末增加</w:t>
      </w:r>
      <w:r>
        <w:rPr>
          <w:rFonts w:ascii="Times New Roman" w:hAnsi="Times New Roman" w:cs="Times New Roman" w:eastAsia="Times New Roman" w:hint="default"/>
        </w:rPr>
        <w:t>486.53%</w:t>
      </w:r>
      <w:r>
        <w:rPr/>
        <w:t>，主要原因是报告期内收到股东出资资产所致；营业利润较上年同期增长</w:t>
      </w:r>
      <w:r>
        <w:rPr>
          <w:rFonts w:ascii="Times New Roman" w:hAnsi="Times New Roman" w:cs="Times New Roman" w:eastAsia="Times New Roman" w:hint="default"/>
        </w:rPr>
        <w:t>118.48%</w:t>
      </w:r>
      <w:r>
        <w:rPr/>
        <w:t>，主要原因是报告 期内房屋出租收入增长所致；净利润较较上年同期增长</w:t>
      </w:r>
      <w:r>
        <w:rPr>
          <w:rFonts w:ascii="Times New Roman" w:hAnsi="Times New Roman" w:cs="Times New Roman" w:eastAsia="Times New Roman" w:hint="default"/>
        </w:rPr>
        <w:t>120.04%</w:t>
      </w:r>
      <w:r>
        <w:rPr/>
        <w:t>，主要原因是报告期内营业收入增长所致。</w:t>
      </w:r>
    </w:p>
    <w:p>
      <w:pPr>
        <w:pStyle w:val="BodyText"/>
        <w:spacing w:line="300" w:lineRule="auto" w:before="13"/>
        <w:ind w:left="832" w:right="1131" w:firstLine="360"/>
        <w:jc w:val="both"/>
      </w:pPr>
      <w:r>
        <w:rPr>
          <w:rFonts w:ascii="Times New Roman" w:hAnsi="Times New Roman" w:cs="Times New Roman" w:eastAsia="Times New Roman" w:hint="default"/>
          <w:spacing w:val="-1"/>
        </w:rPr>
        <w:t>8</w:t>
      </w:r>
      <w:r>
        <w:rPr>
          <w:spacing w:val="-1"/>
        </w:rPr>
        <w:t>、广州十方软件科技有限公司总资产较上年末增加</w:t>
      </w:r>
      <w:r>
        <w:rPr>
          <w:rFonts w:ascii="Times New Roman" w:hAnsi="Times New Roman" w:cs="Times New Roman" w:eastAsia="Times New Roman" w:hint="default"/>
          <w:spacing w:val="-1"/>
        </w:rPr>
        <w:t>1442.13%</w:t>
      </w:r>
      <w:r>
        <w:rPr>
          <w:spacing w:val="-1"/>
        </w:rPr>
        <w:t>，主要原因是报告期内收到股东出资资产所致；净资产较</w:t>
      </w:r>
      <w:r>
        <w:rPr/>
        <w:t> </w:t>
      </w:r>
      <w:r>
        <w:rPr>
          <w:spacing w:val="-1"/>
        </w:rPr>
        <w:t>上年末增加</w:t>
      </w:r>
      <w:r>
        <w:rPr>
          <w:rFonts w:ascii="Times New Roman" w:hAnsi="Times New Roman" w:cs="Times New Roman" w:eastAsia="Times New Roman" w:hint="default"/>
          <w:spacing w:val="-1"/>
        </w:rPr>
        <w:t>1437.99%</w:t>
      </w:r>
      <w:r>
        <w:rPr>
          <w:spacing w:val="-1"/>
        </w:rPr>
        <w:t>，主要原因是报告期内收到股东出资资产所致；营业利润较上年同期增长</w:t>
      </w:r>
      <w:r>
        <w:rPr>
          <w:rFonts w:ascii="Times New Roman" w:hAnsi="Times New Roman" w:cs="Times New Roman" w:eastAsia="Times New Roman" w:hint="default"/>
          <w:spacing w:val="-1"/>
        </w:rPr>
        <w:t>427.80%</w:t>
      </w:r>
      <w:r>
        <w:rPr>
          <w:spacing w:val="-1"/>
        </w:rPr>
        <w:t>，主要原因是报告期</w:t>
      </w:r>
      <w:r>
        <w:rPr>
          <w:spacing w:val="-56"/>
        </w:rPr>
        <w:t> </w:t>
      </w:r>
      <w:r>
        <w:rPr>
          <w:spacing w:val="-56"/>
        </w:rPr>
      </w:r>
      <w:r>
        <w:rPr/>
        <w:t>内房屋出租收入增长所致；净利润较较上年同期增长</w:t>
      </w:r>
      <w:r>
        <w:rPr>
          <w:rFonts w:ascii="Times New Roman" w:hAnsi="Times New Roman" w:cs="Times New Roman" w:eastAsia="Times New Roman" w:hint="default"/>
        </w:rPr>
        <w:t>426.73%</w:t>
      </w:r>
      <w:r>
        <w:rPr/>
        <w:t>，主要原因是报告期内营业收入增长所致。</w:t>
      </w:r>
    </w:p>
    <w:p>
      <w:pPr>
        <w:pStyle w:val="BodyText"/>
        <w:spacing w:line="300" w:lineRule="auto" w:before="13"/>
        <w:ind w:left="832" w:right="1128" w:firstLine="360"/>
        <w:jc w:val="both"/>
      </w:pPr>
      <w:r>
        <w:rPr>
          <w:rFonts w:ascii="Times New Roman" w:hAnsi="Times New Roman" w:cs="Times New Roman" w:eastAsia="Times New Roman" w:hint="default"/>
          <w:spacing w:val="-1"/>
        </w:rPr>
        <w:t>9</w:t>
      </w:r>
      <w:r>
        <w:rPr>
          <w:spacing w:val="-1"/>
        </w:rPr>
        <w:t>、广州御银金融电子设备有限公司净资产较上年末减少</w:t>
      </w:r>
      <w:r>
        <w:rPr>
          <w:rFonts w:ascii="Times New Roman" w:hAnsi="Times New Roman" w:cs="Times New Roman" w:eastAsia="Times New Roman" w:hint="default"/>
          <w:spacing w:val="-1"/>
        </w:rPr>
        <w:t>354.63%</w:t>
      </w:r>
      <w:r>
        <w:rPr>
          <w:spacing w:val="-1"/>
        </w:rPr>
        <w:t>，营业利润较上年同期减少</w:t>
      </w:r>
      <w:r>
        <w:rPr>
          <w:rFonts w:ascii="Times New Roman" w:hAnsi="Times New Roman" w:cs="Times New Roman" w:eastAsia="Times New Roman" w:hint="default"/>
          <w:spacing w:val="-1"/>
        </w:rPr>
        <w:t>207.14%</w:t>
      </w:r>
      <w:r>
        <w:rPr>
          <w:spacing w:val="-1"/>
        </w:rPr>
        <w:t>，净利润较上年同</w:t>
      </w:r>
      <w:r>
        <w:rPr/>
        <w:t> 期减少</w:t>
      </w:r>
      <w:r>
        <w:rPr>
          <w:rFonts w:ascii="Times New Roman" w:hAnsi="Times New Roman" w:cs="Times New Roman" w:eastAsia="Times New Roman" w:hint="default"/>
        </w:rPr>
        <w:t>254.63%</w:t>
      </w:r>
      <w:r>
        <w:rPr/>
        <w:t>，主要原因是报告期内公司尚处于建设阶段尚未取得经营收入，同时发生开办费用支出所致。</w:t>
      </w:r>
    </w:p>
    <w:p>
      <w:pPr>
        <w:pStyle w:val="BodyText"/>
        <w:spacing w:line="300" w:lineRule="auto" w:before="13"/>
        <w:ind w:left="832" w:right="1131" w:firstLine="360"/>
        <w:jc w:val="both"/>
      </w:pPr>
      <w:r>
        <w:rPr>
          <w:rFonts w:ascii="Times New Roman" w:hAnsi="Times New Roman" w:cs="Times New Roman" w:eastAsia="Times New Roman" w:hint="default"/>
        </w:rPr>
        <w:t>10</w:t>
      </w:r>
      <w:r>
        <w:rPr/>
        <w:t>、广州御联软件有限公司总资产较上年末减少</w:t>
      </w:r>
      <w:r>
        <w:rPr>
          <w:rFonts w:ascii="Times New Roman" w:hAnsi="Times New Roman" w:cs="Times New Roman" w:eastAsia="Times New Roman" w:hint="default"/>
        </w:rPr>
        <w:t>34.95</w:t>
      </w:r>
      <w:r>
        <w:rPr/>
        <w:t>，主要原因是报告期内所持金融资产市值下跌所致；净资产较上 </w:t>
      </w:r>
      <w:r>
        <w:rPr>
          <w:spacing w:val="-1"/>
        </w:rPr>
        <w:t>年末减少</w:t>
      </w:r>
      <w:r>
        <w:rPr>
          <w:rFonts w:ascii="Times New Roman" w:hAnsi="Times New Roman" w:cs="Times New Roman" w:eastAsia="Times New Roman" w:hint="default"/>
          <w:spacing w:val="-1"/>
        </w:rPr>
        <w:t>108.47%</w:t>
      </w:r>
      <w:r>
        <w:rPr>
          <w:spacing w:val="-1"/>
        </w:rPr>
        <w:t>，主要原因是报告期内所持金融资产市值下跌所致；营业利润较上年同期减少</w:t>
      </w:r>
      <w:r>
        <w:rPr>
          <w:rFonts w:ascii="Times New Roman" w:hAnsi="Times New Roman" w:cs="Times New Roman" w:eastAsia="Times New Roman" w:hint="default"/>
          <w:spacing w:val="-1"/>
        </w:rPr>
        <w:t>7446.40%</w:t>
      </w:r>
      <w:r>
        <w:rPr>
          <w:spacing w:val="-1"/>
        </w:rPr>
        <w:t>，净利润较上年同</w:t>
      </w:r>
      <w:r>
        <w:rPr>
          <w:spacing w:val="-56"/>
        </w:rPr>
        <w:t> </w:t>
      </w:r>
      <w:r>
        <w:rPr>
          <w:spacing w:val="-56"/>
        </w:rPr>
      </w:r>
      <w:r>
        <w:rPr/>
        <w:t>期减少</w:t>
      </w:r>
      <w:r>
        <w:rPr>
          <w:rFonts w:ascii="Times New Roman" w:hAnsi="Times New Roman" w:cs="Times New Roman" w:eastAsia="Times New Roman" w:hint="default"/>
        </w:rPr>
        <w:t>23157.27%</w:t>
      </w:r>
      <w:r>
        <w:rPr/>
        <w:t>，主要原因是报告期内发生投资亏损所致。</w:t>
      </w:r>
    </w:p>
    <w:p>
      <w:pPr>
        <w:spacing w:after="0" w:line="300" w:lineRule="auto"/>
        <w:jc w:val="both"/>
        <w:sectPr>
          <w:pgSz w:w="11910" w:h="16840"/>
          <w:pgMar w:header="745" w:footer="980" w:top="1060" w:bottom="1160" w:left="30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、行业的发展趋势 </w:t>
      </w:r>
      <w:r>
        <w:rPr>
          <w:spacing w:val="-2"/>
        </w:rPr>
        <w:t>随着信息时代的来临，各项新兴科技迅速渗透到传统金融领域，对传统银行网点经营带来全面而系统性的冲击，金融业</w:t>
      </w:r>
    </w:p>
    <w:p>
      <w:pPr>
        <w:pStyle w:val="BodyText"/>
        <w:spacing w:line="316" w:lineRule="auto" w:before="31"/>
        <w:ind w:right="1129"/>
        <w:jc w:val="left"/>
      </w:pPr>
      <w:r>
        <w:rPr>
          <w:spacing w:val="-2"/>
        </w:rPr>
        <w:t>竞争日益严峻；国内各商业银行在传统业务上遭遇到了非银行金融机构和国内外同行的替代挑战。各银行开始全面实施网点</w:t>
      </w:r>
      <w:r>
        <w:rPr>
          <w:spacing w:val="-64"/>
        </w:rPr>
        <w:t> </w:t>
      </w:r>
      <w:r>
        <w:rPr>
          <w:spacing w:val="-64"/>
        </w:rPr>
      </w:r>
      <w:r>
        <w:rPr/>
        <w:t>战略转型。自助设备行业作为传统银行提供服务的主要载体，银行传统产业转型升级，也为其带来了机遇。</w:t>
      </w:r>
    </w:p>
    <w:p>
      <w:pPr>
        <w:pStyle w:val="BodyText"/>
        <w:spacing w:line="300" w:lineRule="auto" w:before="19"/>
        <w:ind w:left="513"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）智能设备成智慧银行建设主力 </w:t>
      </w:r>
      <w:r>
        <w:rPr>
          <w:spacing w:val="-3"/>
        </w:rPr>
        <w:t>中国人民银行发布的《</w:t>
      </w:r>
      <w:r>
        <w:rPr>
          <w:rFonts w:ascii="Times New Roman" w:hAnsi="Times New Roman" w:cs="Times New Roman" w:eastAsia="Times New Roman" w:hint="default"/>
          <w:spacing w:val="-3"/>
        </w:rPr>
        <w:t>2018</w:t>
      </w:r>
      <w:r>
        <w:rPr>
          <w:spacing w:val="-3"/>
        </w:rPr>
        <w:t>年第四季度支付体系运行总体情况》显示，截至第四季度末，全国银行卡在用发卡数量</w:t>
      </w:r>
      <w:r>
        <w:rPr>
          <w:rFonts w:ascii="Times New Roman" w:hAnsi="Times New Roman" w:cs="Times New Roman" w:eastAsia="Times New Roman" w:hint="default"/>
          <w:spacing w:val="-3"/>
        </w:rPr>
        <w:t>75.97</w:t>
      </w:r>
    </w:p>
    <w:p>
      <w:pPr>
        <w:pStyle w:val="BodyText"/>
        <w:spacing w:line="300" w:lineRule="auto" w:before="13"/>
        <w:ind w:right="1133"/>
        <w:jc w:val="left"/>
      </w:pPr>
      <w:r>
        <w:rPr>
          <w:spacing w:val="-1"/>
        </w:rPr>
        <w:t>亿张，相比</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66.93</w:t>
      </w:r>
      <w:r>
        <w:rPr>
          <w:spacing w:val="-1"/>
        </w:rPr>
        <w:t>亿张增长</w:t>
      </w:r>
      <w:r>
        <w:rPr>
          <w:rFonts w:ascii="Times New Roman" w:hAnsi="Times New Roman" w:cs="Times New Roman" w:eastAsia="Times New Roman" w:hint="default"/>
          <w:spacing w:val="-1"/>
        </w:rPr>
        <w:t>13.5%</w:t>
      </w:r>
      <w:r>
        <w:rPr>
          <w:spacing w:val="-1"/>
        </w:rPr>
        <w:t>。国内</w:t>
      </w:r>
      <w:r>
        <w:rPr>
          <w:rFonts w:ascii="Times New Roman" w:hAnsi="Times New Roman" w:cs="Times New Roman" w:eastAsia="Times New Roman" w:hint="default"/>
          <w:spacing w:val="-1"/>
        </w:rPr>
        <w:t>ATM</w:t>
      </w:r>
      <w:r>
        <w:rPr>
          <w:spacing w:val="-1"/>
        </w:rPr>
        <w:t>机具</w:t>
      </w:r>
      <w:r>
        <w:rPr>
          <w:rFonts w:ascii="Times New Roman" w:hAnsi="Times New Roman" w:cs="Times New Roman" w:eastAsia="Times New Roman" w:hint="default"/>
          <w:spacing w:val="-1"/>
        </w:rPr>
        <w:t>111.08</w:t>
      </w:r>
      <w:r>
        <w:rPr>
          <w:spacing w:val="-1"/>
        </w:rPr>
        <w:t>万台万台，相比</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96.06</w:t>
      </w:r>
      <w:r>
        <w:rPr>
          <w:spacing w:val="-1"/>
        </w:rPr>
        <w:t>万台增长</w:t>
      </w:r>
      <w:r>
        <w:rPr>
          <w:rFonts w:ascii="Times New Roman" w:hAnsi="Times New Roman" w:cs="Times New Roman" w:eastAsia="Times New Roman" w:hint="default"/>
          <w:spacing w:val="-1"/>
        </w:rPr>
        <w:t>15.6%</w:t>
      </w:r>
      <w:r>
        <w:rPr>
          <w:spacing w:val="-1"/>
        </w:rPr>
        <w:t>。这主要是围绕智</w:t>
      </w:r>
      <w:r>
        <w:rPr>
          <w:spacing w:val="-49"/>
        </w:rPr>
        <w:t> </w:t>
      </w:r>
      <w:r>
        <w:rPr>
          <w:spacing w:val="-49"/>
        </w:rPr>
      </w:r>
      <w:r>
        <w:rPr/>
        <w:t>慧银行转型升级过程中，可视柜台、智能柜台、超级柜台、智慧柜员机等新型自助服务设备在银行网点投放量不断增加。</w:t>
      </w:r>
    </w:p>
    <w:p>
      <w:pPr>
        <w:pStyle w:val="BodyText"/>
        <w:spacing w:line="316" w:lineRule="auto" w:before="31"/>
        <w:ind w:right="1130" w:firstLine="360"/>
        <w:jc w:val="both"/>
      </w:pPr>
      <w:r>
        <w:rPr>
          <w:spacing w:val="-2"/>
        </w:rPr>
        <w:t>新型自助终端呈现线下业务集中化、营销模式精细化、客户服务立体化、系统功能智能化的新特点，银行业务去柜台的</w:t>
      </w:r>
      <w:r>
        <w:rPr/>
        <w:t> </w:t>
      </w:r>
      <w:r>
        <w:rPr>
          <w:spacing w:val="-2"/>
        </w:rPr>
        <w:t>趋势日益明显，物理网点的区域界限逐渐被打破，融合现金与非现金业务，实现一站式综合业务办理的综合智能设备成为打</w:t>
      </w:r>
      <w:r>
        <w:rPr>
          <w:spacing w:val="-63"/>
        </w:rPr>
        <w:t> </w:t>
      </w:r>
      <w:r>
        <w:rPr>
          <w:spacing w:val="-63"/>
        </w:rPr>
      </w:r>
      <w:r>
        <w:rPr>
          <w:spacing w:val="-2"/>
        </w:rPr>
        <w:t>造线下智能网点的核心设备。此次，金融自助设备和新兴金融科技深度融合，推动了金融自助设备厂商的战略转型和智慧再</w:t>
      </w:r>
      <w:r>
        <w:rPr>
          <w:spacing w:val="-63"/>
        </w:rPr>
        <w:t> </w:t>
      </w:r>
      <w:r>
        <w:rPr>
          <w:spacing w:val="-63"/>
        </w:rPr>
      </w:r>
      <w:r>
        <w:rPr>
          <w:spacing w:val="-2"/>
        </w:rPr>
        <w:t>升级，提供更加便利、智能和安全的应用与服务，打造高质量的动能体系，助力金融行业发展。推动银行从传统物理网点向</w:t>
      </w:r>
      <w:r>
        <w:rPr>
          <w:spacing w:val="-67"/>
        </w:rPr>
        <w:t> </w:t>
      </w:r>
      <w:r>
        <w:rPr>
          <w:spacing w:val="-67"/>
        </w:rPr>
      </w:r>
      <w:r>
        <w:rPr/>
        <w:t>轻型化、智能化、营销化、场景化、生态化转型升级。</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）央行发布人民币现金机具行业新标准，规范并提高行业壁垒</w:t>
      </w:r>
    </w:p>
    <w:p>
      <w:pPr>
        <w:pStyle w:val="BodyText"/>
        <w:spacing w:line="312" w:lineRule="auto" w:before="63"/>
        <w:ind w:right="103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日起正式实施中国人民银行发布的《人民币现金机具鉴别能力技术规范》金融行业标准。建立以此为准绳、 </w:t>
      </w:r>
      <w:r>
        <w:rPr>
          <w:spacing w:val="-2"/>
        </w:rPr>
        <w:t>以现金机具鉴别能力检测为依托、以强化事中事后监管为保障的现金机具管理机制。立足本标准启动人民币现金机具国家标</w:t>
      </w:r>
      <w:r>
        <w:rPr>
          <w:spacing w:val="-64"/>
        </w:rPr>
        <w:t> </w:t>
      </w:r>
      <w:r>
        <w:rPr>
          <w:spacing w:val="-64"/>
        </w:rPr>
      </w:r>
      <w:r>
        <w:rPr>
          <w:spacing w:val="-2"/>
        </w:rPr>
        <w:t>准的制定工作，进一步强化对现金机具管理的强制性与约束力。要求机具制造商提高现金机具的质量和反假货币水平，更好</w:t>
      </w:r>
      <w:r>
        <w:rPr>
          <w:spacing w:val="-63"/>
        </w:rPr>
        <w:t> </w:t>
      </w:r>
      <w:r>
        <w:rPr>
          <w:spacing w:val="-63"/>
        </w:rPr>
      </w:r>
      <w:r>
        <w:rPr/>
        <w:t>地维护国家金融安全和人民币流通秩序。以此引领行业向健康可持续发展。准实施后</w:t>
      </w:r>
      <w:r>
        <w:rPr>
          <w:rFonts w:ascii="Times New Roman" w:hAnsi="Times New Roman" w:cs="Times New Roman" w:eastAsia="Times New Roman" w:hint="default"/>
        </w:rPr>
        <w:t>ATM</w:t>
      </w:r>
      <w:r>
        <w:rPr/>
        <w:t>设备升级带来了市场机遇，对于 存量机具，将分步骤、分批次更替，以平稳过渡逐渐满足新标准要求。全面有效实施人民币现金机具标准化、科学化管理， 开展系统化、精细化的反假货币工作，有助于更好的鉴别和阻截流通领域的假币。</w:t>
      </w:r>
    </w:p>
    <w:p>
      <w:pPr>
        <w:pStyle w:val="BodyText"/>
        <w:spacing w:line="300" w:lineRule="auto" w:before="22"/>
        <w:ind w:left="513" w:right="1133"/>
        <w:jc w:val="left"/>
      </w:pPr>
      <w:r>
        <w:rPr/>
        <w:t>（</w:t>
      </w:r>
      <w:r>
        <w:rPr>
          <w:rFonts w:ascii="Times New Roman" w:hAnsi="Times New Roman" w:cs="Times New Roman" w:eastAsia="Times New Roman" w:hint="default"/>
        </w:rPr>
        <w:t>3</w:t>
      </w:r>
      <w:r>
        <w:rPr/>
        <w:t>）我国</w:t>
      </w:r>
      <w:r>
        <w:rPr>
          <w:rFonts w:ascii="Times New Roman" w:hAnsi="Times New Roman" w:cs="Times New Roman" w:eastAsia="Times New Roman" w:hint="default"/>
        </w:rPr>
        <w:t>ATM</w:t>
      </w:r>
      <w:r>
        <w:rPr/>
        <w:t>维保服务市场空间巨大 </w:t>
      </w:r>
      <w:r>
        <w:rPr>
          <w:spacing w:val="-2"/>
        </w:rPr>
        <w:t>截至</w:t>
      </w:r>
      <w:r>
        <w:rPr>
          <w:rFonts w:ascii="Times New Roman" w:hAnsi="Times New Roman" w:cs="Times New Roman" w:eastAsia="Times New Roman" w:hint="default"/>
          <w:spacing w:val="-2"/>
        </w:rPr>
        <w:t>2018</w:t>
      </w:r>
      <w:r>
        <w:rPr>
          <w:spacing w:val="-2"/>
        </w:rPr>
        <w:t>年末，我国联网</w:t>
      </w:r>
      <w:r>
        <w:rPr>
          <w:rFonts w:ascii="Times New Roman" w:hAnsi="Times New Roman" w:cs="Times New Roman" w:eastAsia="Times New Roman" w:hint="default"/>
          <w:spacing w:val="-2"/>
        </w:rPr>
        <w:t>ATM</w:t>
      </w:r>
      <w:r>
        <w:rPr>
          <w:spacing w:val="-2"/>
        </w:rPr>
        <w:t>已达</w:t>
      </w:r>
      <w:r>
        <w:rPr>
          <w:rFonts w:ascii="Times New Roman" w:hAnsi="Times New Roman" w:cs="Times New Roman" w:eastAsia="Times New Roman" w:hint="default"/>
          <w:spacing w:val="-2"/>
        </w:rPr>
        <w:t>111.08</w:t>
      </w:r>
      <w:r>
        <w:rPr>
          <w:spacing w:val="-2"/>
        </w:rPr>
        <w:t>万台。在较高的设备保有量基础上，催生了广阔的维保等外包服务市场。随着</w:t>
      </w:r>
    </w:p>
    <w:p>
      <w:pPr>
        <w:pStyle w:val="BodyText"/>
        <w:spacing w:line="316" w:lineRule="auto" w:before="13"/>
        <w:ind w:right="1133"/>
        <w:jc w:val="both"/>
      </w:pPr>
      <w:r>
        <w:rPr>
          <w:spacing w:val="-2"/>
        </w:rPr>
        <w:t>金融自助设备布放量不断增加，银行在设备运营管理上面临巨大压力。而金融设备厂商由于拥有服务链条中最为核心的自助</w:t>
      </w:r>
      <w:r>
        <w:rPr>
          <w:spacing w:val="-64"/>
        </w:rPr>
        <w:t> </w:t>
      </w:r>
      <w:r>
        <w:rPr>
          <w:spacing w:val="-64"/>
        </w:rPr>
      </w:r>
      <w:r>
        <w:rPr>
          <w:spacing w:val="-2"/>
        </w:rPr>
        <w:t>设备，对于服务市场拥有专业化、规模化、技术先进、经验丰富的在位优势。各大银行能更有效地提升服务质量、降低人力</w:t>
      </w:r>
      <w:r>
        <w:rPr>
          <w:spacing w:val="-70"/>
        </w:rPr>
        <w:t> </w:t>
      </w:r>
      <w:r>
        <w:rPr>
          <w:spacing w:val="-70"/>
        </w:rPr>
      </w:r>
      <w:r>
        <w:rPr>
          <w:spacing w:val="-2"/>
        </w:rPr>
        <w:t>和运营成本、集中精力发展核心业务。随着信息技术的深入发展，云计算、大数据、移动金融的发展和应用，大大拓展了金</w:t>
      </w:r>
      <w:r>
        <w:rPr>
          <w:spacing w:val="-69"/>
        </w:rPr>
        <w:t> </w:t>
      </w:r>
      <w:r>
        <w:rPr>
          <w:spacing w:val="-69"/>
        </w:rPr>
      </w:r>
      <w:r>
        <w:rPr>
          <w:spacing w:val="-2"/>
        </w:rPr>
        <w:t>融服务的广度和深度，改变了外包业务的结构，由低端业务向高端、复杂、核心业务发展。我国金融外包行业价值链正不断</w:t>
      </w:r>
      <w:r>
        <w:rPr>
          <w:spacing w:val="-67"/>
        </w:rPr>
        <w:t> </w:t>
      </w:r>
      <w:r>
        <w:rPr>
          <w:spacing w:val="-67"/>
        </w:rPr>
      </w:r>
      <w:r>
        <w:rPr/>
        <w:t>延伸，专业化和精细化管理推进金融业健康发展。</w:t>
      </w:r>
    </w:p>
    <w:p>
      <w:pPr>
        <w:pStyle w:val="BodyText"/>
        <w:spacing w:line="300" w:lineRule="auto" w:before="19"/>
        <w:ind w:left="513" w:right="1129"/>
        <w:jc w:val="left"/>
      </w:pPr>
      <w:r>
        <w:rPr/>
        <w:t>（</w:t>
      </w:r>
      <w:r>
        <w:rPr>
          <w:rFonts w:ascii="Times New Roman" w:hAnsi="Times New Roman" w:cs="Times New Roman" w:eastAsia="Times New Roman" w:hint="default"/>
        </w:rPr>
        <w:t>4</w:t>
      </w:r>
      <w:r>
        <w:rPr/>
        <w:t>）高质量发展助推普惠金融进程 </w:t>
      </w:r>
      <w:r>
        <w:rPr>
          <w:spacing w:val="-2"/>
        </w:rPr>
        <w:t>近年来，在党中央、国务院的领导下，各部门、地方政府、人民银行将发展普惠金融作为服务实体经济、推进供给侧结</w:t>
      </w:r>
    </w:p>
    <w:p>
      <w:pPr>
        <w:pStyle w:val="BodyText"/>
        <w:spacing w:line="314" w:lineRule="auto" w:before="31"/>
        <w:ind w:right="1034"/>
        <w:jc w:val="left"/>
      </w:pPr>
      <w:r>
        <w:rPr/>
        <w:t>构性改革、落实新发展理念的重要途径，全力做好普惠金融发展顶层设计，建立推进普惠金融工作协调机制，协同各部门、 </w:t>
      </w:r>
      <w:r>
        <w:rPr>
          <w:spacing w:val="-2"/>
        </w:rPr>
        <w:t>各地出台了一系列有效措施。以提升金融服务的覆盖率、可得性和满意度为普惠金融的主要目标。作为打通农村金融服务最</w:t>
      </w:r>
      <w:r>
        <w:rPr>
          <w:spacing w:val="-62"/>
        </w:rPr>
        <w:t> </w:t>
      </w:r>
      <w:r>
        <w:rPr>
          <w:spacing w:val="-62"/>
        </w:rPr>
      </w:r>
      <w:r>
        <w:rPr>
          <w:spacing w:val="-2"/>
        </w:rPr>
        <w:t>后一公里，开展金融服务</w:t>
      </w:r>
      <w:r>
        <w:rPr>
          <w:rFonts w:ascii="Times New Roman" w:hAnsi="Times New Roman" w:cs="Times New Roman" w:eastAsia="Times New Roman" w:hint="default"/>
          <w:spacing w:val="-2"/>
        </w:rPr>
        <w:t>“</w:t>
      </w:r>
      <w:r>
        <w:rPr>
          <w:spacing w:val="-2"/>
        </w:rPr>
        <w:t>村村通</w:t>
      </w:r>
      <w:r>
        <w:rPr>
          <w:rFonts w:ascii="Times New Roman" w:hAnsi="Times New Roman" w:cs="Times New Roman" w:eastAsia="Times New Roman" w:hint="default"/>
          <w:spacing w:val="-2"/>
        </w:rPr>
        <w:t>”</w:t>
      </w:r>
      <w:r>
        <w:rPr>
          <w:spacing w:val="-2"/>
        </w:rPr>
        <w:t>工程的提供自助设备厂商，利用现代信息技术的最新成果，结合广大农村地区不断增长的</w:t>
      </w:r>
      <w:r>
        <w:rPr>
          <w:spacing w:val="-44"/>
        </w:rPr>
        <w:t> </w:t>
      </w:r>
      <w:r>
        <w:rPr>
          <w:spacing w:val="-44"/>
        </w:rPr>
      </w:r>
      <w:r>
        <w:rPr>
          <w:spacing w:val="-2"/>
        </w:rPr>
        <w:t>金融服务需求，加快农民金融自助服务点建设步伐，进一步改善农村支付服务环境。促进了金融业可持续均衡发展，推动经</w:t>
      </w:r>
      <w:r>
        <w:rPr>
          <w:spacing w:val="-65"/>
        </w:rPr>
        <w:t> </w:t>
      </w:r>
      <w:r>
        <w:rPr>
          <w:spacing w:val="-65"/>
        </w:rPr>
      </w:r>
      <w:r>
        <w:rPr/>
        <w:t>济发展方式转型升级，增进社会公平和社会和谐。</w:t>
      </w:r>
    </w:p>
    <w:p>
      <w:pPr>
        <w:pStyle w:val="BodyText"/>
        <w:spacing w:line="300" w:lineRule="auto" w:before="20"/>
        <w:ind w:left="513" w:right="0"/>
        <w:jc w:val="left"/>
      </w:pPr>
      <w:r>
        <w:rPr/>
        <w:t>（</w:t>
      </w:r>
      <w:r>
        <w:rPr>
          <w:rFonts w:ascii="Times New Roman" w:hAnsi="Times New Roman" w:cs="Times New Roman" w:eastAsia="Times New Roman" w:hint="default"/>
        </w:rPr>
        <w:t>5</w:t>
      </w:r>
      <w:r>
        <w:rPr/>
        <w:t>）租赁业务市场稳定 </w:t>
      </w:r>
      <w:r>
        <w:rPr>
          <w:spacing w:val="-4"/>
        </w:rPr>
        <w:t>广州市是目前中国经济发展最为迅速的地区之一，经济实力强，基础设施及交通环境在日益改善，国民经济发展后劲足。</w:t>
      </w:r>
    </w:p>
    <w:p>
      <w:pPr>
        <w:pStyle w:val="BodyText"/>
        <w:spacing w:line="316" w:lineRule="auto" w:before="31"/>
        <w:ind w:right="0"/>
        <w:jc w:val="left"/>
      </w:pPr>
      <w:r>
        <w:rPr>
          <w:spacing w:val="-2"/>
        </w:rPr>
        <w:t>由于居民收入和生活水平在不断提高，为房地产业的发展奠定了有力的基础。随着城市生活水平的提高、交通环境和交通工</w:t>
      </w:r>
      <w:r>
        <w:rPr>
          <w:spacing w:val="-62"/>
        </w:rPr>
        <w:t> </w:t>
      </w:r>
      <w:r>
        <w:rPr>
          <w:spacing w:val="-62"/>
        </w:rPr>
      </w:r>
      <w:r>
        <w:rPr/>
        <w:t>具的改善，居民对商业、办公类的房地产投资需求也在不断提高，广州市周边楼盘的需求越来越大。</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御银科技园区内部分对外出租的闲置物业是位于广州市天河区高唐路软件园。区域内交通较方便，市政公用设施和公共</w:t>
      </w:r>
      <w:r>
        <w:rPr/>
        <w:t> </w:t>
      </w:r>
      <w:r>
        <w:rPr>
          <w:spacing w:val="-2"/>
        </w:rPr>
        <w:t>配套设施较完善，人流量较大，商业氛围逐渐成熟，办公聚集度较高，居住环境较好，周边商品楼销售情况较好。从目前区</w:t>
      </w:r>
      <w:r>
        <w:rPr>
          <w:spacing w:val="-68"/>
        </w:rPr>
        <w:t> </w:t>
      </w:r>
      <w:r>
        <w:rPr>
          <w:spacing w:val="-68"/>
        </w:rPr>
      </w:r>
      <w:r>
        <w:rPr/>
        <w:t>域发展情况及综合楼市情况而言，由于交通、配套正逐步完善，所处位置佳，市场需求较大，市场前景较好。</w:t>
      </w:r>
    </w:p>
    <w:p>
      <w:pPr>
        <w:pStyle w:val="BodyText"/>
        <w:spacing w:line="300" w:lineRule="auto" w:before="17"/>
        <w:ind w:left="513" w:right="0"/>
        <w:jc w:val="left"/>
      </w:pPr>
      <w:r>
        <w:rPr>
          <w:rFonts w:ascii="Times New Roman" w:hAnsi="Times New Roman" w:cs="Times New Roman" w:eastAsia="Times New Roman" w:hint="default"/>
        </w:rPr>
        <w:t>2.ATM</w:t>
      </w:r>
      <w:r>
        <w:rPr/>
        <w:t>行业竞争格局 </w:t>
      </w:r>
      <w:r>
        <w:rPr>
          <w:spacing w:val="-2"/>
        </w:rPr>
        <w:t>在金融信息系统日益发展，信息集中化及规模化扩大的趋势下，国家对自主安全可控技术支持力度不断加强，且随着金</w:t>
      </w:r>
    </w:p>
    <w:p>
      <w:pPr>
        <w:pStyle w:val="BodyText"/>
        <w:spacing w:line="300" w:lineRule="auto" w:before="31"/>
        <w:ind w:right="1134"/>
        <w:jc w:val="left"/>
      </w:pPr>
      <w:r>
        <w:rPr/>
        <w:t>融机具国产化趋势的加强，各大银行采购国产品牌</w:t>
      </w:r>
      <w:r>
        <w:rPr>
          <w:rFonts w:ascii="Times New Roman" w:hAnsi="Times New Roman" w:cs="Times New Roman" w:eastAsia="Times New Roman" w:hint="default"/>
        </w:rPr>
        <w:t>ATM</w:t>
      </w:r>
      <w:r>
        <w:rPr/>
        <w:t>的比例不断提升。目前，中国作为全球第一大</w:t>
      </w:r>
      <w:r>
        <w:rPr>
          <w:rFonts w:ascii="Times New Roman" w:hAnsi="Times New Roman" w:cs="Times New Roman" w:eastAsia="Times New Roman" w:hint="default"/>
        </w:rPr>
        <w:t>ATM</w:t>
      </w:r>
      <w:r>
        <w:rPr/>
        <w:t>市场，主要的设 备供应商有：本公司、广电运通、深圳怡化、恒银金融、中钞科堡、东方通信、新达通、</w:t>
      </w:r>
      <w:r>
        <w:rPr>
          <w:rFonts w:ascii="Times New Roman" w:hAnsi="Times New Roman" w:cs="Times New Roman" w:eastAsia="Times New Roman" w:hint="default"/>
        </w:rPr>
        <w:t>OKI</w:t>
      </w:r>
      <w:r>
        <w:rPr/>
        <w:t>、日本</w:t>
      </w:r>
      <w:r>
        <w:rPr>
          <w:rFonts w:ascii="Times New Roman" w:hAnsi="Times New Roman" w:cs="Times New Roman" w:eastAsia="Times New Roman" w:hint="default"/>
        </w:rPr>
        <w:t>HITACHI</w:t>
      </w:r>
      <w:r>
        <w:rPr/>
        <w:t>等。</w:t>
      </w:r>
    </w:p>
    <w:p>
      <w:pPr>
        <w:pStyle w:val="BodyText"/>
        <w:spacing w:line="240" w:lineRule="auto" w:before="13"/>
        <w:ind w:left="513" w:right="1133"/>
        <w:jc w:val="left"/>
      </w:pPr>
      <w:r>
        <w:rPr>
          <w:rFonts w:ascii="Times New Roman" w:hAnsi="Times New Roman" w:cs="Times New Roman" w:eastAsia="Times New Roman" w:hint="default"/>
        </w:rPr>
        <w:t>3</w:t>
      </w:r>
      <w:r>
        <w:rPr/>
        <w:t>、公司发展战略及年度经营计划</w:t>
      </w:r>
    </w:p>
    <w:p>
      <w:pPr>
        <w:pStyle w:val="BodyText"/>
        <w:spacing w:line="300" w:lineRule="auto" w:before="63"/>
        <w:ind w:left="513" w:right="1132"/>
        <w:jc w:val="left"/>
      </w:pPr>
      <w:r>
        <w:rPr/>
        <w:t>（</w:t>
      </w:r>
      <w:r>
        <w:rPr>
          <w:rFonts w:ascii="Times New Roman" w:hAnsi="Times New Roman" w:cs="Times New Roman" w:eastAsia="Times New Roman" w:hint="default"/>
        </w:rPr>
        <w:t>1</w:t>
      </w:r>
      <w:r>
        <w:rPr/>
        <w:t>）公司发展战略 公司将按照市场和政策导向，抓住银行业的创新变革和转型升级的时机，秉承</w:t>
      </w:r>
      <w:r>
        <w:rPr>
          <w:rFonts w:ascii="Times New Roman" w:hAnsi="Times New Roman" w:cs="Times New Roman" w:eastAsia="Times New Roman" w:hint="default"/>
        </w:rPr>
        <w:t>“</w:t>
      </w:r>
      <w:r>
        <w:rPr/>
        <w:t>主营创新</w:t>
      </w:r>
      <w:r>
        <w:rPr>
          <w:rFonts w:ascii="Times New Roman" w:hAnsi="Times New Roman" w:cs="Times New Roman" w:eastAsia="Times New Roman" w:hint="default"/>
        </w:rPr>
        <w:t>+</w:t>
      </w:r>
      <w:r>
        <w:rPr/>
        <w:t>业务转型</w:t>
      </w:r>
      <w:r>
        <w:rPr>
          <w:rFonts w:ascii="Times New Roman" w:hAnsi="Times New Roman" w:cs="Times New Roman" w:eastAsia="Times New Roman" w:hint="default"/>
        </w:rPr>
        <w:t>”</w:t>
      </w:r>
      <w:r>
        <w:rPr/>
        <w:t>双驱动的战略发展</w:t>
      </w:r>
    </w:p>
    <w:p>
      <w:pPr>
        <w:pStyle w:val="BodyText"/>
        <w:spacing w:line="316" w:lineRule="auto" w:before="13"/>
        <w:ind w:right="1132"/>
        <w:jc w:val="both"/>
      </w:pPr>
      <w:r>
        <w:rPr>
          <w:spacing w:val="-2"/>
        </w:rPr>
        <w:t>方针，在创新技术、产品质量、客户服务方面继续努力前行，追求卓越，使公司在市场竞争中不断发展壮大。深入挖掘产业</w:t>
      </w:r>
      <w:r>
        <w:rPr>
          <w:spacing w:val="-67"/>
        </w:rPr>
        <w:t> </w:t>
      </w:r>
      <w:r>
        <w:rPr>
          <w:spacing w:val="-67"/>
        </w:rPr>
      </w:r>
      <w:r>
        <w:rPr>
          <w:spacing w:val="-2"/>
        </w:rPr>
        <w:t>升级的市场潜力，实现价值链延伸。积极布局多方位的发展创新，在新技术、新产业、新业态、新模式方面进行探索，寻求</w:t>
      </w:r>
      <w:r>
        <w:rPr>
          <w:spacing w:val="-73"/>
        </w:rPr>
        <w:t> </w:t>
      </w:r>
      <w:r>
        <w:rPr>
          <w:spacing w:val="-73"/>
        </w:rPr>
      </w:r>
      <w:r>
        <w:rPr/>
        <w:t>公司的转型发展，以提高公司的盈利能力及可持续发展能力。</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年度经营计划</w:t>
      </w:r>
    </w:p>
    <w:p>
      <w:pPr>
        <w:pStyle w:val="BodyText"/>
        <w:spacing w:line="300" w:lineRule="auto" w:before="63"/>
        <w:ind w:right="1134" w:firstLine="360"/>
        <w:jc w:val="both"/>
      </w:pPr>
      <w:r>
        <w:rPr>
          <w:rFonts w:ascii="Times New Roman" w:hAnsi="Times New Roman" w:cs="Times New Roman" w:eastAsia="Times New Roman" w:hint="default"/>
          <w:spacing w:val="-2"/>
        </w:rPr>
        <w:t>2019</w:t>
      </w:r>
      <w:r>
        <w:rPr>
          <w:spacing w:val="-2"/>
        </w:rPr>
        <w:t>年，公司将坚持董事会既定的战略目标，把握市场机遇，积极迎接挑战。为实现</w:t>
      </w:r>
      <w:r>
        <w:rPr>
          <w:rFonts w:ascii="Times New Roman" w:hAnsi="Times New Roman" w:cs="Times New Roman" w:eastAsia="Times New Roman" w:hint="default"/>
          <w:spacing w:val="-2"/>
        </w:rPr>
        <w:t>2019</w:t>
      </w:r>
      <w:r>
        <w:rPr>
          <w:spacing w:val="-2"/>
        </w:rPr>
        <w:t>年的经营目标，公司将围绕以</w:t>
      </w:r>
      <w:r>
        <w:rPr/>
        <w:t> 下重点，抓好各项经营管理工作：</w:t>
      </w:r>
    </w:p>
    <w:p>
      <w:pPr>
        <w:pStyle w:val="BodyText"/>
        <w:spacing w:line="316" w:lineRule="auto" w:before="31"/>
        <w:ind w:left="513" w:right="1033"/>
        <w:jc w:val="left"/>
      </w:pPr>
      <w:r>
        <w:rPr/>
        <w:t>①注重研发助力智慧银行 公司继续专注于自助设备的研发、生产、销售，坚持以研发创新为客户创造价值，顺应市场要求并追求行业技术高峰，</w:t>
      </w:r>
    </w:p>
    <w:p>
      <w:pPr>
        <w:pStyle w:val="BodyText"/>
        <w:spacing w:line="307" w:lineRule="auto" w:before="19"/>
        <w:ind w:right="1034"/>
        <w:jc w:val="left"/>
      </w:pPr>
      <w:r>
        <w:rPr/>
        <w:t>增强科研实力和产品竞争力，引领市场潮流。与国际主流</w:t>
      </w:r>
      <w:r>
        <w:rPr>
          <w:rFonts w:ascii="Times New Roman" w:hAnsi="Times New Roman" w:cs="Times New Roman" w:eastAsia="Times New Roman" w:hint="default"/>
        </w:rPr>
        <w:t>ATM</w:t>
      </w:r>
      <w:r>
        <w:rPr/>
        <w:t>厂商、国内大学院校及科研院所展开合作，将科研项目转化 </w:t>
      </w:r>
      <w:r>
        <w:rPr>
          <w:spacing w:val="-2"/>
        </w:rPr>
        <w:t>为科技成果。研发人员参与自助设备核心硬件模块、整机结构、安全和监控技术研发、以及机具平台软件、系统和业务软件</w:t>
      </w:r>
      <w:r>
        <w:rPr>
          <w:spacing w:val="-67"/>
        </w:rPr>
        <w:t> </w:t>
      </w:r>
      <w:r>
        <w:rPr>
          <w:spacing w:val="-67"/>
        </w:rPr>
      </w:r>
      <w:r>
        <w:rPr>
          <w:spacing w:val="-2"/>
        </w:rPr>
        <w:t>类研发，以及为客户提供技术开发和支持服务。随着互联网金融及移动支付业务保持快速增长，公司紧密围绕市场需求进行</w:t>
      </w:r>
      <w:r>
        <w:rPr>
          <w:spacing w:val="-63"/>
        </w:rPr>
        <w:t> </w:t>
      </w:r>
      <w:r>
        <w:rPr>
          <w:spacing w:val="-63"/>
        </w:rPr>
      </w:r>
      <w:r>
        <w:rPr>
          <w:spacing w:val="-2"/>
        </w:rPr>
        <w:t>深度挖掘和创新，积极拓展银行智慧网点转型业务，应用新型智能化金融自助设备全面提高网点综合金融服务水平，为客户</w:t>
      </w:r>
      <w:r>
        <w:rPr>
          <w:spacing w:val="-63"/>
        </w:rPr>
        <w:t> </w:t>
      </w:r>
      <w:r>
        <w:rPr>
          <w:spacing w:val="-63"/>
        </w:rPr>
      </w:r>
      <w:r>
        <w:rPr/>
        <w:t>提供最佳的体验，实现有效的客户管理和高效的营销绩效。公司在使用</w:t>
      </w:r>
      <w:r>
        <w:rPr>
          <w:rFonts w:ascii="Times New Roman" w:hAnsi="Times New Roman" w:cs="Times New Roman" w:eastAsia="Times New Roman" w:hint="default"/>
        </w:rPr>
        <w:t>ATM</w:t>
      </w:r>
      <w:r>
        <w:rPr/>
        <w:t>优化网点转型方面，一直领先研发，包括视频 </w:t>
      </w:r>
      <w:r>
        <w:rPr>
          <w:spacing w:val="-2"/>
        </w:rPr>
        <w:t>技术和移动</w:t>
      </w:r>
      <w:r>
        <w:rPr>
          <w:rFonts w:ascii="Times New Roman" w:hAnsi="Times New Roman" w:cs="Times New Roman" w:eastAsia="Times New Roman" w:hint="default"/>
          <w:spacing w:val="-2"/>
        </w:rPr>
        <w:t>PAD</w:t>
      </w:r>
      <w:r>
        <w:rPr>
          <w:spacing w:val="-2"/>
        </w:rPr>
        <w:t>提供自助服务；运营云平台解决银行快速增长自助设备的管理问题；在软件技术的更新及创新方面，不断完</w:t>
      </w:r>
      <w:r>
        <w:rPr>
          <w:spacing w:val="-64"/>
        </w:rPr>
        <w:t> </w:t>
      </w:r>
      <w:r>
        <w:rPr>
          <w:spacing w:val="-64"/>
        </w:rPr>
      </w:r>
      <w:r>
        <w:rPr>
          <w:spacing w:val="-4"/>
        </w:rPr>
        <w:t>善人脸识别、静脉核验、虹膜识别等多模态生物识别技术、智能语音、机器视觉和人机交互方面等技术应用场景。跨</w:t>
      </w:r>
      <w:r>
        <w:rPr>
          <w:rFonts w:ascii="Times New Roman" w:hAnsi="Times New Roman" w:cs="Times New Roman" w:eastAsia="Times New Roman" w:hint="default"/>
          <w:spacing w:val="-4"/>
        </w:rPr>
        <w:t>windows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3"/>
        </w:rPr>
        <w:t>及</w:t>
      </w:r>
      <w:r>
        <w:rPr>
          <w:rFonts w:ascii="Times New Roman" w:hAnsi="Times New Roman" w:cs="Times New Roman" w:eastAsia="Times New Roman" w:hint="default"/>
          <w:spacing w:val="-3"/>
        </w:rPr>
        <w:t>Linux</w:t>
      </w:r>
      <w:r>
        <w:rPr>
          <w:spacing w:val="-3"/>
        </w:rPr>
        <w:t>平台的驱动及交易开发平台、御银智慧园区管理平台及微信小程序、基于</w:t>
      </w:r>
      <w:r>
        <w:rPr>
          <w:rFonts w:ascii="Times New Roman" w:hAnsi="Times New Roman" w:cs="Times New Roman" w:eastAsia="Times New Roman" w:hint="default"/>
          <w:spacing w:val="-3"/>
        </w:rPr>
        <w:t>Linux</w:t>
      </w:r>
      <w:r>
        <w:rPr>
          <w:spacing w:val="-3"/>
        </w:rPr>
        <w:t>的日志存储安全及访问权限控制软件、</w:t>
      </w:r>
      <w:r>
        <w:rPr>
          <w:spacing w:val="-42"/>
        </w:rPr>
        <w:t> </w:t>
      </w:r>
      <w:r>
        <w:rPr>
          <w:spacing w:val="-2"/>
        </w:rPr>
        <w:t>钞箱清查及加钞管理平台、移动互联网及移动终端与自助设备的交互等，打造更安全、更智慧、更快捷，顺应市场需求的高</w:t>
      </w:r>
      <w:r>
        <w:rPr>
          <w:spacing w:val="-67"/>
        </w:rPr>
        <w:t> </w:t>
      </w:r>
      <w:r>
        <w:rPr>
          <w:spacing w:val="-67"/>
        </w:rPr>
      </w:r>
      <w:r>
        <w:rPr/>
        <w:t>科技产品。</w:t>
      </w:r>
    </w:p>
    <w:p>
      <w:pPr>
        <w:pStyle w:val="BodyText"/>
        <w:spacing w:line="316" w:lineRule="auto" w:before="26"/>
        <w:ind w:left="513" w:right="1129"/>
        <w:jc w:val="left"/>
      </w:pPr>
      <w:r>
        <w:rPr/>
        <w:t>②保证服务质量，扩张维保服务市场 </w:t>
      </w:r>
      <w:r>
        <w:rPr>
          <w:spacing w:val="-2"/>
        </w:rPr>
        <w:t>公司将继续推广新型服务管理模式，覆盖国内全部区域，同时公司将人事管理、合同管理以及财务管理等内部管理流程</w:t>
      </w:r>
    </w:p>
    <w:p>
      <w:pPr>
        <w:pStyle w:val="BodyText"/>
        <w:spacing w:line="316" w:lineRule="auto" w:before="19"/>
        <w:ind w:right="1133"/>
        <w:jc w:val="both"/>
      </w:pPr>
      <w:r>
        <w:rPr>
          <w:spacing w:val="-2"/>
        </w:rPr>
        <w:t>实现网络化、智能化，最大程度优化公司运行流程，提高资本运行效率。提高备品、备件的周转率，优化备件采购流程，通</w:t>
      </w:r>
      <w:r>
        <w:rPr>
          <w:spacing w:val="-73"/>
        </w:rPr>
        <w:t> </w:t>
      </w:r>
      <w:r>
        <w:rPr>
          <w:spacing w:val="-73"/>
        </w:rPr>
      </w:r>
      <w:r>
        <w:rPr>
          <w:spacing w:val="-2"/>
        </w:rPr>
        <w:t>过技术的提升扩大备件的自修率，从而降低备件使用成本。根据新的运行模式改良现有的绩效考核体系，在确保员工收入稳</w:t>
      </w:r>
      <w:r>
        <w:rPr>
          <w:spacing w:val="-65"/>
        </w:rPr>
        <w:t> </w:t>
      </w:r>
      <w:r>
        <w:rPr>
          <w:spacing w:val="-65"/>
        </w:rPr>
      </w:r>
      <w:r>
        <w:rPr>
          <w:spacing w:val="-2"/>
        </w:rPr>
        <w:t>步提升的同时，加大内部竞争，达到良币驱逐劣币的效果。继续扩大跨界业务的合作面，引进更多、更新的合作伙伴，同时</w:t>
      </w:r>
      <w:r>
        <w:rPr>
          <w:spacing w:val="-68"/>
        </w:rPr>
        <w:t> </w:t>
      </w:r>
      <w:r>
        <w:rPr>
          <w:spacing w:val="-68"/>
        </w:rPr>
      </w:r>
      <w:r>
        <w:rPr/>
        <w:t>在现有金融业务的基础上提供更多的有偿服务，成为良好口碑的系统方案解决商，确保公司维保收入稳步增加。</w:t>
      </w:r>
    </w:p>
    <w:p>
      <w:pPr>
        <w:pStyle w:val="BodyText"/>
        <w:spacing w:line="316" w:lineRule="auto" w:before="19"/>
        <w:ind w:left="513" w:right="1129"/>
        <w:jc w:val="left"/>
      </w:pPr>
      <w:r>
        <w:rPr/>
        <w:t>③规范物业租赁业务 </w:t>
      </w:r>
      <w:r>
        <w:rPr>
          <w:spacing w:val="-2"/>
        </w:rPr>
        <w:t>规范公司闲置自有物业的租赁工作，落实物业租赁服务管理制度，建立健全的安全管理制度等。坚持政府引导与市场运</w:t>
      </w:r>
    </w:p>
    <w:p>
      <w:pPr>
        <w:pStyle w:val="BodyText"/>
        <w:spacing w:line="240" w:lineRule="auto" w:before="19"/>
        <w:ind w:right="1133"/>
        <w:jc w:val="left"/>
      </w:pPr>
      <w:r>
        <w:rPr/>
        <w:t>作相结合的原则，充分发挥物业价值。为公司带来良好的经济效益。</w:t>
      </w:r>
    </w:p>
    <w:p>
      <w:pPr>
        <w:pStyle w:val="BodyText"/>
        <w:spacing w:line="316" w:lineRule="auto" w:before="77"/>
        <w:ind w:left="513" w:right="1129"/>
        <w:jc w:val="left"/>
      </w:pPr>
      <w:r>
        <w:rPr/>
        <w:t>④深入挖掘金融科技产业价值链 </w:t>
      </w:r>
      <w:r>
        <w:rPr>
          <w:spacing w:val="-2"/>
        </w:rPr>
        <w:t>银行业正在全面迈入以全渠道银行、智能投顾、区块链、大数据和物联网为基础的数字化银行发展阶段，集约化、智能</w:t>
      </w:r>
    </w:p>
    <w:p>
      <w:pPr>
        <w:pStyle w:val="BodyText"/>
        <w:spacing w:line="309" w:lineRule="auto" w:before="19"/>
        <w:ind w:right="1129"/>
        <w:jc w:val="left"/>
      </w:pPr>
      <w:r>
        <w:rPr>
          <w:spacing w:val="-2"/>
        </w:rPr>
        <w:t>化、数字化成为新趋势。公司将探索建立基于互联网的</w:t>
      </w:r>
      <w:r>
        <w:rPr>
          <w:rFonts w:ascii="Times New Roman" w:hAnsi="Times New Roman" w:cs="Times New Roman" w:eastAsia="Times New Roman" w:hint="default"/>
          <w:spacing w:val="-2"/>
        </w:rPr>
        <w:t>“</w:t>
      </w:r>
      <w:r>
        <w:rPr>
          <w:spacing w:val="-2"/>
        </w:rPr>
        <w:t>链式服务</w:t>
      </w:r>
      <w:r>
        <w:rPr>
          <w:rFonts w:ascii="Times New Roman" w:hAnsi="Times New Roman" w:cs="Times New Roman" w:eastAsia="Times New Roman" w:hint="default"/>
          <w:spacing w:val="-2"/>
        </w:rPr>
        <w:t>”</w:t>
      </w:r>
      <w:r>
        <w:rPr>
          <w:spacing w:val="-2"/>
        </w:rPr>
        <w:t>体系，整合服务渠道，借助大数据和人工智能技术在风险</w:t>
      </w:r>
      <w:r>
        <w:rPr>
          <w:spacing w:val="-48"/>
        </w:rPr>
        <w:t> </w:t>
      </w:r>
      <w:r>
        <w:rPr>
          <w:spacing w:val="-48"/>
        </w:rPr>
      </w:r>
      <w:r>
        <w:rPr>
          <w:spacing w:val="-2"/>
        </w:rPr>
        <w:t>防控、客户体验、业务交易、安全运维等领域的探索运用。使未来智慧银行业务在互联网金融平台广泛应用，让银行服务能</w:t>
      </w:r>
      <w:r>
        <w:rPr>
          <w:spacing w:val="-65"/>
        </w:rPr>
        <w:t> </w:t>
      </w:r>
      <w:r>
        <w:rPr>
          <w:spacing w:val="-65"/>
        </w:rPr>
      </w:r>
      <w:r>
        <w:rPr>
          <w:spacing w:val="-2"/>
        </w:rPr>
        <w:t>够真正切入场景、融入生态、营造更佳客户体验；借助科技的力量寻求效率、成本、风险的最佳平衡，把轻管理、轻运营做</w:t>
      </w:r>
      <w:r>
        <w:rPr>
          <w:spacing w:val="-73"/>
        </w:rPr>
        <w:t> </w:t>
      </w:r>
      <w:r>
        <w:rPr>
          <w:spacing w:val="-73"/>
        </w:rPr>
      </w:r>
      <w:r>
        <w:rPr/>
        <w:t>到极致，真正实现</w:t>
      </w:r>
      <w:r>
        <w:rPr>
          <w:rFonts w:ascii="Times New Roman" w:hAnsi="Times New Roman" w:cs="Times New Roman" w:eastAsia="Times New Roman" w:hint="default"/>
        </w:rPr>
        <w:t>“</w:t>
      </w:r>
      <w:r>
        <w:rPr/>
        <w:t>轻型银行</w:t>
      </w:r>
      <w:r>
        <w:rPr>
          <w:rFonts w:ascii="Times New Roman" w:hAnsi="Times New Roman" w:cs="Times New Roman" w:eastAsia="Times New Roman" w:hint="default"/>
        </w:rPr>
        <w:t>”</w:t>
      </w:r>
      <w:r>
        <w:rPr/>
        <w:t>。公司深入挖掘科技变革延伸出产业价值链</w:t>
      </w:r>
      <w:r>
        <w:rPr>
          <w:rFonts w:ascii="Times New Roman" w:hAnsi="Times New Roman" w:cs="Times New Roman" w:eastAsia="Times New Roman" w:hint="default"/>
        </w:rPr>
        <w:t>,</w:t>
      </w:r>
      <w:r>
        <w:rPr/>
        <w:t>发挥自身的融资优势、品牌优势、平台优势，整 合资源，积极拓展新的盈利增长点，打造高质量的动能体系，助力金融行业发展。</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29"/>
        <w:jc w:val="left"/>
      </w:pPr>
      <w:r>
        <w:rPr>
          <w:rFonts w:ascii="Times New Roman" w:hAnsi="Times New Roman" w:cs="Times New Roman" w:eastAsia="Times New Roman" w:hint="default"/>
        </w:rPr>
        <w:t>4</w:t>
      </w:r>
      <w:r>
        <w:rPr/>
        <w:t>、为实现未来发展战略所需求的资金、使用计划及资金来源情况 </w:t>
      </w:r>
      <w:r>
        <w:rPr>
          <w:spacing w:val="-2"/>
        </w:rPr>
        <w:t>公司经营活动产生的现金流入量稳健，可以满足公司目前对未来发展战略规划中对资金的大部分需求。同时公司将继续</w:t>
      </w:r>
    </w:p>
    <w:p>
      <w:pPr>
        <w:pStyle w:val="BodyText"/>
        <w:spacing w:line="316" w:lineRule="auto" w:before="31"/>
        <w:ind w:right="1034"/>
        <w:jc w:val="left"/>
      </w:pPr>
      <w:r>
        <w:rPr>
          <w:spacing w:val="-2"/>
        </w:rPr>
        <w:t>实行稳健的财务政策，且公司主要客户均为国内外知名、信誉良好的企业，其财务管理制度较为健全，资金链条健康，能满</w:t>
      </w:r>
      <w:r>
        <w:rPr>
          <w:spacing w:val="-67"/>
        </w:rPr>
        <w:t> </w:t>
      </w:r>
      <w:r>
        <w:rPr>
          <w:spacing w:val="-67"/>
        </w:rPr>
      </w:r>
      <w:r>
        <w:rPr/>
        <w:t>足其日常生产经营所需的流动资金，客户良好的财务状况有利于公司资金的回笼。公司目前资产结构稳健、偿债能力良好、 银行信贷信誉优秀、融资渠道畅通，公司的资金来源充足且能保证满足公司及子公司的战略发展需要。</w:t>
      </w:r>
    </w:p>
    <w:p>
      <w:pPr>
        <w:pStyle w:val="BodyText"/>
        <w:spacing w:line="300" w:lineRule="auto" w:before="19"/>
        <w:ind w:left="513" w:right="5083"/>
        <w:jc w:val="left"/>
      </w:pPr>
      <w:r>
        <w:rPr>
          <w:rFonts w:ascii="Times New Roman" w:hAnsi="Times New Roman" w:cs="Times New Roman" w:eastAsia="Times New Roman" w:hint="default"/>
        </w:rPr>
        <w:t>5</w:t>
      </w:r>
      <w:r>
        <w:rPr/>
        <w:t>、对公司未来发展战略和经营目标的实现产生不利影响的风险因素 </w:t>
      </w:r>
      <w:r>
        <w:rPr>
          <w:rFonts w:ascii="Times New Roman" w:hAnsi="Times New Roman" w:cs="Times New Roman" w:eastAsia="Times New Roman" w:hint="default"/>
        </w:rPr>
        <w:t>(1)</w:t>
      </w:r>
      <w:r>
        <w:rPr/>
        <w:t>市场竞争激烈，毛利下降风险</w:t>
      </w:r>
    </w:p>
    <w:p>
      <w:pPr>
        <w:pStyle w:val="BodyText"/>
        <w:spacing w:line="316" w:lineRule="auto" w:before="13"/>
        <w:ind w:right="1132" w:firstLine="360"/>
        <w:jc w:val="both"/>
      </w:pPr>
      <w:r>
        <w:rPr>
          <w:spacing w:val="-2"/>
        </w:rPr>
        <w:t>当前，传统现金类设备市场需求增速放缓、设备价格持续下行、维保服务价格也出现下滑，行业加速洗牌，而且银行业</w:t>
      </w:r>
      <w:r>
        <w:rPr/>
        <w:t> </w:t>
      </w:r>
      <w:r>
        <w:rPr>
          <w:spacing w:val="-2"/>
        </w:rPr>
        <w:t>持续推进网点转型及业务流程规划重组变革进行中。为此，公司将依托自主核心技术以及多年来积累的规模优势，在产品生</w:t>
      </w:r>
      <w:r>
        <w:rPr>
          <w:spacing w:val="-65"/>
        </w:rPr>
        <w:t> </w:t>
      </w:r>
      <w:r>
        <w:rPr>
          <w:spacing w:val="-65"/>
        </w:rPr>
      </w:r>
      <w:r>
        <w:rPr>
          <w:spacing w:val="-2"/>
        </w:rPr>
        <w:t>产工艺和成本控制方面进行改善，优化工艺流程，提高生产效率，有效降低成本。及时把握市场价格走势，制定精准的价格</w:t>
      </w:r>
      <w:r>
        <w:rPr>
          <w:spacing w:val="-67"/>
        </w:rPr>
        <w:t> </w:t>
      </w:r>
      <w:r>
        <w:rPr>
          <w:spacing w:val="-67"/>
        </w:rPr>
      </w:r>
      <w:r>
        <w:rPr>
          <w:spacing w:val="-2"/>
        </w:rPr>
        <w:t>策略，将成本转化成公司的一项竞争优势。同时，公司将紧跟银行需求变化，系统规划创新产品线，提升智能设备市场占有</w:t>
      </w:r>
      <w:r>
        <w:rPr>
          <w:spacing w:val="-67"/>
        </w:rPr>
        <w:t> </w:t>
      </w:r>
      <w:r>
        <w:rPr>
          <w:spacing w:val="-67"/>
        </w:rPr>
      </w:r>
      <w:r>
        <w:rPr/>
        <w:t>率。</w:t>
      </w:r>
    </w:p>
    <w:p>
      <w:pPr>
        <w:pStyle w:val="BodyText"/>
        <w:spacing w:line="300" w:lineRule="auto" w:before="19"/>
        <w:ind w:left="513" w:right="1129"/>
        <w:jc w:val="left"/>
      </w:pPr>
      <w:r>
        <w:rPr>
          <w:rFonts w:ascii="Times New Roman" w:hAnsi="Times New Roman" w:cs="Times New Roman" w:eastAsia="Times New Roman" w:hint="default"/>
        </w:rPr>
        <w:t>(2)</w:t>
      </w:r>
      <w:r>
        <w:rPr/>
        <w:t>证券投资风险</w:t>
      </w:r>
      <w:r>
        <w:rPr>
          <w:w w:val="99"/>
        </w:rPr>
        <w:t> </w:t>
      </w:r>
      <w:r>
        <w:rPr>
          <w:spacing w:val="-2"/>
        </w:rPr>
        <w:t>为充分提升公司资金使用效率，公司闲置资金投资于股票二级市场。公司的证券投资存在不确定因素，具有以下有关风</w:t>
      </w:r>
    </w:p>
    <w:p>
      <w:pPr>
        <w:pStyle w:val="BodyText"/>
        <w:spacing w:line="240" w:lineRule="auto" w:before="31"/>
        <w:ind w:right="1133"/>
        <w:jc w:val="left"/>
      </w:pPr>
      <w:r>
        <w:rPr/>
        <w:t>险：</w:t>
      </w:r>
    </w:p>
    <w:p>
      <w:pPr>
        <w:pStyle w:val="BodyText"/>
        <w:spacing w:line="240" w:lineRule="auto" w:before="76"/>
        <w:ind w:left="513" w:right="0"/>
        <w:jc w:val="left"/>
      </w:pPr>
      <w:r>
        <w:rPr>
          <w:spacing w:val="-4"/>
        </w:rPr>
        <w:t>①证券市场受宏观经济形势、财政及货币政策、汇率及资金面等变化的影响较大，公司证券投资会受到市场波动的影响。</w:t>
      </w:r>
    </w:p>
    <w:p>
      <w:pPr>
        <w:pStyle w:val="BodyText"/>
        <w:spacing w:line="240" w:lineRule="auto" w:before="76"/>
        <w:ind w:left="513" w:right="1133"/>
        <w:jc w:val="left"/>
      </w:pPr>
      <w:r>
        <w:rPr/>
        <w:t>②公司将根据经济形势以及金融市场的变化适时适量的介入，公司证券投资的实际收益不可预期。</w:t>
      </w:r>
    </w:p>
    <w:p>
      <w:pPr>
        <w:pStyle w:val="BodyText"/>
        <w:spacing w:line="316" w:lineRule="auto" w:before="76"/>
        <w:ind w:left="513" w:right="6793"/>
        <w:jc w:val="left"/>
      </w:pPr>
      <w:r>
        <w:rPr/>
        <w:t>③公司相关工作人员的操作风险。 针对证券投资风险，公司拟采取的措施如下：</w:t>
      </w:r>
    </w:p>
    <w:p>
      <w:pPr>
        <w:pStyle w:val="BodyText"/>
        <w:spacing w:line="240" w:lineRule="auto" w:before="19"/>
        <w:ind w:left="513" w:right="0"/>
        <w:jc w:val="left"/>
      </w:pPr>
      <w:r>
        <w:rPr/>
        <w:t>①公司严格按照《深圳证券交易所股票上市规则》、《深圳证券交易所中小板上市公司规范运作指引》及公司《证券投</w:t>
      </w:r>
    </w:p>
    <w:p>
      <w:pPr>
        <w:pStyle w:val="BodyText"/>
        <w:spacing w:line="240" w:lineRule="auto" w:before="76"/>
        <w:ind w:right="1133"/>
        <w:jc w:val="left"/>
      </w:pPr>
      <w:r>
        <w:rPr/>
        <w:t>资内控制度》等相关规定进行证券投资操作，规范管理，控制风险。</w:t>
      </w:r>
    </w:p>
    <w:p>
      <w:pPr>
        <w:pStyle w:val="BodyText"/>
        <w:spacing w:line="316" w:lineRule="auto" w:before="76"/>
        <w:ind w:right="1132" w:firstLine="360"/>
        <w:jc w:val="both"/>
      </w:pPr>
      <w:r>
        <w:rPr>
          <w:spacing w:val="-2"/>
        </w:rPr>
        <w:t>②参与和实施证券投资计划的人员须具备较强的证券投资理论知识及丰富的证券投资管理经验，保证公司在证券投资前</w:t>
      </w:r>
      <w:r>
        <w:rPr/>
        <w:t> 进行严格和科学的论证，为正确决策提供合理建议。密切关注经济形势以及金融市场的变化，审慎进行证券投资。</w:t>
      </w:r>
    </w:p>
    <w:p>
      <w:pPr>
        <w:pStyle w:val="BodyText"/>
        <w:spacing w:line="316" w:lineRule="auto" w:before="19"/>
        <w:ind w:right="1130" w:firstLine="360"/>
        <w:jc w:val="both"/>
      </w:pPr>
      <w:r>
        <w:rPr>
          <w:spacing w:val="-2"/>
        </w:rPr>
        <w:t>③为防范风险，投资前应汇集各方信息加强市场分析及调研，投资操作人员应建立投资盈亏情况台账，定期报送公司董</w:t>
      </w:r>
      <w:r>
        <w:rPr/>
        <w:t> 事长，并抄报财务总监、董事会秘书。</w:t>
      </w:r>
    </w:p>
    <w:p>
      <w:pPr>
        <w:pStyle w:val="BodyText"/>
        <w:spacing w:line="316" w:lineRule="auto" w:before="19"/>
        <w:ind w:right="1129" w:firstLine="360"/>
        <w:jc w:val="both"/>
      </w:pPr>
      <w:r>
        <w:rPr>
          <w:spacing w:val="-2"/>
        </w:rPr>
        <w:t>④公司审计部负责证券投资情况的日常监督，每季度对资金使用情况进行审计和核实，对存在的问题应立即向董事长汇</w:t>
      </w:r>
      <w:r>
        <w:rPr/>
        <w:t> </w:t>
      </w:r>
      <w:r>
        <w:rPr>
          <w:spacing w:val="-2"/>
        </w:rPr>
        <w:t>报。公司董事会审计委员会有权随时调查跟踪公司证券投资情况，以此加强对公司证券投资项目的前期与跟踪管理，控制风</w:t>
      </w:r>
      <w:r>
        <w:rPr>
          <w:spacing w:val="-63"/>
        </w:rPr>
        <w:t> </w:t>
      </w:r>
      <w:r>
        <w:rPr>
          <w:spacing w:val="-63"/>
        </w:rPr>
      </w:r>
      <w:r>
        <w:rPr>
          <w:spacing w:val="-2"/>
        </w:rPr>
        <w:t>险。独立董事、公司监事会有权对公司证券投资情况进行定期或不定期的检查，如发现违规操作情况，可提议召开董事会审</w:t>
      </w:r>
      <w:r>
        <w:rPr>
          <w:spacing w:val="-63"/>
        </w:rPr>
        <w:t> </w:t>
      </w:r>
      <w:r>
        <w:rPr>
          <w:spacing w:val="-63"/>
        </w:rPr>
      </w:r>
      <w:r>
        <w:rPr/>
        <w:t>议停止公司的证券投资活动。</w:t>
      </w:r>
    </w:p>
    <w:p>
      <w:pPr>
        <w:pStyle w:val="BodyText"/>
        <w:spacing w:line="240" w:lineRule="auto" w:before="19"/>
        <w:ind w:left="513" w:right="1133"/>
        <w:jc w:val="left"/>
      </w:pPr>
      <w:r>
        <w:rPr/>
        <w:t>⑤在定期报告中，对短期理财事项及其收益情况进行披露，接受公众投资者的监督。</w:t>
      </w:r>
    </w:p>
    <w:p>
      <w:pPr>
        <w:pStyle w:val="BodyText"/>
        <w:spacing w:line="300" w:lineRule="auto" w:before="76"/>
        <w:ind w:left="513" w:right="1129"/>
        <w:jc w:val="left"/>
      </w:pPr>
      <w:r>
        <w:rPr>
          <w:rFonts w:ascii="Times New Roman" w:hAnsi="Times New Roman" w:cs="Times New Roman" w:eastAsia="Times New Roman" w:hint="default"/>
        </w:rPr>
        <w:t>(3)</w:t>
      </w:r>
      <w:r>
        <w:rPr/>
        <w:t>战略布局风险</w:t>
      </w:r>
      <w:r>
        <w:rPr>
          <w:w w:val="99"/>
        </w:rPr>
        <w:t> </w:t>
      </w:r>
      <w:r>
        <w:rPr>
          <w:spacing w:val="-2"/>
        </w:rPr>
        <w:t>公司优化主营业务结构的基础上，积极整合具有互补性、协同性的优质资源，进一步加大战略布局。公司将平衡内外风</w:t>
      </w:r>
    </w:p>
    <w:p>
      <w:pPr>
        <w:pStyle w:val="BodyText"/>
        <w:spacing w:line="316" w:lineRule="auto" w:before="31"/>
        <w:ind w:right="0"/>
        <w:jc w:val="left"/>
      </w:pPr>
      <w:r>
        <w:rPr>
          <w:spacing w:val="-2"/>
        </w:rPr>
        <w:t>险，确保企业的成长与稳健性，做出差异化的竞争策略，坚持稳中求进工作总基调。主动适应经济形势和市场新变化，牢固</w:t>
      </w:r>
      <w:r>
        <w:rPr>
          <w:spacing w:val="-67"/>
        </w:rPr>
        <w:t> </w:t>
      </w:r>
      <w:r>
        <w:rPr>
          <w:spacing w:val="-67"/>
        </w:rPr>
      </w:r>
      <w:r>
        <w:rPr>
          <w:spacing w:val="-4"/>
        </w:rPr>
        <w:t>树立深度的忧患意识，切实增强工作预见性，以科技创新为引领，深化公司体制改革，推动公司可持续健康发展再上新台阶，</w:t>
      </w:r>
      <w:r>
        <w:rPr>
          <w:spacing w:val="-46"/>
        </w:rPr>
        <w:t> </w:t>
      </w:r>
      <w:r>
        <w:rPr>
          <w:spacing w:val="-46"/>
        </w:rPr>
      </w:r>
      <w:r>
        <w:rPr/>
        <w:t>进一步提高维护公司盈利稳定的能力。</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十、接待调研、沟通、采访等活动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4611" w:right="4727"/>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012"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12" w:right="0"/>
        <w:jc w:val="left"/>
      </w:pPr>
      <w:r>
        <w:rPr/>
        <w:t>报告期内普通股利润分配政策，特别是现金分红政策的制定、执行或调整情况</w:t>
      </w:r>
    </w:p>
    <w:p>
      <w:pPr>
        <w:pStyle w:val="BodyText"/>
        <w:spacing w:line="240" w:lineRule="auto" w:before="117"/>
        <w:ind w:left="10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012"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3"/>
        <w:ind w:left="13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年度利润分配及资本公积金转增股本预案</w:t>
      </w:r>
    </w:p>
    <w:p>
      <w:pPr>
        <w:pStyle w:val="BodyText"/>
        <w:spacing w:line="300" w:lineRule="auto" w:before="63"/>
        <w:ind w:left="1012" w:right="1136" w:firstLine="360"/>
        <w:jc w:val="both"/>
      </w:pPr>
      <w:r>
        <w:rPr>
          <w:rFonts w:ascii="Times New Roman" w:hAnsi="Times New Roman" w:cs="Times New Roman" w:eastAsia="Times New Roman" w:hint="default"/>
        </w:rPr>
        <w:t>2018</w:t>
      </w:r>
      <w:r>
        <w:rPr/>
        <w:t>年度经营情况经立信会计师事务所（特殊普通合伙）有限公司审计，母公司</w:t>
      </w:r>
      <w:r>
        <w:rPr>
          <w:rFonts w:ascii="Times New Roman" w:hAnsi="Times New Roman" w:cs="Times New Roman" w:eastAsia="Times New Roman" w:hint="default"/>
        </w:rPr>
        <w:t>2018</w:t>
      </w:r>
      <w:r>
        <w:rPr/>
        <w:t>年度实现净利润</w:t>
      </w:r>
      <w:r>
        <w:rPr>
          <w:rFonts w:ascii="Times New Roman" w:hAnsi="Times New Roman" w:cs="Times New Roman" w:eastAsia="Times New Roman" w:hint="default"/>
        </w:rPr>
        <w:t>1,512.87</w:t>
      </w:r>
      <w:r>
        <w:rPr/>
        <w:t>万元，按 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151.28</w:t>
      </w:r>
      <w:r>
        <w:rPr/>
        <w:t>万元，加年初未分配利润</w:t>
      </w:r>
      <w:r>
        <w:rPr>
          <w:rFonts w:ascii="Times New Roman" w:hAnsi="Times New Roman" w:cs="Times New Roman" w:eastAsia="Times New Roman" w:hint="default"/>
        </w:rPr>
        <w:t>38,523.80</w:t>
      </w:r>
      <w:r>
        <w:rPr/>
        <w:t>万元，减除</w:t>
      </w:r>
      <w:r>
        <w:rPr>
          <w:rFonts w:ascii="Times New Roman" w:hAnsi="Times New Roman" w:cs="Times New Roman" w:eastAsia="Times New Roman" w:hint="default"/>
        </w:rPr>
        <w:t>2018</w:t>
      </w:r>
      <w:r>
        <w:rPr/>
        <w:t>年度现金分红</w:t>
      </w:r>
      <w:r>
        <w:rPr>
          <w:rFonts w:ascii="Times New Roman" w:hAnsi="Times New Roman" w:cs="Times New Roman" w:eastAsia="Times New Roman" w:hint="default"/>
        </w:rPr>
        <w:t>1,141.78</w:t>
      </w:r>
      <w:r>
        <w:rPr/>
        <w:t>万元</w:t>
      </w:r>
      <w:r>
        <w:rPr>
          <w:rFonts w:ascii="Times New Roman" w:hAnsi="Times New Roman" w:cs="Times New Roman" w:eastAsia="Times New Roman" w:hint="default"/>
        </w:rPr>
        <w:t>, </w:t>
      </w:r>
      <w:r>
        <w:rPr/>
        <w:t>可供股东分配的利润为</w:t>
      </w:r>
      <w:r>
        <w:rPr>
          <w:rFonts w:ascii="Times New Roman" w:hAnsi="Times New Roman" w:cs="Times New Roman" w:eastAsia="Times New Roman" w:hint="default"/>
        </w:rPr>
        <w:t>38,743.61</w:t>
      </w:r>
      <w:r>
        <w:rPr/>
        <w:t>万元。</w:t>
      </w:r>
    </w:p>
    <w:p>
      <w:pPr>
        <w:pStyle w:val="BodyText"/>
        <w:spacing w:line="300" w:lineRule="auto" w:before="13"/>
        <w:ind w:left="1012" w:right="0" w:firstLine="360"/>
        <w:jc w:val="left"/>
      </w:pPr>
      <w:r>
        <w:rPr>
          <w:spacing w:val="-2"/>
        </w:rPr>
        <w:t>结合公司</w:t>
      </w:r>
      <w:r>
        <w:rPr>
          <w:rFonts w:ascii="Times New Roman" w:hAnsi="Times New Roman" w:cs="Times New Roman" w:eastAsia="Times New Roman" w:hint="default"/>
          <w:spacing w:val="-2"/>
        </w:rPr>
        <w:t>2019</w:t>
      </w:r>
      <w:r>
        <w:rPr>
          <w:spacing w:val="-2"/>
        </w:rPr>
        <w:t>年度发展规划及资金使用安排，公司</w:t>
      </w:r>
      <w:r>
        <w:rPr>
          <w:rFonts w:ascii="Times New Roman" w:hAnsi="Times New Roman" w:cs="Times New Roman" w:eastAsia="Times New Roman" w:hint="default"/>
          <w:spacing w:val="-2"/>
        </w:rPr>
        <w:t>2018</w:t>
      </w:r>
      <w:r>
        <w:rPr>
          <w:spacing w:val="-2"/>
        </w:rPr>
        <w:t>年度利润分配预案为：</w:t>
      </w:r>
      <w:r>
        <w:rPr>
          <w:rFonts w:ascii="Times New Roman" w:hAnsi="Times New Roman" w:cs="Times New Roman" w:eastAsia="Times New Roman" w:hint="default"/>
          <w:spacing w:val="-2"/>
        </w:rPr>
        <w:t>2018</w:t>
      </w:r>
      <w:r>
        <w:rPr>
          <w:spacing w:val="-2"/>
        </w:rPr>
        <w:t>年度不进行利润分配，也不进行资本</w:t>
      </w:r>
      <w:r>
        <w:rPr/>
        <w:t> 公积金转增股本，公司未分配利润结转下一年度。</w:t>
      </w:r>
    </w:p>
    <w:p>
      <w:pPr>
        <w:pStyle w:val="BodyText"/>
        <w:spacing w:line="240" w:lineRule="auto" w:before="31"/>
        <w:ind w:left="137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年度利润分配及资本公积金转增股本预案</w:t>
      </w:r>
    </w:p>
    <w:p>
      <w:pPr>
        <w:pStyle w:val="BodyText"/>
        <w:spacing w:line="300" w:lineRule="auto" w:before="63"/>
        <w:ind w:left="1012" w:right="0" w:firstLine="360"/>
        <w:jc w:val="left"/>
      </w:pPr>
      <w:r>
        <w:rPr>
          <w:rFonts w:ascii="Times New Roman" w:hAnsi="Times New Roman" w:cs="Times New Roman" w:eastAsia="Times New Roman" w:hint="default"/>
        </w:rPr>
        <w:t>2017</w:t>
      </w:r>
      <w:r>
        <w:rPr/>
        <w:t>年度经营情况经立信会计师事务所（特殊普通合伙）有限公司审计，母公司</w:t>
      </w:r>
      <w:r>
        <w:rPr>
          <w:rFonts w:ascii="Times New Roman" w:hAnsi="Times New Roman" w:cs="Times New Roman" w:eastAsia="Times New Roman" w:hint="default"/>
        </w:rPr>
        <w:t>2017</w:t>
      </w:r>
      <w:r>
        <w:rPr/>
        <w:t>年度实现净利润</w:t>
      </w:r>
      <w:r>
        <w:rPr>
          <w:rFonts w:ascii="Times New Roman" w:hAnsi="Times New Roman" w:cs="Times New Roman" w:eastAsia="Times New Roman" w:hint="default"/>
        </w:rPr>
        <w:t>7,157.17</w:t>
      </w:r>
      <w:r>
        <w:rPr/>
        <w:t>万元，按 </w:t>
      </w:r>
      <w:r>
        <w:rPr>
          <w:spacing w:val="-2"/>
        </w:rPr>
        <w:t>母公司净利润的</w:t>
      </w:r>
      <w:r>
        <w:rPr>
          <w:rFonts w:ascii="Times New Roman" w:hAnsi="Times New Roman" w:cs="Times New Roman" w:eastAsia="Times New Roman" w:hint="default"/>
          <w:spacing w:val="-2"/>
        </w:rPr>
        <w:t>10%</w:t>
      </w:r>
      <w:r>
        <w:rPr>
          <w:spacing w:val="-2"/>
        </w:rPr>
        <w:t>提取法定盈余公积</w:t>
      </w:r>
      <w:r>
        <w:rPr>
          <w:rFonts w:ascii="Times New Roman" w:hAnsi="Times New Roman" w:cs="Times New Roman" w:eastAsia="Times New Roman" w:hint="default"/>
          <w:spacing w:val="-2"/>
        </w:rPr>
        <w:t>715.72</w:t>
      </w:r>
      <w:r>
        <w:rPr>
          <w:spacing w:val="-2"/>
        </w:rPr>
        <w:t>万元，加年初未分配利润</w:t>
      </w:r>
      <w:r>
        <w:rPr>
          <w:rFonts w:ascii="Times New Roman" w:hAnsi="Times New Roman" w:cs="Times New Roman" w:eastAsia="Times New Roman" w:hint="default"/>
          <w:spacing w:val="-2"/>
        </w:rPr>
        <w:t>32,082.35</w:t>
      </w:r>
      <w:r>
        <w:rPr>
          <w:spacing w:val="-2"/>
        </w:rPr>
        <w:t>万元，可供股东分配的利润为</w:t>
      </w:r>
      <w:r>
        <w:rPr>
          <w:rFonts w:ascii="Times New Roman" w:hAnsi="Times New Roman" w:cs="Times New Roman" w:eastAsia="Times New Roman" w:hint="default"/>
          <w:spacing w:val="-2"/>
        </w:rPr>
        <w:t>38,523.80</w:t>
      </w:r>
      <w:r>
        <w:rPr>
          <w:spacing w:val="-2"/>
        </w:rPr>
        <w:t>万元。</w:t>
      </w:r>
    </w:p>
    <w:p>
      <w:pPr>
        <w:pStyle w:val="BodyText"/>
        <w:spacing w:line="240" w:lineRule="auto" w:before="13"/>
        <w:ind w:left="1373" w:right="0"/>
        <w:jc w:val="left"/>
      </w:pPr>
      <w:r>
        <w:rPr>
          <w:rFonts w:ascii="Times New Roman" w:hAnsi="Times New Roman" w:cs="Times New Roman" w:eastAsia="Times New Roman" w:hint="default"/>
        </w:rPr>
        <w:t>2017</w:t>
      </w:r>
      <w:r>
        <w:rPr/>
        <w:t>年度利润分配及资本公积金转增预案如下：</w:t>
      </w:r>
    </w:p>
    <w:p>
      <w:pPr>
        <w:pStyle w:val="BodyText"/>
        <w:spacing w:line="300" w:lineRule="auto" w:before="63"/>
        <w:ind w:left="1012" w:right="1169"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761,191,294</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0.15</w:t>
      </w:r>
      <w:r>
        <w:rPr/>
        <w:t>元（含税），共 计</w:t>
      </w:r>
      <w:r>
        <w:rPr>
          <w:rFonts w:ascii="Times New Roman" w:hAnsi="Times New Roman" w:cs="Times New Roman" w:eastAsia="Times New Roman" w:hint="default"/>
        </w:rPr>
        <w:t>11,417,869.41</w:t>
      </w:r>
      <w:r>
        <w:rPr/>
        <w:t>元；</w:t>
      </w:r>
    </w:p>
    <w:p>
      <w:pPr>
        <w:pStyle w:val="BodyText"/>
        <w:spacing w:line="240" w:lineRule="auto" w:before="13"/>
        <w:ind w:left="1373" w:right="0"/>
        <w:jc w:val="left"/>
      </w:pPr>
      <w:r>
        <w:rPr/>
        <w:t>（</w:t>
      </w:r>
      <w:r>
        <w:rPr>
          <w:rFonts w:ascii="Times New Roman" w:hAnsi="Times New Roman" w:cs="Times New Roman" w:eastAsia="Times New Roman" w:hint="default"/>
        </w:rPr>
        <w:t>2</w:t>
      </w:r>
      <w:r>
        <w:rPr/>
        <w:t>）资本公积金转增股本预案：不送股，不进行资本公积转增股本。</w:t>
      </w:r>
    </w:p>
    <w:p>
      <w:pPr>
        <w:pStyle w:val="BodyText"/>
        <w:spacing w:line="240" w:lineRule="auto" w:before="63"/>
        <w:ind w:left="13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年度利润分配及资本公积金转增股本预案</w:t>
      </w:r>
    </w:p>
    <w:p>
      <w:pPr>
        <w:pStyle w:val="BodyText"/>
        <w:spacing w:line="300" w:lineRule="auto" w:before="63"/>
        <w:ind w:left="1012" w:right="0" w:firstLine="360"/>
        <w:jc w:val="left"/>
      </w:pPr>
      <w:r>
        <w:rPr>
          <w:rFonts w:ascii="Times New Roman" w:hAnsi="Times New Roman" w:cs="Times New Roman" w:eastAsia="Times New Roman" w:hint="default"/>
        </w:rPr>
        <w:t>2016</w:t>
      </w:r>
      <w:r>
        <w:rPr/>
        <w:t>年度经营情况经立信会计师事务所（特殊普通合伙）有限公司审计，母公司</w:t>
      </w:r>
      <w:r>
        <w:rPr>
          <w:rFonts w:ascii="Times New Roman" w:hAnsi="Times New Roman" w:cs="Times New Roman" w:eastAsia="Times New Roman" w:hint="default"/>
        </w:rPr>
        <w:t>2016</w:t>
      </w:r>
      <w:r>
        <w:rPr/>
        <w:t>年度实现净利润</w:t>
      </w:r>
      <w:r>
        <w:rPr>
          <w:rFonts w:ascii="Times New Roman" w:hAnsi="Times New Roman" w:cs="Times New Roman" w:eastAsia="Times New Roman" w:hint="default"/>
        </w:rPr>
        <w:t>3,559.40</w:t>
      </w:r>
      <w:r>
        <w:rPr/>
        <w:t>万元，按 </w:t>
      </w:r>
      <w:r>
        <w:rPr>
          <w:spacing w:val="-2"/>
        </w:rPr>
        <w:t>母公司净利润的</w:t>
      </w:r>
      <w:r>
        <w:rPr>
          <w:rFonts w:ascii="Times New Roman" w:hAnsi="Times New Roman" w:cs="Times New Roman" w:eastAsia="Times New Roman" w:hint="default"/>
          <w:spacing w:val="-2"/>
        </w:rPr>
        <w:t>10%</w:t>
      </w:r>
      <w:r>
        <w:rPr>
          <w:spacing w:val="-2"/>
        </w:rPr>
        <w:t>提取法定盈余公积</w:t>
      </w:r>
      <w:r>
        <w:rPr>
          <w:rFonts w:ascii="Times New Roman" w:hAnsi="Times New Roman" w:cs="Times New Roman" w:eastAsia="Times New Roman" w:hint="default"/>
          <w:spacing w:val="-2"/>
        </w:rPr>
        <w:t>355.94</w:t>
      </w:r>
      <w:r>
        <w:rPr>
          <w:spacing w:val="-2"/>
        </w:rPr>
        <w:t>万元，加年初未分配利润</w:t>
      </w:r>
      <w:r>
        <w:rPr>
          <w:rFonts w:ascii="Times New Roman" w:hAnsi="Times New Roman" w:cs="Times New Roman" w:eastAsia="Times New Roman" w:hint="default"/>
          <w:spacing w:val="-2"/>
        </w:rPr>
        <w:t>28,878.89</w:t>
      </w:r>
      <w:r>
        <w:rPr>
          <w:spacing w:val="-2"/>
        </w:rPr>
        <w:t>万元，可供股东分配的利润为</w:t>
      </w:r>
      <w:r>
        <w:rPr>
          <w:rFonts w:ascii="Times New Roman" w:hAnsi="Times New Roman" w:cs="Times New Roman" w:eastAsia="Times New Roman" w:hint="default"/>
          <w:spacing w:val="-2"/>
        </w:rPr>
        <w:t>32,082.35</w:t>
      </w:r>
      <w:r>
        <w:rPr>
          <w:spacing w:val="-2"/>
        </w:rPr>
        <w:t>万元。</w:t>
      </w:r>
    </w:p>
    <w:p>
      <w:pPr>
        <w:pStyle w:val="BodyText"/>
        <w:spacing w:line="300" w:lineRule="auto" w:before="13"/>
        <w:ind w:left="1012" w:right="0" w:firstLine="360"/>
        <w:jc w:val="left"/>
      </w:pPr>
      <w:r>
        <w:rPr>
          <w:spacing w:val="-2"/>
        </w:rPr>
        <w:t>结合公司</w:t>
      </w:r>
      <w:r>
        <w:rPr>
          <w:rFonts w:ascii="Times New Roman" w:hAnsi="Times New Roman" w:cs="Times New Roman" w:eastAsia="Times New Roman" w:hint="default"/>
          <w:spacing w:val="-2"/>
        </w:rPr>
        <w:t>2017</w:t>
      </w:r>
      <w:r>
        <w:rPr>
          <w:spacing w:val="-2"/>
        </w:rPr>
        <w:t>年度发展规划及资金使用安排，公司</w:t>
      </w:r>
      <w:r>
        <w:rPr>
          <w:rFonts w:ascii="Times New Roman" w:hAnsi="Times New Roman" w:cs="Times New Roman" w:eastAsia="Times New Roman" w:hint="default"/>
          <w:spacing w:val="-2"/>
        </w:rPr>
        <w:t>2016</w:t>
      </w:r>
      <w:r>
        <w:rPr>
          <w:spacing w:val="-2"/>
        </w:rPr>
        <w:t>年度利润分配预案为：</w:t>
      </w:r>
      <w:r>
        <w:rPr>
          <w:rFonts w:ascii="Times New Roman" w:hAnsi="Times New Roman" w:cs="Times New Roman" w:eastAsia="Times New Roman" w:hint="default"/>
          <w:spacing w:val="-2"/>
        </w:rPr>
        <w:t>2016</w:t>
      </w:r>
      <w:r>
        <w:rPr>
          <w:spacing w:val="-2"/>
        </w:rPr>
        <w:t>年度不进行利润分配，也不进行资本</w:t>
      </w:r>
      <w:r>
        <w:rPr/>
        <w:t> 公积金转增股本，公司未分配利润结转下一年度。</w:t>
      </w:r>
    </w:p>
    <w:p>
      <w:pPr>
        <w:pStyle w:val="BodyText"/>
        <w:spacing w:line="240" w:lineRule="auto" w:before="72"/>
        <w:ind w:left="1012" w:right="0"/>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888"/>
        <w:gridCol w:w="1085"/>
        <w:gridCol w:w="1796"/>
        <w:gridCol w:w="1620"/>
        <w:gridCol w:w="1080"/>
        <w:gridCol w:w="1800"/>
        <w:gridCol w:w="1261"/>
        <w:gridCol w:w="1800"/>
      </w:tblGrid>
      <w:tr>
        <w:trPr>
          <w:trHeight w:val="161" w:hRule="exact"/>
        </w:trPr>
        <w:tc>
          <w:tcPr>
            <w:tcW w:w="888" w:type="dxa"/>
            <w:vMerge w:val="restart"/>
            <w:tcBorders>
              <w:top w:val="single" w:sz="4" w:space="0" w:color="000000"/>
              <w:left w:val="single" w:sz="4" w:space="0" w:color="000000"/>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1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 w:right="84"/>
              <w:jc w:val="both"/>
              <w:rPr>
                <w:rFonts w:ascii="宋体" w:hAnsi="宋体" w:cs="宋体" w:eastAsia="宋体" w:hint="default"/>
                <w:sz w:val="18"/>
                <w:szCs w:val="18"/>
              </w:rPr>
            </w:pPr>
            <w:r>
              <w:rPr>
                <w:rFonts w:ascii="宋体" w:hAnsi="宋体" w:cs="宋体" w:eastAsia="宋体" w:hint="default"/>
                <w:sz w:val="18"/>
                <w:szCs w:val="18"/>
              </w:rPr>
              <w:t>现金分红金额占合 并报表中归属于上 市公司普通股股东 的净利润的比率</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23" w:right="20"/>
              <w:jc w:val="center"/>
              <w:rPr>
                <w:rFonts w:ascii="宋体" w:hAnsi="宋体" w:cs="宋体" w:eastAsia="宋体" w:hint="default"/>
                <w:sz w:val="18"/>
                <w:szCs w:val="18"/>
              </w:rPr>
            </w:pPr>
            <w:r>
              <w:rPr>
                <w:rFonts w:ascii="宋体" w:hAnsi="宋体" w:cs="宋体" w:eastAsia="宋体" w:hint="default"/>
                <w:sz w:val="18"/>
                <w:szCs w:val="18"/>
              </w:rPr>
              <w:t>（如回购股 </w:t>
            </w:r>
            <w:r>
              <w:rPr>
                <w:rFonts w:ascii="宋体" w:hAnsi="宋体" w:cs="宋体" w:eastAsia="宋体" w:hint="default"/>
                <w:spacing w:val="-10"/>
                <w:sz w:val="18"/>
                <w:szCs w:val="18"/>
              </w:rPr>
              <w:t>份）现金分红</w:t>
            </w:r>
            <w:r>
              <w:rPr>
                <w:rFonts w:ascii="宋体" w:hAnsi="宋体" w:cs="宋体" w:eastAsia="宋体" w:hint="default"/>
                <w:sz w:val="18"/>
                <w:szCs w:val="18"/>
              </w:rPr>
              <w:t> 的金额</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以其他方式现金分红 金额占合并报表中归 属于上市公司普通股 股东的净利润的比例</w:t>
            </w:r>
          </w:p>
        </w:tc>
        <w:tc>
          <w:tcPr>
            <w:tcW w:w="1261" w:type="dxa"/>
            <w:vMerge w:val="restart"/>
            <w:tcBorders>
              <w:top w:val="single" w:sz="4" w:space="0" w:color="000000"/>
              <w:left w:val="single" w:sz="4" w:space="0" w:color="000000"/>
              <w:right w:val="single" w:sz="4" w:space="0" w:color="000000"/>
            </w:tcBorders>
            <w:shd w:val="clear" w:color="auto" w:fill="D2D2D2"/>
          </w:tcPr>
          <w:p>
            <w:pP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0"/>
              <w:jc w:val="center"/>
              <w:rPr>
                <w:rFonts w:ascii="宋体" w:hAnsi="宋体" w:cs="宋体" w:eastAsia="宋体" w:hint="default"/>
                <w:sz w:val="18"/>
                <w:szCs w:val="18"/>
              </w:rPr>
            </w:pPr>
            <w:r>
              <w:rPr>
                <w:rFonts w:ascii="宋体" w:hAnsi="宋体" w:cs="宋体" w:eastAsia="宋体" w:hint="default"/>
                <w:spacing w:val="-6"/>
                <w:sz w:val="18"/>
                <w:szCs w:val="18"/>
              </w:rPr>
              <w:t>现金分红总额（含其他</w:t>
            </w:r>
            <w:r>
              <w:rPr>
                <w:rFonts w:ascii="宋体" w:hAnsi="宋体" w:cs="宋体" w:eastAsia="宋体" w:hint="default"/>
                <w:sz w:val="18"/>
                <w:szCs w:val="18"/>
              </w:rPr>
              <w:t> </w:t>
            </w:r>
            <w:r>
              <w:rPr>
                <w:rFonts w:ascii="宋体" w:hAnsi="宋体" w:cs="宋体" w:eastAsia="宋体" w:hint="default"/>
                <w:spacing w:val="-6"/>
                <w:sz w:val="18"/>
                <w:szCs w:val="18"/>
              </w:rPr>
              <w:t>方式）占合并报表中归</w:t>
            </w:r>
            <w:r>
              <w:rPr>
                <w:rFonts w:ascii="宋体" w:hAnsi="宋体" w:cs="宋体" w:eastAsia="宋体" w:hint="default"/>
                <w:sz w:val="18"/>
                <w:szCs w:val="18"/>
              </w:rPr>
              <w:t> 属于上市公司普通股 股东的净利润的比率</w:t>
            </w:r>
          </w:p>
        </w:tc>
      </w:tr>
      <w:tr>
        <w:trPr>
          <w:trHeight w:val="156" w:hRule="exact"/>
        </w:trPr>
        <w:tc>
          <w:tcPr>
            <w:tcW w:w="888"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7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3" w:right="80"/>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62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r>
      <w:tr>
        <w:trPr>
          <w:trHeight w:val="156" w:hRule="exact"/>
        </w:trPr>
        <w:tc>
          <w:tcPr>
            <w:tcW w:w="888"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8" w:right="84"/>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796"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24" w:right="-34"/>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800" w:type="dxa"/>
            <w:vMerge/>
            <w:tcBorders>
              <w:left w:val="single" w:sz="4" w:space="0" w:color="000000"/>
              <w:right w:val="single" w:sz="4" w:space="0" w:color="000000"/>
            </w:tcBorders>
            <w:shd w:val="clear" w:color="auto" w:fill="D2D2D2"/>
          </w:tcPr>
          <w:p>
            <w:pPr/>
          </w:p>
        </w:tc>
      </w:tr>
      <w:tr>
        <w:trPr>
          <w:trHeight w:val="394" w:hRule="exact"/>
        </w:trPr>
        <w:tc>
          <w:tcPr>
            <w:tcW w:w="8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085" w:type="dxa"/>
            <w:vMerge/>
            <w:tcBorders>
              <w:left w:val="single" w:sz="4" w:space="0" w:color="000000"/>
              <w:right w:val="single" w:sz="4" w:space="0" w:color="000000"/>
            </w:tcBorders>
            <w:shd w:val="clear" w:color="auto" w:fill="D2D2D2"/>
          </w:tcPr>
          <w:p>
            <w:pPr/>
          </w:p>
        </w:tc>
        <w:tc>
          <w:tcPr>
            <w:tcW w:w="1796"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r>
      <w:tr>
        <w:trPr>
          <w:trHeight w:val="156" w:hRule="exact"/>
        </w:trPr>
        <w:tc>
          <w:tcPr>
            <w:tcW w:w="888" w:type="dxa"/>
            <w:vMerge w:val="restart"/>
            <w:tcBorders>
              <w:top w:val="nil" w:sz="6" w:space="0" w:color="auto"/>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796"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r>
      <w:tr>
        <w:trPr>
          <w:trHeight w:val="156" w:hRule="exact"/>
        </w:trPr>
        <w:tc>
          <w:tcPr>
            <w:tcW w:w="888"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1796" w:type="dxa"/>
            <w:vMerge/>
            <w:tcBorders>
              <w:left w:val="single" w:sz="4" w:space="0" w:color="000000"/>
              <w:bottom w:val="nil" w:sz="6" w:space="0" w:color="auto"/>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r>
      <w:tr>
        <w:trPr>
          <w:trHeight w:val="161" w:hRule="exact"/>
        </w:trPr>
        <w:tc>
          <w:tcPr>
            <w:tcW w:w="888"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800"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-94,817,582.68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11,417,869.41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13,767,025.88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11,417,869.41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82.94%</w:t>
            </w:r>
          </w:p>
        </w:tc>
      </w:tr>
      <w:tr>
        <w:trPr>
          <w:trHeight w:val="401"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23,246,241.18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1012" w:right="0"/>
        <w:jc w:val="left"/>
      </w:pPr>
      <w:r>
        <w:rPr/>
        <w:t>公司报告期内盈利且母公司可供普通股股东分配利润为正但未提出普通股现金红利分配预案</w:t>
      </w:r>
    </w:p>
    <w:p>
      <w:pPr>
        <w:pStyle w:val="BodyText"/>
        <w:spacing w:line="240" w:lineRule="auto" w:before="117"/>
        <w:ind w:left="10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012" w:right="0"/>
        <w:jc w:val="left"/>
        <w:rPr>
          <w:b w:val="0"/>
          <w:bCs w:val="0"/>
        </w:rPr>
      </w:pPr>
      <w:r>
        <w:rPr/>
        <w:t>二、本报告期利润分配及资本公积金转增股本预案情况</w:t>
      </w:r>
      <w:r>
        <w:rPr>
          <w:b w:val="0"/>
          <w:bCs w:val="0"/>
        </w:rPr>
      </w:r>
    </w:p>
    <w:p>
      <w:pPr>
        <w:pStyle w:val="BodyText"/>
        <w:spacing w:line="340" w:lineRule="auto" w:before="87"/>
        <w:ind w:left="1012"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after="0" w:line="340" w:lineRule="auto"/>
        <w:jc w:val="left"/>
        <w:sectPr>
          <w:pgSz w:w="11910" w:h="16840"/>
          <w:pgMar w:header="745" w:footer="980" w:top="1060" w:bottom="1160" w:left="120" w:right="0"/>
        </w:sectPr>
      </w:pPr>
    </w:p>
    <w:p>
      <w:pPr>
        <w:spacing w:line="240" w:lineRule="auto" w:before="8"/>
        <w:rPr>
          <w:rFonts w:ascii="宋体" w:hAnsi="宋体" w:cs="宋体" w:eastAsia="宋体" w:hint="default"/>
          <w:sz w:val="23"/>
          <w:szCs w:val="23"/>
        </w:rPr>
      </w:pPr>
    </w:p>
    <w:p>
      <w:pPr>
        <w:pStyle w:val="Heading2"/>
        <w:spacing w:line="240" w:lineRule="auto" w:before="26"/>
        <w:ind w:left="1012" w:right="0"/>
        <w:jc w:val="left"/>
        <w:rPr>
          <w:b w:val="0"/>
          <w:bCs w:val="0"/>
        </w:rPr>
      </w:pPr>
      <w:r>
        <w:rPr/>
        <w:t>三、承诺事项履行情况</w:t>
      </w:r>
      <w:r>
        <w:rPr>
          <w:b w:val="0"/>
          <w:bCs w:val="0"/>
        </w:rPr>
      </w:r>
    </w:p>
    <w:p>
      <w:pPr>
        <w:spacing w:line="240" w:lineRule="auto" w:before="2"/>
        <w:rPr>
          <w:rFonts w:ascii="宋体" w:hAnsi="宋体" w:cs="宋体" w:eastAsia="宋体" w:hint="default"/>
          <w:b/>
          <w:bCs/>
          <w:sz w:val="20"/>
          <w:szCs w:val="20"/>
        </w:rPr>
      </w:pPr>
    </w:p>
    <w:p>
      <w:pPr>
        <w:pStyle w:val="Heading3"/>
        <w:spacing w:line="259" w:lineRule="auto"/>
        <w:ind w:left="1012"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pStyle w:val="BodyText"/>
        <w:spacing w:line="240" w:lineRule="auto" w:before="41"/>
        <w:ind w:left="10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1788"/>
        <w:gridCol w:w="720"/>
        <w:gridCol w:w="900"/>
        <w:gridCol w:w="5402"/>
        <w:gridCol w:w="900"/>
        <w:gridCol w:w="900"/>
        <w:gridCol w:w="900"/>
      </w:tblGrid>
      <w:tr>
        <w:trPr>
          <w:trHeight w:val="403"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20"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720"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720"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1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关于同业 </w:t>
            </w:r>
            <w:r>
              <w:rPr>
                <w:rFonts w:ascii="宋体" w:hAnsi="宋体" w:cs="宋体" w:eastAsia="宋体" w:hint="default"/>
                <w:spacing w:val="-12"/>
                <w:sz w:val="18"/>
                <w:szCs w:val="18"/>
              </w:rPr>
              <w:t>竞争、关联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交易、资金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占用方面 的承诺</w:t>
            </w:r>
          </w:p>
        </w:tc>
        <w:tc>
          <w:tcPr>
            <w:tcW w:w="5402"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本人目前不存在自营、与他人共同经营或为他人经营与发行人相同、 </w:t>
            </w:r>
            <w:r>
              <w:rPr>
                <w:rFonts w:ascii="宋体" w:hAnsi="宋体" w:cs="宋体" w:eastAsia="宋体" w:hint="default"/>
                <w:spacing w:val="-2"/>
                <w:sz w:val="18"/>
                <w:szCs w:val="18"/>
              </w:rPr>
              <w:t>相似业务的情形。除发行人及发行人的控股子公司外，本人目前并未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直接或间接控制任何其他企业；（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）在本人直接或间接持有发行人股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权的相关期间内，本人将不会采取参股、控股、联营、合营、合作或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者其他任何方式直接或间接从事与发行人现在和将来业务范围相同、 </w:t>
            </w:r>
            <w:r>
              <w:rPr>
                <w:rFonts w:ascii="宋体" w:hAnsi="宋体" w:cs="宋体" w:eastAsia="宋体" w:hint="default"/>
                <w:spacing w:val="-2"/>
                <w:sz w:val="18"/>
                <w:szCs w:val="18"/>
              </w:rPr>
              <w:t>相似或构成实质竞争的业务，也不会协助、促使或代表任何第三方以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任何方式直接或间接从事与发行人现在和将来业务范围相同、相似或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构成实质竞争的业务；并将促使本人控制的其他企业（如有）比照前</w:t>
            </w:r>
            <w:r>
              <w:rPr>
                <w:rFonts w:ascii="宋体" w:hAnsi="宋体" w:cs="宋体" w:eastAsia="宋体" w:hint="default"/>
                <w:sz w:val="18"/>
                <w:szCs w:val="18"/>
              </w:rPr>
              <w:t> </w:t>
            </w:r>
            <w:r>
              <w:rPr>
                <w:rFonts w:ascii="宋体" w:hAnsi="宋体" w:cs="宋体" w:eastAsia="宋体" w:hint="default"/>
                <w:spacing w:val="-5"/>
                <w:sz w:val="18"/>
                <w:szCs w:val="18"/>
              </w:rPr>
              <w:t>述规定履行不竞争的义务；（</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）如因国家政策调整等不可抗力原因导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致本人或本人控制的其他企业（如有）将来从事的业务与发行人之间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的同业竞争可能构成或不可避免时，则本人将在发行人提出异议后及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时转让或终止上述业务或促使本人控制的其他企业及时转让或终止 </w:t>
            </w:r>
            <w:r>
              <w:rPr>
                <w:rFonts w:ascii="宋体" w:hAnsi="宋体" w:cs="宋体" w:eastAsia="宋体" w:hint="default"/>
                <w:spacing w:val="-2"/>
                <w:sz w:val="18"/>
                <w:szCs w:val="18"/>
              </w:rPr>
              <w:t>上述业务；如发行人进一步要求，发行人并享有上述业务在同等条件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下的优先受让权；（</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）如本人违反上述承诺，发行人及发行人其他股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东有权根据本承诺书依法申请强制本人履行上述承诺，并赔偿发行人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及发行人其他股东因此遭受的全部损失；同时本人因违反上述承诺所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取得的利益归发行人所有。</w:t>
            </w:r>
          </w:p>
        </w:tc>
        <w:tc>
          <w:tcPr>
            <w:tcW w:w="900" w:type="dxa"/>
            <w:vMerge w:val="restart"/>
            <w:tcBorders>
              <w:top w:val="single" w:sz="4" w:space="0" w:color="000000"/>
              <w:left w:val="single" w:sz="4" w:space="0" w:color="000000"/>
              <w:right w:val="single" w:sz="4" w:space="0" w:color="000000"/>
            </w:tcBorders>
          </w:tcPr>
          <w:p>
            <w:pPr>
              <w:pStyle w:val="TableParagraph"/>
              <w:spacing w:line="2340" w:lineRule="exact"/>
              <w:ind w:left="2" w:right="-50"/>
              <w:jc w:val="left"/>
              <w:rPr>
                <w:rFonts w:ascii="宋体" w:hAnsi="宋体" w:cs="宋体" w:eastAsia="宋体" w:hint="default"/>
                <w:sz w:val="20"/>
                <w:szCs w:val="20"/>
              </w:rPr>
            </w:pPr>
            <w:r>
              <w:rPr>
                <w:rFonts w:ascii="宋体" w:hAnsi="宋体" w:cs="宋体" w:eastAsia="宋体" w:hint="default"/>
                <w:position w:val="-46"/>
                <w:sz w:val="20"/>
                <w:szCs w:val="20"/>
              </w:rPr>
              <w:pict>
                <v:group style="width:44.4pt;height:117.05pt;mso-position-horizontal-relative:char;mso-position-vertical-relative:line" coordorigin="0,0" coordsize="888,2341">
                  <v:group style="position:absolute;left:0;top:0;width:888;height:2341" coordorigin="0,0" coordsize="888,2341">
                    <v:shape style="position:absolute;left:0;top:0;width:888;height:2341" coordorigin="0,0" coordsize="888,2341" path="m0,2340l888,2340,888,0,0,0,0,2340xe" filled="true" fillcolor="#ffffff" stroked="false">
                      <v:path arrowok="t"/>
                      <v:fill type="solid"/>
                    </v:shape>
                  </v:group>
                </v:group>
              </w:pict>
            </w:r>
            <w:r>
              <w:rPr>
                <w:rFonts w:ascii="宋体" w:hAnsi="宋体" w:cs="宋体" w:eastAsia="宋体" w:hint="default"/>
                <w:position w:val="-46"/>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至从发行 人离职后 三年期间</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706" w:hRule="exact"/>
        </w:trPr>
        <w:tc>
          <w:tcPr>
            <w:tcW w:w="1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720"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5402"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345" w:hRule="exact"/>
        </w:trPr>
        <w:tc>
          <w:tcPr>
            <w:tcW w:w="1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401"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20"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5402"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日止的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个月期间内不再</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减持本人于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日通过定向资产管理计划的方式在深圳证 券交易所交易系统以集合竞价增持的公司股份。本人将严格遵守承 诺，若违反承诺减持股份，本人将遵照有关规定承担责任。</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2018-07-15</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3" w:hRule="exact"/>
        </w:trPr>
        <w:tc>
          <w:tcPr>
            <w:tcW w:w="1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720"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350" w:hRule="exact"/>
        </w:trPr>
        <w:tc>
          <w:tcPr>
            <w:tcW w:w="1788" w:type="dxa"/>
            <w:vMerge/>
            <w:tcBorders>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144"/>
              <w:jc w:val="both"/>
              <w:rPr>
                <w:rFonts w:ascii="宋体" w:hAnsi="宋体" w:cs="宋体" w:eastAsia="宋体" w:hint="default"/>
                <w:sz w:val="18"/>
                <w:szCs w:val="18"/>
              </w:rPr>
            </w:pPr>
            <w:r>
              <w:rPr>
                <w:rFonts w:ascii="宋体" w:hAnsi="宋体" w:cs="宋体" w:eastAsia="宋体" w:hint="default"/>
                <w:sz w:val="18"/>
                <w:szCs w:val="18"/>
              </w:rPr>
              <w:t>广州御 银科技 股份有 限公司</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540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在公司盈利状态良好且现金流能够满足公司正常经营和可持续发展 </w:t>
            </w:r>
            <w:r>
              <w:rPr>
                <w:rFonts w:ascii="宋体" w:hAnsi="宋体" w:cs="宋体" w:eastAsia="宋体" w:hint="default"/>
                <w:spacing w:val="-2"/>
                <w:sz w:val="18"/>
                <w:szCs w:val="18"/>
              </w:rPr>
              <w:t>的前提下，如无重大投资计划或重大现金支出等事项发生，公司原则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上应当采取现金方式分配股利，公司最近三年以现金方式累计分配的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利润不少于最近三年实现的年均可分配利润的百分之三十。</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经营期间</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4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987" w:hRule="exact"/>
        </w:trPr>
        <w:tc>
          <w:tcPr>
            <w:tcW w:w="1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403" w:hRule="exact"/>
        </w:trPr>
        <w:tc>
          <w:tcPr>
            <w:tcW w:w="88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70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8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270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10"/>
          <w:szCs w:val="10"/>
        </w:rPr>
      </w:pPr>
    </w:p>
    <w:p>
      <w:pPr>
        <w:pStyle w:val="Heading3"/>
        <w:spacing w:line="256" w:lineRule="auto" w:before="36"/>
        <w:ind w:left="101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17"/>
          <w:szCs w:val="17"/>
        </w:rPr>
      </w:pPr>
    </w:p>
    <w:p>
      <w:pPr>
        <w:pStyle w:val="BodyText"/>
        <w:spacing w:line="240" w:lineRule="auto"/>
        <w:ind w:left="10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120" w:right="0"/>
        </w:sectPr>
      </w:pPr>
    </w:p>
    <w:p>
      <w:pPr>
        <w:spacing w:line="240" w:lineRule="auto" w:before="8"/>
        <w:rPr>
          <w:rFonts w:ascii="宋体" w:hAnsi="宋体" w:cs="宋体" w:eastAsia="宋体" w:hint="default"/>
          <w:sz w:val="23"/>
          <w:szCs w:val="23"/>
        </w:rPr>
      </w:pPr>
    </w:p>
    <w:p>
      <w:pPr>
        <w:pStyle w:val="Heading2"/>
        <w:spacing w:line="240" w:lineRule="auto" w:before="26"/>
        <w:ind w:left="392"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392"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left="392"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392" w:right="0"/>
        <w:jc w:val="left"/>
        <w:rPr>
          <w:b w:val="0"/>
          <w:bCs w:val="0"/>
        </w:rPr>
      </w:pPr>
      <w:r>
        <w:rPr/>
        <w:t>六、与上年度财务报告相比，会计政策、会计估计和核算方法发生变化的情况说明</w:t>
      </w:r>
      <w:r>
        <w:rPr>
          <w:b w:val="0"/>
          <w:bCs w:val="0"/>
        </w:rPr>
      </w:r>
    </w:p>
    <w:p>
      <w:pPr>
        <w:pStyle w:val="BodyText"/>
        <w:spacing w:line="240" w:lineRule="auto" w:before="46"/>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63"/>
        <w:ind w:left="392" w:right="5354"/>
        <w:jc w:val="left"/>
      </w:pPr>
      <w:r>
        <w:rPr>
          <w:rFonts w:ascii="Times New Roman" w:hAnsi="Times New Roman" w:cs="Times New Roman" w:eastAsia="Times New Roman" w:hint="default"/>
        </w:rPr>
        <w:t>1</w:t>
      </w:r>
      <w:r>
        <w:rPr/>
        <w:t>、重要会计政策变更 执行《财政部关于修订印发</w:t>
      </w:r>
      <w:r>
        <w:rPr>
          <w:rFonts w:ascii="Times New Roman" w:hAnsi="Times New Roman" w:cs="Times New Roman" w:eastAsia="Times New Roman" w:hint="default"/>
        </w:rPr>
        <w:t>2018</w:t>
      </w:r>
      <w:r>
        <w:rPr/>
        <w:t>年度一般企业财务报表格式的通知》</w:t>
      </w:r>
    </w:p>
    <w:p>
      <w:pPr>
        <w:pStyle w:val="BodyText"/>
        <w:spacing w:line="300" w:lineRule="auto" w:before="13"/>
        <w:ind w:left="392" w:right="0" w:firstLine="360"/>
        <w:jc w:val="left"/>
      </w:pP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w:t>
      </w:r>
      <w:r>
        <w:rPr/>
        <w:t> 对一般企业财务报表格式进行了修订。本公司执行上述规定的主要影响如下：</w:t>
      </w:r>
    </w:p>
    <w:tbl>
      <w:tblPr>
        <w:tblW w:w="0" w:type="auto"/>
        <w:jc w:val="left"/>
        <w:tblInd w:w="102" w:type="dxa"/>
        <w:tblLayout w:type="fixed"/>
        <w:tblCellMar>
          <w:top w:w="0" w:type="dxa"/>
          <w:left w:w="0" w:type="dxa"/>
          <w:bottom w:w="0" w:type="dxa"/>
          <w:right w:w="0" w:type="dxa"/>
        </w:tblCellMar>
        <w:tblLook w:val="01E0"/>
      </w:tblPr>
      <w:tblGrid>
        <w:gridCol w:w="4604"/>
        <w:gridCol w:w="2340"/>
        <w:gridCol w:w="3265"/>
      </w:tblGrid>
      <w:tr>
        <w:trPr>
          <w:trHeight w:val="427" w:hRule="exact"/>
        </w:trPr>
        <w:tc>
          <w:tcPr>
            <w:tcW w:w="46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21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3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99"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w:t>
            </w:r>
            <w:r>
              <w:rPr>
                <w:rFonts w:ascii="宋体" w:hAnsi="宋体" w:cs="宋体" w:eastAsia="宋体" w:hint="default"/>
                <w:spacing w:val="-2"/>
                <w:sz w:val="18"/>
                <w:szCs w:val="18"/>
              </w:rPr>
              <w:t>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w:t>
            </w:r>
            <w:r>
              <w:rPr>
                <w:rFonts w:ascii="宋体" w:hAnsi="宋体" w:cs="宋体" w:eastAsia="宋体" w:hint="default"/>
                <w:spacing w:val="-70"/>
                <w:sz w:val="18"/>
                <w:szCs w:val="18"/>
              </w:rPr>
              <w:t> </w:t>
            </w:r>
            <w:r>
              <w:rPr>
                <w:rFonts w:ascii="宋体" w:hAnsi="宋体" w:cs="宋体" w:eastAsia="宋体" w:hint="default"/>
                <w:spacing w:val="-2"/>
                <w:sz w:val="18"/>
                <w:szCs w:val="18"/>
              </w:rPr>
              <w:t>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w:t>
            </w:r>
            <w:r>
              <w:rPr>
                <w:rFonts w:ascii="宋体" w:hAnsi="宋体" w:cs="宋体" w:eastAsia="宋体" w:hint="default"/>
                <w:spacing w:val="-72"/>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 </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 数据相应调整。</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年第六届董事会第三次 </w:t>
            </w:r>
            <w:r>
              <w:rPr>
                <w:rFonts w:ascii="宋体" w:hAnsi="宋体" w:cs="宋体" w:eastAsia="宋体" w:hint="default"/>
                <w:spacing w:val="-2"/>
                <w:sz w:val="18"/>
                <w:szCs w:val="18"/>
              </w:rPr>
              <w:t>会议会议审议通过公司《关于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会计政策变更的议案》</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98,821,593.67</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169,690,788.64</w:t>
            </w:r>
          </w:p>
          <w:p>
            <w:pPr>
              <w:pStyle w:val="TableParagraph"/>
              <w:spacing w:line="300" w:lineRule="auto" w:before="13"/>
              <w:ind w:left="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29,738,269.62</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49,165,911.84</w:t>
            </w:r>
          </w:p>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364"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0"/>
              <w:jc w:val="both"/>
              <w:rPr>
                <w:rFonts w:ascii="宋体" w:hAnsi="宋体" w:cs="宋体" w:eastAsia="宋体" w:hint="default"/>
                <w:sz w:val="18"/>
                <w:szCs w:val="18"/>
              </w:rPr>
            </w:pPr>
            <w:r>
              <w:rPr>
                <w:rFonts w:ascii="宋体" w:hAnsi="宋体" w:cs="宋体" w:eastAsia="宋体" w:hint="default"/>
                <w:spacing w:val="-3"/>
                <w:sz w:val="18"/>
                <w:szCs w:val="18"/>
              </w:rPr>
              <w:t>在利润表中新增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中的研发</w:t>
            </w:r>
            <w:r>
              <w:rPr>
                <w:rFonts w:ascii="宋体" w:hAnsi="宋体" w:cs="宋体" w:eastAsia="宋体" w:hint="default"/>
                <w:spacing w:val="-64"/>
                <w:sz w:val="18"/>
                <w:szCs w:val="18"/>
              </w:rPr>
              <w:t> </w:t>
            </w:r>
            <w:r>
              <w:rPr>
                <w:rFonts w:ascii="宋体" w:hAnsi="宋体" w:cs="宋体" w:eastAsia="宋体" w:hint="default"/>
                <w:spacing w:val="-3"/>
                <w:w w:val="100"/>
                <w:sz w:val="18"/>
                <w:szCs w:val="18"/>
              </w:rPr>
              <w:t>费用重分类至</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研发费用</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单独列示；在利润表中财务费用项</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3"/>
                <w:sz w:val="18"/>
                <w:szCs w:val="18"/>
              </w:rPr>
              <w:t>下新增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其中：利息费用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利息收入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项目。比较数据相应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调整。</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年第六届董事会第三次 </w:t>
            </w:r>
            <w:r>
              <w:rPr>
                <w:rFonts w:ascii="宋体" w:hAnsi="宋体" w:cs="宋体" w:eastAsia="宋体" w:hint="default"/>
                <w:spacing w:val="-2"/>
                <w:sz w:val="18"/>
                <w:szCs w:val="18"/>
              </w:rPr>
              <w:t>会议会议审议通过公司《关于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会计政策变更的议案》</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48"/>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32,706,830.69 </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38,921,187.46</w:t>
            </w:r>
            <w:r>
              <w:rPr>
                <w:rFonts w:ascii="宋体" w:hAnsi="宋体" w:cs="宋体" w:eastAsia="宋体" w:hint="default"/>
                <w:sz w:val="18"/>
                <w:szCs w:val="18"/>
              </w:rPr>
              <w:t>元，重分类至 </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300" w:lineRule="auto" w:before="31"/>
        <w:ind w:left="392" w:right="7514"/>
        <w:jc w:val="left"/>
      </w:pPr>
      <w:r>
        <w:rPr/>
        <w:pict>
          <v:shape style="position:absolute;margin-left:267.649994pt;margin-top:-130.638275pt;width:121.85pt;height:62.9pt;mso-position-horizontal-relative:page;mso-position-vertical-relative:paragraph;z-index:-771424" type="#_x0000_t202" filled="false" stroked="false">
            <v:textbox inset="0,0,0,0">
              <w:txbxContent>
                <w:p>
                  <w:pPr>
                    <w:pStyle w:val="BodyText"/>
                    <w:spacing w:line="203" w:lineRule="exact"/>
                    <w:ind w:left="0" w:right="0"/>
                    <w:jc w:val="left"/>
                  </w:pPr>
                  <w:r>
                    <w:rPr/>
                    <w:t>；</w:t>
                  </w:r>
                </w:p>
              </w:txbxContent>
            </v:textbox>
            <w10:wrap type="none"/>
          </v:shape>
        </w:pict>
      </w:r>
      <w:r>
        <w:rPr/>
        <w:pict>
          <v:group style="position:absolute;margin-left:272.450012pt;margin-top:-130.638275pt;width:117.5pt;height:62.9pt;mso-position-horizontal-relative:page;mso-position-vertical-relative:paragraph;z-index:-771400" coordorigin="5449,-2613" coordsize="2350,1258">
            <v:group style="position:absolute;left:5461;top:-2613;width:2329;height:1258" coordorigin="5461,-2613" coordsize="2329,1258">
              <v:shape style="position:absolute;left:5461;top:-2613;width:2329;height:1258" coordorigin="5461,-2613" coordsize="2329,1258" path="m5461,-1355l7789,-1355,7789,-2613,5461,-2613,5461,-1355xe" filled="true" fillcolor="#ffffff" stroked="false">
                <v:path arrowok="t"/>
                <v:fill type="solid"/>
              </v:shape>
            </v:group>
            <v:group style="position:absolute;left:5454;top:-1360;width:2341;height:2" coordorigin="5454,-1360" coordsize="2341,2">
              <v:shape style="position:absolute;left:5454;top:-1360;width:2341;height:2" coordorigin="5454,-1360" coordsize="2341,0" path="m5454,-1360l7794,-1360e" filled="false" stroked="true" strokeweight=".47998pt" strokecolor="#ffffff">
                <v:path arrowok="t"/>
              </v:shape>
            </v:group>
            <w10:wrap type="none"/>
          </v:group>
        </w:pict>
      </w:r>
      <w:r>
        <w:rPr>
          <w:rFonts w:ascii="Times New Roman" w:hAnsi="Times New Roman" w:cs="Times New Roman" w:eastAsia="Times New Roman" w:hint="default"/>
        </w:rPr>
        <w:t>2</w:t>
      </w:r>
      <w:r>
        <w:rPr/>
        <w:t>、重要会计估计变更 本报告期公司重要会计估计未发生变更。</w:t>
      </w:r>
    </w:p>
    <w:p>
      <w:pPr>
        <w:spacing w:line="240" w:lineRule="auto" w:before="11"/>
        <w:rPr>
          <w:rFonts w:ascii="宋体" w:hAnsi="宋体" w:cs="宋体" w:eastAsia="宋体" w:hint="default"/>
          <w:sz w:val="21"/>
          <w:szCs w:val="21"/>
        </w:rPr>
      </w:pPr>
    </w:p>
    <w:p>
      <w:pPr>
        <w:pStyle w:val="Heading2"/>
        <w:spacing w:line="240" w:lineRule="auto"/>
        <w:ind w:left="392" w:right="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392"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left="392" w:right="0"/>
        <w:jc w:val="left"/>
        <w:rPr>
          <w:b w:val="0"/>
          <w:bCs w:val="0"/>
        </w:rPr>
      </w:pPr>
      <w:r>
        <w:rPr/>
        <w:t>八、与上年度财务报告相比，合并报表范围发生变化的情况说明</w:t>
      </w:r>
      <w:r>
        <w:rPr>
          <w:b w:val="0"/>
          <w:bCs w:val="0"/>
        </w:rPr>
      </w:r>
    </w:p>
    <w:p>
      <w:pPr>
        <w:pStyle w:val="BodyText"/>
        <w:spacing w:line="240" w:lineRule="auto" w:before="88"/>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63"/>
        <w:ind w:left="392"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08</w:t>
      </w:r>
      <w:r>
        <w:rPr>
          <w:spacing w:val="-2"/>
        </w:rPr>
        <w:t>月</w:t>
      </w:r>
      <w:r>
        <w:rPr>
          <w:rFonts w:ascii="Times New Roman" w:hAnsi="Times New Roman" w:cs="Times New Roman" w:eastAsia="Times New Roman" w:hint="default"/>
          <w:spacing w:val="-2"/>
        </w:rPr>
        <w:t>22</w:t>
      </w:r>
      <w:r>
        <w:rPr>
          <w:spacing w:val="-2"/>
        </w:rPr>
        <w:t>日，本公司召开第六届董事会第二次会议审计通过了《关于投资设立全资子公司广州御商信息科技有限公</w:t>
      </w:r>
      <w:r>
        <w:rPr/>
        <w:t> </w:t>
      </w:r>
      <w:r>
        <w:rPr>
          <w:spacing w:val="-2"/>
        </w:rPr>
        <w:t>司的议案》，同意通过固定资产及货币资金出资的方式设立全资子公司出资广州御商信息科技有限公司，注册资本为人民币</w:t>
      </w:r>
      <w:r>
        <w:rPr>
          <w:spacing w:val="-66"/>
        </w:rPr>
        <w:t> </w:t>
      </w:r>
      <w:r>
        <w:rPr>
          <w:spacing w:val="-66"/>
        </w:rPr>
      </w:r>
      <w:r>
        <w:rPr>
          <w:rFonts w:ascii="Times New Roman" w:hAnsi="Times New Roman" w:cs="Times New Roman" w:eastAsia="Times New Roman" w:hint="default"/>
        </w:rPr>
        <w:t>18,500,000.00</w:t>
      </w:r>
      <w:r>
        <w:rPr/>
        <w:t>元，公司持有其</w:t>
      </w:r>
      <w:r>
        <w:rPr>
          <w:rFonts w:ascii="Times New Roman" w:hAnsi="Times New Roman" w:cs="Times New Roman" w:eastAsia="Times New Roman" w:hint="default"/>
        </w:rPr>
        <w:t>100%</w:t>
      </w:r>
      <w:r>
        <w:rPr/>
        <w:t>股权。从成立日起，广州御商信息科技有限公司纳入合并范围。</w:t>
      </w:r>
    </w:p>
    <w:p>
      <w:pPr>
        <w:spacing w:after="0" w:line="309" w:lineRule="auto"/>
        <w:jc w:val="both"/>
        <w:sectPr>
          <w:pgSz w:w="11910" w:h="16840"/>
          <w:pgMar w:header="745" w:footer="980" w:top="1060" w:bottom="1160" w:left="74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漆江燕、张锦坤</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832" w:right="1142"/>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832" w:right="114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00"/>
        <w:gridCol w:w="900"/>
        <w:gridCol w:w="540"/>
        <w:gridCol w:w="720"/>
        <w:gridCol w:w="721"/>
        <w:gridCol w:w="720"/>
        <w:gridCol w:w="756"/>
        <w:gridCol w:w="864"/>
        <w:gridCol w:w="900"/>
        <w:gridCol w:w="610"/>
        <w:gridCol w:w="675"/>
        <w:gridCol w:w="876"/>
        <w:gridCol w:w="468"/>
        <w:gridCol w:w="1512"/>
      </w:tblGrid>
      <w:tr>
        <w:trPr>
          <w:trHeight w:val="1025"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5" w:right="82"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11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82"/>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z w:val="18"/>
                <w:szCs w:val="18"/>
              </w:rPr>
              <w:t>获批的交 </w:t>
            </w:r>
            <w:r>
              <w:rPr>
                <w:rFonts w:ascii="宋体" w:hAnsi="宋体" w:cs="宋体" w:eastAsia="宋体" w:hint="default"/>
                <w:spacing w:val="-12"/>
                <w:sz w:val="18"/>
                <w:szCs w:val="18"/>
              </w:rPr>
              <w:t>易额度（万</w:t>
            </w:r>
            <w:r>
              <w:rPr>
                <w:rFonts w:ascii="宋体" w:hAnsi="宋体" w:cs="宋体" w:eastAsia="宋体" w:hint="default"/>
                <w:sz w:val="18"/>
                <w:szCs w:val="18"/>
              </w:rPr>
              <w:t> 元）</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9"/>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广州智萃 电子科技 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本公司控 股股东控 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44"/>
              <w:jc w:val="both"/>
              <w:rPr>
                <w:rFonts w:ascii="宋体" w:hAnsi="宋体" w:cs="宋体" w:eastAsia="宋体" w:hint="default"/>
                <w:sz w:val="18"/>
                <w:szCs w:val="18"/>
              </w:rPr>
            </w:pPr>
            <w:r>
              <w:rPr>
                <w:rFonts w:ascii="宋体" w:hAnsi="宋体" w:cs="宋体" w:eastAsia="宋体" w:hint="default"/>
                <w:sz w:val="18"/>
                <w:szCs w:val="18"/>
              </w:rPr>
              <w:t>采购 及委 托加 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采购及 委托加 工 </w:t>
            </w:r>
            <w:r>
              <w:rPr>
                <w:rFonts w:ascii="Times New Roman" w:hAnsi="Times New Roman" w:cs="Times New Roman" w:eastAsia="Times New Roman" w:hint="default"/>
                <w:spacing w:val="-8"/>
                <w:sz w:val="18"/>
                <w:szCs w:val="18"/>
              </w:rPr>
              <w:t>ATM</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机柜与</w:t>
            </w:r>
          </w:p>
          <w:p>
            <w:pPr>
              <w:pStyle w:val="TableParagraph"/>
              <w:spacing w:line="240" w:lineRule="auto" w:before="77"/>
              <w:ind w:left="23" w:right="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ATM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电</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子柜</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46"/>
              <w:jc w:val="both"/>
              <w:rPr>
                <w:rFonts w:ascii="宋体" w:hAnsi="宋体" w:cs="宋体" w:eastAsia="宋体" w:hint="default"/>
                <w:sz w:val="18"/>
                <w:szCs w:val="18"/>
              </w:rPr>
            </w:pPr>
            <w:r>
              <w:rPr>
                <w:rFonts w:ascii="宋体" w:hAnsi="宋体" w:cs="宋体" w:eastAsia="宋体" w:hint="default"/>
                <w:sz w:val="18"/>
                <w:szCs w:val="18"/>
              </w:rPr>
              <w:t>依市场 公允价 格定价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44"/>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2,536.72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48.69%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转账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both"/>
              <w:rPr>
                <w:rFonts w:ascii="宋体" w:hAnsi="宋体" w:cs="宋体" w:eastAsia="宋体" w:hint="default"/>
                <w:sz w:val="18"/>
                <w:szCs w:val="18"/>
              </w:rPr>
            </w:pPr>
            <w:r>
              <w:rPr>
                <w:rFonts w:ascii="宋体" w:hAnsi="宋体" w:cs="宋体" w:eastAsia="宋体" w:hint="default"/>
                <w:sz w:val="18"/>
                <w:szCs w:val="18"/>
              </w:rPr>
              <w:t>具体内容详见巨潮 资讯网</w:t>
            </w:r>
          </w:p>
          <w:p>
            <w:pPr>
              <w:pStyle w:val="TableParagraph"/>
              <w:spacing w:line="309" w:lineRule="auto" w:before="19"/>
              <w:ind w:left="23" w:right="1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 </w:t>
            </w:r>
            <w:r>
              <w:rPr>
                <w:rFonts w:ascii="Times New Roman" w:hAnsi="Times New Roman" w:cs="Times New Roman" w:eastAsia="Times New Roman" w:hint="default"/>
                <w:spacing w:val="-8"/>
                <w:sz w:val="18"/>
                <w:szCs w:val="18"/>
              </w:rPr>
              <w:t>o.com.cn</w:t>
            </w:r>
            <w:r>
              <w:rPr>
                <w:rFonts w:ascii="宋体" w:hAnsi="宋体" w:cs="宋体" w:eastAsia="宋体" w:hint="default"/>
                <w:spacing w:val="-8"/>
                <w:sz w:val="18"/>
                <w:szCs w:val="18"/>
              </w:rPr>
              <w:t>）的《</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z w:val="18"/>
                <w:szCs w:val="18"/>
              </w:rPr>
              <w:t>年度日常关联交易 </w:t>
            </w:r>
            <w:r>
              <w:rPr>
                <w:rFonts w:ascii="宋体" w:hAnsi="宋体" w:cs="宋体" w:eastAsia="宋体" w:hint="default"/>
                <w:spacing w:val="-19"/>
                <w:sz w:val="18"/>
                <w:szCs w:val="18"/>
              </w:rPr>
              <w:t>预计公告》）公告编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0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2,536.72</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612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50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612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按类别对本期将发生的日常关联交易进行总金额预计的，在报告期内的实际履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行情况（如有）</w:t>
            </w:r>
          </w:p>
        </w:tc>
        <w:tc>
          <w:tcPr>
            <w:tcW w:w="5041"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报告期内，公司与以上关联方发生的日常关联交易总额在预计范</w:t>
            </w:r>
            <w:r>
              <w:rPr>
                <w:rFonts w:ascii="宋体" w:hAnsi="宋体" w:cs="宋体" w:eastAsia="宋体" w:hint="default"/>
                <w:sz w:val="18"/>
                <w:szCs w:val="18"/>
              </w:rPr>
              <w:t> 围内</w:t>
            </w:r>
          </w:p>
        </w:tc>
      </w:tr>
      <w:tr>
        <w:trPr>
          <w:trHeight w:val="403" w:hRule="exact"/>
        </w:trPr>
        <w:tc>
          <w:tcPr>
            <w:tcW w:w="612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50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832"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left="832" w:right="114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832"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left="832" w:right="114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83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4"/>
        <w:rPr>
          <w:rFonts w:ascii="宋体" w:hAnsi="宋体" w:cs="宋体" w:eastAsia="宋体" w:hint="default"/>
          <w:sz w:val="21"/>
          <w:szCs w:val="21"/>
        </w:rPr>
      </w:pPr>
    </w:p>
    <w:p>
      <w:pPr>
        <w:pStyle w:val="Heading3"/>
        <w:spacing w:line="240" w:lineRule="auto"/>
        <w:ind w:left="832" w:right="114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83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80" w:top="1060" w:bottom="1160" w:left="30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60"/>
        <w:gridCol w:w="4297"/>
      </w:tblGrid>
      <w:tr>
        <w:trPr>
          <w:trHeight w:val="348" w:hRule="exact"/>
        </w:trPr>
        <w:tc>
          <w:tcPr>
            <w:tcW w:w="5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338"/>
              <w:jc w:val="right"/>
              <w:rPr>
                <w:rFonts w:ascii="宋体" w:hAnsi="宋体" w:cs="宋体" w:eastAsia="宋体" w:hint="default"/>
                <w:sz w:val="18"/>
                <w:szCs w:val="18"/>
              </w:rPr>
            </w:pPr>
            <w:r>
              <w:rPr>
                <w:rFonts w:ascii="宋体" w:hAnsi="宋体" w:cs="宋体" w:eastAsia="宋体" w:hint="default"/>
                <w:sz w:val="18"/>
                <w:szCs w:val="18"/>
              </w:rPr>
              <w:t>项目</w:t>
            </w:r>
          </w:p>
        </w:tc>
        <w:tc>
          <w:tcPr>
            <w:tcW w:w="42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48" w:hRule="exact"/>
        </w:trPr>
        <w:tc>
          <w:tcPr>
            <w:tcW w:w="5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97,193.30</w:t>
            </w:r>
          </w:p>
        </w:tc>
      </w:tr>
      <w:tr>
        <w:trPr>
          <w:trHeight w:val="346" w:hRule="exact"/>
        </w:trPr>
        <w:tc>
          <w:tcPr>
            <w:tcW w:w="5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ATM</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1,681,403.72</w:t>
            </w:r>
          </w:p>
        </w:tc>
      </w:tr>
      <w:tr>
        <w:trPr>
          <w:trHeight w:val="348" w:hRule="exact"/>
        </w:trPr>
        <w:tc>
          <w:tcPr>
            <w:tcW w:w="5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366,984,032.21</w:t>
            </w:r>
          </w:p>
        </w:tc>
      </w:tr>
      <w:tr>
        <w:trPr>
          <w:trHeight w:val="348" w:hRule="exact"/>
        </w:trPr>
        <w:tc>
          <w:tcPr>
            <w:tcW w:w="5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338"/>
              <w:jc w:val="right"/>
              <w:rPr>
                <w:rFonts w:ascii="宋体" w:hAnsi="宋体" w:cs="宋体" w:eastAsia="宋体" w:hint="default"/>
                <w:sz w:val="18"/>
                <w:szCs w:val="18"/>
              </w:rPr>
            </w:pPr>
            <w:r>
              <w:rPr>
                <w:rFonts w:ascii="宋体" w:hAnsi="宋体" w:cs="宋体" w:eastAsia="宋体" w:hint="default"/>
                <w:sz w:val="18"/>
                <w:szCs w:val="18"/>
              </w:rPr>
              <w:t>合计</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368,762,629.23</w:t>
            </w:r>
          </w:p>
        </w:tc>
      </w:tr>
    </w:tbl>
    <w:p>
      <w:pPr>
        <w:pStyle w:val="BodyText"/>
        <w:spacing w:line="240" w:lineRule="auto" w:before="49"/>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80" w:top="1060" w:bottom="1160" w:left="980" w:right="0"/>
        </w:sectPr>
      </w:pPr>
    </w:p>
    <w:p>
      <w:pPr>
        <w:pStyle w:val="Heading3"/>
        <w:spacing w:line="240" w:lineRule="auto" w:before="36"/>
        <w:ind w:right="-11"/>
        <w:jc w:val="left"/>
        <w:rPr>
          <w:b w:val="0"/>
          <w:bCs w:val="0"/>
        </w:rPr>
      </w:pPr>
      <w:r>
        <w:rPr/>
        <w:t>（</w:t>
      </w:r>
      <w:r>
        <w:rPr>
          <w:rFonts w:ascii="Times New Roman" w:hAnsi="Times New Roman" w:cs="Times New Roman" w:eastAsia="Times New Roman" w:hint="default"/>
        </w:rPr>
        <w:t>1</w:t>
      </w:r>
      <w:r>
        <w:rPr/>
        <w:t>）委托理财情况</w:t>
      </w:r>
      <w:r>
        <w:rPr>
          <w:b w:val="0"/>
          <w:bCs w:val="0"/>
        </w:rPr>
      </w:r>
    </w:p>
    <w:p>
      <w:pPr>
        <w:pStyle w:val="BodyText"/>
        <w:spacing w:line="30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133,645.37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137,145.37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1" w:firstLine="360"/>
        <w:jc w:val="both"/>
      </w:pPr>
      <w:r>
        <w:rPr>
          <w:spacing w:val="-2"/>
        </w:rPr>
        <w:t>公司在发展壮大的过程中始终坚持积极履行社会责任。</w:t>
      </w:r>
      <w:r>
        <w:rPr>
          <w:rFonts w:ascii="Times New Roman" w:hAnsi="Times New Roman" w:cs="Times New Roman" w:eastAsia="Times New Roman" w:hint="default"/>
          <w:spacing w:val="-2"/>
        </w:rPr>
        <w:t>2018</w:t>
      </w:r>
      <w:r>
        <w:rPr>
          <w:spacing w:val="-2"/>
        </w:rPr>
        <w:t>年，公司切实履行对股东、债权人、员工、客户、供应商等</w:t>
      </w:r>
      <w:r>
        <w:rPr/>
        <w:t> </w:t>
      </w:r>
      <w:r>
        <w:rPr>
          <w:spacing w:val="-2"/>
        </w:rPr>
        <w:t>利益相关方的权益保护，促进企业成长和社会责任之间的协调可持续发展，共同推动公司持续、健康的发展，为构建社会主</w:t>
      </w:r>
      <w:r>
        <w:rPr>
          <w:spacing w:val="-64"/>
        </w:rPr>
        <w:t> </w:t>
      </w:r>
      <w:r>
        <w:rPr>
          <w:spacing w:val="-64"/>
        </w:rPr>
      </w:r>
      <w:r>
        <w:rPr/>
        <w:t>义和谐社会贡献力量。</w:t>
      </w:r>
    </w:p>
    <w:p>
      <w:pPr>
        <w:pStyle w:val="BodyText"/>
        <w:spacing w:line="314" w:lineRule="auto" w:before="24"/>
        <w:ind w:right="1034" w:firstLine="360"/>
        <w:jc w:val="left"/>
      </w:pPr>
      <w:r>
        <w:rPr/>
        <w:t>（</w:t>
      </w:r>
      <w:r>
        <w:rPr>
          <w:rFonts w:ascii="Times New Roman" w:hAnsi="Times New Roman" w:cs="Times New Roman" w:eastAsia="Times New Roman" w:hint="default"/>
        </w:rPr>
        <w:t>1</w:t>
      </w:r>
      <w:r>
        <w:rPr/>
        <w:t>）公司按照《公司法》和《证券法》等有关法律法规的要求，不断完善公司治理结构，建立了包括股东大会、董事 </w:t>
      </w:r>
      <w:r>
        <w:rPr>
          <w:spacing w:val="-2"/>
        </w:rPr>
        <w:t>会、监事会在内的公司治理结构，分别行使决策权、执行权和监督权。公司严格按照有关法律、法规、《公司章程》和公司</w:t>
      </w:r>
      <w:r>
        <w:rPr>
          <w:spacing w:val="-65"/>
        </w:rPr>
        <w:t> </w:t>
      </w:r>
      <w:r>
        <w:rPr>
          <w:spacing w:val="-65"/>
        </w:rPr>
      </w:r>
      <w:r>
        <w:rPr>
          <w:spacing w:val="-2"/>
        </w:rPr>
        <w:t>相关制度的要求，始终坚持真实、准确、及时、完整、公平的披露原则，秉持公平、公正、公开的原则对待全体投资者，保</w:t>
      </w:r>
      <w:r>
        <w:rPr>
          <w:spacing w:val="-69"/>
        </w:rPr>
        <w:t> </w:t>
      </w:r>
      <w:r>
        <w:rPr>
          <w:spacing w:val="-69"/>
        </w:rPr>
      </w:r>
      <w:r>
        <w:rPr/>
        <w:t>障全体股东的合法权益。公司通过网上业绩说明会、投资者关系互动平台、投资者电话等多种方式与投资者进行沟通交流， 建立了良好的互动平台，提高了公司的透明度和诚信度。</w:t>
      </w:r>
    </w:p>
    <w:p>
      <w:pPr>
        <w:pStyle w:val="BodyText"/>
        <w:spacing w:line="307" w:lineRule="auto" w:before="20"/>
        <w:ind w:right="1131" w:firstLine="360"/>
        <w:jc w:val="both"/>
      </w:pPr>
      <w:r>
        <w:rPr/>
        <w:t>（</w:t>
      </w:r>
      <w:r>
        <w:rPr>
          <w:rFonts w:ascii="Times New Roman" w:hAnsi="Times New Roman" w:cs="Times New Roman" w:eastAsia="Times New Roman" w:hint="default"/>
        </w:rPr>
        <w:t>2</w:t>
      </w:r>
      <w:r>
        <w:rPr/>
        <w:t>）公司严格遵守《劳动法》、《劳动合同法》等相关法律法规，坚持以人为本的人才发展战略，尊重和维护员工的 个人利益。通过组织年度全员健康检查</w:t>
      </w:r>
      <w:r>
        <w:rPr>
          <w:rFonts w:ascii="Times New Roman" w:hAnsi="Times New Roman" w:cs="Times New Roman" w:eastAsia="Times New Roman" w:hint="default"/>
        </w:rPr>
        <w:t>,</w:t>
      </w:r>
      <w:r>
        <w:rPr/>
        <w:t>精心策划组织各项文体活动，丰富员工精神文化生活。通过制定科学的绩效考评制 </w:t>
      </w:r>
      <w:r>
        <w:rPr>
          <w:spacing w:val="-2"/>
        </w:rPr>
        <w:t>度，营造良性竞争氛围；在引进人才的同时，重视员工培训，开展多种形式的员工入职培训、技能培训，为员工提供平等的</w:t>
      </w:r>
      <w:r>
        <w:rPr>
          <w:spacing w:val="-67"/>
        </w:rPr>
        <w:t> </w:t>
      </w:r>
      <w:r>
        <w:rPr>
          <w:spacing w:val="-67"/>
        </w:rPr>
      </w:r>
      <w:r>
        <w:rPr/>
        <w:t>发展机会和晋升渠道，实现员工与公司的共同成长，构建温馨和谐的企业氛围。</w:t>
      </w:r>
    </w:p>
    <w:p>
      <w:pPr>
        <w:pStyle w:val="BodyText"/>
        <w:spacing w:line="309" w:lineRule="auto" w:before="26"/>
        <w:ind w:right="0" w:firstLine="360"/>
        <w:jc w:val="left"/>
      </w:pPr>
      <w:r>
        <w:rPr>
          <w:spacing w:val="-2"/>
        </w:rPr>
        <w:t>（</w:t>
      </w:r>
      <w:r>
        <w:rPr>
          <w:rFonts w:ascii="Times New Roman" w:hAnsi="Times New Roman" w:cs="Times New Roman" w:eastAsia="Times New Roman" w:hint="default"/>
          <w:spacing w:val="-2"/>
        </w:rPr>
        <w:t>3</w:t>
      </w:r>
      <w:r>
        <w:rPr>
          <w:spacing w:val="-2"/>
        </w:rPr>
        <w:t>）公司在经济活动中秉承诚实守信原则，重视与客户、供应商的沟通与协调，实现互惠共赢，树立良好的企业形象，</w:t>
      </w:r>
      <w:r>
        <w:rPr/>
        <w:t> </w:t>
      </w:r>
      <w:r>
        <w:rPr>
          <w:spacing w:val="-2"/>
        </w:rPr>
        <w:t>促进公司能够平稳持续健康发展。公司高度重视质量管理工作，不断提高公司质量管理水平，建立了较完善的质量管理体系</w:t>
      </w:r>
      <w:r>
        <w:rPr>
          <w:spacing w:val="-63"/>
        </w:rPr>
        <w:t> </w:t>
      </w:r>
      <w:r>
        <w:rPr>
          <w:spacing w:val="-63"/>
        </w:rPr>
      </w:r>
      <w:r>
        <w:rPr/>
        <w:t>及相应的程序文件，在生产过程中严格把控产品质量，注重产品安全，保护消费者利益。</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公司报告期内暂未开展精准扶贫工作，也暂无精准扶贫规划。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不适用 上市公司及其子公司不属于环境保护部门公布的重点排污单位。</w:t>
      </w:r>
    </w:p>
    <w:p>
      <w:pPr>
        <w:spacing w:after="0" w:line="357"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652" w:right="1042"/>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52"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652" w:right="1042" w:firstLine="360"/>
        <w:jc w:val="left"/>
      </w:pPr>
      <w:r>
        <w:rPr>
          <w:rFonts w:ascii="Times New Roman" w:hAnsi="Times New Roman" w:cs="Times New Roman" w:eastAsia="Times New Roman" w:hint="default"/>
        </w:rPr>
        <w:t>1</w:t>
      </w:r>
      <w:r>
        <w:rPr/>
        <w:t>、根据公司整体战略发展规划，进一步提高企业核心竞争力，丰富产品的结构和品种，公司下属全资孙公司广州御银 </w:t>
      </w:r>
      <w:r>
        <w:rPr>
          <w:spacing w:val="-2"/>
        </w:rPr>
        <w:t>金融电子设备有限公司拟投资建设高新科技园，项目总投资计划不超过人民币</w:t>
      </w:r>
      <w:r>
        <w:rPr>
          <w:rFonts w:ascii="Times New Roman" w:hAnsi="Times New Roman" w:cs="Times New Roman" w:eastAsia="Times New Roman" w:hint="default"/>
          <w:spacing w:val="-2"/>
        </w:rPr>
        <w:t>32,365.50</w:t>
      </w:r>
      <w:r>
        <w:rPr>
          <w:spacing w:val="-2"/>
        </w:rPr>
        <w:t>万元，为智慧银行提供解决方案。公</w:t>
      </w:r>
      <w:r>
        <w:rPr>
          <w:spacing w:val="-55"/>
        </w:rPr>
        <w:t> </w:t>
      </w:r>
      <w:r>
        <w:rPr>
          <w:spacing w:val="-55"/>
        </w:rPr>
      </w:r>
      <w:r>
        <w:rPr/>
        <w:t>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日召开了第五届董事会第二十一次会议，审议通过了《关于全资孙公司投资建设高新科技园项目的议案》， </w:t>
      </w:r>
      <w:r>
        <w:rPr>
          <w:spacing w:val="-1"/>
        </w:rPr>
        <w:t>详见刊登于巨潮资讯网</w:t>
      </w:r>
      <w:hyperlink r:id="rId13">
        <w:r>
          <w:rPr>
            <w:rFonts w:ascii="Times New Roman" w:hAnsi="Times New Roman" w:cs="Times New Roman" w:eastAsia="Times New Roman" w:hint="default"/>
            <w:spacing w:val="-1"/>
          </w:rPr>
          <w:t>http://www.cninfo.com.cn</w:t>
        </w:r>
        <w:r>
          <w:rPr>
            <w:spacing w:val="-1"/>
          </w:rPr>
          <w:t>的</w:t>
        </w:r>
      </w:hyperlink>
      <w:r>
        <w:rPr>
          <w:spacing w:val="-1"/>
        </w:rPr>
        <w:t>《关于全资孙公司投资建设高新科技园项目的公告》，公告编号</w:t>
      </w:r>
      <w:r>
        <w:rPr>
          <w:rFonts w:ascii="Times New Roman" w:hAnsi="Times New Roman" w:cs="Times New Roman" w:eastAsia="Times New Roman" w:hint="default"/>
          <w:spacing w:val="-1"/>
        </w:rPr>
        <w:t>2018-007</w:t>
      </w:r>
      <w:r>
        <w:rPr>
          <w:spacing w:val="-1"/>
        </w:rPr>
        <w:t>。</w:t>
      </w:r>
    </w:p>
    <w:p>
      <w:pPr>
        <w:pStyle w:val="BodyText"/>
        <w:spacing w:line="304" w:lineRule="auto" w:before="13"/>
        <w:ind w:left="652" w:right="1129" w:firstLine="360"/>
        <w:jc w:val="left"/>
      </w:pPr>
      <w:r>
        <w:rPr>
          <w:rFonts w:ascii="Times New Roman" w:hAnsi="Times New Roman" w:cs="Times New Roman" w:eastAsia="Times New Roman" w:hint="default"/>
        </w:rPr>
        <w:t>2</w:t>
      </w:r>
      <w:r>
        <w:rPr/>
        <w:t>、由于经营发展需要公司拟对注册地址进行变更，公司于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日召开了第五届董事会第二十二次会议和</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日召开了</w:t>
      </w:r>
      <w:r>
        <w:rPr>
          <w:rFonts w:ascii="Times New Roman" w:hAnsi="Times New Roman" w:cs="Times New Roman" w:eastAsia="Times New Roman" w:hint="default"/>
        </w:rPr>
        <w:t>2017</w:t>
      </w:r>
      <w:r>
        <w:rPr/>
        <w:t>年度股东大会，会议分别审议通过了《关于变更公司注册地址并修订公司章程的议案》同意公司将注 </w:t>
      </w:r>
      <w:r>
        <w:rPr>
          <w:spacing w:val="-2"/>
        </w:rPr>
        <w:t>册地址变更为：广州市天河区高唐路</w:t>
      </w:r>
      <w:r>
        <w:rPr>
          <w:rFonts w:ascii="Times New Roman" w:hAnsi="Times New Roman" w:cs="Times New Roman" w:eastAsia="Times New Roman" w:hint="default"/>
          <w:spacing w:val="-2"/>
        </w:rPr>
        <w:t>234</w:t>
      </w:r>
      <w:r>
        <w:rPr>
          <w:spacing w:val="-2"/>
        </w:rPr>
        <w:t>号</w:t>
      </w:r>
      <w:r>
        <w:rPr>
          <w:rFonts w:ascii="Times New Roman" w:hAnsi="Times New Roman" w:cs="Times New Roman" w:eastAsia="Times New Roman" w:hint="default"/>
          <w:spacing w:val="-2"/>
        </w:rPr>
        <w:t>202</w:t>
      </w:r>
      <w:r>
        <w:rPr>
          <w:spacing w:val="-2"/>
        </w:rPr>
        <w:t>房，并授权董事会办理公司注册地址变更的工商变更登记事宜。截止报告批准</w:t>
      </w:r>
      <w:r>
        <w:rPr>
          <w:spacing w:val="-59"/>
        </w:rPr>
        <w:t> </w:t>
      </w:r>
      <w:r>
        <w:rPr>
          <w:spacing w:val="-59"/>
        </w:rPr>
      </w:r>
      <w:r>
        <w:rPr/>
        <w:t>报出日，公司已完成了工商变更登记手续，并取得了广州市工商行政管理局换发的《营业执照》。详见巨潮资讯网</w:t>
      </w:r>
      <w:r>
        <w:rPr/>
        <w:t> </w:t>
      </w:r>
      <w:hyperlink r:id="rId13">
        <w:r>
          <w:rPr>
            <w:rFonts w:ascii="Times New Roman" w:hAnsi="Times New Roman" w:cs="Times New Roman" w:eastAsia="Times New Roman" w:hint="default"/>
          </w:rPr>
          <w:t>http://www.cninfo.com.cn</w:t>
        </w:r>
        <w:r>
          <w:rPr/>
          <w:t>的《关</w:t>
        </w:r>
      </w:hyperlink>
      <w:r>
        <w:rPr/>
        <w:t>于变更公司注册地址并修订公司章程的公告》及章程全文，公告编号</w:t>
      </w:r>
      <w:r>
        <w:rPr>
          <w:rFonts w:ascii="Times New Roman" w:hAnsi="Times New Roman" w:cs="Times New Roman" w:eastAsia="Times New Roman" w:hint="default"/>
        </w:rPr>
        <w:t>2018-024</w:t>
      </w:r>
      <w:r>
        <w:rPr/>
        <w:t>。</w:t>
      </w:r>
    </w:p>
    <w:p>
      <w:pPr>
        <w:pStyle w:val="BodyText"/>
        <w:spacing w:line="300" w:lineRule="auto" w:before="9"/>
        <w:ind w:left="652" w:right="1128" w:firstLine="360"/>
        <w:jc w:val="left"/>
      </w:pPr>
      <w:r>
        <w:rPr>
          <w:rFonts w:ascii="Times New Roman" w:hAnsi="Times New Roman" w:cs="Times New Roman" w:eastAsia="Times New Roman" w:hint="default"/>
          <w:spacing w:val="-2"/>
        </w:rPr>
        <w:t>3</w:t>
      </w:r>
      <w:r>
        <w:rPr>
          <w:spacing w:val="-2"/>
        </w:rPr>
        <w:t>、由于业务梳理、专注主业需要，拟以花都村镇银行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月经审计净资产为依据，确定以人民币</w:t>
      </w:r>
      <w:r>
        <w:rPr>
          <w:rFonts w:ascii="Times New Roman" w:hAnsi="Times New Roman" w:cs="Times New Roman" w:eastAsia="Times New Roman" w:hint="default"/>
          <w:spacing w:val="-2"/>
        </w:rPr>
        <w:t>3,434.5</w:t>
      </w:r>
      <w:r>
        <w:rPr>
          <w:spacing w:val="-2"/>
        </w:rPr>
        <w:t>万元的转让</w:t>
      </w:r>
      <w:r>
        <w:rPr/>
        <w:t> 价格，将持有的参股公司花都村镇银行</w:t>
      </w:r>
      <w:r>
        <w:rPr>
          <w:rFonts w:ascii="Times New Roman" w:hAnsi="Times New Roman" w:cs="Times New Roman" w:eastAsia="Times New Roman" w:hint="default"/>
        </w:rPr>
        <w:t>10.00%</w:t>
      </w:r>
      <w:r>
        <w:rPr/>
        <w:t>的股权转让给广州市浙荣贸易有限责任公司。公司于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日召开第 </w:t>
      </w:r>
      <w:r>
        <w:rPr>
          <w:spacing w:val="-2"/>
        </w:rPr>
        <w:t>六届董事会第四次会议及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日召开的</w:t>
      </w:r>
      <w:r>
        <w:rPr>
          <w:rFonts w:ascii="Times New Roman" w:hAnsi="Times New Roman" w:cs="Times New Roman" w:eastAsia="Times New Roman" w:hint="default"/>
          <w:spacing w:val="-2"/>
        </w:rPr>
        <w:t>2018</w:t>
      </w:r>
      <w:r>
        <w:rPr>
          <w:spacing w:val="-2"/>
        </w:rPr>
        <w:t>年第二次临时股东大会，会议分别审议通过了《关于转让参股公司股权</w:t>
      </w:r>
      <w:r>
        <w:rPr>
          <w:spacing w:val="-57"/>
        </w:rPr>
        <w:t> </w:t>
      </w:r>
      <w:r>
        <w:rPr>
          <w:spacing w:val="-57"/>
        </w:rPr>
      </w:r>
      <w:r>
        <w:rPr/>
        <w:t>的议案》。详见巨潮资讯网</w:t>
      </w:r>
      <w:hyperlink r:id="rId13">
        <w:r>
          <w:rPr>
            <w:rFonts w:ascii="Times New Roman" w:hAnsi="Times New Roman" w:cs="Times New Roman" w:eastAsia="Times New Roman" w:hint="default"/>
          </w:rPr>
          <w:t>http://www.cninfo.com.cn</w:t>
        </w:r>
        <w:r>
          <w:rPr/>
          <w:t>的《关于</w:t>
        </w:r>
      </w:hyperlink>
      <w:r>
        <w:rPr/>
        <w:t>转让参股公司股权的公告》，公告编号</w:t>
      </w:r>
      <w:r>
        <w:rPr>
          <w:rFonts w:ascii="Times New Roman" w:hAnsi="Times New Roman" w:cs="Times New Roman" w:eastAsia="Times New Roman" w:hint="default"/>
        </w:rPr>
        <w:t>2018-055</w:t>
      </w:r>
      <w:r>
        <w:rPr/>
        <w:t>。目前该事项 尚在有关监管部门审批中。</w:t>
      </w:r>
    </w:p>
    <w:p>
      <w:pPr>
        <w:spacing w:line="240" w:lineRule="auto" w:before="11"/>
        <w:rPr>
          <w:rFonts w:ascii="宋体" w:hAnsi="宋体" w:cs="宋体" w:eastAsia="宋体" w:hint="default"/>
          <w:sz w:val="21"/>
          <w:szCs w:val="21"/>
        </w:rPr>
      </w:pPr>
    </w:p>
    <w:p>
      <w:pPr>
        <w:pStyle w:val="Heading2"/>
        <w:spacing w:line="240" w:lineRule="auto"/>
        <w:ind w:left="652" w:right="1042"/>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52"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109"/>
        <w:gridCol w:w="4815"/>
        <w:gridCol w:w="4698"/>
      </w:tblGrid>
      <w:tr>
        <w:trPr>
          <w:trHeight w:val="348" w:hRule="exact"/>
        </w:trPr>
        <w:tc>
          <w:tcPr>
            <w:tcW w:w="11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48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重要事项</w:t>
            </w:r>
            <w:r>
              <w:rPr>
                <w:rFonts w:ascii="宋体" w:hAnsi="宋体" w:cs="宋体" w:eastAsia="宋体" w:hint="default"/>
                <w:sz w:val="18"/>
                <w:szCs w:val="18"/>
              </w:rPr>
            </w:r>
          </w:p>
        </w:tc>
        <w:tc>
          <w:tcPr>
            <w:tcW w:w="46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1284"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both"/>
              <w:rPr>
                <w:rFonts w:ascii="宋体" w:hAnsi="宋体" w:cs="宋体" w:eastAsia="宋体" w:hint="default"/>
                <w:sz w:val="18"/>
                <w:szCs w:val="18"/>
              </w:rPr>
            </w:pPr>
            <w:r>
              <w:rPr>
                <w:rFonts w:ascii="宋体" w:hAnsi="宋体" w:cs="宋体" w:eastAsia="宋体" w:hint="default"/>
                <w:spacing w:val="2"/>
                <w:sz w:val="18"/>
                <w:szCs w:val="18"/>
              </w:rPr>
              <w:t>广州御银金融 电子设备有限 </w:t>
            </w:r>
            <w:r>
              <w:rPr>
                <w:rFonts w:ascii="宋体" w:hAnsi="宋体" w:cs="宋体" w:eastAsia="宋体" w:hint="default"/>
                <w:sz w:val="18"/>
                <w:szCs w:val="18"/>
              </w:rPr>
              <w:t>公司</w:t>
            </w:r>
          </w:p>
        </w:tc>
        <w:tc>
          <w:tcPr>
            <w:tcW w:w="48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4" w:right="-7"/>
              <w:jc w:val="both"/>
              <w:rPr>
                <w:rFonts w:ascii="宋体" w:hAnsi="宋体" w:cs="宋体" w:eastAsia="宋体" w:hint="default"/>
                <w:sz w:val="18"/>
                <w:szCs w:val="18"/>
              </w:rPr>
            </w:pPr>
            <w:r>
              <w:rPr>
                <w:rFonts w:ascii="宋体" w:hAnsi="宋体" w:cs="宋体" w:eastAsia="宋体" w:hint="default"/>
                <w:spacing w:val="3"/>
                <w:sz w:val="18"/>
                <w:szCs w:val="18"/>
              </w:rPr>
              <w:t>公司下属全资孙公司广州御银金融电子设备有限公司拟投资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建设高新科技园，项目总投资计划不超过人民币</w:t>
            </w:r>
            <w:r>
              <w:rPr>
                <w:rFonts w:ascii="Times New Roman" w:hAnsi="Times New Roman" w:cs="Times New Roman" w:eastAsia="Times New Roman" w:hint="default"/>
                <w:spacing w:val="3"/>
                <w:sz w:val="18"/>
                <w:szCs w:val="18"/>
              </w:rPr>
              <w:t>32,365.50</w:t>
            </w:r>
            <w:r>
              <w:rPr>
                <w:rFonts w:ascii="宋体" w:hAnsi="宋体" w:cs="宋体" w:eastAsia="宋体" w:hint="default"/>
                <w:spacing w:val="3"/>
                <w:sz w:val="18"/>
                <w:szCs w:val="18"/>
              </w:rPr>
              <w:t>万</w:t>
            </w:r>
            <w:r>
              <w:rPr>
                <w:rFonts w:ascii="宋体" w:hAnsi="宋体" w:cs="宋体" w:eastAsia="宋体" w:hint="default"/>
                <w:spacing w:val="-88"/>
                <w:sz w:val="18"/>
                <w:szCs w:val="18"/>
              </w:rPr>
              <w:t> </w:t>
            </w:r>
            <w:r>
              <w:rPr>
                <w:rFonts w:ascii="宋体" w:hAnsi="宋体" w:cs="宋体" w:eastAsia="宋体" w:hint="default"/>
                <w:spacing w:val="-3"/>
                <w:sz w:val="18"/>
                <w:szCs w:val="18"/>
              </w:rPr>
              <w:t>元，为智慧银行提供解决方案。项目已取得广东省企业投资项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目备案证，备案项目编号：</w:t>
            </w:r>
            <w:r>
              <w:rPr>
                <w:rFonts w:ascii="Times New Roman" w:hAnsi="Times New Roman" w:cs="Times New Roman" w:eastAsia="Times New Roman" w:hint="default"/>
                <w:sz w:val="18"/>
                <w:szCs w:val="18"/>
              </w:rPr>
              <w:t>2017-440116-35-03-011813</w:t>
            </w:r>
            <w:r>
              <w:rPr>
                <w:rFonts w:ascii="宋体" w:hAnsi="宋体" w:cs="宋体" w:eastAsia="宋体" w:hint="default"/>
                <w:sz w:val="18"/>
                <w:szCs w:val="18"/>
              </w:rPr>
              <w:t>。</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0"/>
              <w:jc w:val="both"/>
              <w:rPr>
                <w:rFonts w:ascii="宋体" w:hAnsi="宋体" w:cs="宋体" w:eastAsia="宋体" w:hint="default"/>
                <w:sz w:val="18"/>
                <w:szCs w:val="18"/>
              </w:rPr>
            </w:pPr>
            <w:r>
              <w:rPr>
                <w:rFonts w:ascii="宋体" w:hAnsi="宋体" w:cs="宋体" w:eastAsia="宋体" w:hint="default"/>
                <w:spacing w:val="-4"/>
                <w:sz w:val="18"/>
                <w:szCs w:val="18"/>
              </w:rPr>
              <w:t>具体内容详见巨潮资讯网（</w:t>
            </w:r>
            <w:r>
              <w:rPr>
                <w:rFonts w:ascii="Times New Roman" w:hAnsi="Times New Roman" w:cs="Times New Roman" w:eastAsia="Times New Roman" w:hint="default"/>
                <w:spacing w:val="-4"/>
                <w:sz w:val="18"/>
                <w:szCs w:val="18"/>
              </w:rPr>
              <w:t>http://www.cninfo,.com.cn</w:t>
            </w:r>
            <w:r>
              <w:rPr>
                <w:rFonts w:ascii="宋体" w:hAnsi="宋体" w:cs="宋体" w:eastAsia="宋体" w:hint="default"/>
                <w:spacing w:val="-4"/>
                <w:sz w:val="18"/>
                <w:szCs w:val="18"/>
              </w:rPr>
              <w:t>）及《证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券时报》、《中国证券报》、《上海证券报》的《关于全资 </w:t>
            </w:r>
            <w:r>
              <w:rPr>
                <w:rFonts w:ascii="宋体" w:hAnsi="宋体" w:cs="宋体" w:eastAsia="宋体" w:hint="default"/>
                <w:spacing w:val="14"/>
                <w:sz w:val="18"/>
                <w:szCs w:val="18"/>
              </w:rPr>
              <w:t>孙公司投资建设高新科技园项目的的公告》（公告编号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2018-007</w:t>
            </w:r>
            <w:r>
              <w:rPr>
                <w:rFonts w:ascii="宋体" w:hAnsi="宋体" w:cs="宋体" w:eastAsia="宋体" w:hint="default"/>
                <w:sz w:val="18"/>
                <w:szCs w:val="18"/>
              </w:rPr>
              <w:t>）</w:t>
            </w:r>
          </w:p>
        </w:tc>
      </w:tr>
      <w:tr>
        <w:trPr>
          <w:trHeight w:val="1282"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both"/>
              <w:rPr>
                <w:rFonts w:ascii="宋体" w:hAnsi="宋体" w:cs="宋体" w:eastAsia="宋体" w:hint="default"/>
                <w:sz w:val="18"/>
                <w:szCs w:val="18"/>
              </w:rPr>
            </w:pPr>
            <w:r>
              <w:rPr>
                <w:rFonts w:ascii="宋体" w:hAnsi="宋体" w:cs="宋体" w:eastAsia="宋体" w:hint="default"/>
                <w:spacing w:val="2"/>
                <w:sz w:val="18"/>
                <w:szCs w:val="18"/>
              </w:rPr>
              <w:t>广州御银金融 电子设备有限 </w:t>
            </w:r>
            <w:r>
              <w:rPr>
                <w:rFonts w:ascii="宋体" w:hAnsi="宋体" w:cs="宋体" w:eastAsia="宋体" w:hint="default"/>
                <w:sz w:val="18"/>
                <w:szCs w:val="18"/>
              </w:rPr>
              <w:t>公司</w:t>
            </w:r>
          </w:p>
        </w:tc>
        <w:tc>
          <w:tcPr>
            <w:tcW w:w="481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3"/>
              <w:jc w:val="both"/>
              <w:rPr>
                <w:rFonts w:ascii="宋体" w:hAnsi="宋体" w:cs="宋体" w:eastAsia="宋体" w:hint="default"/>
                <w:sz w:val="18"/>
                <w:szCs w:val="18"/>
              </w:rPr>
            </w:pPr>
            <w:r>
              <w:rPr>
                <w:rFonts w:ascii="宋体" w:hAnsi="宋体" w:cs="宋体" w:eastAsia="宋体" w:hint="default"/>
                <w:sz w:val="18"/>
                <w:szCs w:val="18"/>
              </w:rPr>
              <w:t>公司通过自动柜员机科技持有御银金融电子</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股权，注册</w:t>
            </w:r>
            <w:r>
              <w:rPr>
                <w:rFonts w:ascii="宋体" w:hAnsi="宋体" w:cs="宋体" w:eastAsia="宋体" w:hint="default"/>
                <w:spacing w:val="-44"/>
                <w:sz w:val="18"/>
                <w:szCs w:val="18"/>
              </w:rPr>
              <w:t> </w:t>
            </w:r>
            <w:r>
              <w:rPr>
                <w:rFonts w:ascii="宋体" w:hAnsi="宋体" w:cs="宋体" w:eastAsia="宋体" w:hint="default"/>
                <w:spacing w:val="-1"/>
                <w:sz w:val="18"/>
                <w:szCs w:val="18"/>
              </w:rPr>
              <w:t>资本为</w:t>
            </w:r>
            <w:r>
              <w:rPr>
                <w:rFonts w:ascii="Times New Roman" w:hAnsi="Times New Roman" w:cs="Times New Roman" w:eastAsia="Times New Roman" w:hint="default"/>
                <w:spacing w:val="-1"/>
                <w:sz w:val="18"/>
                <w:szCs w:val="18"/>
              </w:rPr>
              <w:t>31,500</w:t>
            </w:r>
            <w:r>
              <w:rPr>
                <w:rFonts w:ascii="宋体" w:hAnsi="宋体" w:cs="宋体" w:eastAsia="宋体" w:hint="default"/>
                <w:spacing w:val="-1"/>
                <w:sz w:val="18"/>
                <w:szCs w:val="18"/>
              </w:rPr>
              <w:t>万元整。御银金融电子已完成了股权转让及工商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变更登记手续，并取得了广州市黄埔区市场和质量监督管理局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换发的《营业执照》。</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0"/>
              <w:jc w:val="both"/>
              <w:rPr>
                <w:rFonts w:ascii="宋体" w:hAnsi="宋体" w:cs="宋体" w:eastAsia="宋体" w:hint="default"/>
                <w:sz w:val="18"/>
                <w:szCs w:val="18"/>
              </w:rPr>
            </w:pPr>
            <w:r>
              <w:rPr>
                <w:rFonts w:ascii="宋体" w:hAnsi="宋体" w:cs="宋体" w:eastAsia="宋体" w:hint="default"/>
                <w:spacing w:val="-4"/>
                <w:sz w:val="18"/>
                <w:szCs w:val="18"/>
              </w:rPr>
              <w:t>具体内容详见巨潮资讯网（</w:t>
            </w:r>
            <w:r>
              <w:rPr>
                <w:rFonts w:ascii="Times New Roman" w:hAnsi="Times New Roman" w:cs="Times New Roman" w:eastAsia="Times New Roman" w:hint="default"/>
                <w:spacing w:val="-4"/>
                <w:sz w:val="18"/>
                <w:szCs w:val="18"/>
              </w:rPr>
              <w:t>http://www.cninfo,.com.cn</w:t>
            </w:r>
            <w:r>
              <w:rPr>
                <w:rFonts w:ascii="宋体" w:hAnsi="宋体" w:cs="宋体" w:eastAsia="宋体" w:hint="default"/>
                <w:spacing w:val="-4"/>
                <w:sz w:val="18"/>
                <w:szCs w:val="18"/>
              </w:rPr>
              <w:t>）及《证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券时报》、《中国证券报》、《上海证券报》的《关于孙公 司完成工商变更登记的公告》（公告编号</w:t>
            </w:r>
            <w:r>
              <w:rPr>
                <w:rFonts w:ascii="Times New Roman" w:hAnsi="Times New Roman" w:cs="Times New Roman" w:eastAsia="Times New Roman" w:hint="default"/>
                <w:sz w:val="18"/>
                <w:szCs w:val="18"/>
              </w:rPr>
              <w:t>2018-032</w:t>
            </w:r>
            <w:r>
              <w:rPr>
                <w:rFonts w:ascii="宋体" w:hAnsi="宋体" w:cs="宋体" w:eastAsia="宋体" w:hint="default"/>
                <w:sz w:val="18"/>
                <w:szCs w:val="18"/>
              </w:rPr>
              <w:t>）</w:t>
            </w:r>
          </w:p>
        </w:tc>
      </w:tr>
      <w:tr>
        <w:trPr>
          <w:trHeight w:val="972"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2"/>
                <w:sz w:val="18"/>
                <w:szCs w:val="18"/>
              </w:rPr>
              <w:t>广州御新软件 </w:t>
            </w:r>
            <w:r>
              <w:rPr>
                <w:rFonts w:ascii="宋体" w:hAnsi="宋体" w:cs="宋体" w:eastAsia="宋体" w:hint="default"/>
                <w:sz w:val="18"/>
                <w:szCs w:val="18"/>
              </w:rPr>
              <w:t>有限公司</w:t>
            </w:r>
          </w:p>
        </w:tc>
        <w:tc>
          <w:tcPr>
            <w:tcW w:w="48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7"/>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pacing w:val="-62"/>
                <w:sz w:val="18"/>
                <w:szCs w:val="18"/>
              </w:rPr>
              <w:t> </w:t>
            </w:r>
            <w:r>
              <w:rPr>
                <w:rFonts w:ascii="宋体" w:hAnsi="宋体" w:cs="宋体" w:eastAsia="宋体" w:hint="default"/>
                <w:sz w:val="18"/>
                <w:szCs w:val="18"/>
              </w:rPr>
              <w:t>全</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0"/>
                <w:sz w:val="18"/>
                <w:szCs w:val="18"/>
              </w:rPr>
              <w:t> </w:t>
            </w:r>
            <w:r>
              <w:rPr>
                <w:rFonts w:ascii="宋体" w:hAnsi="宋体" w:cs="宋体" w:eastAsia="宋体" w:hint="default"/>
                <w:sz w:val="18"/>
                <w:szCs w:val="18"/>
              </w:rPr>
              <w:t>子</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0"/>
                <w:sz w:val="18"/>
                <w:szCs w:val="18"/>
              </w:rPr>
              <w:t> </w:t>
            </w:r>
            <w:r>
              <w:rPr>
                <w:rFonts w:ascii="宋体" w:hAnsi="宋体" w:cs="宋体" w:eastAsia="宋体" w:hint="default"/>
                <w:sz w:val="18"/>
                <w:szCs w:val="18"/>
              </w:rPr>
              <w:t>司</w:t>
            </w:r>
            <w:r>
              <w:rPr>
                <w:rFonts w:ascii="宋体" w:hAnsi="宋体" w:cs="宋体" w:eastAsia="宋体" w:hint="default"/>
                <w:spacing w:val="-62"/>
                <w:sz w:val="18"/>
                <w:szCs w:val="18"/>
              </w:rPr>
              <w:t> </w:t>
            </w:r>
            <w:r>
              <w:rPr>
                <w:rFonts w:ascii="宋体" w:hAnsi="宋体" w:cs="宋体" w:eastAsia="宋体" w:hint="default"/>
                <w:sz w:val="18"/>
                <w:szCs w:val="18"/>
              </w:rPr>
              <w:t>御</w:t>
            </w:r>
            <w:r>
              <w:rPr>
                <w:rFonts w:ascii="宋体" w:hAnsi="宋体" w:cs="宋体" w:eastAsia="宋体" w:hint="default"/>
                <w:spacing w:val="-62"/>
                <w:sz w:val="18"/>
                <w:szCs w:val="18"/>
              </w:rPr>
              <w:t> </w:t>
            </w:r>
            <w:r>
              <w:rPr>
                <w:rFonts w:ascii="宋体" w:hAnsi="宋体" w:cs="宋体" w:eastAsia="宋体" w:hint="default"/>
                <w:sz w:val="18"/>
                <w:szCs w:val="18"/>
              </w:rPr>
              <w:t>新</w:t>
            </w:r>
            <w:r>
              <w:rPr>
                <w:rFonts w:ascii="宋体" w:hAnsi="宋体" w:cs="宋体" w:eastAsia="宋体" w:hint="default"/>
                <w:spacing w:val="-60"/>
                <w:sz w:val="18"/>
                <w:szCs w:val="18"/>
              </w:rPr>
              <w:t> </w:t>
            </w:r>
            <w:r>
              <w:rPr>
                <w:rFonts w:ascii="宋体" w:hAnsi="宋体" w:cs="宋体" w:eastAsia="宋体" w:hint="default"/>
                <w:sz w:val="18"/>
                <w:szCs w:val="18"/>
              </w:rPr>
              <w:t>软</w:t>
            </w:r>
            <w:r>
              <w:rPr>
                <w:rFonts w:ascii="宋体" w:hAnsi="宋体" w:cs="宋体" w:eastAsia="宋体" w:hint="default"/>
                <w:spacing w:val="-62"/>
                <w:sz w:val="18"/>
                <w:szCs w:val="18"/>
              </w:rPr>
              <w:t> </w:t>
            </w:r>
            <w:r>
              <w:rPr>
                <w:rFonts w:ascii="宋体" w:hAnsi="宋体" w:cs="宋体" w:eastAsia="宋体" w:hint="default"/>
                <w:sz w:val="18"/>
                <w:szCs w:val="18"/>
              </w:rPr>
              <w:t>件</w:t>
            </w:r>
            <w:r>
              <w:rPr>
                <w:rFonts w:ascii="宋体" w:hAnsi="宋体" w:cs="宋体" w:eastAsia="宋体" w:hint="default"/>
                <w:spacing w:val="-60"/>
                <w:sz w:val="18"/>
                <w:szCs w:val="18"/>
              </w:rPr>
              <w:t> </w:t>
            </w:r>
            <w:r>
              <w:rPr>
                <w:rFonts w:ascii="宋体" w:hAnsi="宋体" w:cs="宋体" w:eastAsia="宋体" w:hint="default"/>
                <w:sz w:val="18"/>
                <w:szCs w:val="18"/>
              </w:rPr>
              <w:t>以</w:t>
            </w:r>
            <w:r>
              <w:rPr>
                <w:rFonts w:ascii="宋体" w:hAnsi="宋体" w:cs="宋体" w:eastAsia="宋体" w:hint="default"/>
                <w:spacing w:val="-62"/>
                <w:sz w:val="18"/>
                <w:szCs w:val="18"/>
              </w:rPr>
              <w:t> </w:t>
            </w:r>
            <w:r>
              <w:rPr>
                <w:rFonts w:ascii="宋体" w:hAnsi="宋体" w:cs="宋体" w:eastAsia="宋体" w:hint="default"/>
                <w:sz w:val="18"/>
                <w:szCs w:val="18"/>
              </w:rPr>
              <w:t>现</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方</w:t>
            </w:r>
            <w:r>
              <w:rPr>
                <w:rFonts w:ascii="宋体" w:hAnsi="宋体" w:cs="宋体" w:eastAsia="宋体" w:hint="default"/>
                <w:spacing w:val="-60"/>
                <w:sz w:val="18"/>
                <w:szCs w:val="18"/>
              </w:rPr>
              <w:t> </w:t>
            </w:r>
            <w:r>
              <w:rPr>
                <w:rFonts w:ascii="宋体" w:hAnsi="宋体" w:cs="宋体" w:eastAsia="宋体" w:hint="default"/>
                <w:sz w:val="18"/>
                <w:szCs w:val="18"/>
              </w:rPr>
              <w:t>式</w:t>
            </w:r>
            <w:r>
              <w:rPr>
                <w:rFonts w:ascii="宋体" w:hAnsi="宋体" w:cs="宋体" w:eastAsia="宋体" w:hint="default"/>
                <w:spacing w:val="-62"/>
                <w:sz w:val="18"/>
                <w:szCs w:val="18"/>
              </w:rPr>
              <w:t> </w:t>
            </w:r>
            <w:r>
              <w:rPr>
                <w:rFonts w:ascii="宋体" w:hAnsi="宋体" w:cs="宋体" w:eastAsia="宋体" w:hint="default"/>
                <w:sz w:val="18"/>
                <w:szCs w:val="18"/>
              </w:rPr>
              <w:t>向</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pacing w:val="-62"/>
                <w:sz w:val="18"/>
                <w:szCs w:val="18"/>
              </w:rPr>
              <w:t> </w:t>
            </w:r>
            <w:r>
              <w:rPr>
                <w:rFonts w:ascii="宋体" w:hAnsi="宋体" w:cs="宋体" w:eastAsia="宋体" w:hint="default"/>
                <w:sz w:val="18"/>
                <w:szCs w:val="18"/>
              </w:rPr>
              <w:t>分</w:t>
            </w:r>
            <w:r>
              <w:rPr>
                <w:rFonts w:ascii="宋体" w:hAnsi="宋体" w:cs="宋体" w:eastAsia="宋体" w:hint="default"/>
                <w:spacing w:val="-60"/>
                <w:sz w:val="18"/>
                <w:szCs w:val="18"/>
              </w:rPr>
              <w:t> </w:t>
            </w:r>
            <w:r>
              <w:rPr>
                <w:rFonts w:ascii="宋体" w:hAnsi="宋体" w:cs="宋体" w:eastAsia="宋体" w:hint="default"/>
                <w:sz w:val="18"/>
                <w:szCs w:val="18"/>
              </w:rPr>
              <w:t>配</w:t>
            </w:r>
            <w:r>
              <w:rPr>
                <w:rFonts w:ascii="宋体" w:hAnsi="宋体" w:cs="宋体" w:eastAsia="宋体" w:hint="default"/>
                <w:spacing w:val="-62"/>
                <w:sz w:val="18"/>
                <w:szCs w:val="18"/>
              </w:rPr>
              <w:t> </w:t>
            </w:r>
            <w:r>
              <w:rPr>
                <w:rFonts w:ascii="宋体" w:hAnsi="宋体" w:cs="宋体" w:eastAsia="宋体" w:hint="default"/>
                <w:sz w:val="18"/>
                <w:szCs w:val="18"/>
              </w:rPr>
              <w:t>利</w:t>
            </w:r>
            <w:r>
              <w:rPr>
                <w:rFonts w:ascii="宋体" w:hAnsi="宋体" w:cs="宋体" w:eastAsia="宋体" w:hint="default"/>
                <w:spacing w:val="-60"/>
                <w:sz w:val="18"/>
                <w:szCs w:val="18"/>
              </w:rPr>
              <w:t> </w:t>
            </w:r>
            <w:r>
              <w:rPr>
                <w:rFonts w:ascii="宋体" w:hAnsi="宋体" w:cs="宋体" w:eastAsia="宋体" w:hint="default"/>
                <w:sz w:val="18"/>
                <w:szCs w:val="18"/>
              </w:rPr>
              <w:t>润</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100,000,000</w:t>
            </w:r>
            <w:r>
              <w:rPr>
                <w:rFonts w:ascii="宋体" w:hAnsi="宋体" w:cs="宋体" w:eastAsia="宋体" w:hint="default"/>
                <w:spacing w:val="-2"/>
                <w:sz w:val="18"/>
                <w:szCs w:val="18"/>
              </w:rPr>
              <w:t>元，本次所得分红将增加</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年母公司报表利润，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但不增加公司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年合并报表的净利润。</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both"/>
              <w:rPr>
                <w:rFonts w:ascii="宋体" w:hAnsi="宋体" w:cs="宋体" w:eastAsia="宋体" w:hint="default"/>
                <w:sz w:val="18"/>
                <w:szCs w:val="18"/>
              </w:rPr>
            </w:pPr>
            <w:r>
              <w:rPr>
                <w:rFonts w:ascii="宋体" w:hAnsi="宋体" w:cs="宋体" w:eastAsia="宋体" w:hint="default"/>
                <w:spacing w:val="-4"/>
                <w:sz w:val="18"/>
                <w:szCs w:val="18"/>
              </w:rPr>
              <w:t>具体内容详见巨潮资讯网（</w:t>
            </w:r>
            <w:r>
              <w:rPr>
                <w:rFonts w:ascii="Times New Roman" w:hAnsi="Times New Roman" w:cs="Times New Roman" w:eastAsia="Times New Roman" w:hint="default"/>
                <w:spacing w:val="-4"/>
                <w:sz w:val="18"/>
                <w:szCs w:val="18"/>
              </w:rPr>
              <w:t>http://www.cninfo,.com.cn</w:t>
            </w:r>
            <w:r>
              <w:rPr>
                <w:rFonts w:ascii="宋体" w:hAnsi="宋体" w:cs="宋体" w:eastAsia="宋体" w:hint="default"/>
                <w:spacing w:val="-4"/>
                <w:sz w:val="18"/>
                <w:szCs w:val="18"/>
              </w:rPr>
              <w:t>）及《证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券时报》、《中国证券报》、《上海证券报》的《关于收到 全资子公司分红款的公告》（公告编号</w:t>
            </w:r>
            <w:r>
              <w:rPr>
                <w:rFonts w:ascii="Times New Roman" w:hAnsi="Times New Roman" w:cs="Times New Roman" w:eastAsia="Times New Roman" w:hint="default"/>
                <w:sz w:val="18"/>
                <w:szCs w:val="18"/>
              </w:rPr>
              <w:t>2018-036</w:t>
            </w:r>
            <w:r>
              <w:rPr>
                <w:rFonts w:ascii="宋体" w:hAnsi="宋体" w:cs="宋体" w:eastAsia="宋体" w:hint="default"/>
                <w:sz w:val="18"/>
                <w:szCs w:val="18"/>
              </w:rPr>
              <w:t>）</w:t>
            </w:r>
          </w:p>
        </w:tc>
      </w:tr>
      <w:tr>
        <w:trPr>
          <w:trHeight w:val="972"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2"/>
                <w:sz w:val="18"/>
                <w:szCs w:val="18"/>
              </w:rPr>
              <w:t>广州御商信息 </w:t>
            </w:r>
            <w:r>
              <w:rPr>
                <w:rFonts w:ascii="宋体" w:hAnsi="宋体" w:cs="宋体" w:eastAsia="宋体" w:hint="default"/>
                <w:sz w:val="18"/>
                <w:szCs w:val="18"/>
              </w:rPr>
              <w:t>科技有限公司</w:t>
            </w:r>
          </w:p>
        </w:tc>
        <w:tc>
          <w:tcPr>
            <w:tcW w:w="48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3"/>
                <w:sz w:val="18"/>
                <w:szCs w:val="18"/>
              </w:rPr>
              <w:t>公司通过固定资产及货币资金出资方式设立全资子公司广州</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御商信息科技有限公司，注册资本为人民币</w:t>
            </w:r>
            <w:r>
              <w:rPr>
                <w:rFonts w:ascii="Times New Roman" w:hAnsi="Times New Roman" w:cs="Times New Roman" w:eastAsia="Times New Roman" w:hint="default"/>
                <w:sz w:val="18"/>
                <w:szCs w:val="18"/>
              </w:rPr>
              <w:t>1,850</w:t>
            </w:r>
            <w:r>
              <w:rPr>
                <w:rFonts w:ascii="宋体" w:hAnsi="宋体" w:cs="宋体" w:eastAsia="宋体" w:hint="default"/>
                <w:sz w:val="18"/>
                <w:szCs w:val="18"/>
              </w:rPr>
              <w:t>万元。</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0"/>
              <w:jc w:val="both"/>
              <w:rPr>
                <w:rFonts w:ascii="宋体" w:hAnsi="宋体" w:cs="宋体" w:eastAsia="宋体" w:hint="default"/>
                <w:sz w:val="18"/>
                <w:szCs w:val="18"/>
              </w:rPr>
            </w:pPr>
            <w:r>
              <w:rPr>
                <w:rFonts w:ascii="宋体" w:hAnsi="宋体" w:cs="宋体" w:eastAsia="宋体" w:hint="default"/>
                <w:spacing w:val="-4"/>
                <w:sz w:val="18"/>
                <w:szCs w:val="18"/>
              </w:rPr>
              <w:t>具体内容详见巨潮资讯网（</w:t>
            </w:r>
            <w:r>
              <w:rPr>
                <w:rFonts w:ascii="Times New Roman" w:hAnsi="Times New Roman" w:cs="Times New Roman" w:eastAsia="Times New Roman" w:hint="default"/>
                <w:spacing w:val="-4"/>
                <w:sz w:val="18"/>
                <w:szCs w:val="18"/>
              </w:rPr>
              <w:t>http://www.cninfo,.com.cn</w:t>
            </w:r>
            <w:r>
              <w:rPr>
                <w:rFonts w:ascii="宋体" w:hAnsi="宋体" w:cs="宋体" w:eastAsia="宋体" w:hint="default"/>
                <w:spacing w:val="-4"/>
                <w:sz w:val="18"/>
                <w:szCs w:val="18"/>
              </w:rPr>
              <w:t>）及《证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券时报》、《中国证券报》、《上海证券报》的《关于全资 子公司完成工商注册登记的公告》（公告编号</w:t>
            </w:r>
            <w:r>
              <w:rPr>
                <w:rFonts w:ascii="Times New Roman" w:hAnsi="Times New Roman" w:cs="Times New Roman" w:eastAsia="Times New Roman" w:hint="default"/>
                <w:sz w:val="18"/>
                <w:szCs w:val="18"/>
              </w:rPr>
              <w:t>2018-046</w:t>
            </w:r>
            <w:r>
              <w:rPr>
                <w:rFonts w:ascii="宋体" w:hAnsi="宋体" w:cs="宋体" w:eastAsia="宋体" w:hint="default"/>
                <w:sz w:val="18"/>
                <w:szCs w:val="18"/>
              </w:rPr>
              <w:t>）</w:t>
            </w:r>
          </w:p>
        </w:tc>
      </w:tr>
    </w:tbl>
    <w:p>
      <w:pPr>
        <w:spacing w:after="0" w:line="309" w:lineRule="auto"/>
        <w:jc w:val="both"/>
        <w:rPr>
          <w:rFonts w:ascii="宋体" w:hAnsi="宋体" w:cs="宋体" w:eastAsia="宋体" w:hint="default"/>
          <w:sz w:val="18"/>
          <w:szCs w:val="18"/>
        </w:rPr>
        <w:sectPr>
          <w:pgSz w:w="11910" w:h="16840"/>
          <w:pgMar w:header="745" w:footer="980" w:top="1060" w:bottom="1160" w:left="4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964" w:right="1133"/>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80" w:top="1060" w:bottom="1160" w:left="980" w:right="0"/>
        </w:sectPr>
      </w:pPr>
    </w:p>
    <w:p>
      <w:pPr>
        <w:pStyle w:val="Heading3"/>
        <w:spacing w:line="240" w:lineRule="auto" w:before="36"/>
        <w:ind w:right="-1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5"/>
        <w:ind w:right="0"/>
        <w:jc w:val="left"/>
      </w:pPr>
      <w:r>
        <w:rPr/>
        <w:t>单位：股</w:t>
      </w:r>
    </w:p>
    <w:p>
      <w:pPr>
        <w:spacing w:after="0" w:line="240" w:lineRule="auto"/>
        <w:jc w:val="left"/>
        <w:sectPr>
          <w:type w:val="continuous"/>
          <w:pgSz w:w="11910" w:h="16840"/>
          <w:pgMar w:top="1060" w:bottom="1160" w:left="980" w:right="0"/>
          <w:cols w:num="2" w:equalWidth="0">
            <w:col w:w="1737" w:space="7183"/>
            <w:col w:w="2010"/>
          </w:cols>
        </w:sectPr>
      </w:pP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1986"/>
        <w:gridCol w:w="967"/>
        <w:gridCol w:w="701"/>
        <w:gridCol w:w="864"/>
        <w:gridCol w:w="418"/>
        <w:gridCol w:w="1071"/>
        <w:gridCol w:w="1010"/>
        <w:gridCol w:w="1011"/>
        <w:gridCol w:w="955"/>
        <w:gridCol w:w="703"/>
      </w:tblGrid>
      <w:tr>
        <w:trPr>
          <w:trHeight w:val="206" w:hRule="exact"/>
        </w:trPr>
        <w:tc>
          <w:tcPr>
            <w:tcW w:w="1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7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9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986" w:type="dxa"/>
            <w:vMerge w:val="restart"/>
            <w:tcBorders>
              <w:top w:val="nil" w:sz="6" w:space="0" w:color="auto"/>
              <w:left w:val="single" w:sz="4" w:space="0" w:color="000000"/>
              <w:right w:val="single" w:sz="4" w:space="0" w:color="000000"/>
            </w:tcBorders>
            <w:shd w:val="clear" w:color="auto" w:fill="D2D2D2"/>
          </w:tcPr>
          <w:p>
            <w:pPr/>
          </w:p>
        </w:tc>
        <w:tc>
          <w:tcPr>
            <w:tcW w:w="1667" w:type="dxa"/>
            <w:gridSpan w:val="2"/>
            <w:vMerge/>
            <w:tcBorders>
              <w:left w:val="single" w:sz="4" w:space="0" w:color="000000"/>
              <w:bottom w:val="single" w:sz="4" w:space="0" w:color="000000"/>
              <w:right w:val="single" w:sz="4" w:space="0" w:color="000000"/>
            </w:tcBorders>
            <w:shd w:val="clear" w:color="auto" w:fill="D2D2D2"/>
          </w:tcPr>
          <w:p>
            <w:pPr/>
          </w:p>
        </w:tc>
        <w:tc>
          <w:tcPr>
            <w:tcW w:w="4374" w:type="dxa"/>
            <w:gridSpan w:val="5"/>
            <w:vMerge/>
            <w:tcBorders>
              <w:left w:val="single" w:sz="4" w:space="0" w:color="000000"/>
              <w:bottom w:val="single" w:sz="4" w:space="0" w:color="000000"/>
              <w:right w:val="single" w:sz="4" w:space="0" w:color="000000"/>
            </w:tcBorders>
            <w:shd w:val="clear" w:color="auto" w:fill="D2D2D2"/>
          </w:tcPr>
          <w:p>
            <w:pPr/>
          </w:p>
        </w:tc>
        <w:tc>
          <w:tcPr>
            <w:tcW w:w="165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86"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86"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116,671,920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15.33%</w:t>
            </w:r>
          </w:p>
        </w:tc>
        <w:tc>
          <w:tcPr>
            <w:tcW w:w="864"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-116,671,920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-116,671,920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116,671,920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15.33%</w:t>
            </w:r>
          </w:p>
        </w:tc>
        <w:tc>
          <w:tcPr>
            <w:tcW w:w="864"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-116,671,920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-116,671,920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116,671,920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15.33%</w:t>
            </w:r>
          </w:p>
        </w:tc>
        <w:tc>
          <w:tcPr>
            <w:tcW w:w="864"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-116,671,920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-116,671,920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644,519,374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84.67%</w:t>
            </w:r>
          </w:p>
        </w:tc>
        <w:tc>
          <w:tcPr>
            <w:tcW w:w="864"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116,671,920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116,671,920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644,519,374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84.67%</w:t>
            </w:r>
          </w:p>
        </w:tc>
        <w:tc>
          <w:tcPr>
            <w:tcW w:w="864"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116,671,920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116,671,920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761,191,294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8"/>
        <w:ind w:right="1133"/>
        <w:jc w:val="left"/>
      </w:pPr>
      <w:r>
        <w:rPr/>
        <w:t>股份变动的原因</w:t>
      </w:r>
    </w:p>
    <w:p>
      <w:pPr>
        <w:pStyle w:val="BodyText"/>
        <w:spacing w:line="300" w:lineRule="auto" w:before="76"/>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本次股份变动的原因系董事、监事及高管的限售股在本期按规定自动进行解锁、买卖所致，董事、监事及高管所持股份</w:t>
      </w:r>
    </w:p>
    <w:p>
      <w:pPr>
        <w:pStyle w:val="BodyText"/>
        <w:spacing w:line="316" w:lineRule="auto" w:before="31"/>
        <w:ind w:right="6614"/>
        <w:jc w:val="left"/>
      </w:pPr>
      <w:r>
        <w:rPr/>
        <w:t>的解锁及买卖情况按照中国证监会的相关规定执行。 股份变动的批准情况</w:t>
      </w:r>
    </w:p>
    <w:p>
      <w:pPr>
        <w:pStyle w:val="BodyText"/>
        <w:spacing w:line="300" w:lineRule="auto" w:before="1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00" w:lineRule="auto" w:before="32"/>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00" w:lineRule="auto" w:before="31"/>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00" w:lineRule="auto" w:before="3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00" w:lineRule="auto" w:before="3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8"/>
        <w:gridCol w:w="1162"/>
        <w:gridCol w:w="1609"/>
        <w:gridCol w:w="1632"/>
        <w:gridCol w:w="1260"/>
        <w:gridCol w:w="1263"/>
        <w:gridCol w:w="1385"/>
      </w:tblGrid>
      <w:tr>
        <w:trPr>
          <w:trHeight w:val="401"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116,671,920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116,671,920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
              <w:jc w:val="center"/>
              <w:rPr>
                <w:rFonts w:ascii="宋体" w:hAnsi="宋体" w:cs="宋体" w:eastAsia="宋体" w:hint="default"/>
                <w:sz w:val="18"/>
                <w:szCs w:val="18"/>
              </w:rPr>
            </w:pPr>
            <w:r>
              <w:rPr>
                <w:rFonts w:ascii="宋体" w:hAnsi="宋体" w:cs="宋体" w:eastAsia="宋体" w:hint="default"/>
                <w:sz w:val="18"/>
                <w:szCs w:val="18"/>
              </w:rPr>
              <w:t>高管离职锁定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116,671,920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116,671,920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832" w:right="114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832" w:right="114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832" w:right="114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832" w:right="114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32" w:right="114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832" w:right="114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45"/>
        <w:gridCol w:w="371"/>
        <w:gridCol w:w="372"/>
        <w:gridCol w:w="713"/>
        <w:gridCol w:w="855"/>
        <w:gridCol w:w="402"/>
        <w:gridCol w:w="743"/>
        <w:gridCol w:w="427"/>
        <w:gridCol w:w="1176"/>
        <w:gridCol w:w="896"/>
        <w:gridCol w:w="203"/>
        <w:gridCol w:w="341"/>
        <w:gridCol w:w="1261"/>
        <w:gridCol w:w="900"/>
        <w:gridCol w:w="745"/>
        <w:gridCol w:w="333"/>
      </w:tblGrid>
      <w:tr>
        <w:trPr>
          <w:trHeight w:val="714" w:hRule="exact"/>
        </w:trPr>
        <w:tc>
          <w:tcPr>
            <w:tcW w:w="1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43"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91,504</w:t>
            </w:r>
          </w:p>
        </w:tc>
        <w:tc>
          <w:tcPr>
            <w:tcW w:w="19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6"/>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743"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95,438</w:t>
            </w:r>
          </w:p>
        </w:tc>
        <w:tc>
          <w:tcPr>
            <w:tcW w:w="2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0"/>
              <w:jc w:val="left"/>
              <w:rPr>
                <w:rFonts w:ascii="宋体" w:hAnsi="宋体" w:cs="宋体" w:eastAsia="宋体" w:hint="default"/>
                <w:sz w:val="18"/>
                <w:szCs w:val="18"/>
              </w:rPr>
            </w:pPr>
            <w:r>
              <w:rPr>
                <w:rFonts w:ascii="宋体" w:hAnsi="宋体" w:cs="宋体" w:eastAsia="宋体" w:hint="default"/>
                <w:sz w:val="18"/>
                <w:szCs w:val="18"/>
              </w:rPr>
              <w:t>报告期末表决权恢复的优先股 </w:t>
            </w:r>
            <w:r>
              <w:rPr>
                <w:rFonts w:ascii="宋体" w:hAnsi="宋体" w:cs="宋体" w:eastAsia="宋体" w:hint="default"/>
                <w:spacing w:val="-8"/>
                <w:sz w:val="18"/>
                <w:szCs w:val="18"/>
              </w:rPr>
              <w:t>股东总数（如有）（参见注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03"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0</w:t>
            </w:r>
          </w:p>
        </w:tc>
        <w:tc>
          <w:tcPr>
            <w:tcW w:w="32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年度报告披露日前上一月末表决权恢复 </w:t>
            </w:r>
            <w:r>
              <w:rPr>
                <w:rFonts w:ascii="宋体" w:hAnsi="宋体" w:cs="宋体" w:eastAsia="宋体" w:hint="default"/>
                <w:spacing w:val="-6"/>
                <w:sz w:val="18"/>
                <w:szCs w:val="18"/>
              </w:rPr>
              <w:t>的优先股股东总数（如有）（参见注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10982"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61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23" w:right="41"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44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66" w:right="83"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86" w:right="8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61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7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报告期末持股数量</w:t>
            </w:r>
          </w:p>
        </w:tc>
        <w:tc>
          <w:tcPr>
            <w:tcW w:w="1176" w:type="dxa"/>
            <w:vMerge/>
            <w:tcBorders>
              <w:left w:val="single" w:sz="4" w:space="0" w:color="000000"/>
              <w:right w:val="single" w:sz="4" w:space="0" w:color="000000"/>
            </w:tcBorders>
            <w:shd w:val="clear" w:color="auto" w:fill="D2D2D2"/>
          </w:tcPr>
          <w:p>
            <w:pPr/>
          </w:p>
        </w:tc>
        <w:tc>
          <w:tcPr>
            <w:tcW w:w="1440" w:type="dxa"/>
            <w:gridSpan w:val="3"/>
            <w:vMerge/>
            <w:tcBorders>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9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16" w:type="dxa"/>
            <w:gridSpan w:val="2"/>
            <w:vMerge/>
            <w:tcBorders>
              <w:left w:val="single" w:sz="4" w:space="0" w:color="000000"/>
              <w:bottom w:val="nil" w:sz="6" w:space="0" w:color="auto"/>
              <w:right w:val="single" w:sz="4" w:space="0" w:color="000000"/>
            </w:tcBorders>
            <w:shd w:val="clear" w:color="auto" w:fill="D2D2D2"/>
          </w:tcPr>
          <w:p>
            <w:pPr/>
          </w:p>
        </w:tc>
        <w:tc>
          <w:tcPr>
            <w:tcW w:w="1085" w:type="dxa"/>
            <w:gridSpan w:val="2"/>
            <w:vMerge/>
            <w:tcBorders>
              <w:left w:val="single" w:sz="4" w:space="0" w:color="000000"/>
              <w:bottom w:val="nil" w:sz="6" w:space="0" w:color="auto"/>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1572" w:type="dxa"/>
            <w:gridSpan w:val="3"/>
            <w:vMerge/>
            <w:tcBorders>
              <w:left w:val="single" w:sz="4" w:space="0" w:color="000000"/>
              <w:bottom w:val="nil" w:sz="6" w:space="0" w:color="auto"/>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440" w:type="dxa"/>
            <w:gridSpan w:val="3"/>
            <w:vMerge/>
            <w:tcBorders>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61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440" w:type="dxa"/>
            <w:gridSpan w:val="3"/>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78" w:type="dxa"/>
            <w:gridSpan w:val="2"/>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right"/>
              <w:rPr>
                <w:rFonts w:ascii="Times New Roman" w:hAnsi="Times New Roman" w:cs="Times New Roman" w:eastAsia="Times New Roman" w:hint="default"/>
                <w:sz w:val="18"/>
                <w:szCs w:val="18"/>
              </w:rPr>
            </w:pPr>
            <w:r>
              <w:rPr>
                <w:rFonts w:ascii="Times New Roman"/>
                <w:sz w:val="18"/>
              </w:rPr>
              <w:t>20.44%</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640" w:right="0"/>
              <w:jc w:val="left"/>
              <w:rPr>
                <w:rFonts w:ascii="Times New Roman" w:hAnsi="Times New Roman" w:cs="Times New Roman" w:eastAsia="Times New Roman" w:hint="default"/>
                <w:sz w:val="18"/>
                <w:szCs w:val="18"/>
              </w:rPr>
            </w:pPr>
            <w:r>
              <w:rPr>
                <w:rFonts w:ascii="Times New Roman"/>
                <w:sz w:val="18"/>
              </w:rPr>
              <w:t>155,562,560</w:t>
            </w:r>
          </w:p>
        </w:tc>
        <w:tc>
          <w:tcPr>
            <w:tcW w:w="11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w:t>
            </w:r>
          </w:p>
        </w:tc>
        <w:tc>
          <w:tcPr>
            <w:tcW w:w="1440" w:type="dxa"/>
            <w:gridSpan w:val="3"/>
            <w:tcBorders>
              <w:top w:val="single" w:sz="18" w:space="0" w:color="D2D2D2"/>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155,562,560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2" w:right="0"/>
              <w:jc w:val="left"/>
              <w:rPr>
                <w:rFonts w:ascii="Times New Roman" w:hAnsi="Times New Roman" w:cs="Times New Roman" w:eastAsia="Times New Roman" w:hint="default"/>
                <w:sz w:val="18"/>
                <w:szCs w:val="18"/>
              </w:rPr>
            </w:pPr>
            <w:r>
              <w:rPr>
                <w:rFonts w:ascii="Times New Roman"/>
                <w:sz w:val="18"/>
              </w:rPr>
              <w:t>62,190,000</w:t>
            </w:r>
          </w:p>
        </w:tc>
      </w:tr>
      <w:tr>
        <w:trPr>
          <w:trHeight w:val="715"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1"/>
              <w:jc w:val="left"/>
              <w:rPr>
                <w:rFonts w:ascii="宋体" w:hAnsi="宋体" w:cs="宋体" w:eastAsia="宋体" w:hint="default"/>
                <w:sz w:val="18"/>
                <w:szCs w:val="18"/>
              </w:rPr>
            </w:pPr>
            <w:r>
              <w:rPr>
                <w:rFonts w:ascii="宋体" w:hAnsi="宋体" w:cs="宋体" w:eastAsia="宋体" w:hint="default"/>
                <w:sz w:val="18"/>
                <w:szCs w:val="18"/>
              </w:rPr>
              <w:t>中央汇金资产管理 有限责任公司</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2,006,200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周婷</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sz w:val="18"/>
              </w:rPr>
              <w:t>1,780,100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1,780,100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郑勇</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0.21%</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0" w:right="0"/>
              <w:jc w:val="left"/>
              <w:rPr>
                <w:rFonts w:ascii="Times New Roman" w:hAnsi="Times New Roman" w:cs="Times New Roman" w:eastAsia="Times New Roman" w:hint="default"/>
                <w:sz w:val="18"/>
                <w:szCs w:val="18"/>
              </w:rPr>
            </w:pPr>
            <w:r>
              <w:rPr>
                <w:rFonts w:ascii="Times New Roman"/>
                <w:sz w:val="18"/>
              </w:rPr>
              <w:t>1,625,900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45,900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1,625,900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赖海良</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sz w:val="18"/>
              </w:rPr>
              <w:t>1,609,100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1,609,100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黄立彬</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0.16%</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0" w:right="0"/>
              <w:jc w:val="left"/>
              <w:rPr>
                <w:rFonts w:ascii="Times New Roman" w:hAnsi="Times New Roman" w:cs="Times New Roman" w:eastAsia="Times New Roman" w:hint="default"/>
                <w:sz w:val="18"/>
                <w:szCs w:val="18"/>
              </w:rPr>
            </w:pPr>
            <w:r>
              <w:rPr>
                <w:rFonts w:ascii="Times New Roman"/>
                <w:sz w:val="18"/>
              </w:rPr>
              <w:t>1,251,000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1,251,000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蔡祖彬</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sz w:val="18"/>
              </w:rPr>
              <w:t>1,122,152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314,500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1,122,152</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王林</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0.15%</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0" w:right="0"/>
              <w:jc w:val="left"/>
              <w:rPr>
                <w:rFonts w:ascii="Times New Roman" w:hAnsi="Times New Roman" w:cs="Times New Roman" w:eastAsia="Times New Roman" w:hint="default"/>
                <w:sz w:val="18"/>
                <w:szCs w:val="18"/>
              </w:rPr>
            </w:pPr>
            <w:r>
              <w:rPr>
                <w:rFonts w:ascii="Times New Roman"/>
                <w:sz w:val="18"/>
              </w:rPr>
              <w:t>1,121,274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-737,657</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1,121,274</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屠麟</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sz w:val="18"/>
              </w:rPr>
              <w:t>1,100,000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赵青</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0.14%</w:t>
            </w:r>
          </w:p>
        </w:tc>
        <w:tc>
          <w:tcPr>
            <w:tcW w:w="15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0" w:right="0"/>
              <w:jc w:val="left"/>
              <w:rPr>
                <w:rFonts w:ascii="Times New Roman" w:hAnsi="Times New Roman" w:cs="Times New Roman" w:eastAsia="Times New Roman" w:hint="default"/>
                <w:sz w:val="18"/>
                <w:szCs w:val="18"/>
              </w:rPr>
            </w:pPr>
            <w:r>
              <w:rPr>
                <w:rFonts w:ascii="Times New Roman"/>
                <w:sz w:val="18"/>
              </w:rPr>
              <w:t>1,077,950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-37,800</w:t>
            </w:r>
          </w:p>
        </w:tc>
        <w:tc>
          <w:tcPr>
            <w:tcW w:w="1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1,077,950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78"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2"/>
                <w:sz w:val="18"/>
                <w:szCs w:val="18"/>
              </w:rPr>
              <w:t>）</w:t>
            </w:r>
            <w:r>
              <w:rPr>
                <w:rFonts w:ascii="宋体" w:hAnsi="宋体" w:cs="宋体" w:eastAsia="宋体" w:hint="default"/>
                <w:sz w:val="18"/>
                <w:szCs w:val="18"/>
              </w:rPr>
              <w:t>（参</w:t>
            </w:r>
            <w:r>
              <w:rPr>
                <w:rFonts w:ascii="宋体" w:hAnsi="宋体" w:cs="宋体" w:eastAsia="宋体" w:hint="default"/>
                <w:spacing w:val="2"/>
                <w:sz w:val="18"/>
                <w:szCs w:val="18"/>
              </w:rPr>
              <w:t>见</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42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5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42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1"/>
                <w:sz w:val="18"/>
                <w:szCs w:val="18"/>
              </w:rPr>
              <w:t>公司未知前十名股东之间是否存在关联关系，也未知是否属于《上市公司股东持股变动信息披</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露管理办法》中规定的一致行动人</w:t>
            </w:r>
          </w:p>
        </w:tc>
      </w:tr>
    </w:tbl>
    <w:p>
      <w:pPr>
        <w:spacing w:after="0" w:line="314" w:lineRule="auto"/>
        <w:jc w:val="left"/>
        <w:rPr>
          <w:rFonts w:ascii="宋体" w:hAnsi="宋体" w:cs="宋体" w:eastAsia="宋体" w:hint="default"/>
          <w:sz w:val="18"/>
          <w:szCs w:val="18"/>
        </w:rPr>
        <w:sectPr>
          <w:pgSz w:w="11910" w:h="16840"/>
          <w:pgMar w:header="745" w:footer="980" w:top="1060" w:bottom="1160" w:left="30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4501"/>
        <w:gridCol w:w="3312"/>
        <w:gridCol w:w="1309"/>
        <w:gridCol w:w="1860"/>
      </w:tblGrid>
      <w:tr>
        <w:trPr>
          <w:trHeight w:val="402" w:hRule="exact"/>
        </w:trPr>
        <w:tc>
          <w:tcPr>
            <w:tcW w:w="109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45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4501" w:type="dxa"/>
            <w:vMerge/>
            <w:tcBorders>
              <w:left w:val="single" w:sz="4" w:space="0" w:color="000000"/>
              <w:bottom w:val="single" w:sz="4" w:space="0" w:color="000000"/>
              <w:right w:val="single" w:sz="4" w:space="0" w:color="000000"/>
            </w:tcBorders>
            <w:shd w:val="clear" w:color="auto" w:fill="D2D2D2"/>
          </w:tcPr>
          <w:p>
            <w:pPr/>
          </w:p>
        </w:tc>
        <w:tc>
          <w:tcPr>
            <w:tcW w:w="3312" w:type="dxa"/>
            <w:vMerge/>
            <w:tcBorders>
              <w:left w:val="single" w:sz="4" w:space="0" w:color="000000"/>
              <w:bottom w:val="single" w:sz="4" w:space="0" w:color="000000"/>
              <w:right w:val="single" w:sz="4" w:space="0" w:color="000000"/>
            </w:tcBorders>
            <w:shd w:val="clear" w:color="auto" w:fill="D2D2D2"/>
          </w:tcPr>
          <w:p>
            <w:pP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155,562,560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155,562,560</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2,006,200</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周婷</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1,780,100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1,780,100</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郑勇</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1,625,900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1,625,900</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赖海良</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1,609,100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1,609,100</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黄立彬</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1,251,000</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蔡祖彬</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1,122,152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1,122,152</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王林</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1,121,274</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1,121,274</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屠麟</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赵青</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1,077,950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1,077,950</w:t>
            </w:r>
          </w:p>
        </w:tc>
      </w:tr>
      <w:tr>
        <w:trPr>
          <w:trHeight w:val="715"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648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pacing w:val="-2"/>
                <w:sz w:val="18"/>
                <w:szCs w:val="18"/>
              </w:rPr>
              <w:t>公司未知前十名股东之间是否存在关联关系，也未知是否属于《上市公司股东持股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变动信息披露管理办法》中规定的一致行动人</w:t>
            </w:r>
          </w:p>
        </w:tc>
      </w:tr>
      <w:tr>
        <w:trPr>
          <w:trHeight w:val="29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名普通股股东参与融资融券业务情况说明（如有）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4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公司股东赖海良通过信用交易担保证券账户持有本公司股票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757,200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股，通过普通</w:t>
            </w:r>
          </w:p>
          <w:p>
            <w:pPr>
              <w:pStyle w:val="TableParagraph"/>
              <w:spacing w:line="300" w:lineRule="auto" w:before="63"/>
              <w:ind w:left="23" w:right="53"/>
              <w:jc w:val="left"/>
              <w:rPr>
                <w:rFonts w:ascii="宋体" w:hAnsi="宋体" w:cs="宋体" w:eastAsia="宋体" w:hint="default"/>
                <w:sz w:val="18"/>
                <w:szCs w:val="18"/>
              </w:rPr>
            </w:pPr>
            <w:r>
              <w:rPr>
                <w:rFonts w:ascii="宋体" w:hAnsi="宋体" w:cs="宋体" w:eastAsia="宋体" w:hint="default"/>
                <w:sz w:val="18"/>
                <w:szCs w:val="18"/>
              </w:rPr>
              <w:t>证券账户持有本公司股票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851,900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1,609,100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 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0.21%</w:t>
            </w:r>
            <w:r>
              <w:rPr>
                <w:rFonts w:ascii="宋体" w:hAnsi="宋体" w:cs="宋体" w:eastAsia="宋体" w:hint="default"/>
                <w:sz w:val="18"/>
                <w:szCs w:val="18"/>
              </w:rPr>
              <w:t>；公司股东蔡祖彬通过信用交易担保证券账户持有本公司股票 </w:t>
            </w:r>
            <w:r>
              <w:rPr>
                <w:rFonts w:ascii="Times New Roman" w:hAnsi="Times New Roman" w:cs="Times New Roman" w:eastAsia="Times New Roman" w:hint="default"/>
                <w:sz w:val="18"/>
                <w:szCs w:val="18"/>
              </w:rPr>
              <w:t>21,900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股，通过普通证券账户持有本公司股票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1,100,252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股，合计持有本公司股票</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1,122,152 </w:t>
            </w:r>
            <w:r>
              <w:rPr>
                <w:rFonts w:ascii="宋体" w:hAnsi="宋体" w:cs="宋体" w:eastAsia="宋体" w:hint="default"/>
                <w:spacing w:val="-4"/>
                <w:sz w:val="18"/>
                <w:szCs w:val="18"/>
              </w:rPr>
              <w:t>股，占本公司总股本的</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0.15%</w:t>
            </w:r>
            <w:r>
              <w:rPr>
                <w:rFonts w:ascii="宋体" w:hAnsi="宋体" w:cs="宋体" w:eastAsia="宋体" w:hint="default"/>
                <w:sz w:val="18"/>
                <w:szCs w:val="18"/>
              </w:rPr>
              <w:t>；公司股东王林通过信用交易担保证券账户</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持有本公司股票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29,498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股，通过普通证券账户持有本公司股票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1,091,776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 持有本公司股票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1,121,274 </w:t>
            </w:r>
            <w:r>
              <w:rPr>
                <w:rFonts w:ascii="宋体" w:hAnsi="宋体" w:cs="宋体" w:eastAsia="宋体" w:hint="default"/>
                <w:sz w:val="18"/>
                <w:szCs w:val="18"/>
              </w:rPr>
              <w:t>股，占本公司总股本的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宋体" w:hAnsi="宋体" w:cs="宋体" w:eastAsia="宋体" w:hint="default"/>
                <w:sz w:val="18"/>
                <w:szCs w:val="18"/>
              </w:rPr>
              <w:t>；公司股东赵青通过信用 交易担保证券账户持有本公司股票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1,077,950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股，通过普通证券账户持有本公司股</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1,077,950 </w:t>
            </w:r>
            <w:r>
              <w:rPr>
                <w:rFonts w:ascii="宋体" w:hAnsi="宋体" w:cs="宋体" w:eastAsia="宋体" w:hint="default"/>
                <w:sz w:val="18"/>
                <w:szCs w:val="18"/>
              </w:rPr>
              <w:t>股，占本公司总股本的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0.14%</w:t>
            </w:r>
            <w:r>
              <w:rPr>
                <w:rFonts w:ascii="宋体" w:hAnsi="宋体" w:cs="宋体" w:eastAsia="宋体" w:hint="default"/>
                <w:sz w:val="18"/>
                <w:szCs w:val="18"/>
              </w:rPr>
              <w:t>。</w:t>
            </w:r>
          </w:p>
        </w:tc>
      </w:tr>
    </w:tbl>
    <w:p>
      <w:pPr>
        <w:pStyle w:val="BodyText"/>
        <w:spacing w:line="240" w:lineRule="auto" w:before="8"/>
        <w:ind w:left="832" w:right="114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63"/>
        <w:ind w:left="832" w:right="1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63"/>
        <w:ind w:left="832" w:right="114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left="832" w:right="114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832" w:right="8594"/>
        <w:jc w:val="left"/>
      </w:pPr>
      <w:r>
        <w:rPr/>
        <w:t>控股股东性质：自然人控股 控股股东类型：自然人</w:t>
      </w:r>
    </w:p>
    <w:tbl>
      <w:tblPr>
        <w:tblW w:w="0" w:type="auto"/>
        <w:jc w:val="left"/>
        <w:tblInd w:w="828" w:type="dxa"/>
        <w:tblLayout w:type="fixed"/>
        <w:tblCellMar>
          <w:top w:w="0" w:type="dxa"/>
          <w:left w:w="0" w:type="dxa"/>
          <w:bottom w:w="0" w:type="dxa"/>
          <w:right w:w="0" w:type="dxa"/>
        </w:tblCellMar>
        <w:tblLook w:val="01E0"/>
      </w:tblPr>
      <w:tblGrid>
        <w:gridCol w:w="3419"/>
        <w:gridCol w:w="2396"/>
        <w:gridCol w:w="3757"/>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5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5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28"/>
        <w:ind w:left="832" w:right="1142"/>
        <w:jc w:val="left"/>
      </w:pPr>
      <w:r>
        <w:rPr/>
        <w:t>控股股东报告期内变更</w:t>
      </w:r>
    </w:p>
    <w:p>
      <w:pPr>
        <w:pStyle w:val="BodyText"/>
        <w:spacing w:line="340" w:lineRule="auto" w:before="76"/>
        <w:ind w:left="83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40" w:lineRule="auto"/>
        <w:jc w:val="left"/>
        <w:sectPr>
          <w:pgSz w:w="11910" w:h="16840"/>
          <w:pgMar w:header="745" w:footer="980" w:top="1060" w:bottom="1160" w:left="30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414"/>
        <w:jc w:val="left"/>
      </w:pPr>
      <w:r>
        <w:rPr/>
        <w:t>实际控制人性质：境外自然人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241"/>
        <w:gridCol w:w="1543"/>
        <w:gridCol w:w="2393"/>
        <w:gridCol w:w="2725"/>
      </w:tblGrid>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9"/>
          <w:szCs w:val="19"/>
        </w:rPr>
      </w:pPr>
    </w:p>
    <w:p>
      <w:pPr>
        <w:spacing w:line="2355" w:lineRule="exact"/>
        <w:ind w:left="1355"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4589692" cy="14954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4" cstate="print"/>
                    <a:stretch>
                      <a:fillRect/>
                    </a:stretch>
                  </pic:blipFill>
                  <pic:spPr>
                    <a:xfrm>
                      <a:off x="0" y="0"/>
                      <a:ext cx="4589692" cy="1495425"/>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7"/>
        <w:rPr>
          <w:rFonts w:ascii="宋体" w:hAnsi="宋体" w:cs="宋体" w:eastAsia="宋体" w:hint="default"/>
          <w:sz w:val="21"/>
          <w:szCs w:val="21"/>
        </w:rPr>
      </w:pPr>
    </w:p>
    <w:p>
      <w:pPr>
        <w:pStyle w:val="BodyText"/>
        <w:spacing w:line="240" w:lineRule="auto"/>
        <w:ind w:right="1133"/>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359" w:right="1142"/>
        <w:jc w:val="left"/>
        <w:rPr>
          <w:b w:val="0"/>
          <w:bCs w:val="0"/>
        </w:rPr>
      </w:pPr>
      <w:bookmarkStart w:name="_TOC_250004"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832" w:right="1142"/>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20"/>
        <w:gridCol w:w="1260"/>
        <w:gridCol w:w="540"/>
        <w:gridCol w:w="235"/>
        <w:gridCol w:w="305"/>
        <w:gridCol w:w="1532"/>
        <w:gridCol w:w="1529"/>
        <w:gridCol w:w="900"/>
        <w:gridCol w:w="1080"/>
        <w:gridCol w:w="1009"/>
        <w:gridCol w:w="936"/>
        <w:gridCol w:w="936"/>
      </w:tblGrid>
      <w:tr>
        <w:trPr>
          <w:trHeight w:val="715"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性 别</w:t>
            </w:r>
          </w:p>
        </w:tc>
        <w:tc>
          <w:tcPr>
            <w:tcW w:w="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年 龄</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62"/>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2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3"/>
                <w:sz w:val="18"/>
                <w:szCs w:val="18"/>
              </w:rPr>
              <w:t>份数量（股）</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0" w:firstLine="79"/>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董事长；总经 </w:t>
            </w:r>
            <w:r>
              <w:rPr>
                <w:rFonts w:ascii="宋体" w:hAnsi="宋体" w:cs="宋体" w:eastAsia="宋体" w:hint="default"/>
                <w:spacing w:val="-8"/>
                <w:sz w:val="18"/>
                <w:szCs w:val="18"/>
              </w:rPr>
              <w:t>理；董事会秘书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 </w:t>
            </w:r>
            <w:r>
              <w:rPr>
                <w:rFonts w:ascii="宋体" w:hAnsi="宋体" w:cs="宋体" w:eastAsia="宋体" w:hint="default"/>
                <w:spacing w:val="2"/>
                <w:sz w:val="18"/>
                <w:szCs w:val="18"/>
              </w:rPr>
              <w:t> </w:t>
            </w:r>
            <w:r>
              <w:rPr>
                <w:rFonts w:ascii="宋体" w:hAnsi="宋体" w:cs="宋体" w:eastAsia="宋体" w:hint="default"/>
                <w:sz w:val="18"/>
                <w:szCs w:val="18"/>
              </w:rPr>
              <w:t>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离任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离任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离任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现任</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w:t>
            </w:r>
          </w:p>
        </w:tc>
        <w:tc>
          <w:tcPr>
            <w:tcW w:w="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832" w:right="1142"/>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32" w:right="1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828" w:type="dxa"/>
        <w:tblLayout w:type="fixed"/>
        <w:tblCellMar>
          <w:top w:w="0" w:type="dxa"/>
          <w:left w:w="0" w:type="dxa"/>
          <w:bottom w:w="0" w:type="dxa"/>
          <w:right w:w="0" w:type="dxa"/>
        </w:tblCellMar>
        <w:tblLook w:val="01E0"/>
      </w:tblPr>
      <w:tblGrid>
        <w:gridCol w:w="1330"/>
        <w:gridCol w:w="1330"/>
        <w:gridCol w:w="1121"/>
        <w:gridCol w:w="1541"/>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1"/>
        <w:rPr>
          <w:rFonts w:ascii="宋体" w:hAnsi="宋体" w:cs="宋体" w:eastAsia="宋体" w:hint="default"/>
          <w:sz w:val="18"/>
          <w:szCs w:val="18"/>
        </w:rPr>
      </w:pPr>
    </w:p>
    <w:p>
      <w:pPr>
        <w:pStyle w:val="Heading2"/>
        <w:spacing w:line="240" w:lineRule="auto" w:before="26"/>
        <w:ind w:left="832" w:right="1142"/>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32" w:right="1142"/>
        <w:jc w:val="left"/>
      </w:pPr>
      <w:r>
        <w:rPr/>
        <w:t>公司现任董事、监事、高级管理人员专业背景、主要工作经历以及目前在公司的主要职责</w:t>
      </w:r>
    </w:p>
    <w:p>
      <w:pPr>
        <w:pStyle w:val="BodyText"/>
        <w:spacing w:line="300" w:lineRule="auto" w:before="117"/>
        <w:ind w:left="832" w:right="1124" w:firstLine="360"/>
        <w:jc w:val="left"/>
      </w:pPr>
      <w:r>
        <w:rPr/>
        <w:t>（</w:t>
      </w:r>
      <w:r>
        <w:rPr>
          <w:rFonts w:ascii="Times New Roman" w:hAnsi="Times New Roman" w:cs="Times New Roman" w:eastAsia="Times New Roman" w:hint="default"/>
        </w:rPr>
        <w:t>1</w:t>
      </w:r>
      <w:r>
        <w:rPr/>
        <w:t>）谭骅先生：男，</w:t>
      </w:r>
      <w:r>
        <w:rPr>
          <w:rFonts w:ascii="Times New Roman" w:hAnsi="Times New Roman" w:cs="Times New Roman" w:eastAsia="Times New Roman" w:hint="default"/>
        </w:rPr>
        <w:t>1972</w:t>
      </w:r>
      <w:r>
        <w:rPr/>
        <w:t>年生，武汉大学工商管理硕士，经济师。曾任职于中国农业银行，有丰富的金融投资及企业 管理经验。现任本公司董事长、总经理兼董事会秘书。</w:t>
      </w:r>
    </w:p>
    <w:p>
      <w:pPr>
        <w:spacing w:after="0" w:line="300" w:lineRule="auto"/>
        <w:jc w:val="left"/>
        <w:sectPr>
          <w:pgSz w:w="11910" w:h="16840"/>
          <w:pgMar w:header="745" w:footer="980" w:top="1060" w:bottom="1160" w:left="300" w:right="0"/>
        </w:sectPr>
      </w:pPr>
    </w:p>
    <w:p>
      <w:pPr>
        <w:spacing w:line="240" w:lineRule="auto" w:before="9"/>
        <w:rPr>
          <w:rFonts w:ascii="宋体" w:hAnsi="宋体" w:cs="宋体" w:eastAsia="宋体" w:hint="default"/>
          <w:sz w:val="25"/>
          <w:szCs w:val="25"/>
        </w:rPr>
      </w:pPr>
    </w:p>
    <w:p>
      <w:pPr>
        <w:pStyle w:val="BodyText"/>
        <w:spacing w:line="300" w:lineRule="auto" w:before="44"/>
        <w:ind w:left="472" w:right="1139" w:firstLine="360"/>
        <w:jc w:val="both"/>
      </w:pPr>
      <w:r>
        <w:rPr/>
        <w:t>（</w:t>
      </w:r>
      <w:r>
        <w:rPr>
          <w:rFonts w:ascii="Times New Roman" w:hAnsi="Times New Roman" w:cs="Times New Roman" w:eastAsia="Times New Roman" w:hint="default"/>
        </w:rPr>
        <w:t>2</w:t>
      </w:r>
      <w:r>
        <w:rPr/>
        <w:t>）陈国军：男，</w:t>
      </w:r>
      <w:r>
        <w:rPr>
          <w:rFonts w:ascii="Times New Roman" w:hAnsi="Times New Roman" w:cs="Times New Roman" w:eastAsia="Times New Roman" w:hint="default"/>
        </w:rPr>
        <w:t>1978</w:t>
      </w:r>
      <w:r>
        <w:rPr/>
        <w:t>年生，本科学历，中国注册会计师。曾任中山大学达安基因股份有限公司财务主管，广东大地 电影院线有限公司财务经理。现任公司董事、财务总监。</w:t>
      </w:r>
    </w:p>
    <w:p>
      <w:pPr>
        <w:pStyle w:val="BodyText"/>
        <w:spacing w:line="240" w:lineRule="auto" w:before="31"/>
        <w:ind w:left="833" w:right="714"/>
        <w:jc w:val="left"/>
      </w:pPr>
      <w:r>
        <w:rPr/>
        <w:t>（</w:t>
      </w:r>
      <w:r>
        <w:rPr>
          <w:rFonts w:ascii="Times New Roman" w:hAnsi="Times New Roman" w:cs="Times New Roman" w:eastAsia="Times New Roman" w:hint="default"/>
        </w:rPr>
        <w:t>3</w:t>
      </w:r>
      <w:r>
        <w:rPr/>
        <w:t>）梁行先生：男，</w:t>
      </w:r>
      <w:r>
        <w:rPr>
          <w:rFonts w:ascii="Times New Roman" w:hAnsi="Times New Roman" w:cs="Times New Roman" w:eastAsia="Times New Roman" w:hint="default"/>
        </w:rPr>
        <w:t>1973</w:t>
      </w:r>
      <w:r>
        <w:rPr/>
        <w:t>年生，本科学历。现任公司董事，广州市好易达家居网络科技有限公司首席执行官。</w:t>
      </w:r>
    </w:p>
    <w:p>
      <w:pPr>
        <w:pStyle w:val="BodyText"/>
        <w:spacing w:line="312" w:lineRule="auto" w:before="63"/>
        <w:ind w:left="472" w:right="1131" w:firstLine="360"/>
        <w:jc w:val="both"/>
      </w:pPr>
      <w:r>
        <w:rPr/>
        <w:t>（</w:t>
      </w:r>
      <w:r>
        <w:rPr>
          <w:rFonts w:ascii="Times New Roman" w:hAnsi="Times New Roman" w:cs="Times New Roman" w:eastAsia="Times New Roman" w:hint="default"/>
        </w:rPr>
        <w:t>4</w:t>
      </w:r>
      <w:r>
        <w:rPr/>
        <w:t>）张华先生：男，</w:t>
      </w:r>
      <w:r>
        <w:rPr>
          <w:rFonts w:ascii="Times New Roman" w:hAnsi="Times New Roman" w:cs="Times New Roman" w:eastAsia="Times New Roman" w:hint="default"/>
        </w:rPr>
        <w:t>1965</w:t>
      </w:r>
      <w:r>
        <w:rPr/>
        <w:t>年生，经济学硕士。曾在国家开发银行广东省分行、广东金手指投资顾问有限公司、广州市 </w:t>
      </w:r>
      <w:r>
        <w:rPr>
          <w:spacing w:val="-2"/>
        </w:rPr>
        <w:t>宝鑫控股集团有限公司、君华集团有限公司、广州市英智财华投资有限公司、广州德瑞投资有限责任公司、深圳东盈瑞通投</w:t>
      </w:r>
      <w:r>
        <w:rPr>
          <w:spacing w:val="-65"/>
        </w:rPr>
        <w:t> </w:t>
      </w:r>
      <w:r>
        <w:rPr>
          <w:spacing w:val="-65"/>
        </w:rPr>
      </w:r>
      <w:r>
        <w:rPr>
          <w:spacing w:val="-2"/>
        </w:rPr>
        <w:t>资管理合伙企业（有限合伙）等单位工作任职。现任上海尔罗投资管理服务中心（普通合伙）任总经理，公司独立董事，珠</w:t>
      </w:r>
      <w:r>
        <w:rPr>
          <w:spacing w:val="-73"/>
        </w:rPr>
        <w:t> </w:t>
      </w:r>
      <w:r>
        <w:rPr>
          <w:spacing w:val="-73"/>
        </w:rPr>
      </w:r>
      <w:r>
        <w:rPr/>
        <w:t>海太川云社区技术股份有限公司独立董事，广东省高速公路发展股份有限公司独立董事。</w:t>
      </w:r>
    </w:p>
    <w:p>
      <w:pPr>
        <w:pStyle w:val="BodyText"/>
        <w:spacing w:line="312" w:lineRule="auto" w:before="22"/>
        <w:ind w:left="472" w:right="1128" w:firstLine="360"/>
        <w:jc w:val="both"/>
      </w:pPr>
      <w:r>
        <w:rPr>
          <w:spacing w:val="-2"/>
        </w:rPr>
        <w:t>（</w:t>
      </w:r>
      <w:r>
        <w:rPr>
          <w:rFonts w:ascii="Times New Roman" w:hAnsi="Times New Roman" w:cs="Times New Roman" w:eastAsia="Times New Roman" w:hint="default"/>
          <w:spacing w:val="-2"/>
        </w:rPr>
        <w:t>5</w:t>
      </w:r>
      <w:r>
        <w:rPr>
          <w:spacing w:val="-2"/>
        </w:rPr>
        <w:t>）刘国常先生：男，</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7</w:t>
      </w:r>
      <w:r>
        <w:rPr>
          <w:spacing w:val="-2"/>
        </w:rPr>
        <w:t>月出生，博士学历，会计学教授。曾于郑州航空工业管理学院、暨南大学任教。现任公</w:t>
      </w:r>
      <w:r>
        <w:rPr/>
        <w:t> </w:t>
      </w:r>
      <w:r>
        <w:rPr>
          <w:spacing w:val="-2"/>
        </w:rPr>
        <w:t>司独立董事，广东财经大学会计学院教授，中南财经政法大学会计学院博士生导师，广东省审计学会副会长，广州市审计学</w:t>
      </w:r>
      <w:r>
        <w:rPr>
          <w:spacing w:val="-62"/>
        </w:rPr>
        <w:t> </w:t>
      </w:r>
      <w:r>
        <w:rPr>
          <w:spacing w:val="-62"/>
        </w:rPr>
      </w:r>
      <w:r>
        <w:rPr>
          <w:spacing w:val="-2"/>
        </w:rPr>
        <w:t>会副会长，广州博济医药股份有限公司独立董事，大参林医药集团股份有限公司独立董事，广州东凌粮油股份有限公司独立</w:t>
      </w:r>
      <w:r>
        <w:rPr>
          <w:spacing w:val="-61"/>
        </w:rPr>
        <w:t> </w:t>
      </w:r>
      <w:r>
        <w:rPr>
          <w:spacing w:val="-61"/>
        </w:rPr>
      </w:r>
      <w:r>
        <w:rPr/>
        <w:t>董事，广东威创视讯技术股份有限公司监事。</w:t>
      </w:r>
    </w:p>
    <w:p>
      <w:pPr>
        <w:pStyle w:val="BodyText"/>
        <w:spacing w:line="240" w:lineRule="auto" w:before="22"/>
        <w:ind w:left="833" w:right="714"/>
        <w:jc w:val="left"/>
      </w:pPr>
      <w:r>
        <w:rPr>
          <w:rFonts w:ascii="Times New Roman" w:hAnsi="Times New Roman" w:cs="Times New Roman" w:eastAsia="Times New Roman" w:hint="default"/>
        </w:rPr>
        <w:t>3</w:t>
      </w:r>
      <w:r>
        <w:rPr/>
        <w:t>、监事</w:t>
      </w:r>
    </w:p>
    <w:p>
      <w:pPr>
        <w:pStyle w:val="BodyText"/>
        <w:spacing w:line="300" w:lineRule="auto" w:before="63"/>
        <w:ind w:left="472" w:right="1136" w:firstLine="360"/>
        <w:jc w:val="both"/>
      </w:pPr>
      <w:r>
        <w:rPr/>
        <w:t>（</w:t>
      </w:r>
      <w:r>
        <w:rPr>
          <w:rFonts w:ascii="Times New Roman" w:hAnsi="Times New Roman" w:cs="Times New Roman" w:eastAsia="Times New Roman" w:hint="default"/>
        </w:rPr>
        <w:t>1</w:t>
      </w:r>
      <w:r>
        <w:rPr/>
        <w:t>）梁晓芹女士：女，</w:t>
      </w:r>
      <w:r>
        <w:rPr>
          <w:rFonts w:ascii="Times New Roman" w:hAnsi="Times New Roman" w:cs="Times New Roman" w:eastAsia="Times New Roman" w:hint="default"/>
        </w:rPr>
        <w:t>1977</w:t>
      </w:r>
      <w:r>
        <w:rPr/>
        <w:t>年生，贸易经济和工业分析双专业本科学历。人力资源高级管理师、经济师。</w:t>
      </w:r>
      <w:r>
        <w:rPr>
          <w:rFonts w:ascii="Times New Roman" w:hAnsi="Times New Roman" w:cs="Times New Roman" w:eastAsia="Times New Roman" w:hint="default"/>
        </w:rPr>
        <w:t>2001</w:t>
      </w:r>
      <w:r>
        <w:rPr/>
        <w:t>年加入 公司，现任公司人力行政中心总监，第六届监事会主席。</w:t>
      </w:r>
    </w:p>
    <w:p>
      <w:pPr>
        <w:pStyle w:val="BodyText"/>
        <w:spacing w:line="240" w:lineRule="auto" w:before="31"/>
        <w:ind w:left="833" w:right="714"/>
        <w:jc w:val="left"/>
      </w:pPr>
      <w:r>
        <w:rPr/>
        <w:t>（</w:t>
      </w:r>
      <w:r>
        <w:rPr>
          <w:rFonts w:ascii="Times New Roman" w:hAnsi="Times New Roman" w:cs="Times New Roman" w:eastAsia="Times New Roman" w:hint="default"/>
        </w:rPr>
        <w:t>2</w:t>
      </w:r>
      <w:r>
        <w:rPr/>
        <w:t>）龚穗娟女士：女，</w:t>
      </w:r>
      <w:r>
        <w:rPr>
          <w:rFonts w:ascii="Times New Roman" w:hAnsi="Times New Roman" w:cs="Times New Roman" w:eastAsia="Times New Roman" w:hint="default"/>
        </w:rPr>
        <w:t>1973</w:t>
      </w:r>
      <w:r>
        <w:rPr/>
        <w:t>年生，大专学历。现任公司股东代表监事，广州利讯汽车配件有限公司财务经理。</w:t>
      </w:r>
    </w:p>
    <w:p>
      <w:pPr>
        <w:pStyle w:val="BodyText"/>
        <w:spacing w:line="300" w:lineRule="auto" w:before="63"/>
        <w:ind w:left="472" w:right="1043" w:firstLine="360"/>
        <w:jc w:val="both"/>
      </w:pPr>
      <w:r>
        <w:rPr>
          <w:spacing w:val="-2"/>
        </w:rPr>
        <w:t>（</w:t>
      </w:r>
      <w:r>
        <w:rPr>
          <w:rFonts w:ascii="Times New Roman" w:hAnsi="Times New Roman" w:cs="Times New Roman" w:eastAsia="Times New Roman" w:hint="default"/>
          <w:spacing w:val="-2"/>
        </w:rPr>
        <w:t>3</w:t>
      </w:r>
      <w:r>
        <w:rPr>
          <w:spacing w:val="-2"/>
        </w:rPr>
        <w:t>）张成虎先生：男，</w:t>
      </w:r>
      <w:r>
        <w:rPr>
          <w:rFonts w:ascii="Times New Roman" w:hAnsi="Times New Roman" w:cs="Times New Roman" w:eastAsia="Times New Roman" w:hint="default"/>
          <w:spacing w:val="-2"/>
        </w:rPr>
        <w:t>1975</w:t>
      </w:r>
      <w:r>
        <w:rPr>
          <w:spacing w:val="-2"/>
        </w:rPr>
        <w:t>年生，高中学历。曾就职广州宝龙集团有限公司行政部工作。现任公司物业管理部副经理、</w:t>
      </w:r>
      <w:r>
        <w:rPr/>
        <w:t> 职工代表监事。</w:t>
      </w:r>
    </w:p>
    <w:p>
      <w:pPr>
        <w:pStyle w:val="BodyText"/>
        <w:spacing w:line="240" w:lineRule="auto" w:before="31"/>
        <w:ind w:left="833" w:right="714"/>
        <w:jc w:val="left"/>
      </w:pPr>
      <w:r>
        <w:rPr>
          <w:rFonts w:ascii="Times New Roman" w:hAnsi="Times New Roman" w:cs="Times New Roman" w:eastAsia="Times New Roman" w:hint="default"/>
        </w:rPr>
        <w:t>4</w:t>
      </w:r>
      <w:r>
        <w:rPr/>
        <w:t>、高级管理人员</w:t>
      </w:r>
    </w:p>
    <w:p>
      <w:pPr>
        <w:pStyle w:val="BodyText"/>
        <w:spacing w:line="240" w:lineRule="auto" w:before="63"/>
        <w:ind w:left="833" w:right="714"/>
        <w:jc w:val="left"/>
      </w:pPr>
      <w:r>
        <w:rPr/>
        <w:t>（</w:t>
      </w:r>
      <w:r>
        <w:rPr>
          <w:rFonts w:ascii="Times New Roman" w:hAnsi="Times New Roman" w:cs="Times New Roman" w:eastAsia="Times New Roman" w:hint="default"/>
        </w:rPr>
        <w:t>1</w:t>
      </w:r>
      <w:r>
        <w:rPr/>
        <w:t>）谭骅先生：公司总经理、董事会秘书（简历见前述董事介绍）</w:t>
      </w:r>
    </w:p>
    <w:p>
      <w:pPr>
        <w:pStyle w:val="BodyText"/>
        <w:spacing w:line="240" w:lineRule="auto" w:before="63"/>
        <w:ind w:left="833" w:right="714"/>
        <w:jc w:val="left"/>
      </w:pPr>
      <w:r>
        <w:rPr/>
        <w:t>（</w:t>
      </w:r>
      <w:r>
        <w:rPr>
          <w:rFonts w:ascii="Times New Roman" w:hAnsi="Times New Roman" w:cs="Times New Roman" w:eastAsia="Times New Roman" w:hint="default"/>
        </w:rPr>
        <w:t>2</w:t>
      </w:r>
      <w:r>
        <w:rPr/>
        <w:t>）陈国军先生：财务总监（简历见前述董事介绍）</w:t>
      </w:r>
    </w:p>
    <w:p>
      <w:pPr>
        <w:pStyle w:val="BodyText"/>
        <w:spacing w:line="300" w:lineRule="auto" w:before="63"/>
        <w:ind w:left="472" w:right="1138" w:firstLine="360"/>
        <w:jc w:val="both"/>
      </w:pPr>
      <w:r>
        <w:rPr/>
        <w:t>（</w:t>
      </w:r>
      <w:r>
        <w:rPr>
          <w:rFonts w:ascii="Times New Roman" w:hAnsi="Times New Roman" w:cs="Times New Roman" w:eastAsia="Times New Roman" w:hint="default"/>
        </w:rPr>
        <w:t>3</w:t>
      </w:r>
      <w:r>
        <w:rPr/>
        <w:t>）周用芳女士：女，</w:t>
      </w:r>
      <w:r>
        <w:rPr>
          <w:rFonts w:ascii="Times New Roman" w:hAnsi="Times New Roman" w:cs="Times New Roman" w:eastAsia="Times New Roman" w:hint="default"/>
        </w:rPr>
        <w:t>1979</w:t>
      </w:r>
      <w:r>
        <w:rPr/>
        <w:t>年生，本科学历，会计师、审计师、国际注册内部审计师（</w:t>
      </w:r>
      <w:r>
        <w:rPr>
          <w:rFonts w:ascii="Times New Roman" w:hAnsi="Times New Roman" w:cs="Times New Roman" w:eastAsia="Times New Roman" w:hint="default"/>
        </w:rPr>
        <w:t>CIA</w:t>
      </w:r>
      <w:r>
        <w:rPr/>
        <w:t>）。曾在广州番禺得意精 密电子工业有限公司、广州百客蛮好酒店管理有限公司、广州万宝集团有限公司等单位任职，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月加入广州御银科技 股份有限公司，现任公司副总经理。</w:t>
      </w:r>
    </w:p>
    <w:p>
      <w:pPr>
        <w:pStyle w:val="BodyText"/>
        <w:spacing w:line="300" w:lineRule="auto" w:before="31"/>
        <w:ind w:left="472" w:right="1139" w:firstLine="360"/>
        <w:jc w:val="both"/>
      </w:pPr>
      <w:r>
        <w:rPr/>
        <w:t>（</w:t>
      </w:r>
      <w:r>
        <w:rPr>
          <w:rFonts w:ascii="Times New Roman" w:hAnsi="Times New Roman" w:cs="Times New Roman" w:eastAsia="Times New Roman" w:hint="default"/>
        </w:rPr>
        <w:t>4</w:t>
      </w:r>
      <w:r>
        <w:rPr/>
        <w:t>）徐德银先生：男，</w:t>
      </w:r>
      <w:r>
        <w:rPr>
          <w:rFonts w:ascii="Times New Roman" w:hAnsi="Times New Roman" w:cs="Times New Roman" w:eastAsia="Times New Roman" w:hint="default"/>
        </w:rPr>
        <w:t>1976</w:t>
      </w:r>
      <w:r>
        <w:rPr/>
        <w:t>年生，本科学历。曾任职于雅思商务、广东金宇恒科技有限公司，担任研发中心经理。现 任公司副总经理。</w:t>
      </w:r>
    </w:p>
    <w:p>
      <w:pPr>
        <w:pStyle w:val="BodyText"/>
        <w:spacing w:line="340" w:lineRule="auto" w:before="32"/>
        <w:ind w:left="472" w:right="3374" w:firstLine="360"/>
        <w:jc w:val="left"/>
      </w:pPr>
      <w:r>
        <w:rPr/>
        <w:t>（</w:t>
      </w:r>
      <w:r>
        <w:rPr>
          <w:rFonts w:ascii="Times New Roman" w:hAnsi="Times New Roman" w:cs="Times New Roman" w:eastAsia="Times New Roman" w:hint="default"/>
        </w:rPr>
        <w:t>5</w:t>
      </w:r>
      <w:r>
        <w:rPr/>
        <w:t>）李克福先生：男，</w:t>
      </w:r>
      <w:r>
        <w:rPr>
          <w:rFonts w:ascii="Times New Roman" w:hAnsi="Times New Roman" w:cs="Times New Roman" w:eastAsia="Times New Roman" w:hint="default"/>
        </w:rPr>
        <w:t>1968</w:t>
      </w:r>
      <w:r>
        <w:rPr/>
        <w:t>年生，本科学历。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月加入公司，现任公司副总经理。 在股东单位任职情况</w:t>
      </w:r>
    </w:p>
    <w:p>
      <w:pPr>
        <w:pStyle w:val="BodyText"/>
        <w:spacing w:line="240" w:lineRule="auto" w:before="39"/>
        <w:ind w:left="454" w:right="937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467" w:type="dxa"/>
        <w:tblLayout w:type="fixed"/>
        <w:tblCellMar>
          <w:top w:w="0" w:type="dxa"/>
          <w:left w:w="0" w:type="dxa"/>
          <w:bottom w:w="0" w:type="dxa"/>
          <w:right w:w="0" w:type="dxa"/>
        </w:tblCellMar>
        <w:tblLook w:val="01E0"/>
      </w:tblPr>
      <w:tblGrid>
        <w:gridCol w:w="720"/>
        <w:gridCol w:w="2967"/>
        <w:gridCol w:w="1174"/>
        <w:gridCol w:w="1620"/>
        <w:gridCol w:w="1604"/>
        <w:gridCol w:w="1841"/>
      </w:tblGrid>
      <w:tr>
        <w:trPr>
          <w:trHeight w:val="713"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38"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4" w:right="103" w:hanging="449"/>
              <w:jc w:val="left"/>
              <w:rPr>
                <w:rFonts w:ascii="宋体" w:hAnsi="宋体" w:cs="宋体" w:eastAsia="宋体" w:hint="default"/>
                <w:sz w:val="18"/>
                <w:szCs w:val="18"/>
              </w:rPr>
            </w:pPr>
            <w:r>
              <w:rPr>
                <w:rFonts w:ascii="宋体" w:hAnsi="宋体" w:cs="宋体" w:eastAsia="宋体" w:hint="default"/>
                <w:sz w:val="18"/>
                <w:szCs w:val="18"/>
              </w:rPr>
              <w:t>在股东单位是否领取 报酬津贴</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佛山海晟金融租赁股份有限公司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62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472" w:right="714"/>
        <w:jc w:val="left"/>
      </w:pPr>
      <w:r>
        <w:rPr/>
        <w:t>在其他单位任职情况</w:t>
      </w:r>
    </w:p>
    <w:p>
      <w:pPr>
        <w:pStyle w:val="BodyText"/>
        <w:spacing w:line="240" w:lineRule="auto" w:before="115"/>
        <w:ind w:left="472" w:right="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20"/>
        <w:gridCol w:w="3061"/>
        <w:gridCol w:w="1980"/>
        <w:gridCol w:w="1620"/>
        <w:gridCol w:w="1621"/>
        <w:gridCol w:w="1440"/>
      </w:tblGrid>
      <w:tr>
        <w:trPr>
          <w:trHeight w:val="71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82"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66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720"/>
        <w:gridCol w:w="3061"/>
        <w:gridCol w:w="1980"/>
        <w:gridCol w:w="1620"/>
        <w:gridCol w:w="1621"/>
        <w:gridCol w:w="1440"/>
      </w:tblGrid>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法人代表人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广州利讯汽车配件有限公司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广州市好易达家居网络科技有限公司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广东财经大学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广州博济医药股份有限公司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广州东凌粮油股份有限公司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大参林医药集团股份有限公司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广东威创视讯技术股份有限公司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上海尔罗投资管理服务中心（普通合 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珠海太川云社区技术股份有限公司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广东省高速公路发展股份有限公司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7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66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472" w:right="0"/>
        <w:jc w:val="both"/>
      </w:pPr>
      <w:r>
        <w:rPr/>
        <w:t>公司现任及报告期内离任董事、监事和高级管理人员近三年证券监管机构处罚的情况</w:t>
      </w:r>
    </w:p>
    <w:p>
      <w:pPr>
        <w:pStyle w:val="BodyText"/>
        <w:spacing w:line="240" w:lineRule="auto" w:before="115"/>
        <w:ind w:left="47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472"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833" w:right="714" w:hanging="361"/>
        <w:jc w:val="left"/>
      </w:pPr>
      <w:r>
        <w:rPr/>
        <w:t>董事、监事、高级管理人员报酬的决策程序、确定依据、实际支付情况 </w:t>
      </w:r>
      <w:r>
        <w:rPr>
          <w:spacing w:val="-2"/>
        </w:rPr>
        <w:t>在公司任职的内部董事、监事和高级管理人员报酬依据公司盈利水平及董事、监事、高级管理人员的职责履行情况并结</w:t>
      </w:r>
    </w:p>
    <w:p>
      <w:pPr>
        <w:pStyle w:val="BodyText"/>
        <w:spacing w:line="222" w:lineRule="exact"/>
        <w:ind w:left="472" w:right="0"/>
        <w:jc w:val="both"/>
      </w:pPr>
      <w:r>
        <w:rPr>
          <w:spacing w:val="-4"/>
        </w:rPr>
        <w:t>合行业平均水平综合确定。根据《公司法》、《公司章程》和《董事会薪酬和考核委员会工作制度》的相关规定，关于董事、</w:t>
      </w:r>
    </w:p>
    <w:p>
      <w:pPr>
        <w:pStyle w:val="BodyText"/>
        <w:spacing w:line="300" w:lineRule="auto" w:before="76"/>
        <w:ind w:left="472" w:right="1131"/>
        <w:jc w:val="both"/>
      </w:pPr>
      <w:r>
        <w:rPr>
          <w:spacing w:val="-1"/>
        </w:rPr>
        <w:t>监事和高级管理人员报酬的议案经公司董事会、股东大会审议批准，公司独立董事津贴为</w:t>
      </w:r>
      <w:r>
        <w:rPr>
          <w:rFonts w:ascii="Times New Roman" w:hAnsi="Times New Roman" w:cs="Times New Roman" w:eastAsia="Times New Roman" w:hint="default"/>
          <w:spacing w:val="-1"/>
        </w:rPr>
        <w:t>8</w:t>
      </w:r>
      <w:r>
        <w:rPr>
          <w:spacing w:val="-1"/>
        </w:rPr>
        <w:t>万元</w:t>
      </w:r>
      <w:r>
        <w:rPr>
          <w:rFonts w:ascii="Times New Roman" w:hAnsi="Times New Roman" w:cs="Times New Roman" w:eastAsia="Times New Roman" w:hint="default"/>
          <w:spacing w:val="-1"/>
        </w:rPr>
        <w:t>/</w:t>
      </w:r>
      <w:r>
        <w:rPr>
          <w:spacing w:val="-1"/>
        </w:rPr>
        <w:t>年（税前），外部董事津贴</w:t>
      </w:r>
      <w:r>
        <w:rPr>
          <w:spacing w:val="-79"/>
        </w:rPr>
        <w:t> </w:t>
      </w:r>
      <w:r>
        <w:rPr>
          <w:spacing w:val="-79"/>
        </w:rPr>
      </w:r>
      <w:r>
        <w:rPr/>
        <w:t>为</w:t>
      </w:r>
      <w:r>
        <w:rPr>
          <w:rFonts w:ascii="Times New Roman" w:hAnsi="Times New Roman" w:cs="Times New Roman" w:eastAsia="Times New Roman" w:hint="default"/>
        </w:rPr>
        <w:t>3.6</w:t>
      </w:r>
      <w:r>
        <w:rPr/>
        <w:t>万元</w:t>
      </w:r>
      <w:r>
        <w:rPr>
          <w:rFonts w:ascii="Times New Roman" w:hAnsi="Times New Roman" w:cs="Times New Roman" w:eastAsia="Times New Roman" w:hint="default"/>
        </w:rPr>
        <w:t>/</w:t>
      </w:r>
      <w:r>
        <w:rPr/>
        <w:t>年（税前），独立与外部董事津贴均按具体任职时间及规定发放。董事、监事、高级管理人员为参加会议发生的 差旅费、办公费等由于履职产生的费用均由公司承担。</w:t>
      </w:r>
    </w:p>
    <w:p>
      <w:pPr>
        <w:pStyle w:val="BodyText"/>
        <w:spacing w:line="240" w:lineRule="auto" w:before="72"/>
        <w:ind w:left="472" w:right="0"/>
        <w:jc w:val="both"/>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994"/>
        <w:gridCol w:w="2410"/>
        <w:gridCol w:w="1133"/>
        <w:gridCol w:w="1136"/>
        <w:gridCol w:w="1274"/>
        <w:gridCol w:w="1277"/>
        <w:gridCol w:w="1277"/>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董事长、总经理、董事会秘书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66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2410"/>
        <w:gridCol w:w="1133"/>
        <w:gridCol w:w="1136"/>
        <w:gridCol w:w="1274"/>
        <w:gridCol w:w="1277"/>
        <w:gridCol w:w="1277"/>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306.43</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034" w:firstLine="360"/>
        <w:jc w:val="left"/>
      </w:pPr>
      <w:r>
        <w:rPr>
          <w:spacing w:val="-2"/>
        </w:rPr>
        <w:t>公司依据经营发展情况，在公平客观的情况下，根据市场行情，本着薪酬与个人能力和工作业绩相符合的原则，来确定</w:t>
      </w:r>
      <w:r>
        <w:rPr/>
        <w:t> </w:t>
      </w:r>
      <w:r>
        <w:rPr>
          <w:spacing w:val="-2"/>
        </w:rPr>
        <w:t>公司薪酬体系，以等级化的薪酬激发员工工作积极性。制定具有激励性的绩效考核政策，根据公司经营战略发展目标，确定</w:t>
      </w:r>
      <w:r>
        <w:rPr>
          <w:spacing w:val="-65"/>
        </w:rPr>
        <w:t> </w:t>
      </w:r>
      <w:r>
        <w:rPr>
          <w:spacing w:val="-65"/>
        </w:rPr>
      </w:r>
      <w:r>
        <w:rPr/>
        <w:t>各部门的绩效目标，再将部门目标分解至各岗位员工，依据部门及员工绩效目标达成情况对部门及员工个人进行绩效考核， 绩效考核与奖金发放、薪酬等级评定、职位升迁、培训发展等挂钩。同时，公司为员工提供完善的福利待遇，如餐费津贴、 交通班车、生日活动费用及庆生</w:t>
      </w:r>
      <w:r>
        <w:rPr>
          <w:rFonts w:ascii="Times New Roman" w:hAnsi="Times New Roman" w:cs="Times New Roman" w:eastAsia="Times New Roman" w:hint="default"/>
        </w:rPr>
        <w:t>party</w:t>
      </w:r>
      <w:r>
        <w:rPr/>
        <w:t>、生日礼金、团队活动费用、年度旅游、结婚礼金、生育礼金等，传统节假日公司会 发放礼金或礼品给全体员工等，提高员工的归属感和对企业文化的认同感。</w:t>
      </w:r>
    </w:p>
    <w:p>
      <w:pPr>
        <w:spacing w:line="240" w:lineRule="auto" w:before="1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left"/>
      </w:pPr>
      <w:r>
        <w:rPr>
          <w:spacing w:val="-2"/>
        </w:rPr>
        <w:t>公司高度重视各级员工的培养与发展，通过人力资源组织发展的建设工作，链接战略与执行，在确保人才基础培养的同</w:t>
      </w:r>
      <w:r>
        <w:rPr/>
        <w:t> 时，结合战略充分与业务部门沟通，依托现状，搭建企业内部人力资源的多向发展通道和多维度的人才培养计划。</w:t>
      </w:r>
    </w:p>
    <w:p>
      <w:pPr>
        <w:pStyle w:val="BodyText"/>
        <w:spacing w:line="316" w:lineRule="auto" w:before="19"/>
        <w:ind w:right="1132" w:firstLine="360"/>
        <w:jc w:val="both"/>
      </w:pPr>
      <w:r>
        <w:rPr>
          <w:spacing w:val="-2"/>
        </w:rPr>
        <w:t>在培训方式上，采用内外相结合的模式，用内部培训强化系统与规范，以外部培训提升专业与管理。培训内容方面，从</w:t>
      </w:r>
      <w:r>
        <w:rPr/>
        <w:t> </w:t>
      </w:r>
      <w:r>
        <w:rPr>
          <w:spacing w:val="-2"/>
        </w:rPr>
        <w:t>基础的安全、法规、质量、文化、素养、认知、体系、执行、标准化作业，到提升的专业、管理、系统、绩效改善等，持续</w:t>
      </w:r>
      <w:r>
        <w:rPr>
          <w:spacing w:val="-73"/>
        </w:rPr>
        <w:t> </w:t>
      </w:r>
      <w:r>
        <w:rPr>
          <w:spacing w:val="-73"/>
        </w:rPr>
      </w:r>
      <w:r>
        <w:rPr>
          <w:spacing w:val="-2"/>
        </w:rPr>
        <w:t>对生产一线、工程技术、研发科研、职能业务及各级管理人员开展多角度、多元化的培养，力求一方面夯实基础，提高员工</w:t>
      </w:r>
      <w:r>
        <w:rPr>
          <w:spacing w:val="-68"/>
        </w:rPr>
        <w:t> </w:t>
      </w:r>
      <w:r>
        <w:rPr>
          <w:spacing w:val="-68"/>
        </w:rPr>
      </w:r>
      <w:r>
        <w:rPr/>
        <w:t>的综合素质，另一方面，满足不断变化的外部商业环境，促进企业的可持续发展。</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539,095.43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18,837,297.16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t>报告期内，</w:t>
      </w:r>
      <w:r>
        <w:rPr>
          <w:spacing w:val="-19"/>
        </w:rPr>
        <w:t> </w:t>
      </w:r>
      <w:r>
        <w:rPr/>
        <w:t>公司严格按照《公司法》、《证券法》、《上市公司治理准则》、《深圳证券交易所中小企业板上市公司</w:t>
      </w:r>
      <w:r>
        <w:rPr/>
        <w:t> </w:t>
      </w:r>
      <w:r>
        <w:rPr>
          <w:spacing w:val="-2"/>
        </w:rPr>
        <w:t>规范运作指引》及《深圳证券交易所股票上市规则》等法律法规的要求规范运作，不断优化公司治理结构，建立健全公司治</w:t>
      </w:r>
      <w:r>
        <w:rPr>
          <w:spacing w:val="-67"/>
        </w:rPr>
        <w:t> </w:t>
      </w:r>
      <w:r>
        <w:rPr>
          <w:spacing w:val="-67"/>
        </w:rPr>
      </w:r>
      <w:r>
        <w:rPr>
          <w:spacing w:val="-4"/>
        </w:rPr>
        <w:t>理及内部控制的各项规章制度，持续深入开展公司治理活动，促进公司规范运作，提高公司治理水平。同时，加强信息披露，</w:t>
      </w:r>
      <w:r>
        <w:rPr>
          <w:spacing w:val="-45"/>
        </w:rPr>
        <w:t> </w:t>
      </w:r>
      <w:r>
        <w:rPr>
          <w:spacing w:val="-45"/>
        </w:rPr>
      </w:r>
      <w:r>
        <w:rPr/>
        <w:t>积极开展投资者关系管理，维护公司及股东的利益，确保公司规范、健康发展。</w:t>
      </w:r>
    </w:p>
    <w:p>
      <w:pPr>
        <w:pStyle w:val="BodyText"/>
        <w:spacing w:line="316" w:lineRule="auto" w:before="19"/>
        <w:ind w:right="1129" w:firstLine="360"/>
        <w:jc w:val="left"/>
      </w:pPr>
      <w:r>
        <w:rPr>
          <w:spacing w:val="-2"/>
        </w:rPr>
        <w:t>截止报告期末，公司治理实际情况与《公司法》和中国证监会相关规定的要求不存在差异。公司今后将继续加强信息披</w:t>
      </w:r>
      <w:r>
        <w:rPr/>
        <w:t> 露工作，强化公司治理工作，完善内部控制制度，促进公司可持续发展。</w:t>
      </w:r>
    </w:p>
    <w:p>
      <w:pPr>
        <w:pStyle w:val="BodyText"/>
        <w:spacing w:line="240" w:lineRule="auto" w:before="19"/>
        <w:ind w:left="513" w:right="1133"/>
        <w:jc w:val="left"/>
      </w:pPr>
      <w:r>
        <w:rPr/>
        <w:t>报告期内，公司治理各项具体工作如下：</w:t>
      </w:r>
    </w:p>
    <w:p>
      <w:pPr>
        <w:pStyle w:val="BodyText"/>
        <w:spacing w:line="300" w:lineRule="auto" w:before="77"/>
        <w:ind w:left="513" w:right="1133"/>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公司严格按照《上市公司股东大会规则》、《公司章程》、公司《股东大会议事规则》等法律法规的要求召集、召开股</w:t>
      </w:r>
    </w:p>
    <w:p>
      <w:pPr>
        <w:pStyle w:val="BodyText"/>
        <w:spacing w:line="309" w:lineRule="auto" w:before="31"/>
        <w:ind w:left="513" w:right="0" w:hanging="361"/>
        <w:jc w:val="left"/>
      </w:pPr>
      <w:r>
        <w:rPr>
          <w:spacing w:val="-4"/>
        </w:rPr>
        <w:t>东大会，平等对待所有股东，保证股东对公司重大事项的知情权与参与权，确保股东特别是中小股东能够充分行使股东权利。</w:t>
      </w:r>
      <w:r>
        <w:rPr>
          <w:spacing w:val="-44"/>
        </w:rPr>
        <w:t> </w:t>
      </w:r>
      <w:r>
        <w:rPr>
          <w:spacing w:val="-44"/>
        </w:rPr>
      </w:r>
      <w:r>
        <w:rPr>
          <w:rFonts w:ascii="Times New Roman" w:hAnsi="Times New Roman" w:cs="Times New Roman" w:eastAsia="Times New Roman" w:hint="default"/>
        </w:rPr>
        <w:t>2</w:t>
      </w:r>
      <w:r>
        <w:rPr/>
        <w:t>、关于公司与控股股东 </w:t>
      </w:r>
      <w:r>
        <w:rPr>
          <w:spacing w:val="-2"/>
        </w:rPr>
        <w:t>公司控股股东严格规范自己的行为，依法行使股东权利并承担相应义务，无超越股东权限直接或间接干预公司的决策和</w:t>
      </w:r>
    </w:p>
    <w:p>
      <w:pPr>
        <w:pStyle w:val="BodyText"/>
        <w:spacing w:line="316" w:lineRule="auto" w:before="24"/>
        <w:ind w:right="1130"/>
        <w:jc w:val="both"/>
      </w:pPr>
      <w:r>
        <w:rPr>
          <w:spacing w:val="-2"/>
        </w:rPr>
        <w:t>经营活动的行为；公司在业务、人员、资产、机构、财务上独立于控股股东。控股股东不存在非经营性占用上市公司资金行</w:t>
      </w:r>
      <w:r>
        <w:rPr>
          <w:spacing w:val="-70"/>
        </w:rPr>
        <w:t> </w:t>
      </w:r>
      <w:r>
        <w:rPr>
          <w:spacing w:val="-70"/>
        </w:rPr>
      </w:r>
      <w:r>
        <w:rPr>
          <w:spacing w:val="-2"/>
        </w:rPr>
        <w:t>为。控股股东没有损害公司及其他股东的权利，公司董事会、监事会和相关内部机构均独立运作。公司也不存在为控股股东</w:t>
      </w:r>
      <w:r>
        <w:rPr>
          <w:spacing w:val="-63"/>
        </w:rPr>
        <w:t> </w:t>
      </w:r>
      <w:r>
        <w:rPr>
          <w:spacing w:val="-63"/>
        </w:rPr>
      </w:r>
      <w:r>
        <w:rPr/>
        <w:t>提供担保的情形。</w:t>
      </w:r>
    </w:p>
    <w:p>
      <w:pPr>
        <w:pStyle w:val="BodyText"/>
        <w:spacing w:line="300" w:lineRule="auto" w:before="19"/>
        <w:ind w:left="513" w:right="0"/>
        <w:jc w:val="left"/>
      </w:pPr>
      <w:r>
        <w:rPr>
          <w:rFonts w:ascii="Times New Roman" w:hAnsi="Times New Roman" w:cs="Times New Roman" w:eastAsia="Times New Roman" w:hint="default"/>
        </w:rPr>
        <w:t>3</w:t>
      </w:r>
      <w:r>
        <w:rPr/>
        <w:t>、关于董事与董事会 </w:t>
      </w:r>
      <w:r>
        <w:rPr>
          <w:spacing w:val="-2"/>
        </w:rPr>
        <w:t>公司严格按照《公司法》、《公司章程》规定的选聘程序选举董事；目前董事会由</w:t>
      </w:r>
      <w:r>
        <w:rPr>
          <w:rFonts w:ascii="Times New Roman" w:hAnsi="Times New Roman" w:cs="Times New Roman" w:eastAsia="Times New Roman" w:hint="default"/>
          <w:spacing w:val="-2"/>
        </w:rPr>
        <w:t>5</w:t>
      </w:r>
      <w:r>
        <w:rPr>
          <w:spacing w:val="-2"/>
        </w:rPr>
        <w:t>名董事组成，其中独立董事</w:t>
      </w:r>
      <w:r>
        <w:rPr>
          <w:rFonts w:ascii="Times New Roman" w:hAnsi="Times New Roman" w:cs="Times New Roman" w:eastAsia="Times New Roman" w:hint="default"/>
          <w:spacing w:val="-2"/>
        </w:rPr>
        <w:t>2</w:t>
      </w:r>
      <w:r>
        <w:rPr>
          <w:spacing w:val="-2"/>
        </w:rPr>
        <w:t>名，董</w:t>
      </w:r>
    </w:p>
    <w:p>
      <w:pPr>
        <w:pStyle w:val="BodyText"/>
        <w:spacing w:line="316" w:lineRule="auto" w:before="13"/>
        <w:ind w:right="1131"/>
        <w:jc w:val="both"/>
      </w:pPr>
      <w:r>
        <w:rPr>
          <w:spacing w:val="-2"/>
        </w:rPr>
        <w:t>事会成员的人数、人员构成符合法律法规和《公司章程》的要求。公司董事会会议的召集、召开和表决程序符合《深圳证券</w:t>
      </w:r>
      <w:r>
        <w:rPr>
          <w:spacing w:val="-68"/>
        </w:rPr>
        <w:t> </w:t>
      </w:r>
      <w:r>
        <w:rPr>
          <w:spacing w:val="-68"/>
        </w:rPr>
      </w:r>
      <w:r>
        <w:rPr>
          <w:spacing w:val="-5"/>
        </w:rPr>
        <w:t>交易所股票上市规则》、《公司章程》及《董事会议事规则》的相关规定；公司全体董事能够依据《董事会议事规则》、《中</w:t>
      </w:r>
      <w:r>
        <w:rPr>
          <w:spacing w:val="-81"/>
        </w:rPr>
        <w:t> </w:t>
      </w:r>
      <w:r>
        <w:rPr>
          <w:spacing w:val="-81"/>
        </w:rPr>
      </w:r>
      <w:r>
        <w:rPr>
          <w:spacing w:val="-2"/>
        </w:rPr>
        <w:t>小企业板块上市公司董事行为指引》等要求认真履行诚实守信，认真出席董事会和股东大会，执行股东大会决议，并依法行</w:t>
      </w:r>
      <w:r>
        <w:rPr>
          <w:spacing w:val="-64"/>
        </w:rPr>
        <w:t> </w:t>
      </w:r>
      <w:r>
        <w:rPr>
          <w:spacing w:val="-64"/>
        </w:rPr>
      </w:r>
      <w:r>
        <w:rPr>
          <w:spacing w:val="-2"/>
        </w:rPr>
        <w:t>使职权。董事会下设战略委员会、审计委员会、薪酬与考核委员会和提名委员会四个专门委员会，各尽其责，大大提高了董</w:t>
      </w:r>
      <w:r>
        <w:rPr>
          <w:spacing w:val="-67"/>
        </w:rPr>
        <w:t> </w:t>
      </w:r>
      <w:r>
        <w:rPr>
          <w:spacing w:val="-67"/>
        </w:rPr>
      </w:r>
      <w:r>
        <w:rPr>
          <w:spacing w:val="-2"/>
        </w:rPr>
        <w:t>事会的办事效率。全体董事积极参加交易所和监管机构组织的相关培训，熟悉新的法律法规要求，做到勤勉尽责，进一步维</w:t>
      </w:r>
      <w:r>
        <w:rPr>
          <w:spacing w:val="-64"/>
        </w:rPr>
        <w:t> </w:t>
      </w:r>
      <w:r>
        <w:rPr>
          <w:spacing w:val="-64"/>
        </w:rPr>
      </w:r>
      <w:r>
        <w:rPr/>
        <w:t>护公司和全体股东的利益。</w:t>
      </w:r>
    </w:p>
    <w:p>
      <w:pPr>
        <w:pStyle w:val="BodyText"/>
        <w:spacing w:line="300" w:lineRule="auto" w:before="19"/>
        <w:ind w:left="513" w:right="0"/>
        <w:jc w:val="left"/>
      </w:pPr>
      <w:r>
        <w:rPr>
          <w:rFonts w:ascii="Times New Roman" w:hAnsi="Times New Roman" w:cs="Times New Roman" w:eastAsia="Times New Roman" w:hint="default"/>
        </w:rPr>
        <w:t>4</w:t>
      </w:r>
      <w:r>
        <w:rPr/>
        <w:t>、关于监事与监事会 </w:t>
      </w:r>
      <w:r>
        <w:rPr>
          <w:spacing w:val="-2"/>
        </w:rPr>
        <w:t>公司严格按照《公司法》、《公司章程》等有关规定选举监事，公司监事会由</w:t>
      </w:r>
      <w:r>
        <w:rPr>
          <w:rFonts w:ascii="Times New Roman" w:hAnsi="Times New Roman" w:cs="Times New Roman" w:eastAsia="Times New Roman" w:hint="default"/>
          <w:spacing w:val="-2"/>
        </w:rPr>
        <w:t>3</w:t>
      </w:r>
      <w:r>
        <w:rPr>
          <w:spacing w:val="-2"/>
        </w:rPr>
        <w:t>名监事组成，其中股东监事</w:t>
      </w:r>
      <w:r>
        <w:rPr>
          <w:rFonts w:ascii="Times New Roman" w:hAnsi="Times New Roman" w:cs="Times New Roman" w:eastAsia="Times New Roman" w:hint="default"/>
          <w:spacing w:val="-2"/>
        </w:rPr>
        <w:t>2</w:t>
      </w:r>
      <w:r>
        <w:rPr>
          <w:spacing w:val="-2"/>
        </w:rPr>
        <w:t>名、职工代</w:t>
      </w:r>
    </w:p>
    <w:p>
      <w:pPr>
        <w:pStyle w:val="BodyText"/>
        <w:spacing w:line="240" w:lineRule="auto" w:before="13"/>
        <w:ind w:right="0"/>
        <w:jc w:val="left"/>
      </w:pPr>
      <w:r>
        <w:rPr/>
        <w:t>表监事</w:t>
      </w:r>
      <w:r>
        <w:rPr>
          <w:rFonts w:ascii="Times New Roman" w:hAnsi="Times New Roman" w:cs="Times New Roman" w:eastAsia="Times New Roman" w:hint="default"/>
        </w:rPr>
        <w:t>1</w:t>
      </w:r>
      <w:r>
        <w:rPr/>
        <w:t>名。监事会的人数及结构符合法律法规和公司章程的要求。监事会严格按照《公司章程》、《监事会议事规则》、</w:t>
      </w:r>
    </w:p>
    <w:p>
      <w:pPr>
        <w:pStyle w:val="BodyText"/>
        <w:spacing w:line="316" w:lineRule="auto" w:before="63"/>
        <w:ind w:right="1043"/>
        <w:jc w:val="both"/>
      </w:pPr>
      <w:r>
        <w:rPr>
          <w:spacing w:val="-4"/>
        </w:rPr>
        <w:t>《深圳证券交易所股票上市规则》的要求履行职责，认真出席监事会和股东大会，列席董事会，监事会独立的行使监督职权，</w:t>
      </w:r>
      <w:r>
        <w:rPr>
          <w:spacing w:val="-45"/>
        </w:rPr>
        <w:t> </w:t>
      </w:r>
      <w:r>
        <w:rPr>
          <w:spacing w:val="-45"/>
        </w:rPr>
      </w:r>
      <w:r>
        <w:rPr/>
        <w:t>各位监事能够认真履行职责，对公司重大事项、财务状况以及董事、高管人员履行职责情况进行监督，对全体股东负责。</w:t>
      </w:r>
    </w:p>
    <w:p>
      <w:pPr>
        <w:pStyle w:val="BodyText"/>
        <w:spacing w:line="300" w:lineRule="auto" w:before="19"/>
        <w:ind w:left="513" w:right="0"/>
        <w:jc w:val="left"/>
      </w:pPr>
      <w:r>
        <w:rPr>
          <w:rFonts w:ascii="Times New Roman" w:hAnsi="Times New Roman" w:cs="Times New Roman" w:eastAsia="Times New Roman" w:hint="default"/>
        </w:rPr>
        <w:t>5</w:t>
      </w:r>
      <w:r>
        <w:rPr/>
        <w:t>、关于绩效评价和激励约束机制 </w:t>
      </w:r>
      <w:r>
        <w:rPr>
          <w:spacing w:val="-4"/>
        </w:rPr>
        <w:t>公司根据自身业务、经营情况，建立了合理的绩效评价与激励体系，将经营管理层和员工的收入与企业经营业绩相挂钩，</w:t>
      </w:r>
    </w:p>
    <w:p>
      <w:pPr>
        <w:pStyle w:val="BodyText"/>
        <w:spacing w:line="240" w:lineRule="auto" w:before="32"/>
        <w:ind w:right="1133"/>
        <w:jc w:val="left"/>
      </w:pPr>
      <w:r>
        <w:rPr/>
        <w:t>公司高级管理人员的聘任公开、透明，高管薪酬由薪酬考核委员会核定并经董事会审核通过。</w:t>
      </w:r>
    </w:p>
    <w:p>
      <w:pPr>
        <w:pStyle w:val="BodyText"/>
        <w:spacing w:line="300" w:lineRule="auto" w:before="76"/>
        <w:ind w:left="513" w:right="1129"/>
        <w:jc w:val="left"/>
      </w:pPr>
      <w:r>
        <w:rPr>
          <w:rFonts w:ascii="Times New Roman" w:hAnsi="Times New Roman" w:cs="Times New Roman" w:eastAsia="Times New Roman" w:hint="default"/>
        </w:rPr>
        <w:t>6</w:t>
      </w:r>
      <w:r>
        <w:rPr/>
        <w:t>、关于相关利益者 </w:t>
      </w:r>
      <w:r>
        <w:rPr>
          <w:spacing w:val="-2"/>
        </w:rPr>
        <w:t>公司在注重企业经营的同时，充分尊重和维护利益相关者的合法权利，诚信对待供应商和客户，加强与各方的沟通和合</w:t>
      </w:r>
    </w:p>
    <w:p>
      <w:pPr>
        <w:pStyle w:val="BodyText"/>
        <w:spacing w:line="309" w:lineRule="auto" w:before="31"/>
        <w:ind w:left="513" w:right="1034" w:hanging="361"/>
        <w:jc w:val="left"/>
      </w:pPr>
      <w:r>
        <w:rPr/>
        <w:t>作，努力实现公司、股东、员工、客户、供应商、最终用户、社会等各方利益的协调平衡，共同推动公司持续、稳健发展。 </w:t>
      </w:r>
      <w:r>
        <w:rPr>
          <w:rFonts w:ascii="Times New Roman" w:hAnsi="Times New Roman" w:cs="Times New Roman" w:eastAsia="Times New Roman" w:hint="default"/>
        </w:rPr>
        <w:t>7</w:t>
      </w:r>
      <w:r>
        <w:rPr/>
        <w:t>、关于信息披露与透明度 </w:t>
      </w:r>
      <w:r>
        <w:rPr>
          <w:spacing w:val="-2"/>
        </w:rPr>
        <w:t>公司严格按照《深圳证券交易所股票上市规则》等相关法律法规及《信息披露管理制度》、《投资者关系管理制度》等</w:t>
      </w:r>
    </w:p>
    <w:p>
      <w:pPr>
        <w:pStyle w:val="BodyText"/>
        <w:spacing w:line="316" w:lineRule="auto" w:before="24"/>
        <w:ind w:right="1134"/>
        <w:jc w:val="both"/>
      </w:pPr>
      <w:r>
        <w:rPr>
          <w:spacing w:val="-2"/>
        </w:rPr>
        <w:t>制度的要求，真实、准确、完整、及时、公平地履行信息披露义务。公司指定《证券时报》、《中国证券报》、《上海证券</w:t>
      </w:r>
      <w:r>
        <w:rPr>
          <w:spacing w:val="-74"/>
        </w:rPr>
        <w:t> </w:t>
      </w:r>
      <w:r>
        <w:rPr>
          <w:spacing w:val="-74"/>
        </w:rPr>
      </w:r>
      <w:r>
        <w:rPr/>
        <w:t>报》和巨潮资讯网（</w:t>
      </w:r>
      <w:hyperlink r:id="rId12">
        <w:r>
          <w:rPr>
            <w:rFonts w:ascii="Times New Roman" w:hAnsi="Times New Roman" w:cs="Times New Roman" w:eastAsia="Times New Roman" w:hint="default"/>
          </w:rPr>
          <w:t>www.cninfo.com.cn</w:t>
        </w:r>
      </w:hyperlink>
      <w:r>
        <w:rPr/>
        <w:t>）为公司信息披露的报纸和网站，通过网上说明会、投资者关系互动平台、电话接</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left"/>
      </w:pPr>
      <w:r>
        <w:rPr>
          <w:spacing w:val="-2"/>
        </w:rPr>
        <w:t>听、专用电子信箱、接待投资者和调研机构的来访和咨询等多种方式，与投资者进行沟通、交流，提高公司运作的公开性和</w:t>
      </w:r>
      <w:r>
        <w:rPr>
          <w:spacing w:val="-67"/>
        </w:rPr>
        <w:t> </w:t>
      </w:r>
      <w:r>
        <w:rPr>
          <w:spacing w:val="-67"/>
        </w:rPr>
      </w:r>
      <w:r>
        <w:rPr/>
        <w:t>透明度，确保公司所有股东以平等的机会获取公司信息。</w:t>
      </w:r>
    </w:p>
    <w:p>
      <w:pPr>
        <w:pStyle w:val="BodyText"/>
        <w:spacing w:line="300" w:lineRule="auto" w:before="17"/>
        <w:ind w:left="513" w:right="1033"/>
        <w:jc w:val="left"/>
      </w:pPr>
      <w:r>
        <w:rPr>
          <w:rFonts w:ascii="Times New Roman" w:hAnsi="Times New Roman" w:cs="Times New Roman" w:eastAsia="Times New Roman" w:hint="default"/>
        </w:rPr>
        <w:t>8</w:t>
      </w:r>
      <w:r>
        <w:rPr/>
        <w:t>、内部审计制度 公司设立了内审部，配置了专职审计人员，在董事会审计委员会的指导下对公司及子公司的经济运行质量、经济效益、</w:t>
      </w:r>
    </w:p>
    <w:p>
      <w:pPr>
        <w:pStyle w:val="BodyText"/>
        <w:spacing w:line="316" w:lineRule="auto" w:before="31"/>
        <w:ind w:right="1034"/>
        <w:jc w:val="left"/>
      </w:pPr>
      <w:r>
        <w:rPr>
          <w:spacing w:val="-2"/>
        </w:rPr>
        <w:t>内控的制度和执行、各项费用的使用以及资产情况进行审计和监督。报告期内，结合公司的实际情况，按照各项规章制度的</w:t>
      </w:r>
      <w:r>
        <w:rPr>
          <w:spacing w:val="-64"/>
        </w:rPr>
        <w:t> </w:t>
      </w:r>
      <w:r>
        <w:rPr>
          <w:spacing w:val="-64"/>
        </w:rPr>
      </w:r>
      <w:r>
        <w:rPr/>
        <w:t>规定，在内部审计制度的指导下，顺利完成了本年度的内部审计工作。同时，对对会计师事务所审计工作进行检查和监督， 对审计中遇到的相关事项进行沟通和交流，按计划完成了各项工作。</w:t>
      </w:r>
    </w:p>
    <w:p>
      <w:pPr>
        <w:pStyle w:val="BodyText"/>
        <w:spacing w:line="240" w:lineRule="auto" w:before="59"/>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t>报告期内，公司严格按照《公司法》、《证券法》等法律法规的要求规范运作，公司与控股股东在业务、人员、资产、 </w:t>
      </w:r>
      <w:r>
        <w:rPr>
          <w:spacing w:val="-2"/>
        </w:rPr>
        <w:t>机构、财务等方面完全分开，具有独立完整的业务及自主经营能力。公司所有的生产经营或重大事项均根据《公司章程》及</w:t>
      </w:r>
      <w:r>
        <w:rPr>
          <w:spacing w:val="-67"/>
        </w:rPr>
        <w:t> </w:t>
      </w:r>
      <w:r>
        <w:rPr>
          <w:spacing w:val="-67"/>
        </w:rPr>
      </w:r>
      <w:r>
        <w:rPr/>
        <w:t>相关制度的规定由经营层、董事会、股东大会讨论确定，不存在受控于控股股东的情形。</w:t>
      </w:r>
    </w:p>
    <w:p>
      <w:pPr>
        <w:pStyle w:val="BodyText"/>
        <w:spacing w:line="309" w:lineRule="auto" w:before="19"/>
        <w:ind w:right="1131" w:firstLine="360"/>
        <w:jc w:val="both"/>
      </w:pPr>
      <w:r>
        <w:rPr>
          <w:rFonts w:ascii="Times New Roman" w:hAnsi="Times New Roman" w:cs="Times New Roman" w:eastAsia="Times New Roman" w:hint="default"/>
        </w:rPr>
        <w:t>1</w:t>
      </w:r>
      <w:r>
        <w:rPr/>
        <w:t>、业务独立情况：公司业务独立于控股股东、实际控制人及其控制的其他企业，拥有独立完整的研发、生产、采购、 </w:t>
      </w:r>
      <w:r>
        <w:rPr>
          <w:spacing w:val="-2"/>
        </w:rPr>
        <w:t>销售和服务系统，具备独立面向市场经营的能力，不依赖于股东或其它任何关联方，与控股股东、实际控制人及其控制的其</w:t>
      </w:r>
      <w:r>
        <w:rPr>
          <w:spacing w:val="-65"/>
        </w:rPr>
        <w:t> </w:t>
      </w:r>
      <w:r>
        <w:rPr>
          <w:spacing w:val="-65"/>
        </w:rPr>
      </w:r>
      <w:r>
        <w:rPr/>
        <w:t>他企业不存在同业竞争或者显失公平的关联交易。</w:t>
      </w:r>
    </w:p>
    <w:p>
      <w:pPr>
        <w:pStyle w:val="BodyText"/>
        <w:spacing w:line="314" w:lineRule="auto" w:before="24"/>
        <w:ind w:right="1132"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和人事管理制度，拥有独立的劳动用工权利，不存在受控股股东干涉的现象。公司董事、监事、高级管理人员的任职，均严</w:t>
      </w:r>
      <w:r>
        <w:rPr>
          <w:spacing w:val="-68"/>
        </w:rPr>
        <w:t> </w:t>
      </w:r>
      <w:r>
        <w:rPr>
          <w:spacing w:val="-68"/>
        </w:rPr>
      </w:r>
      <w:r>
        <w:rPr>
          <w:spacing w:val="-2"/>
        </w:rPr>
        <w:t>格按照《公司法》、《公司章程》的有关规定经选举产生和聘任。公司董事长、总经理、副总经理、财务负责人、董事会秘</w:t>
      </w:r>
      <w:r>
        <w:rPr>
          <w:spacing w:val="-71"/>
        </w:rPr>
        <w:t> </w:t>
      </w:r>
      <w:r>
        <w:rPr>
          <w:spacing w:val="-71"/>
        </w:rPr>
      </w:r>
      <w:r>
        <w:rPr>
          <w:spacing w:val="-2"/>
        </w:rPr>
        <w:t>书等高级管理人员未在控股股东及其控制的其他企业担任除董事、监事以外的任何职务，未在控股股东及其控制的其他企业</w:t>
      </w:r>
      <w:r>
        <w:rPr>
          <w:spacing w:val="-64"/>
        </w:rPr>
        <w:t> </w:t>
      </w:r>
      <w:r>
        <w:rPr>
          <w:spacing w:val="-64"/>
        </w:rPr>
      </w:r>
      <w:r>
        <w:rPr/>
        <w:t>领取薪酬。</w:t>
      </w:r>
    </w:p>
    <w:p>
      <w:pPr>
        <w:pStyle w:val="BodyText"/>
        <w:spacing w:line="312" w:lineRule="auto" w:before="20"/>
        <w:ind w:right="1133" w:firstLine="360"/>
        <w:jc w:val="both"/>
      </w:pPr>
      <w:r>
        <w:rPr>
          <w:rFonts w:ascii="Times New Roman" w:hAnsi="Times New Roman" w:cs="Times New Roman" w:eastAsia="Times New Roman" w:hint="default"/>
        </w:rPr>
        <w:t>3</w:t>
      </w:r>
      <w:r>
        <w:rPr/>
        <w:t>、资产独立情况：公司与控股股东其关联方之间的资产产权界定清晰。公司拥有独立于控股股东的生产经营场所，拥 </w:t>
      </w:r>
      <w:r>
        <w:rPr>
          <w:spacing w:val="-2"/>
        </w:rPr>
        <w:t>有独立完整的资产结构，拥有独立的生产系统、采购系统、销售系统、服务系统以及配套设施、土地使用权、房屋所有权等</w:t>
      </w:r>
      <w:r>
        <w:rPr>
          <w:spacing w:val="-68"/>
        </w:rPr>
        <w:t> </w:t>
      </w:r>
      <w:r>
        <w:rPr>
          <w:spacing w:val="-68"/>
        </w:rPr>
      </w:r>
      <w:r>
        <w:rPr>
          <w:spacing w:val="-2"/>
        </w:rPr>
        <w:t>资产，对全部资产拥有完整的控制支配权，不存在为控股股东提供担保的情形。公司不存在资产、资金被控股股东、实际控</w:t>
      </w:r>
      <w:r>
        <w:rPr>
          <w:spacing w:val="-66"/>
        </w:rPr>
        <w:t> </w:t>
      </w:r>
      <w:r>
        <w:rPr>
          <w:spacing w:val="-66"/>
        </w:rPr>
      </w:r>
      <w:r>
        <w:rPr/>
        <w:t>制人及其控制的其他企业违规占用而损害公司利益的情况。</w:t>
      </w:r>
    </w:p>
    <w:p>
      <w:pPr>
        <w:pStyle w:val="BodyText"/>
        <w:spacing w:line="314" w:lineRule="auto" w:before="22"/>
        <w:ind w:right="0" w:firstLine="360"/>
        <w:jc w:val="left"/>
      </w:pPr>
      <w:r>
        <w:rPr>
          <w:rFonts w:ascii="Times New Roman" w:hAnsi="Times New Roman" w:cs="Times New Roman" w:eastAsia="Times New Roman" w:hint="default"/>
        </w:rPr>
        <w:t>4</w:t>
      </w:r>
      <w:r>
        <w:rPr/>
        <w:t>、财务独立情况：公司设有独立的财务会计部门和内部审计部门，配备独立的财务会计人员及内部审计人员，不存在 </w:t>
      </w:r>
      <w:r>
        <w:rPr>
          <w:spacing w:val="-4"/>
        </w:rPr>
        <w:t>控股股东及其控制的其它企业兼职的情况。公司制定了独立的财务管理制度和内部审计制度，并建立了独立的会计核算体系，</w:t>
      </w:r>
      <w:r>
        <w:rPr>
          <w:spacing w:val="-44"/>
        </w:rPr>
        <w:t> </w:t>
      </w:r>
      <w:r>
        <w:rPr>
          <w:spacing w:val="-44"/>
        </w:rPr>
      </w:r>
      <w:r>
        <w:rPr>
          <w:spacing w:val="-2"/>
        </w:rPr>
        <w:t>独立进行财务决策，并严格实施内部审计制度；公司开设了独立银行账户，独立支配自有资金和资产，依法进行纳税申报和</w:t>
      </w:r>
      <w:r>
        <w:rPr>
          <w:spacing w:val="-65"/>
        </w:rPr>
        <w:t> </w:t>
      </w:r>
      <w:r>
        <w:rPr>
          <w:spacing w:val="-65"/>
        </w:rPr>
      </w:r>
      <w:r>
        <w:rPr>
          <w:spacing w:val="-2"/>
        </w:rPr>
        <w:t>履行纳税义务，独立对外签订合同，不存在与控股股东、实际控制人及其控制的其它企业共用银行账户的情形。不存在控股</w:t>
      </w:r>
      <w:r>
        <w:rPr>
          <w:spacing w:val="-62"/>
        </w:rPr>
        <w:t> </w:t>
      </w:r>
      <w:r>
        <w:rPr>
          <w:spacing w:val="-62"/>
        </w:rPr>
      </w:r>
      <w:r>
        <w:rPr/>
        <w:t>股东任意干预公司资金运用及占用公司资金的情况。</w:t>
      </w:r>
    </w:p>
    <w:p>
      <w:pPr>
        <w:pStyle w:val="BodyText"/>
        <w:spacing w:line="312" w:lineRule="auto" w:before="20"/>
        <w:ind w:right="1130" w:firstLine="360"/>
        <w:jc w:val="both"/>
      </w:pPr>
      <w:r>
        <w:rPr>
          <w:rFonts w:ascii="Times New Roman" w:hAnsi="Times New Roman" w:cs="Times New Roman" w:eastAsia="Times New Roman" w:hint="default"/>
        </w:rPr>
        <w:t>5</w:t>
      </w:r>
      <w:r>
        <w:rPr/>
        <w:t>、机构独立情况：公司根据《公司法》和《公司章程》及其他有关法律法规的规定，建立健全的法人治理机构、组织 </w:t>
      </w:r>
      <w:r>
        <w:rPr>
          <w:spacing w:val="-2"/>
        </w:rPr>
        <w:t>结构，设立了股东大会、董事会、监事会以及经营管理层，并制定了相关议事规则和工作细则。公司建立了适合公司生产经</w:t>
      </w:r>
      <w:r>
        <w:rPr>
          <w:spacing w:val="-67"/>
        </w:rPr>
        <w:t> </w:t>
      </w:r>
      <w:r>
        <w:rPr>
          <w:spacing w:val="-67"/>
        </w:rPr>
      </w:r>
      <w:r>
        <w:rPr>
          <w:spacing w:val="-2"/>
        </w:rPr>
        <w:t>营所需的独立完整的组织机构，公司机构及生产经营场所与控股股东完全分开，独立于控股股东和其他关联方，具有健全的</w:t>
      </w:r>
      <w:r>
        <w:rPr>
          <w:spacing w:val="-63"/>
        </w:rPr>
        <w:t> </w:t>
      </w:r>
      <w:r>
        <w:rPr>
          <w:spacing w:val="-63"/>
        </w:rPr>
      </w:r>
      <w:r>
        <w:rPr>
          <w:spacing w:val="-2"/>
        </w:rPr>
        <w:t>内部经营管理机构，独立行使经营管理职权，公司及其职能部门与控股股东及其职能部门之间不存在上下级关系，不存在与</w:t>
      </w:r>
      <w:r>
        <w:rPr>
          <w:spacing w:val="-63"/>
        </w:rPr>
        <w:t> </w:t>
      </w:r>
      <w:r>
        <w:rPr>
          <w:spacing w:val="-63"/>
        </w:rPr>
      </w:r>
      <w:r>
        <w:rPr/>
        <w:t>控股股东及其下属企业机构混同或从属的情形。</w:t>
      </w:r>
    </w:p>
    <w:p>
      <w:pPr>
        <w:spacing w:line="240" w:lineRule="auto" w:before="2"/>
        <w:rPr>
          <w:rFonts w:ascii="宋体" w:hAnsi="宋体" w:cs="宋体" w:eastAsia="宋体" w:hint="default"/>
          <w:sz w:val="21"/>
          <w:szCs w:val="21"/>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012"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012"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172"/>
        <w:gridCol w:w="1169"/>
        <w:gridCol w:w="1441"/>
        <w:gridCol w:w="1531"/>
        <w:gridCol w:w="1529"/>
        <w:gridCol w:w="4501"/>
      </w:tblGrid>
      <w:tr>
        <w:trPr>
          <w:trHeight w:val="40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 临时股东大会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具体内容详见巨潮资讯网（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）及</w:t>
            </w:r>
            <w:r>
              <w:rPr>
                <w:rFonts w:ascii="宋体" w:hAnsi="宋体" w:cs="宋体" w:eastAsia="宋体" w:hint="default"/>
                <w:sz w:val="18"/>
                <w:szCs w:val="18"/>
              </w:rPr>
            </w:r>
          </w:p>
          <w:p>
            <w:pPr>
              <w:pStyle w:val="TableParagraph"/>
              <w:spacing w:line="300"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《上海证券报</w:t>
            </w:r>
            <w:r>
              <w:rPr>
                <w:rFonts w:ascii="宋体" w:hAnsi="宋体" w:cs="宋体" w:eastAsia="宋体" w:hint="default"/>
                <w:spacing w:val="-15"/>
                <w:sz w:val="18"/>
                <w:szCs w:val="18"/>
              </w:rPr>
              <w:t>》</w:t>
            </w:r>
            <w:r>
              <w:rPr>
                <w:rFonts w:ascii="宋体" w:hAnsi="宋体" w:cs="宋体" w:eastAsia="宋体" w:hint="default"/>
                <w:sz w:val="18"/>
                <w:szCs w:val="18"/>
              </w:rPr>
              <w:t>上</w:t>
            </w:r>
            <w:r>
              <w:rPr>
                <w:rFonts w:ascii="宋体" w:hAnsi="宋体" w:cs="宋体" w:eastAsia="宋体" w:hint="default"/>
                <w:spacing w:val="-15"/>
                <w:sz w:val="18"/>
                <w:szCs w:val="18"/>
              </w:rPr>
              <w:t>的</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 </w:t>
            </w:r>
            <w:r>
              <w:rPr>
                <w:rFonts w:ascii="宋体" w:hAnsi="宋体" w:cs="宋体" w:eastAsia="宋体" w:hint="default"/>
                <w:sz w:val="18"/>
                <w:szCs w:val="18"/>
              </w:rPr>
              <w:t>年第一次临时股东大会决议公告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r>
      <w:tr>
        <w:trPr>
          <w:trHeight w:val="1027"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年度股东 大会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具体内容详见巨潮资讯网（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）及</w:t>
            </w:r>
            <w:r>
              <w:rPr>
                <w:rFonts w:ascii="宋体" w:hAnsi="宋体" w:cs="宋体" w:eastAsia="宋体" w:hint="default"/>
                <w:sz w:val="18"/>
                <w:szCs w:val="18"/>
              </w:rPr>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《上海证券报</w:t>
            </w:r>
            <w:r>
              <w:rPr>
                <w:rFonts w:ascii="宋体" w:hAnsi="宋体" w:cs="宋体" w:eastAsia="宋体" w:hint="default"/>
                <w:spacing w:val="-15"/>
                <w:sz w:val="18"/>
                <w:szCs w:val="18"/>
              </w:rPr>
              <w:t>》</w:t>
            </w:r>
            <w:r>
              <w:rPr>
                <w:rFonts w:ascii="宋体" w:hAnsi="宋体" w:cs="宋体" w:eastAsia="宋体" w:hint="default"/>
                <w:sz w:val="18"/>
                <w:szCs w:val="18"/>
              </w:rPr>
              <w:t>上</w:t>
            </w:r>
            <w:r>
              <w:rPr>
                <w:rFonts w:ascii="宋体" w:hAnsi="宋体" w:cs="宋体" w:eastAsia="宋体" w:hint="default"/>
                <w:spacing w:val="-15"/>
                <w:sz w:val="18"/>
                <w:szCs w:val="18"/>
              </w:rPr>
              <w:t>的</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 </w:t>
            </w:r>
            <w:r>
              <w:rPr>
                <w:rFonts w:ascii="宋体" w:hAnsi="宋体" w:cs="宋体" w:eastAsia="宋体" w:hint="default"/>
                <w:sz w:val="18"/>
                <w:szCs w:val="18"/>
              </w:rPr>
              <w:t>年度股东大会决议公告</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告</w:t>
            </w:r>
            <w:r>
              <w:rPr>
                <w:rFonts w:ascii="宋体" w:hAnsi="宋体" w:cs="宋体" w:eastAsia="宋体" w:hint="default"/>
                <w:sz w:val="18"/>
                <w:szCs w:val="18"/>
              </w:rPr>
              <w:t>编号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p>
        </w:tc>
      </w:tr>
      <w:tr>
        <w:trPr>
          <w:trHeight w:val="1025"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年第二次 临时股东大会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20.78%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具体内容详见巨潮资讯网（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）及</w:t>
            </w:r>
            <w:r>
              <w:rPr>
                <w:rFonts w:ascii="宋体" w:hAnsi="宋体" w:cs="宋体" w:eastAsia="宋体" w:hint="default"/>
                <w:sz w:val="18"/>
                <w:szCs w:val="18"/>
              </w:rPr>
            </w:r>
          </w:p>
          <w:p>
            <w:pPr>
              <w:pStyle w:val="TableParagraph"/>
              <w:spacing w:line="300" w:lineRule="auto" w:before="61"/>
              <w:ind w:left="24" w:right="17"/>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《上海证券报</w:t>
            </w:r>
            <w:r>
              <w:rPr>
                <w:rFonts w:ascii="宋体" w:hAnsi="宋体" w:cs="宋体" w:eastAsia="宋体" w:hint="default"/>
                <w:spacing w:val="-15"/>
                <w:sz w:val="18"/>
                <w:szCs w:val="18"/>
              </w:rPr>
              <w:t>》</w:t>
            </w:r>
            <w:r>
              <w:rPr>
                <w:rFonts w:ascii="宋体" w:hAnsi="宋体" w:cs="宋体" w:eastAsia="宋体" w:hint="default"/>
                <w:sz w:val="18"/>
                <w:szCs w:val="18"/>
              </w:rPr>
              <w:t>上</w:t>
            </w:r>
            <w:r>
              <w:rPr>
                <w:rFonts w:ascii="宋体" w:hAnsi="宋体" w:cs="宋体" w:eastAsia="宋体" w:hint="default"/>
                <w:spacing w:val="-15"/>
                <w:sz w:val="18"/>
                <w:szCs w:val="18"/>
              </w:rPr>
              <w:t>的</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2018 </w:t>
            </w:r>
            <w:r>
              <w:rPr>
                <w:rFonts w:ascii="宋体" w:hAnsi="宋体" w:cs="宋体" w:eastAsia="宋体" w:hint="default"/>
                <w:sz w:val="18"/>
                <w:szCs w:val="18"/>
              </w:rPr>
              <w:t>年第二次临时股东大会决议公告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60</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left="1012"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012"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012"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08" w:type="dxa"/>
        <w:tblLayout w:type="fixed"/>
        <w:tblCellMar>
          <w:top w:w="0" w:type="dxa"/>
          <w:left w:w="0" w:type="dxa"/>
          <w:bottom w:w="0" w:type="dxa"/>
          <w:right w:w="0" w:type="dxa"/>
        </w:tblCellMar>
        <w:tblLook w:val="01E0"/>
      </w:tblPr>
      <w:tblGrid>
        <w:gridCol w:w="1428"/>
        <w:gridCol w:w="1165"/>
        <w:gridCol w:w="1164"/>
        <w:gridCol w:w="1162"/>
        <w:gridCol w:w="1164"/>
        <w:gridCol w:w="1162"/>
        <w:gridCol w:w="1577"/>
        <w:gridCol w:w="900"/>
      </w:tblGrid>
      <w:tr>
        <w:trPr>
          <w:trHeight w:val="402" w:hRule="exact"/>
        </w:trPr>
        <w:tc>
          <w:tcPr>
            <w:tcW w:w="972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6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3"/>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刘国常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7"/>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9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3"/>
        <w:spacing w:line="240" w:lineRule="auto" w:before="36"/>
        <w:ind w:left="1012"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012" w:right="0"/>
        <w:jc w:val="left"/>
      </w:pPr>
      <w:r>
        <w:rPr/>
        <w:t>独立董事对公司有关事项是否提出异议</w:t>
      </w:r>
    </w:p>
    <w:p>
      <w:pPr>
        <w:pStyle w:val="BodyText"/>
        <w:spacing w:line="338" w:lineRule="auto" w:before="117"/>
        <w:ind w:left="1012"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left="1012"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12" w:right="0"/>
        <w:jc w:val="left"/>
      </w:pPr>
      <w:r>
        <w:rPr/>
        <w:t>独立董事对公司有关建议是否被采纳</w:t>
      </w:r>
    </w:p>
    <w:p>
      <w:pPr>
        <w:pStyle w:val="BodyText"/>
        <w:spacing w:line="338" w:lineRule="auto" w:before="117"/>
        <w:ind w:left="1012"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spacing w:after="0" w:line="338" w:lineRule="auto"/>
        <w:jc w:val="left"/>
        <w:sectPr>
          <w:pgSz w:w="11910" w:h="16840"/>
          <w:pgMar w:header="745" w:footer="980" w:top="1060" w:bottom="1160" w:left="12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both"/>
      </w:pPr>
      <w:r>
        <w:rPr>
          <w:spacing w:val="-2"/>
        </w:rPr>
        <w:t>公司独立董事在任职期间严格按照《公司法》、《证券法》、《公司章程》、《独立董事工作制度》和《深圳证券交易</w:t>
      </w:r>
      <w:r>
        <w:rPr/>
        <w:t> </w:t>
      </w:r>
      <w:r>
        <w:rPr>
          <w:spacing w:val="-2"/>
        </w:rPr>
        <w:t>所中小企业板上市公司规范运作指引》等法律法规的规定，勤勉尽责地履行职责，及时了解公司各项运营情况，全面关注公</w:t>
      </w:r>
      <w:r>
        <w:rPr>
          <w:spacing w:val="-62"/>
        </w:rPr>
        <w:t> </w:t>
      </w:r>
      <w:r>
        <w:rPr>
          <w:spacing w:val="-62"/>
        </w:rPr>
      </w:r>
      <w:r>
        <w:rPr>
          <w:spacing w:val="-2"/>
        </w:rPr>
        <w:t>司的发展，积极参加公司召开的相关会议，利用自己的专业知识做出独立、客观的判断。对关联交易、对外担保、关联方占</w:t>
      </w:r>
      <w:r>
        <w:rPr>
          <w:spacing w:val="-68"/>
        </w:rPr>
        <w:t> </w:t>
      </w:r>
      <w:r>
        <w:rPr>
          <w:spacing w:val="-68"/>
        </w:rPr>
      </w:r>
      <w:r>
        <w:rPr>
          <w:spacing w:val="-2"/>
        </w:rPr>
        <w:t>用资金情况、年度利润分配预案、聘请年度报告审计机构、内部控制自我评价等相关事项发表独立意见，对各项议案进行认</w:t>
      </w:r>
      <w:r>
        <w:rPr>
          <w:spacing w:val="-64"/>
        </w:rPr>
        <w:t> </w:t>
      </w:r>
      <w:r>
        <w:rPr>
          <w:spacing w:val="-64"/>
        </w:rPr>
      </w:r>
      <w:r>
        <w:rPr/>
        <w:t>真审议，切实维护全体股东尤其是中小股东的合法权益，充分发挥独立董事的独立作用。</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1" w:firstLine="360"/>
        <w:jc w:val="both"/>
      </w:pPr>
      <w:r>
        <w:rPr>
          <w:spacing w:val="-2"/>
        </w:rPr>
        <w:t>公司董事会下设四个专门委员会，分别为审计委员会、提名委员会、薪酬与考核委员会以及战略委员会。</w:t>
      </w:r>
      <w:r>
        <w:rPr>
          <w:rFonts w:ascii="Times New Roman" w:hAnsi="Times New Roman" w:cs="Times New Roman" w:eastAsia="Times New Roman" w:hint="default"/>
          <w:spacing w:val="-2"/>
        </w:rPr>
        <w:t>2018</w:t>
      </w:r>
      <w:r>
        <w:rPr>
          <w:spacing w:val="-2"/>
        </w:rPr>
        <w:t>年，各专</w:t>
      </w:r>
      <w:r>
        <w:rPr/>
        <w:t> 门委员会本着勤勉尽责的原则，按照有关法律法规、公司章程及各专门委员会工作细则的有关规定开展相关工作。</w:t>
      </w:r>
    </w:p>
    <w:p>
      <w:pPr>
        <w:pStyle w:val="BodyText"/>
        <w:spacing w:line="300" w:lineRule="auto" w:before="31"/>
        <w:ind w:left="513" w:right="0"/>
        <w:jc w:val="left"/>
      </w:pPr>
      <w:r>
        <w:rPr>
          <w:rFonts w:ascii="Times New Roman" w:hAnsi="Times New Roman" w:cs="Times New Roman" w:eastAsia="Times New Roman" w:hint="default"/>
        </w:rPr>
        <w:t>1</w:t>
      </w:r>
      <w:r>
        <w:rPr/>
        <w:t>、审计委员会履职情况 </w:t>
      </w:r>
      <w:r>
        <w:rPr>
          <w:spacing w:val="-4"/>
        </w:rPr>
        <w:t>报告期内，审计委员会根据相关规定积极开展工作，认真履行职责，审议公司定期报告、了解公司财务状况和经营情况，</w:t>
      </w:r>
    </w:p>
    <w:p>
      <w:pPr>
        <w:pStyle w:val="BodyText"/>
        <w:spacing w:line="309" w:lineRule="auto" w:before="31"/>
        <w:ind w:left="513" w:right="1033" w:hanging="361"/>
        <w:jc w:val="left"/>
      </w:pPr>
      <w:r>
        <w:rPr>
          <w:spacing w:val="-4"/>
        </w:rPr>
        <w:t>督促和指导内部审计部门对公司的内部控制体系建设、运行情况及财务管理运行情况进行检查，以提高公司规范化运作水平。</w:t>
      </w:r>
      <w:r>
        <w:rPr>
          <w:spacing w:val="-44"/>
        </w:rPr>
        <w:t> </w:t>
      </w:r>
      <w:r>
        <w:rPr>
          <w:spacing w:val="-44"/>
        </w:rPr>
      </w:r>
      <w:r>
        <w:rPr>
          <w:rFonts w:ascii="Times New Roman" w:hAnsi="Times New Roman" w:cs="Times New Roman" w:eastAsia="Times New Roman" w:hint="default"/>
        </w:rPr>
        <w:t>2</w:t>
      </w:r>
      <w:r>
        <w:rPr/>
        <w:t>、提名委员会履职情况 报告期内，提名委员会认真履行职责，对公司董事长、总经理、副总经理候选人的任职资格进行了讨论和审查；同时，</w:t>
      </w:r>
    </w:p>
    <w:p>
      <w:pPr>
        <w:pStyle w:val="BodyText"/>
        <w:spacing w:line="240" w:lineRule="auto" w:before="24"/>
        <w:ind w:right="1133"/>
        <w:jc w:val="left"/>
      </w:pPr>
      <w:r>
        <w:rPr/>
        <w:t>结合公司的发展战略和实际情况物色、筛选符合条件的人员，为公司的发展储备各类人才。</w:t>
      </w:r>
    </w:p>
    <w:p>
      <w:pPr>
        <w:pStyle w:val="BodyText"/>
        <w:spacing w:line="300" w:lineRule="auto" w:before="76"/>
        <w:ind w:left="513" w:right="1129"/>
        <w:jc w:val="left"/>
      </w:pPr>
      <w:r>
        <w:rPr>
          <w:rFonts w:ascii="Times New Roman" w:hAnsi="Times New Roman" w:cs="Times New Roman" w:eastAsia="Times New Roman" w:hint="default"/>
        </w:rPr>
        <w:t>3</w:t>
      </w:r>
      <w:r>
        <w:rPr/>
        <w:t>、薪酬与考核委员会履职情况 </w:t>
      </w:r>
      <w:r>
        <w:rPr>
          <w:spacing w:val="-2"/>
        </w:rPr>
        <w:t>报告期内，薪酬与考核委员会严格按照《董事会议事规则》履行职责，对公司高级管理人员的薪酬和激励制度提出了专</w:t>
      </w:r>
    </w:p>
    <w:p>
      <w:pPr>
        <w:pStyle w:val="BodyText"/>
        <w:spacing w:line="240" w:lineRule="auto" w:before="31"/>
        <w:ind w:right="1133"/>
        <w:jc w:val="left"/>
      </w:pPr>
      <w:r>
        <w:rPr/>
        <w:t>业性意见和建议，对董事及公司高级管理人员薪酬及考核进行了审查。</w:t>
      </w:r>
    </w:p>
    <w:p>
      <w:pPr>
        <w:pStyle w:val="BodyText"/>
        <w:spacing w:line="300" w:lineRule="auto" w:before="76"/>
        <w:ind w:left="513" w:right="1129"/>
        <w:jc w:val="left"/>
      </w:pPr>
      <w:r>
        <w:rPr>
          <w:rFonts w:ascii="Times New Roman" w:hAnsi="Times New Roman" w:cs="Times New Roman" w:eastAsia="Times New Roman" w:hint="default"/>
        </w:rPr>
        <w:t>4</w:t>
      </w:r>
      <w:r>
        <w:rPr/>
        <w:t>、战略委员会履职情况 </w:t>
      </w:r>
      <w:r>
        <w:rPr>
          <w:spacing w:val="-2"/>
        </w:rPr>
        <w:t>报告期内，公司战略委员会勤勉尽责地履行职责，结合国内经济形势和公司行业特点，对公司经营状况和发展前景进行</w:t>
      </w:r>
    </w:p>
    <w:p>
      <w:pPr>
        <w:pStyle w:val="BodyText"/>
        <w:spacing w:line="316" w:lineRule="auto" w:before="31"/>
        <w:ind w:right="1129"/>
        <w:jc w:val="left"/>
      </w:pPr>
      <w:r>
        <w:rPr>
          <w:spacing w:val="-2"/>
        </w:rPr>
        <w:t>深入地分析，及时对公司战略规划、对外投资等事项进行了研究，提出企业应重点关注的经营事项，为公司发展规划提出积</w:t>
      </w:r>
      <w:r>
        <w:rPr>
          <w:spacing w:val="-65"/>
        </w:rPr>
        <w:t> </w:t>
      </w:r>
      <w:r>
        <w:rPr>
          <w:spacing w:val="-65"/>
        </w:rPr>
      </w:r>
      <w:r>
        <w:rPr/>
        <w:t>极的建设性意见。</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firstLine="360"/>
        <w:jc w:val="both"/>
      </w:pPr>
      <w:r>
        <w:rPr>
          <w:spacing w:val="-2"/>
        </w:rPr>
        <w:t>公司建立健全的高级管理人员绩效考评体系以及薪酬制度。公司董事会薪酬与考核委员会是对高管人员进行考核以及确</w:t>
      </w:r>
      <w:r>
        <w:rPr/>
        <w:t> </w:t>
      </w:r>
      <w:r>
        <w:rPr>
          <w:spacing w:val="-2"/>
        </w:rPr>
        <w:t>定薪酬分配的管理机构。公司高管人员的分配与考核以企业经济效益为出发点，根据公司年度经营计划和高管人员分管工作</w:t>
      </w:r>
      <w:r>
        <w:rPr>
          <w:spacing w:val="-64"/>
        </w:rPr>
        <w:t> </w:t>
      </w:r>
      <w:r>
        <w:rPr>
          <w:spacing w:val="-64"/>
        </w:rPr>
      </w:r>
      <w:r>
        <w:rPr>
          <w:spacing w:val="-2"/>
        </w:rPr>
        <w:t>的工作目标，进行综合考核，根据考核结果确定高管人员的年度薪酬分配。薪酬与考核委员会将最终考核结果以及高管人员</w:t>
      </w:r>
      <w:r>
        <w:rPr>
          <w:spacing w:val="-65"/>
        </w:rPr>
        <w:t> </w:t>
      </w:r>
      <w:r>
        <w:rPr>
          <w:spacing w:val="-65"/>
        </w:rPr>
      </w:r>
      <w:r>
        <w:rPr>
          <w:spacing w:val="-2"/>
        </w:rPr>
        <w:t>的薪酬实施具体方案，经董事会审议批准后，由公司统一实施。报告期内，公司已按照关键业绩指标对高级管理人员的工作</w:t>
      </w:r>
      <w:r>
        <w:rPr>
          <w:spacing w:val="-62"/>
        </w:rPr>
        <w:t> </w:t>
      </w:r>
      <w:r>
        <w:rPr>
          <w:spacing w:val="-62"/>
        </w:rPr>
      </w:r>
      <w:r>
        <w:rPr/>
        <w:t>能力、履职情况、责任目标完成情况等进行了考核和评价，其薪酬水平与公司经营业绩紧密挂钩。</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452"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7"/>
        <w:rPr>
          <w:rFonts w:ascii="宋体" w:hAnsi="宋体" w:cs="宋体" w:eastAsia="宋体" w:hint="default"/>
          <w:b/>
          <w:bCs/>
          <w:sz w:val="14"/>
          <w:szCs w:val="14"/>
        </w:rPr>
      </w:pPr>
    </w:p>
    <w:tbl>
      <w:tblPr>
        <w:tblW w:w="0" w:type="auto"/>
        <w:jc w:val="left"/>
        <w:tblInd w:w="100" w:type="dxa"/>
        <w:tblLayout w:type="fixed"/>
        <w:tblCellMar>
          <w:top w:w="0" w:type="dxa"/>
          <w:left w:w="0" w:type="dxa"/>
          <w:bottom w:w="0" w:type="dxa"/>
          <w:right w:w="0" w:type="dxa"/>
        </w:tblCellMar>
        <w:tblLook w:val="01E0"/>
      </w:tblPr>
      <w:tblGrid>
        <w:gridCol w:w="1068"/>
        <w:gridCol w:w="1970"/>
        <w:gridCol w:w="2705"/>
        <w:gridCol w:w="4507"/>
      </w:tblGrid>
      <w:tr>
        <w:trPr>
          <w:trHeight w:val="322" w:hRule="exact"/>
        </w:trPr>
        <w:tc>
          <w:tcPr>
            <w:tcW w:w="57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161" w:hRule="exact"/>
        </w:trPr>
        <w:tc>
          <w:tcPr>
            <w:tcW w:w="574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507" w:type="dxa"/>
            <w:vMerge w:val="restart"/>
            <w:tcBorders>
              <w:top w:val="single" w:sz="4" w:space="0" w:color="000000"/>
              <w:left w:val="single" w:sz="10" w:space="0" w:color="D2D2D2"/>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394" w:hRule="exact"/>
        </w:trPr>
        <w:tc>
          <w:tcPr>
            <w:tcW w:w="574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507" w:type="dxa"/>
            <w:vMerge/>
            <w:tcBorders>
              <w:left w:val="single" w:sz="10" w:space="0" w:color="D2D2D2"/>
              <w:right w:val="single" w:sz="4" w:space="0" w:color="000000"/>
            </w:tcBorders>
          </w:tcPr>
          <w:p>
            <w:pPr/>
          </w:p>
        </w:tc>
      </w:tr>
      <w:tr>
        <w:trPr>
          <w:trHeight w:val="161" w:hRule="exact"/>
        </w:trPr>
        <w:tc>
          <w:tcPr>
            <w:tcW w:w="574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507" w:type="dxa"/>
            <w:vMerge/>
            <w:tcBorders>
              <w:left w:val="single" w:sz="10" w:space="0" w:color="D2D2D2"/>
              <w:bottom w:val="single" w:sz="4" w:space="0" w:color="000000"/>
              <w:right w:val="single" w:sz="4" w:space="0" w:color="000000"/>
            </w:tcBorders>
          </w:tcPr>
          <w:p>
            <w:pPr/>
          </w:p>
        </w:tc>
      </w:tr>
      <w:tr>
        <w:trPr>
          <w:trHeight w:val="401" w:hRule="exact"/>
        </w:trPr>
        <w:tc>
          <w:tcPr>
            <w:tcW w:w="57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8" w:hRule="exact"/>
        </w:trPr>
        <w:tc>
          <w:tcPr>
            <w:tcW w:w="57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5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1" w:hRule="exact"/>
        </w:trPr>
        <w:tc>
          <w:tcPr>
            <w:tcW w:w="102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7"/>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3"/>
              <w:jc w:val="right"/>
              <w:rPr>
                <w:rFonts w:ascii="宋体" w:hAnsi="宋体" w:cs="宋体" w:eastAsia="宋体" w:hint="default"/>
                <w:sz w:val="18"/>
                <w:szCs w:val="18"/>
              </w:rPr>
            </w:pPr>
            <w:r>
              <w:rPr>
                <w:rFonts w:ascii="宋体" w:hAnsi="宋体" w:cs="宋体" w:eastAsia="宋体" w:hint="default"/>
                <w:sz w:val="18"/>
                <w:szCs w:val="18"/>
              </w:rPr>
              <w:t>类别</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675" w:type="dxa"/>
            <w:gridSpan w:val="2"/>
            <w:vMerge w:val="restart"/>
            <w:tcBorders>
              <w:top w:val="single" w:sz="4" w:space="0" w:color="000000"/>
              <w:left w:val="single" w:sz="9" w:space="0" w:color="D2D2D2"/>
              <w:right w:val="single" w:sz="4" w:space="0" w:color="000000"/>
            </w:tcBorders>
          </w:tcPr>
          <w:p>
            <w:pPr>
              <w:pStyle w:val="TableParagraph"/>
              <w:spacing w:line="316" w:lineRule="auto" w:before="49"/>
              <w:ind w:left="17" w:right="13"/>
              <w:jc w:val="left"/>
              <w:rPr>
                <w:rFonts w:ascii="宋体" w:hAnsi="宋体" w:cs="宋体" w:eastAsia="宋体" w:hint="default"/>
                <w:sz w:val="18"/>
                <w:szCs w:val="18"/>
              </w:rPr>
            </w:pPr>
            <w:r>
              <w:rPr>
                <w:rFonts w:ascii="宋体" w:hAnsi="宋体" w:cs="宋体" w:eastAsia="宋体" w:hint="default"/>
                <w:spacing w:val="-3"/>
                <w:sz w:val="18"/>
                <w:szCs w:val="18"/>
              </w:rPr>
              <w:t>财务报告重大缺陷的迹象包括：①控制环境无效；②公司董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事、监事和高级管理人员的舞弊行为；③外部审计发现的却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未被公司内部控制识别的当期财务报告中的重大错报；④已</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经发现并报告给管理层的重大缺陷在合理的时间内未加以 </w:t>
            </w:r>
            <w:r>
              <w:rPr>
                <w:rFonts w:ascii="宋体" w:hAnsi="宋体" w:cs="宋体" w:eastAsia="宋体" w:hint="default"/>
                <w:spacing w:val="-3"/>
                <w:sz w:val="18"/>
                <w:szCs w:val="18"/>
              </w:rPr>
              <w:t>改正；⑤审计委员会和审计部门对内部控制的监督无效。财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务报告重要缺陷的迹象包括：①未依照公认会计准则选择和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应用会计政策；②未建立反舞弊程序和控制措施；③对于非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常规或特殊交易的账务处理没有建立相应的控制机制或没 </w:t>
            </w:r>
            <w:r>
              <w:rPr>
                <w:rFonts w:ascii="宋体" w:hAnsi="宋体" w:cs="宋体" w:eastAsia="宋体" w:hint="default"/>
                <w:spacing w:val="-3"/>
                <w:sz w:val="18"/>
                <w:szCs w:val="18"/>
              </w:rPr>
              <w:t>有实施且没有相应的补偿性控制；④对于期末财务报告过程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的控制存在一项或多项缺陷且不能合理保证编制的财务报 </w:t>
            </w:r>
            <w:r>
              <w:rPr>
                <w:rFonts w:ascii="宋体" w:hAnsi="宋体" w:cs="宋体" w:eastAsia="宋体" w:hint="default"/>
                <w:spacing w:val="-3"/>
                <w:sz w:val="18"/>
                <w:szCs w:val="18"/>
              </w:rPr>
              <w:t>表达到真实、完整的目标。一般缺陷：未构成重大缺陷、重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要缺陷标准的其他内部控制缺陷。</w:t>
            </w:r>
          </w:p>
        </w:tc>
        <w:tc>
          <w:tcPr>
            <w:tcW w:w="45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0" w:right="-34"/>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非财务报告缺陷认定主要以缺陷对业务流程有效性的影 </w:t>
            </w:r>
            <w:r>
              <w:rPr>
                <w:rFonts w:ascii="宋体" w:hAnsi="宋体" w:cs="宋体" w:eastAsia="宋体" w:hint="default"/>
                <w:spacing w:val="-3"/>
                <w:sz w:val="18"/>
                <w:szCs w:val="18"/>
              </w:rPr>
              <w:t>响程度、发生的可能性作判定。如果缺陷发生的可能性较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小，会降低工作效率或效果、或加大效果的不确定性、或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使之偏离预期目标为一般缺陷；如果缺陷发生的可能性较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高，会显著降低工作效率或效果、或显著加大效果的不确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定性、或使之显著偏离预期目标为重要缺陷；如果缺陷发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生的可能性高，会严重降低工作效率或效果、或严重加大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效果的不确定性、或使之严重偏离预期目标为重大缺陷。</w:t>
            </w:r>
          </w:p>
        </w:tc>
      </w:tr>
      <w:tr>
        <w:trPr>
          <w:trHeight w:val="391" w:hRule="exact"/>
        </w:trPr>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24"/>
              <w:jc w:val="right"/>
              <w:rPr>
                <w:rFonts w:ascii="宋体" w:hAnsi="宋体" w:cs="宋体" w:eastAsia="宋体" w:hint="default"/>
                <w:sz w:val="18"/>
                <w:szCs w:val="18"/>
              </w:rPr>
            </w:pPr>
            <w:r>
              <w:rPr>
                <w:rFonts w:ascii="宋体" w:hAnsi="宋体" w:cs="宋体" w:eastAsia="宋体" w:hint="default"/>
                <w:sz w:val="18"/>
                <w:szCs w:val="18"/>
              </w:rPr>
              <w:t>定性标准</w:t>
            </w:r>
          </w:p>
        </w:tc>
        <w:tc>
          <w:tcPr>
            <w:tcW w:w="4675" w:type="dxa"/>
            <w:gridSpan w:val="2"/>
            <w:vMerge/>
            <w:tcBorders>
              <w:left w:val="single" w:sz="9" w:space="0" w:color="D2D2D2"/>
              <w:right w:val="single" w:sz="4" w:space="0" w:color="000000"/>
            </w:tcBorders>
          </w:tcPr>
          <w:p>
            <w:pPr/>
          </w:p>
        </w:tc>
        <w:tc>
          <w:tcPr>
            <w:tcW w:w="4507" w:type="dxa"/>
            <w:vMerge/>
            <w:tcBorders>
              <w:left w:val="single" w:sz="4" w:space="0" w:color="000000"/>
              <w:right w:val="single" w:sz="4" w:space="0" w:color="000000"/>
            </w:tcBorders>
          </w:tcPr>
          <w:p>
            <w:pPr/>
          </w:p>
        </w:tc>
      </w:tr>
      <w:tr>
        <w:trPr>
          <w:trHeight w:val="1721" w:hRule="exact"/>
        </w:trPr>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4675" w:type="dxa"/>
            <w:gridSpan w:val="2"/>
            <w:vMerge/>
            <w:tcBorders>
              <w:left w:val="single" w:sz="9" w:space="0" w:color="D2D2D2"/>
              <w:bottom w:val="single" w:sz="4" w:space="0" w:color="000000"/>
              <w:right w:val="single" w:sz="4" w:space="0" w:color="000000"/>
            </w:tcBorders>
          </w:tcPr>
          <w:p>
            <w:pPr/>
          </w:p>
        </w:tc>
        <w:tc>
          <w:tcPr>
            <w:tcW w:w="4507" w:type="dxa"/>
            <w:vMerge/>
            <w:tcBorders>
              <w:left w:val="single" w:sz="4" w:space="0" w:color="000000"/>
              <w:bottom w:val="single" w:sz="4" w:space="0" w:color="000000"/>
              <w:right w:val="single" w:sz="4" w:space="0" w:color="000000"/>
            </w:tcBorders>
          </w:tcPr>
          <w:p>
            <w:pPr/>
          </w:p>
        </w:tc>
      </w:tr>
      <w:tr>
        <w:trPr>
          <w:trHeight w:val="1721" w:hRule="exact"/>
        </w:trPr>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675" w:type="dxa"/>
            <w:gridSpan w:val="2"/>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17" w:right="14"/>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定量标准以营业收入、资产总额作为衡量指标。内部控制缺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陷可能导致或导致的损失与利润表相关的，以营业收入指标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衡量。如果该缺陷单独或连同其他缺陷可能导致的财务报告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 超过营业收入的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，则认定为重要缺陷；如果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，则认定为重大缺陷。内部控制缺陷可 </w:t>
            </w:r>
            <w:r>
              <w:rPr>
                <w:rFonts w:ascii="宋体" w:hAnsi="宋体" w:cs="宋体" w:eastAsia="宋体" w:hint="default"/>
                <w:spacing w:val="-3"/>
                <w:sz w:val="18"/>
                <w:szCs w:val="18"/>
              </w:rPr>
              <w:t>能导致或导致的损失与资产管理相关的，以资产总额指标衡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量。如果该缺陷单独或连同其他缺陷可能导致的财务报告错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 过资产总额的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，则认定为重要缺陷；如果超</w:t>
            </w:r>
            <w:r>
              <w:rPr>
                <w:rFonts w:ascii="宋体" w:hAnsi="宋体" w:cs="宋体" w:eastAsia="宋体" w:hint="default"/>
                <w:sz w:val="18"/>
                <w:szCs w:val="18"/>
              </w:rPr>
              <w:t>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4507" w:type="dxa"/>
            <w:vMerge w:val="restart"/>
            <w:tcBorders>
              <w:top w:val="single" w:sz="4" w:space="0" w:color="000000"/>
              <w:left w:val="single" w:sz="4" w:space="0" w:color="000000"/>
              <w:right w:val="single" w:sz="4" w:space="0" w:color="000000"/>
            </w:tcBorders>
          </w:tcPr>
          <w:p>
            <w:pPr>
              <w:pStyle w:val="TableParagraph"/>
              <w:spacing w:line="309" w:lineRule="auto" w:before="49"/>
              <w:ind w:left="30" w:right="19"/>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定量标准以营业收入、资产总额作为衡量指标。内部控制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缺陷可能导致或导致的损失与利润表相关的，以营业收入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指标衡量。如果该缺陷单独或连同其他缺陷可能导致的财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务报告错报金额小于营业收入的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 陷；如果超过营业收入的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，则认定为重要</w:t>
            </w:r>
            <w:r>
              <w:rPr>
                <w:rFonts w:ascii="宋体" w:hAnsi="宋体" w:cs="宋体" w:eastAsia="宋体" w:hint="default"/>
                <w:sz w:val="18"/>
                <w:szCs w:val="18"/>
              </w:rPr>
              <w:t> 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 </w:t>
            </w:r>
            <w:r>
              <w:rPr>
                <w:rFonts w:ascii="宋体" w:hAnsi="宋体" w:cs="宋体" w:eastAsia="宋体" w:hint="default"/>
                <w:spacing w:val="-3"/>
                <w:sz w:val="18"/>
                <w:szCs w:val="18"/>
              </w:rPr>
              <w:t>部控制缺陷可能导致或导致的损失与资产管理相关的，以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资产总额指标衡量。如果该缺陷单独或连同其他缺陷可能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导致的财务报告错报金额小于资产总额的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 为一般缺陷；如果超过资产总额的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w:t>
            </w:r>
            <w:r>
              <w:rPr>
                <w:rFonts w:ascii="宋体" w:hAnsi="宋体" w:cs="宋体" w:eastAsia="宋体" w:hint="default"/>
                <w:sz w:val="18"/>
                <w:szCs w:val="18"/>
              </w:rPr>
              <w:t> 定为重要缺陷；如果超过资产总额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 陷。</w:t>
            </w:r>
          </w:p>
        </w:tc>
      </w:tr>
      <w:tr>
        <w:trPr>
          <w:trHeight w:val="394" w:hRule="exact"/>
        </w:trPr>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24"/>
              <w:jc w:val="right"/>
              <w:rPr>
                <w:rFonts w:ascii="宋体" w:hAnsi="宋体" w:cs="宋体" w:eastAsia="宋体" w:hint="default"/>
                <w:sz w:val="18"/>
                <w:szCs w:val="18"/>
              </w:rPr>
            </w:pPr>
            <w:r>
              <w:rPr>
                <w:rFonts w:ascii="宋体" w:hAnsi="宋体" w:cs="宋体" w:eastAsia="宋体" w:hint="default"/>
                <w:sz w:val="18"/>
                <w:szCs w:val="18"/>
              </w:rPr>
              <w:t>定量标准</w:t>
            </w:r>
          </w:p>
        </w:tc>
        <w:tc>
          <w:tcPr>
            <w:tcW w:w="4675" w:type="dxa"/>
            <w:gridSpan w:val="2"/>
            <w:vMerge/>
            <w:tcBorders>
              <w:left w:val="single" w:sz="9" w:space="0" w:color="D2D2D2"/>
              <w:right w:val="single" w:sz="4" w:space="0" w:color="000000"/>
            </w:tcBorders>
          </w:tcPr>
          <w:p>
            <w:pPr/>
          </w:p>
        </w:tc>
        <w:tc>
          <w:tcPr>
            <w:tcW w:w="4507" w:type="dxa"/>
            <w:vMerge/>
            <w:tcBorders>
              <w:left w:val="single" w:sz="4" w:space="0" w:color="000000"/>
              <w:right w:val="single" w:sz="4" w:space="0" w:color="000000"/>
            </w:tcBorders>
          </w:tcPr>
          <w:p>
            <w:pPr/>
          </w:p>
        </w:tc>
      </w:tr>
      <w:tr>
        <w:trPr>
          <w:trHeight w:val="1721" w:hRule="exact"/>
        </w:trPr>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4675" w:type="dxa"/>
            <w:gridSpan w:val="2"/>
            <w:vMerge/>
            <w:tcBorders>
              <w:left w:val="single" w:sz="9" w:space="0" w:color="D2D2D2"/>
              <w:bottom w:val="single" w:sz="4" w:space="0" w:color="000000"/>
              <w:right w:val="single" w:sz="4" w:space="0" w:color="000000"/>
            </w:tcBorders>
          </w:tcPr>
          <w:p>
            <w:pPr/>
          </w:p>
        </w:tc>
        <w:tc>
          <w:tcPr>
            <w:tcW w:w="4507" w:type="dxa"/>
            <w:vMerge/>
            <w:tcBorders>
              <w:left w:val="single" w:sz="4" w:space="0" w:color="000000"/>
              <w:bottom w:val="single" w:sz="4" w:space="0" w:color="000000"/>
              <w:right w:val="single" w:sz="4" w:space="0" w:color="000000"/>
            </w:tcBorders>
          </w:tcPr>
          <w:p>
            <w:pPr/>
          </w:p>
        </w:tc>
      </w:tr>
      <w:tr>
        <w:trPr>
          <w:trHeight w:val="401" w:hRule="exact"/>
        </w:trPr>
        <w:tc>
          <w:tcPr>
            <w:tcW w:w="30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21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0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21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0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21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0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21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452"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52" w:right="0"/>
        <w:jc w:val="left"/>
      </w:pPr>
      <w:r>
        <w:rPr/>
        <w:t>不适用</w:t>
      </w:r>
    </w:p>
    <w:p>
      <w:pPr>
        <w:spacing w:after="0" w:line="240" w:lineRule="auto"/>
        <w:jc w:val="left"/>
        <w:sectPr>
          <w:pgSz w:w="11910" w:h="16840"/>
          <w:pgMar w:header="745" w:footer="980" w:top="1060" w:bottom="1160" w:left="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454" w:right="1115"/>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472" w:right="71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ZC10345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张锦坤、漆江燕</w:t>
            </w:r>
          </w:p>
        </w:tc>
      </w:tr>
    </w:tbl>
    <w:p>
      <w:pPr>
        <w:spacing w:after="0" w:line="240" w:lineRule="auto"/>
        <w:jc w:val="right"/>
        <w:rPr>
          <w:rFonts w:ascii="宋体" w:hAnsi="宋体" w:cs="宋体" w:eastAsia="宋体" w:hint="default"/>
          <w:sz w:val="18"/>
          <w:szCs w:val="18"/>
        </w:rPr>
        <w:sectPr>
          <w:pgSz w:w="11910" w:h="16840"/>
          <w:pgMar w:header="745" w:footer="980" w:top="1060" w:bottom="1160" w:left="66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833" w:right="0" w:hanging="361"/>
        <w:jc w:val="left"/>
        <w:rPr>
          <w:rFonts w:ascii="宋体" w:hAnsi="宋体" w:cs="宋体" w:eastAsia="宋体" w:hint="default"/>
          <w:sz w:val="18"/>
          <w:szCs w:val="18"/>
        </w:rPr>
      </w:pPr>
      <w:r>
        <w:rPr>
          <w:rFonts w:ascii="宋体" w:hAnsi="宋体" w:cs="宋体" w:eastAsia="宋体" w:hint="default"/>
          <w:b/>
          <w:bCs/>
          <w:w w:val="95"/>
          <w:sz w:val="18"/>
          <w:szCs w:val="18"/>
        </w:rPr>
        <w:t>广州御银科技股份有限公司全体股东：</w:t>
      </w:r>
      <w:r>
        <w:rPr>
          <w:rFonts w:ascii="宋体" w:hAnsi="宋体" w:cs="宋体" w:eastAsia="宋体" w:hint="default"/>
          <w:b/>
          <w:bCs/>
          <w:spacing w:val="65"/>
          <w:w w:val="95"/>
          <w:sz w:val="18"/>
          <w:szCs w:val="18"/>
        </w:rPr>
        <w:t> </w:t>
      </w:r>
      <w:r>
        <w:rPr>
          <w:rFonts w:ascii="宋体" w:hAnsi="宋体" w:cs="宋体" w:eastAsia="宋体" w:hint="default"/>
          <w:b/>
          <w:bCs/>
          <w:spacing w:val="65"/>
          <w:w w:val="95"/>
          <w:sz w:val="18"/>
          <w:szCs w:val="18"/>
        </w:rPr>
      </w:r>
      <w:r>
        <w:rPr>
          <w:rFonts w:ascii="宋体" w:hAnsi="宋体" w:cs="宋体" w:eastAsia="宋体" w:hint="default"/>
          <w:sz w:val="18"/>
          <w:szCs w:val="18"/>
        </w:rPr>
        <w:t>一、审计意见</w:t>
      </w:r>
    </w:p>
    <w:p>
      <w:pPr>
        <w:pStyle w:val="BodyText"/>
        <w:spacing w:line="240" w:lineRule="auto" w:before="49"/>
        <w:ind w:left="472" w:right="0"/>
        <w:jc w:val="left"/>
      </w:pPr>
      <w:r>
        <w:rPr/>
        <w:br w:type="column"/>
      </w:r>
      <w:r>
        <w:rPr/>
        <w:t>审计报告正文</w:t>
      </w:r>
    </w:p>
    <w:p>
      <w:pPr>
        <w:spacing w:after="0" w:line="240" w:lineRule="auto"/>
        <w:jc w:val="left"/>
        <w:sectPr>
          <w:type w:val="continuous"/>
          <w:pgSz w:w="11910" w:h="16840"/>
          <w:pgMar w:top="1060" w:bottom="1160" w:left="660" w:right="0"/>
          <w:cols w:num="2" w:equalWidth="0">
            <w:col w:w="3544" w:space="736"/>
            <w:col w:w="6970"/>
          </w:cols>
        </w:sectPr>
      </w:pPr>
    </w:p>
    <w:p>
      <w:pPr>
        <w:pStyle w:val="BodyText"/>
        <w:spacing w:line="300" w:lineRule="auto" w:before="19"/>
        <w:ind w:left="472" w:right="714" w:firstLine="360"/>
        <w:jc w:val="left"/>
      </w:pPr>
      <w:r>
        <w:rPr>
          <w:spacing w:val="-2"/>
        </w:rPr>
        <w:t>我们审计了广州御银科技股份有限公司（以下简称御银股份）财务报表，包括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2018</w:t>
      </w:r>
      <w:r>
        <w:rPr/>
        <w:t>年度的合并及母公司利润表、合并及母公司现金流量表、合并及母公司股东权益变动表以及相关财务报表附注。</w:t>
      </w:r>
    </w:p>
    <w:p>
      <w:pPr>
        <w:pStyle w:val="BodyText"/>
        <w:spacing w:line="300" w:lineRule="auto" w:before="13"/>
        <w:ind w:left="472" w:right="714" w:firstLine="360"/>
        <w:jc w:val="left"/>
      </w:pPr>
      <w:r>
        <w:rPr>
          <w:spacing w:val="-2"/>
        </w:rPr>
        <w:t>我们认为，后附的财务报表在所有重大方面按照企业会计准则的规定编制，公允反映了御银股份</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6" w:lineRule="auto" w:before="13"/>
        <w:ind w:left="833" w:right="714"/>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left="472" w:right="714"/>
        <w:jc w:val="left"/>
      </w:pPr>
      <w:r>
        <w:rPr>
          <w:spacing w:val="-2"/>
        </w:rPr>
        <w:t>阐述了我们在这些准则下的责任。按照中国注册会计师职业道德守则，我们独立于御银股份，并履行了职业道德方面的其他</w:t>
      </w:r>
      <w:r>
        <w:rPr>
          <w:spacing w:val="-63"/>
        </w:rPr>
        <w:t> </w:t>
      </w:r>
      <w:r>
        <w:rPr>
          <w:spacing w:val="-63"/>
        </w:rPr>
      </w:r>
      <w:r>
        <w:rPr/>
        <w:t>责任。我们相信，我们获取的审计证据是充分、适当的，为发表审计意见提供了基础。</w:t>
      </w:r>
    </w:p>
    <w:p>
      <w:pPr>
        <w:pStyle w:val="BodyText"/>
        <w:spacing w:line="319" w:lineRule="auto" w:before="19"/>
        <w:ind w:left="833" w:right="714"/>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7"/>
        <w:ind w:left="472" w:right="714"/>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101"/>
        <w:gridCol w:w="4981"/>
      </w:tblGrid>
      <w:tr>
        <w:trPr>
          <w:trHeight w:val="348" w:hRule="exact"/>
        </w:trPr>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10"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10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（一）关联交易</w:t>
            </w:r>
            <w:r>
              <w:rPr>
                <w:rFonts w:ascii="宋体" w:hAnsi="宋体" w:cs="宋体" w:eastAsia="宋体" w:hint="default"/>
                <w:sz w:val="18"/>
                <w:szCs w:val="18"/>
              </w:rPr>
            </w:r>
          </w:p>
        </w:tc>
      </w:tr>
      <w:tr>
        <w:trPr>
          <w:trHeight w:val="4717" w:hRule="exact"/>
        </w:trPr>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39"/>
              <w:jc w:val="left"/>
              <w:rPr>
                <w:rFonts w:ascii="宋体" w:hAnsi="宋体" w:cs="宋体" w:eastAsia="宋体" w:hint="default"/>
                <w:sz w:val="18"/>
                <w:szCs w:val="18"/>
              </w:rPr>
            </w:pPr>
            <w:r>
              <w:rPr>
                <w:rFonts w:ascii="宋体" w:hAnsi="宋体" w:cs="宋体" w:eastAsia="宋体" w:hint="default"/>
                <w:sz w:val="18"/>
                <w:szCs w:val="18"/>
              </w:rPr>
              <w:t>请参阅</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财务报告十二、关联方及关联交易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 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日，御银股份存在与关联方之间的涉及不同交 易类别的关联方交易，包括向关联方采购原材料、委托关联方加 工和向关联方出租等。由于御银股份涉及的关联方交易种类多样 且金额占比重大，存在没有在财务报表附注中完整披露关联方和 关联方交易的风险，我们将关联方交易确认为关键审计事项。</w:t>
            </w:r>
          </w:p>
        </w:tc>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针对关联方和关联方交易，我们在审计过程中实施了以下审计程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序： </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、了解御银股份识别关联方的程序，评估并测试了御银股份识 别和披露关联方关系及其交易的内部控制和执行情况； </w:t>
            </w:r>
            <w:r>
              <w:rPr>
                <w:rFonts w:ascii="Times New Roman" w:hAnsi="Times New Roman" w:cs="Times New Roman" w:eastAsia="Times New Roman" w:hint="default"/>
                <w:sz w:val="18"/>
                <w:szCs w:val="18"/>
              </w:rPr>
              <w:t>2</w:t>
            </w:r>
            <w:r>
              <w:rPr>
                <w:rFonts w:ascii="宋体" w:hAnsi="宋体" w:cs="宋体" w:eastAsia="宋体" w:hint="default"/>
                <w:sz w:val="18"/>
                <w:szCs w:val="18"/>
              </w:rPr>
              <w:t>、向管理层和治理层获取信息以识别所有已知关联方的名字， 并就该信息的完整性执行以下审计程序： </w:t>
            </w:r>
            <w:r>
              <w:rPr>
                <w:rFonts w:ascii="Times New Roman" w:hAnsi="Times New Roman" w:cs="Times New Roman" w:eastAsia="Times New Roman" w:hint="default"/>
                <w:sz w:val="18"/>
                <w:szCs w:val="18"/>
              </w:rPr>
              <w:t>(1)</w:t>
            </w:r>
            <w:r>
              <w:rPr>
                <w:rFonts w:ascii="宋体" w:hAnsi="宋体" w:cs="宋体" w:eastAsia="宋体" w:hint="default"/>
                <w:sz w:val="18"/>
                <w:szCs w:val="18"/>
              </w:rPr>
              <w:t>将其与财务系统中导出的关联方关系清单以及从其他公开渠 道获取的信息进行核对； </w:t>
            </w:r>
            <w:r>
              <w:rPr>
                <w:rFonts w:ascii="Times New Roman" w:hAnsi="Times New Roman" w:cs="Times New Roman" w:eastAsia="Times New Roman" w:hint="default"/>
                <w:sz w:val="18"/>
                <w:szCs w:val="18"/>
              </w:rPr>
              <w:t>(2)</w:t>
            </w:r>
            <w:r>
              <w:rPr>
                <w:rFonts w:ascii="宋体" w:hAnsi="宋体" w:cs="宋体" w:eastAsia="宋体" w:hint="default"/>
                <w:sz w:val="18"/>
                <w:szCs w:val="18"/>
              </w:rPr>
              <w:t>复核重大的采购和其他合同，以识别是否存在未披露的关联 方关系； </w:t>
            </w:r>
            <w:r>
              <w:rPr>
                <w:rFonts w:ascii="Times New Roman" w:hAnsi="Times New Roman" w:cs="Times New Roman" w:eastAsia="Times New Roman" w:hint="default"/>
                <w:sz w:val="18"/>
                <w:szCs w:val="18"/>
              </w:rPr>
              <w:t>(3)</w:t>
            </w:r>
            <w:r>
              <w:rPr>
                <w:rFonts w:ascii="宋体" w:hAnsi="宋体" w:cs="宋体" w:eastAsia="宋体" w:hint="default"/>
                <w:sz w:val="18"/>
                <w:szCs w:val="18"/>
              </w:rPr>
              <w:t>复核股东记录、股东名册、股东或治理层会议纪要等法定记 录，识别是否存在管理层未告知的关联方。 </w:t>
            </w:r>
            <w:r>
              <w:rPr>
                <w:rFonts w:ascii="Times New Roman" w:hAnsi="Times New Roman" w:cs="Times New Roman" w:eastAsia="Times New Roman" w:hint="default"/>
                <w:sz w:val="18"/>
                <w:szCs w:val="18"/>
              </w:rPr>
              <w:t>3</w:t>
            </w:r>
            <w:r>
              <w:rPr>
                <w:rFonts w:ascii="宋体" w:hAnsi="宋体" w:cs="宋体" w:eastAsia="宋体" w:hint="default"/>
                <w:sz w:val="18"/>
                <w:szCs w:val="18"/>
              </w:rPr>
              <w:t>、取得管理层提供的关联方交易发生额及余额明细，实施了以 下程序：</w:t>
            </w:r>
          </w:p>
          <w:p>
            <w:pPr>
              <w:pStyle w:val="TableParagraph"/>
              <w:spacing w:line="240" w:lineRule="auto" w:before="24"/>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）将其与财务记录进行核对；</w:t>
            </w:r>
          </w:p>
        </w:tc>
      </w:tr>
    </w:tbl>
    <w:p>
      <w:pPr>
        <w:spacing w:after="0" w:line="240" w:lineRule="auto"/>
        <w:jc w:val="left"/>
        <w:rPr>
          <w:rFonts w:ascii="宋体" w:hAnsi="宋体" w:cs="宋体" w:eastAsia="宋体" w:hint="default"/>
          <w:sz w:val="18"/>
          <w:szCs w:val="18"/>
        </w:rPr>
        <w:sectPr>
          <w:type w:val="continuous"/>
          <w:pgSz w:w="11910" w:h="16840"/>
          <w:pgMar w:top="1060" w:bottom="1160" w:left="66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101"/>
        <w:gridCol w:w="4981"/>
      </w:tblGrid>
      <w:tr>
        <w:trPr>
          <w:trHeight w:val="1596" w:hRule="exact"/>
        </w:trPr>
        <w:tc>
          <w:tcPr>
            <w:tcW w:w="5101" w:type="dxa"/>
            <w:tcBorders>
              <w:top w:val="single" w:sz="6" w:space="0" w:color="000000"/>
              <w:left w:val="single" w:sz="6" w:space="0" w:color="000000"/>
              <w:bottom w:val="single" w:sz="6" w:space="0" w:color="000000"/>
              <w:right w:val="single" w:sz="6" w:space="0" w:color="000000"/>
            </w:tcBorders>
          </w:tcPr>
          <w:p>
            <w:pPr/>
          </w:p>
        </w:tc>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）抽样检查关联方交易发生时的合同及关联方交易及余额的 对账结果；</w:t>
            </w:r>
          </w:p>
          <w:p>
            <w:pPr>
              <w:pStyle w:val="TableParagraph"/>
              <w:spacing w:line="300" w:lineRule="auto" w:before="31"/>
              <w:ind w:left="4" w:right="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）抽样函证关联方交易发生额及余额。 </w:t>
            </w:r>
            <w:r>
              <w:rPr>
                <w:rFonts w:ascii="Times New Roman" w:hAnsi="Times New Roman" w:cs="Times New Roman" w:eastAsia="Times New Roman" w:hint="default"/>
                <w:sz w:val="18"/>
                <w:szCs w:val="18"/>
              </w:rPr>
              <w:t>4</w:t>
            </w:r>
            <w:r>
              <w:rPr>
                <w:rFonts w:ascii="宋体" w:hAnsi="宋体" w:cs="宋体" w:eastAsia="宋体" w:hint="default"/>
                <w:sz w:val="18"/>
                <w:szCs w:val="18"/>
              </w:rPr>
              <w:t>、检查关联方关系及交易是否已按照企会计准则的要求进行了 充分披露。</w:t>
            </w:r>
          </w:p>
        </w:tc>
      </w:tr>
      <w:tr>
        <w:trPr>
          <w:trHeight w:val="346" w:hRule="exact"/>
        </w:trPr>
        <w:tc>
          <w:tcPr>
            <w:tcW w:w="10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（二）以公允价值计量且其变动计入当期损益的金融资产</w:t>
            </w:r>
            <w:r>
              <w:rPr>
                <w:rFonts w:ascii="宋体" w:hAnsi="宋体" w:cs="宋体" w:eastAsia="宋体" w:hint="default"/>
                <w:sz w:val="18"/>
                <w:szCs w:val="18"/>
              </w:rPr>
            </w:r>
          </w:p>
        </w:tc>
      </w:tr>
      <w:tr>
        <w:trPr>
          <w:trHeight w:val="5653" w:hRule="exact"/>
        </w:trPr>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以公允价值计量且其变动计入当期损益的金融资产的会计政策详 情请参阅</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财务报告五、</w:t>
            </w:r>
            <w:r>
              <w:rPr>
                <w:rFonts w:ascii="Times New Roman" w:hAnsi="Times New Roman" w:cs="Times New Roman" w:eastAsia="Times New Roman" w:hint="default"/>
                <w:sz w:val="18"/>
                <w:szCs w:val="18"/>
              </w:rPr>
              <w:t>9</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2</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 御银股份</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以公允价值计量且其变动计入当期损益的金融资产</w:t>
            </w:r>
            <w:r>
              <w:rPr>
                <w:rFonts w:ascii="Times New Roman" w:hAnsi="Times New Roman" w:cs="Times New Roman" w:eastAsia="Times New Roman" w:hint="default"/>
                <w:sz w:val="18"/>
                <w:szCs w:val="18"/>
              </w:rPr>
              <w:t>”</w:t>
            </w:r>
          </w:p>
          <w:p>
            <w:pPr>
              <w:pStyle w:val="TableParagraph"/>
              <w:spacing w:line="302" w:lineRule="auto" w:before="5"/>
              <w:ind w:left="4" w:right="-3"/>
              <w:jc w:val="left"/>
              <w:rPr>
                <w:rFonts w:ascii="宋体" w:hAnsi="宋体" w:cs="宋体" w:eastAsia="宋体" w:hint="default"/>
                <w:sz w:val="18"/>
                <w:szCs w:val="18"/>
              </w:rPr>
            </w:pPr>
            <w:r>
              <w:rPr>
                <w:rFonts w:ascii="宋体" w:hAnsi="宋体" w:cs="宋体" w:eastAsia="宋体" w:hint="default"/>
                <w:sz w:val="18"/>
                <w:szCs w:val="18"/>
              </w:rPr>
              <w:t>（以下简称为</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）为公司在证券交易所购买的股票、基 金等金融资产，在取得时以该</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的实际成交价作为初始 确认金额，相关的交易税费计入投资收益；出售时，以其成交价 与初始确认金额之间的差额和出售时发生的交易税费确认为投资 </w:t>
            </w:r>
            <w:r>
              <w:rPr>
                <w:rFonts w:ascii="宋体" w:hAnsi="宋体" w:cs="宋体" w:eastAsia="宋体" w:hint="default"/>
                <w:spacing w:val="-1"/>
                <w:sz w:val="18"/>
                <w:szCs w:val="18"/>
              </w:rPr>
              <w:t>收益；期末，</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按其公允价值作为账面价值列示，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w:t>
            </w:r>
            <w:r>
              <w:rPr>
                <w:rFonts w:ascii="宋体" w:hAnsi="宋体" w:cs="宋体" w:eastAsia="宋体" w:hint="default"/>
                <w:spacing w:val="-82"/>
                <w:sz w:val="18"/>
                <w:szCs w:val="18"/>
              </w:rPr>
              <w:t> </w:t>
            </w: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期末和期初的账面价值的差额计入当期</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公允价值变动收 益</w:t>
            </w:r>
            <w:r>
              <w:rPr>
                <w:rFonts w:ascii="Times New Roman" w:hAnsi="Times New Roman" w:cs="Times New Roman" w:eastAsia="Times New Roman" w:hint="default"/>
                <w:sz w:val="18"/>
                <w:szCs w:val="18"/>
              </w:rPr>
              <w:t>”</w:t>
            </w:r>
            <w:r>
              <w:rPr>
                <w:rFonts w:ascii="宋体" w:hAnsi="宋体" w:cs="宋体" w:eastAsia="宋体" w:hint="default"/>
                <w:sz w:val="18"/>
                <w:szCs w:val="18"/>
              </w:rPr>
              <w:t>。 如</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财务报告七、</w:t>
            </w:r>
            <w:r>
              <w:rPr>
                <w:rFonts w:ascii="Times New Roman" w:hAnsi="Times New Roman" w:cs="Times New Roman" w:eastAsia="Times New Roman" w:hint="default"/>
                <w:sz w:val="18"/>
                <w:szCs w:val="18"/>
              </w:rPr>
              <w:t>2</w:t>
            </w:r>
            <w:r>
              <w:rPr>
                <w:rFonts w:ascii="宋体" w:hAnsi="宋体" w:cs="宋体" w:eastAsia="宋体" w:hint="default"/>
                <w:sz w:val="18"/>
                <w:szCs w:val="18"/>
              </w:rPr>
              <w:t>以公允价值计量且其变动计入当期损益的金融 </w:t>
            </w:r>
            <w:r>
              <w:rPr>
                <w:rFonts w:ascii="宋体" w:hAnsi="宋体" w:cs="宋体" w:eastAsia="宋体" w:hint="default"/>
                <w:spacing w:val="-2"/>
                <w:sz w:val="18"/>
                <w:szCs w:val="18"/>
              </w:rPr>
              <w:t>资产、</w:t>
            </w:r>
            <w:r>
              <w:rPr>
                <w:rFonts w:ascii="Times New Roman" w:hAnsi="Times New Roman" w:cs="Times New Roman" w:eastAsia="Times New Roman" w:hint="default"/>
                <w:spacing w:val="-2"/>
                <w:sz w:val="18"/>
                <w:szCs w:val="18"/>
              </w:rPr>
              <w:t>43</w:t>
            </w:r>
            <w:r>
              <w:rPr>
                <w:rFonts w:ascii="宋体" w:hAnsi="宋体" w:cs="宋体" w:eastAsia="宋体" w:hint="default"/>
                <w:spacing w:val="-2"/>
                <w:sz w:val="18"/>
                <w:szCs w:val="18"/>
              </w:rPr>
              <w:t>投资收益及</w:t>
            </w:r>
            <w:r>
              <w:rPr>
                <w:rFonts w:ascii="Times New Roman" w:hAnsi="Times New Roman" w:cs="Times New Roman" w:eastAsia="Times New Roman" w:hint="default"/>
                <w:spacing w:val="-2"/>
                <w:sz w:val="18"/>
                <w:szCs w:val="18"/>
              </w:rPr>
              <w:t>44</w:t>
            </w:r>
            <w:r>
              <w:rPr>
                <w:rFonts w:ascii="宋体" w:hAnsi="宋体" w:cs="宋体" w:eastAsia="宋体" w:hint="default"/>
                <w:spacing w:val="-2"/>
                <w:sz w:val="18"/>
                <w:szCs w:val="18"/>
              </w:rPr>
              <w:t>公允价值变动收益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所述，截至</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日，御银股份持有的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为</w:t>
            </w:r>
            <w:r>
              <w:rPr>
                <w:rFonts w:ascii="Times New Roman" w:hAnsi="Times New Roman" w:cs="Times New Roman" w:eastAsia="Times New Roman" w:hint="default"/>
                <w:spacing w:val="-3"/>
                <w:sz w:val="18"/>
                <w:szCs w:val="18"/>
              </w:rPr>
              <w:t>38,584.28</w:t>
            </w:r>
            <w:r>
              <w:rPr>
                <w:rFonts w:ascii="宋体" w:hAnsi="宋体" w:cs="宋体" w:eastAsia="宋体" w:hint="default"/>
                <w:spacing w:val="-3"/>
                <w:sz w:val="18"/>
                <w:szCs w:val="18"/>
              </w:rPr>
              <w:t>万元，因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金融资产</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持有和出售而计入本年度利润表的投资收益</w:t>
            </w:r>
            <w:r>
              <w:rPr>
                <w:rFonts w:ascii="Times New Roman" w:hAnsi="Times New Roman" w:cs="Times New Roman" w:eastAsia="Times New Roman" w:hint="default"/>
                <w:sz w:val="18"/>
                <w:szCs w:val="18"/>
              </w:rPr>
              <w:t>-2,391.35</w:t>
            </w:r>
            <w:r>
              <w:rPr>
                <w:rFonts w:ascii="宋体" w:hAnsi="宋体" w:cs="宋体" w:eastAsia="宋体" w:hint="default"/>
                <w:sz w:val="18"/>
                <w:szCs w:val="18"/>
              </w:rPr>
              <w:t>万元，因期 初和期末持有</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而产生的计入本年度利润表的</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 值变动收益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-2,993.10</w:t>
            </w:r>
            <w:r>
              <w:rPr>
                <w:rFonts w:ascii="宋体" w:hAnsi="宋体" w:cs="宋体" w:eastAsia="宋体" w:hint="default"/>
                <w:sz w:val="18"/>
                <w:szCs w:val="18"/>
              </w:rPr>
              <w:t>万元。 由于</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本期出售和期末金额对本期报表影响重大，我们 将其确定为关键审计事项。</w:t>
            </w:r>
          </w:p>
        </w:tc>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针对</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，我们在审计过程中实施了以下审计程序： </w:t>
            </w:r>
            <w:r>
              <w:rPr>
                <w:rFonts w:ascii="Times New Roman" w:hAnsi="Times New Roman" w:cs="Times New Roman" w:eastAsia="Times New Roman" w:hint="default"/>
                <w:sz w:val="18"/>
                <w:szCs w:val="18"/>
              </w:rPr>
              <w:t>1</w:t>
            </w:r>
            <w:r>
              <w:rPr>
                <w:rFonts w:ascii="宋体" w:hAnsi="宋体" w:cs="宋体" w:eastAsia="宋体" w:hint="default"/>
                <w:sz w:val="18"/>
                <w:szCs w:val="18"/>
              </w:rPr>
              <w:t>、查阅了御银股份重大的对外投资的股东大会、董事会决议和 相关的会议纪要等资料； </w:t>
            </w:r>
            <w:r>
              <w:rPr>
                <w:rFonts w:ascii="Times New Roman" w:hAnsi="Times New Roman" w:cs="Times New Roman" w:eastAsia="Times New Roman" w:hint="default"/>
                <w:sz w:val="18"/>
                <w:szCs w:val="18"/>
              </w:rPr>
              <w:t>2</w:t>
            </w:r>
            <w:r>
              <w:rPr>
                <w:rFonts w:ascii="宋体" w:hAnsi="宋体" w:cs="宋体" w:eastAsia="宋体" w:hint="default"/>
                <w:sz w:val="18"/>
                <w:szCs w:val="18"/>
              </w:rPr>
              <w:t>、了解御银股份买卖公开市场股票等金融资产的程序，评估并 测试了御银股份针对该等买卖金融资产的内部控制； </w:t>
            </w:r>
            <w:r>
              <w:rPr>
                <w:rFonts w:ascii="Times New Roman" w:hAnsi="Times New Roman" w:cs="Times New Roman" w:eastAsia="Times New Roman" w:hint="default"/>
                <w:sz w:val="18"/>
                <w:szCs w:val="18"/>
              </w:rPr>
              <w:t>3</w:t>
            </w:r>
            <w:r>
              <w:rPr>
                <w:rFonts w:ascii="宋体" w:hAnsi="宋体" w:cs="宋体" w:eastAsia="宋体" w:hint="default"/>
                <w:sz w:val="18"/>
                <w:szCs w:val="18"/>
              </w:rPr>
              <w:t>、取得御银股份在证券交易公司的开户信息、交易流水和资金 </w:t>
            </w:r>
            <w:r>
              <w:rPr>
                <w:rFonts w:ascii="宋体" w:hAnsi="宋体" w:cs="宋体" w:eastAsia="宋体" w:hint="default"/>
                <w:spacing w:val="-3"/>
                <w:sz w:val="18"/>
                <w:szCs w:val="18"/>
              </w:rPr>
              <w:t>流水等重要资料，并将交易流水和资金流水与御银股份的会计记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录抽样进行核对； </w:t>
            </w:r>
            <w:r>
              <w:rPr>
                <w:rFonts w:ascii="Times New Roman" w:hAnsi="Times New Roman" w:cs="Times New Roman" w:eastAsia="Times New Roman" w:hint="default"/>
                <w:sz w:val="18"/>
                <w:szCs w:val="18"/>
              </w:rPr>
              <w:t>4</w:t>
            </w:r>
            <w:r>
              <w:rPr>
                <w:rFonts w:ascii="宋体" w:hAnsi="宋体" w:cs="宋体" w:eastAsia="宋体" w:hint="default"/>
                <w:sz w:val="18"/>
                <w:szCs w:val="18"/>
              </w:rPr>
              <w:t>、向御银股份开户的证券交易公司询证金融资产的交易金额和 余额；</w:t>
            </w:r>
          </w:p>
          <w:p>
            <w:pPr>
              <w:pStyle w:val="TableParagraph"/>
              <w:spacing w:line="240" w:lineRule="auto" w:before="2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、重新计算报表披露金额。</w:t>
            </w:r>
          </w:p>
        </w:tc>
      </w:tr>
    </w:tbl>
    <w:p>
      <w:pPr>
        <w:pStyle w:val="BodyText"/>
        <w:spacing w:line="319" w:lineRule="auto" w:before="8"/>
        <w:ind w:left="833" w:right="714"/>
        <w:jc w:val="left"/>
      </w:pPr>
      <w:r>
        <w:rPr/>
        <w:t>四、其他信息 </w:t>
      </w:r>
      <w:r>
        <w:rPr>
          <w:spacing w:val="-2"/>
        </w:rPr>
        <w:t>御银股份管理层（以下简称管理层）对其他信息负责。其他信息包括御银股份</w:t>
      </w:r>
      <w:r>
        <w:rPr>
          <w:rFonts w:ascii="Times New Roman" w:hAnsi="Times New Roman" w:cs="Times New Roman" w:eastAsia="Times New Roman" w:hint="default"/>
          <w:spacing w:val="-2"/>
        </w:rPr>
        <w:t>2018</w:t>
      </w:r>
      <w:r>
        <w:rPr>
          <w:spacing w:val="-2"/>
        </w:rPr>
        <w:t>年年度报告中涵盖的信息，但不包括</w:t>
      </w:r>
    </w:p>
    <w:p>
      <w:pPr>
        <w:pStyle w:val="BodyText"/>
        <w:spacing w:line="316" w:lineRule="auto"/>
        <w:ind w:left="833" w:right="714" w:hanging="361"/>
        <w:jc w:val="left"/>
      </w:pP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833" w:right="714"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left="472" w:right="714"/>
        <w:jc w:val="left"/>
      </w:pPr>
      <w:r>
        <w:rPr/>
        <w:t>报告。</w:t>
      </w:r>
    </w:p>
    <w:p>
      <w:pPr>
        <w:pStyle w:val="BodyText"/>
        <w:spacing w:line="316" w:lineRule="auto" w:before="76"/>
        <w:ind w:left="833" w:right="714"/>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9"/>
        <w:ind w:left="833" w:right="714" w:hanging="361"/>
        <w:jc w:val="left"/>
      </w:pPr>
      <w:r>
        <w:rPr/>
        <w:t>务报表不存在由于舞弊或错误导致的重大错报。 </w:t>
      </w:r>
      <w:r>
        <w:rPr>
          <w:spacing w:val="-2"/>
        </w:rPr>
        <w:t>在编制财务报表时，管理层负责评估御银股份的持续经营能力，披露与持续经营相关的事项（如适用），并运用持续经</w:t>
      </w:r>
    </w:p>
    <w:p>
      <w:pPr>
        <w:pStyle w:val="BodyText"/>
        <w:spacing w:line="316" w:lineRule="auto" w:before="19"/>
        <w:ind w:left="833" w:right="5714" w:hanging="361"/>
        <w:jc w:val="left"/>
      </w:pPr>
      <w:r>
        <w:rPr/>
        <w:t>营假设，除非计划进行清算、终止运营或别无其他现实的选择。 治理层负责监督御银股份的财务报告过程。 六、注册会计师对财务报表审计的责任</w:t>
      </w:r>
    </w:p>
    <w:p>
      <w:pPr>
        <w:pStyle w:val="BodyText"/>
        <w:spacing w:line="316" w:lineRule="auto" w:before="19"/>
        <w:ind w:left="472"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833" w:right="714"/>
        <w:jc w:val="left"/>
      </w:pPr>
      <w:r>
        <w:rPr/>
        <w:t>在按照审计准则执行审计工作的过程中，我们运用职业判断，并保持职业怀疑。同时，我们也执行以下工作：</w:t>
      </w:r>
    </w:p>
    <w:p>
      <w:pPr>
        <w:spacing w:after="0" w:line="240" w:lineRule="auto"/>
        <w:jc w:val="left"/>
        <w:sectPr>
          <w:pgSz w:w="11910" w:h="16840"/>
          <w:pgMar w:header="745" w:footer="980" w:top="1060" w:bottom="1160" w:left="660" w:right="0"/>
        </w:sectPr>
      </w:pPr>
    </w:p>
    <w:p>
      <w:pPr>
        <w:spacing w:line="240" w:lineRule="auto" w:before="9"/>
        <w:rPr>
          <w:rFonts w:ascii="宋体" w:hAnsi="宋体" w:cs="宋体" w:eastAsia="宋体" w:hint="default"/>
          <w:sz w:val="25"/>
          <w:szCs w:val="25"/>
        </w:rPr>
      </w:pPr>
    </w:p>
    <w:p>
      <w:pPr>
        <w:pStyle w:val="BodyText"/>
        <w:spacing w:line="309" w:lineRule="auto" w:before="44"/>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13"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）对管理层使用持续经营假设的恰当性得出结论。同时，根据获取的审计证据，就可能导致对御银股份持续经营能 </w:t>
      </w:r>
      <w:r>
        <w:rPr>
          <w:spacing w:val="-2"/>
        </w:rPr>
        <w:t>力产生重大疑虑的事项或情况是否存在重大不确定性得出结论。如果我们得出结论认为存在重大不确定性，审计准则要求我</w:t>
      </w:r>
      <w:r>
        <w:rPr>
          <w:spacing w:val="-62"/>
        </w:rPr>
        <w:t> </w:t>
      </w:r>
      <w:r>
        <w:rPr>
          <w:spacing w:val="-62"/>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于截至审计报告日可获得的信息。然而，未来的事项或情况可能导致御银股份不能持续经营。</w:t>
      </w:r>
    </w:p>
    <w:p>
      <w:pPr>
        <w:pStyle w:val="BodyText"/>
        <w:spacing w:line="240" w:lineRule="auto" w:before="22"/>
        <w:ind w:left="513" w:right="1133"/>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9" w:firstLine="360"/>
        <w:jc w:val="both"/>
      </w:pPr>
      <w:r>
        <w:rPr/>
        <w:t>（</w:t>
      </w:r>
      <w:r>
        <w:rPr>
          <w:rFonts w:ascii="Times New Roman" w:hAnsi="Times New Roman" w:cs="Times New Roman" w:eastAsia="Times New Roman" w:hint="default"/>
        </w:rPr>
        <w:t>6</w:t>
      </w:r>
      <w:r>
        <w:rPr/>
        <w:t>）就御银股份中实体或业务活动的财务信息获取充分、适当的审计证据，以对财务报表发表审计意见。我们负责指 导、监督和执行集团审计，并对审计意见承担全部责任。</w:t>
      </w:r>
    </w:p>
    <w:p>
      <w:pPr>
        <w:pStyle w:val="BodyText"/>
        <w:spacing w:line="319"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after="0" w:line="316"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2"/>
        <w:spacing w:line="240" w:lineRule="auto" w:before="26"/>
        <w:ind w:right="1133"/>
        <w:jc w:val="left"/>
        <w:rPr>
          <w:b w:val="0"/>
          <w:bCs w:val="0"/>
        </w:rPr>
      </w:pPr>
      <w:r>
        <w:rPr/>
        <w:t>二、财务报表</w:t>
      </w:r>
      <w:r>
        <w:rPr>
          <w:b w:val="0"/>
          <w:bCs w:val="0"/>
        </w:rPr>
      </w:r>
    </w:p>
    <w:p>
      <w:pPr>
        <w:spacing w:line="240" w:lineRule="auto" w:before="1"/>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745" w:footer="980" w:top="1060" w:bottom="1160" w:left="980" w:right="0"/>
        </w:sectPr>
      </w:pPr>
    </w:p>
    <w:p>
      <w:pPr>
        <w:pStyle w:val="BodyText"/>
        <w:spacing w:line="638" w:lineRule="auto" w:before="44"/>
        <w:ind w:left="513" w:right="-20"/>
        <w:jc w:val="left"/>
      </w:pPr>
      <w:r>
        <w:rPr/>
        <w:t>财务附注中报表的单位为：人民币元 编制单位：广州御银科技股份有限公司</w:t>
      </w:r>
    </w:p>
    <w:p>
      <w:pPr>
        <w:spacing w:line="240" w:lineRule="auto" w:before="9"/>
        <w:rPr>
          <w:rFonts w:ascii="宋体" w:hAnsi="宋体" w:cs="宋体" w:eastAsia="宋体" w:hint="default"/>
          <w:sz w:val="25"/>
          <w:szCs w:val="25"/>
        </w:rPr>
      </w:pPr>
      <w:r>
        <w:rPr/>
        <w:br w:type="column"/>
      </w:r>
      <w:r>
        <w:rPr>
          <w:rFonts w:ascii="宋体"/>
          <w:sz w:val="25"/>
        </w:rPr>
      </w:r>
    </w:p>
    <w:p>
      <w:pPr>
        <w:pStyle w:val="Heading3"/>
        <w:spacing w:line="240" w:lineRule="auto"/>
        <w:ind w:left="513" w:right="0"/>
        <w:jc w:val="center"/>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451" w:right="0"/>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spacing w:line="240" w:lineRule="auto"/>
        <w:ind w:left="513" w:right="0"/>
        <w:jc w:val="left"/>
      </w:pPr>
      <w:r>
        <w:rPr/>
        <w:t>单位：元</w:t>
      </w:r>
    </w:p>
    <w:p>
      <w:pPr>
        <w:spacing w:after="0" w:line="240" w:lineRule="auto"/>
        <w:jc w:val="left"/>
        <w:sectPr>
          <w:type w:val="continuous"/>
          <w:pgSz w:w="11910" w:h="16840"/>
          <w:pgMar w:top="1060" w:bottom="1160" w:left="980" w:right="0"/>
          <w:cols w:num="3" w:equalWidth="0">
            <w:col w:w="3574" w:space="200"/>
            <w:col w:w="2309" w:space="2478"/>
            <w:col w:w="2369"/>
          </w:cols>
        </w:sectPr>
      </w:pPr>
    </w:p>
    <w:p>
      <w:pPr>
        <w:spacing w:line="240" w:lineRule="auto" w:before="9"/>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233"/>
        <w:gridCol w:w="3482"/>
        <w:gridCol w:w="3025"/>
      </w:tblGrid>
      <w:tr>
        <w:trPr>
          <w:trHeight w:val="264"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4"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7"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82" w:type="dxa"/>
            <w:tcBorders>
              <w:top w:val="single" w:sz="11" w:space="0" w:color="D2D2D2"/>
              <w:left w:val="single" w:sz="10" w:space="0" w:color="D2D2D2"/>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86,941,361.05</w:t>
            </w:r>
          </w:p>
        </w:tc>
        <w:tc>
          <w:tcPr>
            <w:tcW w:w="3025" w:type="dxa"/>
            <w:tcBorders>
              <w:top w:val="single" w:sz="11" w:space="0" w:color="D2D2D2"/>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167,161,255.75</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316,301,656.72</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98,821,593.67</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169,690,788.64</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right="31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98,821,593.67</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169,690,788.64</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845,363.81</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10,683,506.61</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6,866,623.24</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14,811,955.75</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right="31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66,466,052.11</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147,402,023.75</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13,796,260.89</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34,953,392.39</w:t>
            </w:r>
          </w:p>
        </w:tc>
      </w:tr>
      <w:tr>
        <w:trPr>
          <w:trHeight w:val="272"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spacing w:val="-1"/>
                <w:sz w:val="18"/>
              </w:rPr>
              <w:t>14,738,350.26</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18"/>
                <w:szCs w:val="18"/>
              </w:rPr>
            </w:pPr>
            <w:r>
              <w:rPr>
                <w:rFonts w:ascii="Times New Roman"/>
                <w:spacing w:val="-1"/>
                <w:sz w:val="18"/>
              </w:rPr>
              <w:t>43,689,740.98</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82" w:type="dxa"/>
            <w:tcBorders>
              <w:top w:val="single" w:sz="4" w:space="0" w:color="000000"/>
              <w:left w:val="single" w:sz="10" w:space="0" w:color="D2D2D2"/>
              <w:bottom w:val="single" w:sz="14" w:space="0" w:color="D2D2D2"/>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674,318,362.51</w:t>
            </w:r>
          </w:p>
        </w:tc>
        <w:tc>
          <w:tcPr>
            <w:tcW w:w="3025" w:type="dxa"/>
            <w:tcBorders>
              <w:top w:val="single" w:sz="4" w:space="0" w:color="000000"/>
              <w:left w:val="single" w:sz="4" w:space="0" w:color="000000"/>
              <w:bottom w:val="single" w:sz="14" w:space="0" w:color="D2D2D2"/>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904,694,320.59</w:t>
            </w:r>
          </w:p>
        </w:tc>
      </w:tr>
      <w:tr>
        <w:trPr>
          <w:trHeight w:val="263"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7"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82" w:type="dxa"/>
            <w:tcBorders>
              <w:top w:val="single" w:sz="12" w:space="0" w:color="D2D2D2"/>
              <w:left w:val="single" w:sz="10" w:space="0" w:color="D2D2D2"/>
              <w:bottom w:val="single" w:sz="4" w:space="0" w:color="000000"/>
              <w:right w:val="single" w:sz="4" w:space="0" w:color="000000"/>
            </w:tcBorders>
          </w:tcPr>
          <w:p>
            <w:pPr/>
          </w:p>
        </w:tc>
        <w:tc>
          <w:tcPr>
            <w:tcW w:w="3025" w:type="dxa"/>
            <w:tcBorders>
              <w:top w:val="single" w:sz="12" w:space="0" w:color="D2D2D2"/>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402,791,000.00</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4,106,220.50</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15,833,400.40</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108,678.37</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366,984,032.21</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376,463,890.80</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216,046,561.38</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257,282,918.88</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1,265,901.52</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4,819,582.60</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63,283,013.88</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78,106,051.40</w:t>
            </w:r>
          </w:p>
        </w:tc>
      </w:tr>
      <w:tr>
        <w:trPr>
          <w:trHeight w:val="272"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82" w:type="dxa"/>
            <w:tcBorders>
              <w:top w:val="single" w:sz="4" w:space="0" w:color="000000"/>
              <w:left w:val="single" w:sz="10" w:space="0" w:color="D2D2D2"/>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3,041,071.57</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973,148.03</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21,575,124.38</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21,295,713.08</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659,600.00</w:t>
            </w: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1,079,752,525.44</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1,157,674,383.56</w:t>
            </w:r>
          </w:p>
        </w:tc>
      </w:tr>
      <w:tr>
        <w:trPr>
          <w:trHeight w:val="27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1,754,070,887.95</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2,062,368,704.15</w:t>
            </w:r>
          </w:p>
        </w:tc>
      </w:tr>
    </w:tbl>
    <w:p>
      <w:pPr>
        <w:pStyle w:val="BodyText"/>
        <w:tabs>
          <w:tab w:pos="3487" w:val="left" w:leader="none"/>
          <w:tab w:pos="7719" w:val="left" w:leader="none"/>
        </w:tabs>
        <w:spacing w:line="240" w:lineRule="auto" w:before="49"/>
        <w:ind w:right="1133"/>
        <w:jc w:val="left"/>
      </w:pPr>
      <w:r>
        <w:rPr/>
        <w:t>法定代表人：谭骅</w:t>
        <w:tab/>
      </w:r>
      <w:r>
        <w:rPr>
          <w:spacing w:val="-1"/>
        </w:rPr>
        <w:t>主管会计工作负责人：陈国军</w:t>
        <w:tab/>
      </w:r>
      <w:r>
        <w:rPr/>
        <w:t>会计机构负责人：陈国军</w:t>
      </w:r>
    </w:p>
    <w:p>
      <w:pPr>
        <w:spacing w:after="0" w:line="240" w:lineRule="auto"/>
        <w:jc w:val="left"/>
        <w:sectPr>
          <w:type w:val="continuous"/>
          <w:pgSz w:w="11910" w:h="16840"/>
          <w:pgMar w:top="1060" w:bottom="1160" w:left="980" w:right="0"/>
        </w:sectPr>
      </w:pPr>
    </w:p>
    <w:p>
      <w:pPr>
        <w:spacing w:line="240" w:lineRule="auto" w:before="2"/>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23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5" w:lineRule="exact"/>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11" w:space="0" w:color="D2D2D2"/>
              <w:left w:val="single" w:sz="9" w:space="0" w:color="D2D2D2"/>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pacing w:val="-1"/>
                <w:sz w:val="18"/>
              </w:rPr>
              <w:t>29,700,000.00</w:t>
            </w:r>
          </w:p>
        </w:tc>
        <w:tc>
          <w:tcPr>
            <w:tcW w:w="2969" w:type="dxa"/>
            <w:tcBorders>
              <w:top w:val="single" w:sz="11" w:space="0" w:color="D2D2D2"/>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29,738,269.62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spacing w:val="-1"/>
                <w:sz w:val="18"/>
              </w:rPr>
              <w:t>49,165,911.84</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21,784,798.65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81,033,845.23</w:t>
            </w: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7,202,112.36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8,473,486.43</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357,425.50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21,453,045.25</w:t>
            </w: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26,709,178.42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35,892,071.14</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7,154,150.07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spacing w:val="-1"/>
                <w:sz w:val="18"/>
              </w:rPr>
              <w:t>11,683,046.82</w:t>
            </w:r>
          </w:p>
        </w:tc>
      </w:tr>
      <w:tr>
        <w:trPr>
          <w:trHeight w:val="25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11" w:space="0" w:color="D2D2D2"/>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125,045,934.62</w:t>
            </w:r>
          </w:p>
        </w:tc>
        <w:tc>
          <w:tcPr>
            <w:tcW w:w="2969"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337,701,406.71</w:t>
            </w:r>
          </w:p>
        </w:tc>
      </w:tr>
      <w:tr>
        <w:trPr>
          <w:trHeight w:val="23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1"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5"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7" w:space="0" w:color="D2D2D2"/>
              <w:left w:val="single" w:sz="9" w:space="0" w:color="D2D2D2"/>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2969" w:type="dxa"/>
            <w:tcBorders>
              <w:top w:val="single" w:sz="7" w:space="0" w:color="D2D2D2"/>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17,860,600.00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30,559,200.00</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3,596,451.63</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44,660,600.00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34,155,651.63</w:t>
            </w:r>
          </w:p>
        </w:tc>
      </w:tr>
      <w:tr>
        <w:trPr>
          <w:trHeight w:val="25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7" w:space="0" w:color="D2D2D2"/>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169,706,534.62</w:t>
            </w:r>
          </w:p>
        </w:tc>
        <w:tc>
          <w:tcPr>
            <w:tcW w:w="2969"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371,857,058.34</w:t>
            </w:r>
          </w:p>
        </w:tc>
      </w:tr>
      <w:tr>
        <w:trPr>
          <w:trHeight w:val="23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1" w:lineRule="exact"/>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5" w:lineRule="exact"/>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296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93,350.16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w w:val="95"/>
                <w:sz w:val="18"/>
              </w:rPr>
              <w:t>5,202.00</w:t>
            </w: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60,492,103.39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58,979,225.64</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732,908,058.50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840,656,376.89</w:t>
            </w:r>
          </w:p>
        </w:tc>
      </w:tr>
      <w:tr>
        <w:trPr>
          <w:trHeight w:val="24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1,584,364,353.33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1,690,511,645.81</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1,584,364,353.33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1,690,511,645.81</w:t>
            </w:r>
          </w:p>
        </w:tc>
      </w:tr>
      <w:tr>
        <w:trPr>
          <w:trHeight w:val="250"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1,754,070,887.95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2,062,368,704.15</w:t>
            </w:r>
          </w:p>
        </w:tc>
      </w:tr>
    </w:tbl>
    <w:p>
      <w:pPr>
        <w:pStyle w:val="BodyText"/>
        <w:tabs>
          <w:tab w:pos="3487" w:val="left" w:leader="none"/>
          <w:tab w:pos="7719" w:val="left" w:leader="none"/>
        </w:tabs>
        <w:spacing w:line="240" w:lineRule="auto" w:before="8"/>
        <w:ind w:right="1133"/>
        <w:jc w:val="left"/>
      </w:pPr>
      <w:r>
        <w:rPr/>
        <w:t>法定代表人：谭骅</w:t>
        <w:tab/>
      </w:r>
      <w:r>
        <w:rPr>
          <w:spacing w:val="-1"/>
        </w:rPr>
        <w:t>主管会计工作负责人：陈国军</w:t>
        <w:tab/>
      </w:r>
      <w:r>
        <w:rPr/>
        <w:t>会计机构负责人：陈国军</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19"/>
        <w:jc w:val="left"/>
      </w:pPr>
      <w:r>
        <w:rPr/>
        <w:t>编制单位：广州御银科技股份有限公司</w:t>
      </w:r>
    </w:p>
    <w:p>
      <w:pPr>
        <w:pStyle w:val="Heading3"/>
        <w:spacing w:line="240" w:lineRule="auto" w:before="36"/>
        <w:ind w:right="0"/>
        <w:jc w:val="center"/>
        <w:rPr>
          <w:b w:val="0"/>
          <w:bCs w:val="0"/>
        </w:rPr>
      </w:pPr>
      <w:r>
        <w:rPr>
          <w:b w:val="0"/>
          <w:bCs w:val="0"/>
          <w:spacing w:val="-1"/>
        </w:rPr>
        <w:br w:type="column"/>
      </w:r>
      <w:r>
        <w:rPr>
          <w:rFonts w:ascii="Times New Roman" w:hAnsi="Times New Roman" w:cs="Times New Roman" w:eastAsia="Times New Roman" w:hint="default"/>
          <w:spacing w:val="-1"/>
        </w:rPr>
        <w:t>2</w:t>
      </w:r>
      <w:r>
        <w:rPr>
          <w:spacing w:val="-1"/>
        </w:rPr>
        <w:t>、母公司资产负债表</w:t>
      </w:r>
      <w:r>
        <w:rPr>
          <w:b w:val="0"/>
          <w:bCs w:val="0"/>
          <w:spacing w:val="-1"/>
        </w:rPr>
      </w:r>
    </w:p>
    <w:p>
      <w:pPr>
        <w:spacing w:line="240" w:lineRule="auto" w:before="0"/>
        <w:rPr>
          <w:rFonts w:ascii="宋体" w:hAnsi="宋体" w:cs="宋体" w:eastAsia="宋体" w:hint="default"/>
          <w:b/>
          <w:bCs/>
          <w:sz w:val="22"/>
          <w:szCs w:val="22"/>
        </w:rPr>
      </w:pPr>
    </w:p>
    <w:p>
      <w:pPr>
        <w:pStyle w:val="BodyText"/>
        <w:spacing w:line="240" w:lineRule="auto" w:before="148"/>
        <w:ind w:left="150" w:right="0"/>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4" w:space="606"/>
            <w:col w:w="2157" w:space="2944"/>
            <w:col w:w="2009"/>
          </w:cols>
        </w:sectPr>
      </w:pPr>
    </w:p>
    <w:p>
      <w:pPr>
        <w:spacing w:line="240" w:lineRule="auto" w:before="6"/>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33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63,820,576.31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130,670,032.37</w:t>
            </w: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322,944,092.08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216,524,440.00</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113,570,807.32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173,721,984.01</w:t>
            </w: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113,570,807.32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173,721,984.01</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811,544.16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11,149,008.46</w:t>
            </w: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104,701,835.54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193,551,948.00</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85,235,523.41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160,642,951.68</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13,796,260.89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33,682,640.39</w:t>
            </w: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11,794,151.35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47,503,647.21</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716,674,791.06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967,446,652.12</w:t>
            </w:r>
          </w:p>
        </w:tc>
      </w:tr>
      <w:tr>
        <w:trPr>
          <w:trHeight w:val="34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18"/>
                <w:szCs w:val="18"/>
              </w:rPr>
            </w:pPr>
            <w:r>
              <w:rPr>
                <w:rFonts w:ascii="Times New Roman"/>
                <w:spacing w:val="-1"/>
                <w:sz w:val="18"/>
              </w:rPr>
              <w:t>394,000,000.00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18"/>
                <w:szCs w:val="18"/>
              </w:rPr>
            </w:pPr>
            <w:r>
              <w:rPr>
                <w:rFonts w:ascii="Times New Roman"/>
                <w:spacing w:val="-1"/>
                <w:sz w:val="18"/>
              </w:rPr>
              <w:t>394,000,000.00</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3,796,227.75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15,643,171.93</w:t>
            </w: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533,062,218.86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486,471,397.23</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273,626,344.86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312,889,649.78</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75,224,028.31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112,620,478.00</w:t>
            </w: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108,283.24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4,819,582.60</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40,410,375.95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53,925,166.76</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505,985.23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674,646.99</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17,267,320.21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14,216,606.88</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1,338,280,784.41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1,395,260,700.17</w:t>
            </w:r>
          </w:p>
        </w:tc>
      </w:tr>
      <w:tr>
        <w:trPr>
          <w:trHeight w:val="34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2,054,955,575.47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2,362,707,352.29</w:t>
            </w:r>
          </w:p>
        </w:tc>
      </w:tr>
    </w:tbl>
    <w:p>
      <w:pPr>
        <w:pStyle w:val="BodyText"/>
        <w:tabs>
          <w:tab w:pos="3487" w:val="left" w:leader="none"/>
          <w:tab w:pos="7719" w:val="left" w:leader="none"/>
        </w:tabs>
        <w:spacing w:line="240" w:lineRule="auto" w:before="49"/>
        <w:ind w:right="1133"/>
        <w:jc w:val="left"/>
      </w:pPr>
      <w:r>
        <w:rPr/>
        <w:t>法定代表人：谭骅</w:t>
        <w:tab/>
      </w:r>
      <w:r>
        <w:rPr>
          <w:spacing w:val="-1"/>
        </w:rPr>
        <w:t>主管会计工作负责人：陈国军</w:t>
        <w:tab/>
      </w:r>
      <w:r>
        <w:rPr/>
        <w:t>会计机构负责人：陈国军</w:t>
      </w:r>
    </w:p>
    <w:p>
      <w:pPr>
        <w:spacing w:after="0" w:line="240" w:lineRule="auto"/>
        <w:jc w:val="left"/>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3275"/>
        <w:gridCol w:w="3317"/>
        <w:gridCol w:w="2967"/>
      </w:tblGrid>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29,700,000.00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19,110,101.24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62,935,377.96</w:t>
            </w: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17,313,527.66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78,808,890.38</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2,391,751.09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2,775,583.92</w:t>
            </w: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1,275,236.10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19,461,261.59</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692,370,727.81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808,298,623.79</w:t>
            </w: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7,154,150.07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11,683,046.82</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771,715,493.97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1,093,962,784.46</w:t>
            </w: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17,641,000.00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30,193,200.00</w:t>
            </w:r>
          </w:p>
        </w:tc>
      </w:tr>
      <w:tr>
        <w:trPr>
          <w:trHeight w:val="320"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3,463,205.82</w:t>
            </w: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44,441,000.00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33,656,405.82</w:t>
            </w: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816,156,493.97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1,127,619,190.28</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60,492,103.39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58,979,225.64</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387,436,136.83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385,238,095.09</w:t>
            </w:r>
          </w:p>
        </w:tc>
      </w:tr>
      <w:tr>
        <w:trPr>
          <w:trHeight w:val="31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1,238,799,081.50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1,235,088,162.01</w:t>
            </w:r>
          </w:p>
        </w:tc>
      </w:tr>
      <w:tr>
        <w:trPr>
          <w:trHeight w:val="31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2,054,955,575.47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2,362,707,352.29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745" w:footer="980" w:top="1060" w:bottom="1160" w:left="980" w:right="0"/>
        </w:sectPr>
      </w:pPr>
    </w:p>
    <w:p>
      <w:pPr>
        <w:pStyle w:val="Heading3"/>
        <w:spacing w:line="240" w:lineRule="auto" w:before="36"/>
        <w:ind w:left="0" w:right="0"/>
        <w:jc w:val="righ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6"/>
        <w:ind w:left="3373" w:right="0"/>
        <w:jc w:val="left"/>
      </w:pPr>
      <w:r>
        <w:rPr/>
        <w:t>单位：元</w:t>
      </w:r>
    </w:p>
    <w:p>
      <w:pPr>
        <w:spacing w:after="0" w:line="240" w:lineRule="auto"/>
        <w:jc w:val="left"/>
        <w:sectPr>
          <w:type w:val="continuous"/>
          <w:pgSz w:w="11910" w:h="16840"/>
          <w:pgMar w:top="1060" w:bottom="1160" w:left="980" w:right="0"/>
          <w:cols w:num="2" w:equalWidth="0">
            <w:col w:w="5660" w:space="40"/>
            <w:col w:w="5230"/>
          </w:cols>
        </w:sectPr>
      </w:pP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4835"/>
        <w:gridCol w:w="2352"/>
        <w:gridCol w:w="2343"/>
      </w:tblGrid>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72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7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394,213,945.82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569,714,606.45</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394,213,945.82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569,714,606.45</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439,242,543.60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616,867,342.40</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270,173,781.01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393,671,512.48</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8,278,678.79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11,466,064.71</w:t>
            </w:r>
          </w:p>
        </w:tc>
      </w:tr>
      <w:tr>
        <w:trPr>
          <w:trHeight w:val="219"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18"/>
                <w:szCs w:val="18"/>
              </w:rPr>
            </w:pPr>
            <w:r>
              <w:rPr>
                <w:rFonts w:ascii="Times New Roman"/>
                <w:spacing w:val="-1"/>
                <w:sz w:val="18"/>
              </w:rPr>
              <w:t>48,064,501.74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18"/>
                <w:szCs w:val="18"/>
              </w:rPr>
            </w:pPr>
            <w:r>
              <w:rPr>
                <w:rFonts w:ascii="Times New Roman"/>
                <w:spacing w:val="-1"/>
                <w:sz w:val="18"/>
              </w:rPr>
              <w:t>78,428,289.86</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46,266,393.13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53,947,139.57</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32,706,830.69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38,921,187.46</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3,730,229.05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2,610,606.43</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5,201,129.87</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 w:right="838"/>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943,078.35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247,407.43</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30,022,129.19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37,822,541.89</w:t>
            </w: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13,718,624.38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25,149,748.76</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-20,539,893.47</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32,815,704.68</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-108,678.37</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-291,321.63</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7" w:lineRule="exact"/>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-29,930,969.65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23,621,022.04</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-8,531,296.25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-178,728.93</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-90,312,132.77</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34,255,010.60</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468,445.34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1,308,126.36</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8,104,052.55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8"/>
                <w:szCs w:val="18"/>
              </w:rPr>
            </w:pPr>
            <w:r>
              <w:rPr>
                <w:rFonts w:ascii="Times New Roman"/>
                <w:spacing w:val="-1"/>
                <w:sz w:val="18"/>
              </w:rPr>
              <w:t>13,828,050.82</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-97,947,739.98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21,735,086.14</w:t>
            </w:r>
          </w:p>
        </w:tc>
      </w:tr>
      <w:tr>
        <w:trPr>
          <w:trHeight w:val="219"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18"/>
                <w:szCs w:val="18"/>
              </w:rPr>
            </w:pPr>
            <w:r>
              <w:rPr>
                <w:rFonts w:ascii="Times New Roman"/>
                <w:spacing w:val="-1"/>
                <w:sz w:val="18"/>
              </w:rPr>
              <w:t>-3,130,157.30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18"/>
                <w:szCs w:val="18"/>
              </w:rPr>
            </w:pPr>
            <w:r>
              <w:rPr>
                <w:rFonts w:ascii="Times New Roman"/>
                <w:spacing w:val="-1"/>
                <w:sz w:val="18"/>
              </w:rPr>
              <w:t>7,968,060.26</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-94,817,582.68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-94,817,582.68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-94,817,582.68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88,148.16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-116,920.80</w:t>
            </w: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88,148.16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-116,920.80</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7"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88,148.16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-116,920.80</w:t>
            </w: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88,148.16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-116,920.80</w:t>
            </w: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-94,729,434.52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13,650,105.08</w:t>
            </w: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-94,729,434.52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13,650,105.08</w:t>
            </w:r>
          </w:p>
        </w:tc>
      </w:tr>
      <w:tr>
        <w:trPr>
          <w:trHeight w:val="218"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52" w:type="dxa"/>
            <w:tcBorders>
              <w:top w:val="single" w:sz="4" w:space="0" w:color="000000"/>
              <w:left w:val="single" w:sz="13" w:space="0" w:color="D2D2D2"/>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-0.1246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0.0181</w:t>
            </w:r>
          </w:p>
        </w:tc>
      </w:tr>
      <w:tr>
        <w:trPr>
          <w:trHeight w:val="21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18"/>
                <w:szCs w:val="18"/>
              </w:rPr>
            </w:pPr>
            <w:r>
              <w:rPr>
                <w:rFonts w:ascii="Times New Roman"/>
                <w:spacing w:val="-1"/>
                <w:sz w:val="18"/>
              </w:rPr>
              <w:t>-0.1246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18"/>
                <w:szCs w:val="18"/>
              </w:rPr>
            </w:pPr>
            <w:r>
              <w:rPr>
                <w:rFonts w:ascii="Times New Roman"/>
                <w:spacing w:val="-1"/>
                <w:sz w:val="18"/>
              </w:rPr>
              <w:t>0.0181</w:t>
            </w:r>
          </w:p>
        </w:tc>
      </w:tr>
    </w:tbl>
    <w:p>
      <w:pPr>
        <w:pStyle w:val="BodyText"/>
        <w:tabs>
          <w:tab w:pos="3487" w:val="left" w:leader="none"/>
          <w:tab w:pos="7719" w:val="left" w:leader="none"/>
        </w:tabs>
        <w:spacing w:line="300" w:lineRule="auto" w:before="8"/>
        <w:ind w:right="1224"/>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法定代表人：谭骅</w:t>
        <w:tab/>
      </w:r>
      <w:r>
        <w:rPr>
          <w:spacing w:val="-1"/>
        </w:rPr>
        <w:t>主管会计工作负责人：陈国军</w:t>
        <w:tab/>
      </w:r>
      <w:r>
        <w:rPr/>
        <w:t>会计机构负责人：陈国军</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0"/>
        </w:sectPr>
      </w:pPr>
    </w:p>
    <w:p>
      <w:pPr>
        <w:pStyle w:val="Heading3"/>
        <w:spacing w:line="240" w:lineRule="auto" w:before="36"/>
        <w:ind w:left="0" w:right="0"/>
        <w:jc w:val="righ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6"/>
        <w:ind w:left="3268" w:right="0"/>
        <w:jc w:val="left"/>
      </w:pPr>
      <w:r>
        <w:rPr/>
        <w:t>单位：元</w:t>
      </w:r>
    </w:p>
    <w:p>
      <w:pPr>
        <w:spacing w:after="0" w:line="240" w:lineRule="auto"/>
        <w:jc w:val="left"/>
        <w:sectPr>
          <w:type w:val="continuous"/>
          <w:pgSz w:w="11910" w:h="16840"/>
          <w:pgMar w:top="1060" w:bottom="1160" w:left="980" w:right="0"/>
          <w:cols w:num="2" w:equalWidth="0">
            <w:col w:w="5766" w:space="40"/>
            <w:col w:w="512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018"/>
        <w:gridCol w:w="2171"/>
        <w:gridCol w:w="2369"/>
      </w:tblGrid>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308,510,614.21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515,630,261.58</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234,078,469.96</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417,712,021.82</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5,662,017.08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8,343,067.20</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36,603,456.38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66,434,874.08</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27,069,018.24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28,289,850.75</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15,389,663.18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26,599,872.37</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3,523,947.36</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2,718,760.54</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4,722,631.28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695,800.95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207,361.36</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54,110,561.48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42,439,316.17</w:t>
            </w:r>
          </w:p>
        </w:tc>
      </w:tr>
      <w:tr>
        <w:trPr>
          <w:trHeight w:val="31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10,883,784.00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14,031,964.13</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90,653,347.04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132,632,062.24</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-108,678.37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-291,321.63</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-23,453,442.81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23,088,038.82</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-7,376,144.33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-203,227.46</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2,781,024.43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92,641,336.38</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13,071,727.45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1,267,571.99</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7,237,893.58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13,017,053.66</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8,614,858.30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80,891,854.71</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-6,513,919.15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9,320,128.38</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15,128,777.45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71,571,726.33</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15,128,777.45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71,571,726.33</w:t>
            </w: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bl>
    <w:p>
      <w:pPr>
        <w:pStyle w:val="BodyText"/>
        <w:tabs>
          <w:tab w:pos="3487" w:val="left" w:leader="none"/>
          <w:tab w:pos="7719" w:val="left" w:leader="none"/>
        </w:tabs>
        <w:spacing w:line="240" w:lineRule="auto" w:before="49"/>
        <w:ind w:right="1133"/>
        <w:jc w:val="left"/>
      </w:pPr>
      <w:r>
        <w:rPr/>
        <w:t>法定代表人：谭骅</w:t>
        <w:tab/>
      </w:r>
      <w:r>
        <w:rPr>
          <w:spacing w:val="-1"/>
        </w:rPr>
        <w:t>主管会计工作负责人：陈国军</w:t>
        <w:tab/>
      </w:r>
      <w:r>
        <w:rPr/>
        <w:t>会计机构负责人：陈国军</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0"/>
        </w:sectPr>
      </w:pPr>
    </w:p>
    <w:p>
      <w:pPr>
        <w:pStyle w:val="Heading3"/>
        <w:spacing w:line="240" w:lineRule="auto" w:before="36"/>
        <w:ind w:left="0" w:right="0"/>
        <w:jc w:val="righ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6"/>
        <w:ind w:left="3162" w:right="0"/>
        <w:jc w:val="left"/>
      </w:pPr>
      <w:r>
        <w:rPr/>
        <w:t>单位：元</w:t>
      </w:r>
    </w:p>
    <w:p>
      <w:pPr>
        <w:spacing w:after="0" w:line="240" w:lineRule="auto"/>
        <w:jc w:val="left"/>
        <w:sectPr>
          <w:type w:val="continuous"/>
          <w:pgSz w:w="11910" w:h="16840"/>
          <w:pgMar w:top="1060" w:bottom="1160" w:left="980" w:right="0"/>
          <w:cols w:num="2" w:equalWidth="0">
            <w:col w:w="5871" w:space="40"/>
            <w:col w:w="5019"/>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436"/>
        <w:gridCol w:w="2116"/>
        <w:gridCol w:w="2107"/>
      </w:tblGrid>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16" w:type="dxa"/>
            <w:tcBorders>
              <w:top w:val="single" w:sz="6" w:space="0" w:color="000000"/>
              <w:left w:val="single" w:sz="12" w:space="0" w:color="D2D2D2"/>
              <w:bottom w:val="single" w:sz="4" w:space="0" w:color="000000"/>
              <w:right w:val="single" w:sz="4" w:space="0" w:color="000000"/>
            </w:tcBorders>
          </w:tcPr>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462,655,945.27</w:t>
            </w:r>
          </w:p>
        </w:tc>
        <w:tc>
          <w:tcPr>
            <w:tcW w:w="2107" w:type="dxa"/>
            <w:tcBorders>
              <w:top w:val="single" w:sz="6"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Times New Roman" w:hAnsi="Times New Roman" w:cs="Times New Roman" w:eastAsia="Times New Roman" w:hint="default"/>
                <w:sz w:val="18"/>
                <w:szCs w:val="18"/>
              </w:rPr>
            </w:pPr>
            <w:r>
              <w:rPr>
                <w:rFonts w:ascii="Times New Roman"/>
                <w:spacing w:val="-1"/>
                <w:sz w:val="18"/>
              </w:rPr>
              <w:t>672,760,275.82</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8,405,705.69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10,947,362.29</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31,098,112.50</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51,349,767.68</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502,159,763.46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735,057,405.79</w:t>
            </w: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154,906,551.36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293,419,550.05</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114,999,121.68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125,479,539.23</w:t>
            </w: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49,098,925.86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80,693,473.89</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73,178,188.76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87,690,458.27</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392,182,787.66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587,283,021.44</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6" w:type="dxa"/>
            <w:tcBorders>
              <w:top w:val="single" w:sz="4" w:space="0" w:color="000000"/>
              <w:left w:val="single" w:sz="12" w:space="0" w:color="D2D2D2"/>
              <w:bottom w:val="single" w:sz="6"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109,976,975.80</w:t>
            </w:r>
          </w:p>
        </w:tc>
        <w:tc>
          <w:tcPr>
            <w:tcW w:w="210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147,774,384.35</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1,032,703,404.15</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275,285,764.78</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3,669,677.41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35,070,620.30</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166,270.00</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154,358.50</w:t>
            </w: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1,036,539,351.56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310,510,743.58</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11,590,220.23</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53,113,864.32</w:t>
            </w: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1,166,898,256.02</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568,776,510.45</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1,178,488,476.25</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621,890,374.77</w:t>
            </w: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6" w:type="dxa"/>
            <w:tcBorders>
              <w:top w:val="single" w:sz="4" w:space="0" w:color="000000"/>
              <w:left w:val="single" w:sz="12" w:space="0" w:color="D2D2D2"/>
              <w:bottom w:val="single" w:sz="6"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-141,949,124.69</w:t>
            </w:r>
          </w:p>
        </w:tc>
        <w:tc>
          <w:tcPr>
            <w:tcW w:w="210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-311,379,631.19</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16" w:type="dxa"/>
            <w:tcBorders>
              <w:top w:val="single" w:sz="6" w:space="0" w:color="000000"/>
              <w:left w:val="single" w:sz="12" w:space="0" w:color="D2D2D2"/>
              <w:bottom w:val="single" w:sz="4" w:space="0" w:color="000000"/>
              <w:right w:val="single" w:sz="4" w:space="0" w:color="000000"/>
            </w:tcBorders>
          </w:tcPr>
          <w:p>
            <w:pPr/>
          </w:p>
        </w:tc>
        <w:tc>
          <w:tcPr>
            <w:tcW w:w="2107" w:type="dxa"/>
            <w:tcBorders>
              <w:top w:val="single" w:sz="6" w:space="0" w:color="000000"/>
              <w:left w:val="single" w:sz="4" w:space="0" w:color="000000"/>
              <w:bottom w:val="single" w:sz="4" w:space="0" w:color="000000"/>
              <w:right w:val="single" w:sz="4" w:space="0" w:color="000000"/>
            </w:tcBorders>
          </w:tcPr>
          <w:p>
            <w:pP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70,617,697.26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8"/>
                <w:szCs w:val="18"/>
              </w:rPr>
            </w:pPr>
            <w:r>
              <w:rPr>
                <w:rFonts w:ascii="Times New Roman"/>
                <w:spacing w:val="-1"/>
                <w:sz w:val="18"/>
              </w:rPr>
              <w:t>70,617,697.26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141,717,697.26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149,015,346.20</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16,618,987.83</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158,336,685.09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152,189,496.44</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-87,718,987.83</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-22,189,496.44</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992,138.73</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-629,696.63</w:t>
            </w:r>
          </w:p>
        </w:tc>
      </w:tr>
      <w:tr>
        <w:trPr>
          <w:trHeight w:val="229"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-118,698,997.99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-186,424,439.91</w:t>
            </w:r>
          </w:p>
        </w:tc>
      </w:tr>
      <w:tr>
        <w:trPr>
          <w:trHeight w:val="228"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204,610,591.96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391,035,031.87</w:t>
            </w:r>
          </w:p>
        </w:tc>
      </w:tr>
      <w:tr>
        <w:trPr>
          <w:trHeight w:val="230" w:hRule="exact"/>
        </w:trPr>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85,911,593.97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204,610,591.96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0"/>
        </w:sectPr>
      </w:pPr>
    </w:p>
    <w:p>
      <w:pPr>
        <w:pStyle w:val="Heading3"/>
        <w:spacing w:line="240" w:lineRule="auto" w:before="36"/>
        <w:ind w:left="3972" w:right="-9"/>
        <w:jc w:val="left"/>
        <w:rPr>
          <w:b w:val="0"/>
          <w:bCs w:val="0"/>
        </w:rPr>
      </w:pPr>
      <w:r>
        <w:rPr>
          <w:rFonts w:ascii="Times New Roman" w:hAnsi="Times New Roman" w:cs="Times New Roman" w:eastAsia="Times New Roman" w:hint="default"/>
          <w:spacing w:val="-1"/>
        </w:rPr>
        <w:t>6</w:t>
      </w:r>
      <w:r>
        <w:rPr>
          <w:spacing w:val="-1"/>
        </w:rPr>
        <w:t>、母公司现金流量表</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6"/>
        <w:ind w:left="3056" w:right="0"/>
        <w:jc w:val="left"/>
      </w:pPr>
      <w:r>
        <w:rPr/>
        <w:t>单位：元</w:t>
      </w:r>
    </w:p>
    <w:p>
      <w:pPr>
        <w:spacing w:after="0" w:line="240" w:lineRule="auto"/>
        <w:jc w:val="left"/>
        <w:sectPr>
          <w:type w:val="continuous"/>
          <w:pgSz w:w="11910" w:h="16840"/>
          <w:pgMar w:top="1060" w:bottom="1160" w:left="980" w:right="0"/>
          <w:cols w:num="2" w:equalWidth="0">
            <w:col w:w="5977" w:space="40"/>
            <w:col w:w="4913"/>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466"/>
        <w:gridCol w:w="2134"/>
        <w:gridCol w:w="2119"/>
      </w:tblGrid>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364,571,645.26</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646,705,394.81</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7,444,084.00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1,597,162.10</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323,706,918.54</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109,303,017.64</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695,722,647.80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757,605,574.55</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161,514,051.92</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466,759,617.64</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39,046,007.28</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51,329,253.01</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34,355,906.45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58,303,649.30</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442,736,783.26</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266,281,491.59</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677,652,748.91</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842,674,011.54</w:t>
            </w:r>
          </w:p>
        </w:tc>
      </w:tr>
      <w:tr>
        <w:trPr>
          <w:trHeight w:val="313"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18,069,898.89</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-85,068,436.99</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874,560,404.45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132,166,614.18</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103,401,043.27</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134,886,977.86</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114,358.50</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978,018,447.72</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267,167,950.54</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7,602,894.57</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7,041,752.65</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1,027,694,406.15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339,113,126.41</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1,035,297,300.72</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346,154,879.06</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-57,278,853.00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-78,986,928.52</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59,700,000.00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59,700,000.00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110,800,000.00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149,015,346.20</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16,140,489.24</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126,940,489.24</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152,189,496.44</w:t>
            </w:r>
          </w:p>
        </w:tc>
      </w:tr>
      <w:tr>
        <w:trPr>
          <w:trHeight w:val="313"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-67,240,489.24</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-42,189,496.44</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4" w:type="dxa"/>
            <w:tcBorders>
              <w:top w:val="single" w:sz="4" w:space="0" w:color="000000"/>
              <w:left w:val="single" w:sz="10" w:space="0" w:color="D2D2D2"/>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-106,449,443.35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-206,244,861.95</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170,269,898.58</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376,514,760.53</w:t>
            </w:r>
          </w:p>
        </w:tc>
      </w:tr>
      <w:tr>
        <w:trPr>
          <w:trHeight w:val="312" w:hRule="exact"/>
        </w:trPr>
        <w:tc>
          <w:tcPr>
            <w:tcW w:w="5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63,820,455.23</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170,269,898.58</w:t>
            </w:r>
          </w:p>
        </w:tc>
      </w:tr>
    </w:tbl>
    <w:p>
      <w:pPr>
        <w:pStyle w:val="BodyText"/>
        <w:tabs>
          <w:tab w:pos="3487" w:val="left" w:leader="none"/>
          <w:tab w:pos="7719" w:val="left" w:leader="none"/>
        </w:tabs>
        <w:spacing w:line="240" w:lineRule="auto" w:before="49"/>
        <w:ind w:right="1133"/>
        <w:jc w:val="left"/>
      </w:pPr>
      <w:r>
        <w:rPr/>
        <w:t>法定代表人：谭骅</w:t>
        <w:tab/>
      </w:r>
      <w:r>
        <w:rPr>
          <w:spacing w:val="-1"/>
        </w:rPr>
        <w:t>主管会计工作负责人：陈国军</w:t>
        <w:tab/>
      </w:r>
      <w:r>
        <w:rPr/>
        <w:t>会计机构负责人：陈国军</w:t>
      </w:r>
    </w:p>
    <w:p>
      <w:pPr>
        <w:spacing w:after="0" w:line="240" w:lineRule="auto"/>
        <w:jc w:val="left"/>
        <w:sectPr>
          <w:type w:val="continuous"/>
          <w:pgSz w:w="11910" w:h="16840"/>
          <w:pgMar w:top="1060" w:bottom="1160" w:left="980" w:right="0"/>
        </w:sect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980" w:top="1060" w:bottom="1160" w:left="120" w:right="0"/>
        </w:sectPr>
      </w:pPr>
    </w:p>
    <w:p>
      <w:pPr>
        <w:spacing w:line="240" w:lineRule="auto" w:before="11"/>
        <w:rPr>
          <w:rFonts w:ascii="宋体" w:hAnsi="宋体" w:cs="宋体" w:eastAsia="宋体" w:hint="default"/>
          <w:sz w:val="23"/>
          <w:szCs w:val="23"/>
        </w:rPr>
      </w:pPr>
    </w:p>
    <w:p>
      <w:pPr>
        <w:pStyle w:val="BodyText"/>
        <w:spacing w:line="240" w:lineRule="auto"/>
        <w:ind w:left="1012" w:right="-20"/>
        <w:jc w:val="left"/>
      </w:pPr>
      <w:r>
        <w:rPr/>
        <w:t>本期金额</w:t>
      </w:r>
    </w:p>
    <w:p>
      <w:pPr>
        <w:pStyle w:val="Heading3"/>
        <w:spacing w:line="240" w:lineRule="auto" w:before="36"/>
        <w:ind w:left="1012" w:right="-5"/>
        <w:jc w:val="left"/>
        <w:rPr>
          <w:b w:val="0"/>
          <w:bCs w:val="0"/>
        </w:rPr>
      </w:pPr>
      <w:r>
        <w:rPr>
          <w:b w:val="0"/>
          <w:bCs w:val="0"/>
          <w:spacing w:val="-1"/>
        </w:rPr>
        <w:br w:type="column"/>
      </w:r>
      <w:r>
        <w:rPr>
          <w:rFonts w:ascii="Times New Roman" w:hAnsi="Times New Roman" w:cs="Times New Roman" w:eastAsia="Times New Roman" w:hint="default"/>
          <w:spacing w:val="-1"/>
        </w:rPr>
        <w:t>7</w:t>
      </w:r>
      <w:r>
        <w:rPr>
          <w:spacing w:val="-1"/>
        </w:rPr>
        <w:t>、合并所有者权益变动表</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0"/>
        <w:rPr>
          <w:rFonts w:ascii="宋体" w:hAnsi="宋体" w:cs="宋体" w:eastAsia="宋体" w:hint="default"/>
          <w:b/>
          <w:bCs/>
          <w:sz w:val="23"/>
          <w:szCs w:val="23"/>
        </w:rPr>
      </w:pPr>
    </w:p>
    <w:p>
      <w:pPr>
        <w:pStyle w:val="BodyText"/>
        <w:spacing w:line="240" w:lineRule="auto"/>
        <w:ind w:left="994" w:right="1112"/>
        <w:jc w:val="center"/>
      </w:pPr>
      <w:r>
        <w:rPr/>
        <w:t>单位：元</w:t>
      </w:r>
    </w:p>
    <w:p>
      <w:pPr>
        <w:spacing w:after="0" w:line="240" w:lineRule="auto"/>
        <w:jc w:val="center"/>
        <w:sectPr>
          <w:type w:val="continuous"/>
          <w:pgSz w:w="11910" w:h="16840"/>
          <w:pgMar w:top="1060" w:bottom="1160" w:left="120" w:right="0"/>
          <w:cols w:num="3" w:equalWidth="0">
            <w:col w:w="1733" w:space="1875"/>
            <w:col w:w="3440" w:space="1872"/>
            <w:col w:w="2870"/>
          </w:cols>
        </w:sectPr>
      </w:pPr>
    </w:p>
    <w:p>
      <w:pPr>
        <w:spacing w:line="240" w:lineRule="auto" w:before="12"/>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955"/>
        <w:gridCol w:w="1192"/>
        <w:gridCol w:w="235"/>
        <w:gridCol w:w="238"/>
        <w:gridCol w:w="235"/>
        <w:gridCol w:w="1092"/>
        <w:gridCol w:w="415"/>
        <w:gridCol w:w="778"/>
        <w:gridCol w:w="497"/>
        <w:gridCol w:w="1092"/>
        <w:gridCol w:w="540"/>
        <w:gridCol w:w="1261"/>
        <w:gridCol w:w="485"/>
        <w:gridCol w:w="1316"/>
      </w:tblGrid>
      <w:tr>
        <w:trPr>
          <w:trHeight w:val="317" w:hRule="exact"/>
        </w:trPr>
        <w:tc>
          <w:tcPr>
            <w:tcW w:w="1955" w:type="dxa"/>
            <w:vMerge w:val="restart"/>
            <w:tcBorders>
              <w:top w:val="single" w:sz="4" w:space="0" w:color="000000"/>
              <w:left w:val="single" w:sz="4" w:space="0" w:color="000000"/>
              <w:right w:val="single" w:sz="4" w:space="0" w:color="000000"/>
            </w:tcBorders>
            <w:shd w:val="clear" w:color="auto" w:fill="D2D2D2"/>
          </w:tcPr>
          <w:p>
            <w:pPr/>
          </w:p>
        </w:tc>
        <w:tc>
          <w:tcPr>
            <w:tcW w:w="937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16" w:hRule="exact"/>
        </w:trPr>
        <w:tc>
          <w:tcPr>
            <w:tcW w:w="1955" w:type="dxa"/>
            <w:vMerge/>
            <w:tcBorders>
              <w:left w:val="single" w:sz="4" w:space="0" w:color="000000"/>
              <w:right w:val="single" w:sz="4" w:space="0" w:color="000000"/>
            </w:tcBorders>
            <w:shd w:val="clear" w:color="auto" w:fill="D2D2D2"/>
          </w:tcPr>
          <w:p>
            <w:pPr/>
          </w:p>
        </w:tc>
        <w:tc>
          <w:tcPr>
            <w:tcW w:w="7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85"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1955"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709" w:type="dxa"/>
            <w:gridSpan w:val="3"/>
            <w:vMerge w:val="restart"/>
            <w:tcBorders>
              <w:top w:val="single" w:sz="23" w:space="0" w:color="D2D2D2"/>
              <w:left w:val="single" w:sz="10" w:space="0" w:color="D2D2D2"/>
              <w:right w:val="single" w:sz="10" w:space="0" w:color="D2D2D2"/>
            </w:tcBorders>
          </w:tcPr>
          <w:p>
            <w:pPr>
              <w:pStyle w:val="TableParagraph"/>
              <w:spacing w:line="207" w:lineRule="exact"/>
              <w:ind w:left="71"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415" w:type="dxa"/>
            <w:vMerge w:val="restart"/>
            <w:tcBorders>
              <w:top w:val="single" w:sz="4" w:space="0" w:color="000000"/>
              <w:left w:val="single" w:sz="4" w:space="0" w:color="000000"/>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
        </w:tc>
        <w:tc>
          <w:tcPr>
            <w:tcW w:w="497"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
        </w:tc>
        <w:tc>
          <w:tcPr>
            <w:tcW w:w="485"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23" w:hRule="exact"/>
        </w:trPr>
        <w:tc>
          <w:tcPr>
            <w:tcW w:w="1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right w:val="single" w:sz="4" w:space="0" w:color="000000"/>
            </w:tcBorders>
            <w:shd w:val="clear" w:color="auto" w:fill="D2D2D2"/>
          </w:tcPr>
          <w:p>
            <w:pPr/>
          </w:p>
        </w:tc>
        <w:tc>
          <w:tcPr>
            <w:tcW w:w="709" w:type="dxa"/>
            <w:gridSpan w:val="3"/>
            <w:vMerge/>
            <w:tcBorders>
              <w:left w:val="single" w:sz="10" w:space="0" w:color="D2D2D2"/>
              <w:bottom w:val="nil" w:sz="6" w:space="0" w:color="auto"/>
              <w:right w:val="single" w:sz="10" w:space="0" w:color="D2D2D2"/>
            </w:tcBorders>
          </w:tcPr>
          <w:p>
            <w:pPr/>
          </w:p>
        </w:tc>
        <w:tc>
          <w:tcPr>
            <w:tcW w:w="1092" w:type="dxa"/>
            <w:vMerge/>
            <w:tcBorders>
              <w:left w:val="single" w:sz="4" w:space="0" w:color="000000"/>
              <w:right w:val="single" w:sz="4" w:space="0" w:color="000000"/>
            </w:tcBorders>
            <w:shd w:val="clear" w:color="auto" w:fill="D2D2D2"/>
          </w:tcPr>
          <w:p>
            <w:pPr/>
          </w:p>
        </w:tc>
        <w:tc>
          <w:tcPr>
            <w:tcW w:w="415"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485" w:type="dxa"/>
            <w:vMerge w:val="restart"/>
            <w:tcBorders>
              <w:top w:val="nil" w:sz="6" w:space="0" w:color="auto"/>
              <w:left w:val="single" w:sz="4" w:space="0" w:color="000000"/>
              <w:right w:val="single" w:sz="4" w:space="0" w:color="000000"/>
            </w:tcBorders>
            <w:shd w:val="clear" w:color="auto" w:fill="D2D2D2"/>
          </w:tcPr>
          <w:p>
            <w:pPr>
              <w:pStyle w:val="TableParagraph"/>
              <w:spacing w:line="173" w:lineRule="exact"/>
              <w:ind w:left="59" w:right="0"/>
              <w:jc w:val="left"/>
              <w:rPr>
                <w:rFonts w:ascii="宋体" w:hAnsi="宋体" w:cs="宋体" w:eastAsia="宋体" w:hint="default"/>
                <w:sz w:val="18"/>
                <w:szCs w:val="18"/>
              </w:rPr>
            </w:pPr>
            <w:r>
              <w:rPr>
                <w:rFonts w:ascii="宋体" w:hAnsi="宋体" w:cs="宋体" w:eastAsia="宋体" w:hint="default"/>
                <w:sz w:val="18"/>
                <w:szCs w:val="18"/>
              </w:rPr>
              <w:t>少数</w:t>
            </w:r>
          </w:p>
          <w:p>
            <w:pPr>
              <w:pStyle w:val="TableParagraph"/>
              <w:spacing w:line="232" w:lineRule="exact" w:before="24"/>
              <w:ind w:left="59" w:right="53"/>
              <w:jc w:val="left"/>
              <w:rPr>
                <w:rFonts w:ascii="宋体" w:hAnsi="宋体" w:cs="宋体" w:eastAsia="宋体" w:hint="default"/>
                <w:sz w:val="18"/>
                <w:szCs w:val="18"/>
              </w:rPr>
            </w:pPr>
            <w:r>
              <w:rPr>
                <w:rFonts w:ascii="宋体" w:hAnsi="宋体" w:cs="宋体" w:eastAsia="宋体" w:hint="default"/>
                <w:sz w:val="18"/>
                <w:szCs w:val="18"/>
              </w:rPr>
              <w:t>股东 权益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14" w:hRule="exact"/>
        </w:trPr>
        <w:tc>
          <w:tcPr>
            <w:tcW w:w="1955" w:type="dxa"/>
            <w:vMerge/>
            <w:tcBorders>
              <w:left w:val="single" w:sz="4" w:space="0" w:color="000000"/>
              <w:bottom w:val="nil" w:sz="6" w:space="0" w:color="auto"/>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709" w:type="dxa"/>
            <w:gridSpan w:val="3"/>
            <w:vMerge w:val="restart"/>
            <w:tcBorders>
              <w:top w:val="nil" w:sz="6" w:space="0" w:color="auto"/>
              <w:left w:val="single" w:sz="10" w:space="0" w:color="D2D2D2"/>
              <w:right w:val="single" w:sz="10" w:space="0" w:color="D2D2D2"/>
            </w:tcBorders>
          </w:tcPr>
          <w:p>
            <w:pPr>
              <w:pStyle w:val="TableParagraph"/>
              <w:spacing w:line="19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0"/>
                <w:sz w:val="18"/>
                <w:szCs w:val="18"/>
                <w:shd w:fill="D2D2D2" w:color="auto" w:val="clear"/>
              </w:rPr>
              <w:t> </w:t>
            </w:r>
            <w:r>
              <w:rPr>
                <w:rFonts w:ascii="宋体" w:hAnsi="宋体" w:cs="宋体" w:eastAsia="宋体" w:hint="default"/>
                <w:sz w:val="18"/>
                <w:szCs w:val="18"/>
                <w:shd w:fill="D2D2D2" w:color="auto" w:val="clear"/>
              </w:rPr>
              <w:t>益工具</w:t>
            </w:r>
            <w:r>
              <w:rPr>
                <w:rFonts w:ascii="宋体" w:hAnsi="宋体" w:cs="宋体" w:eastAsia="宋体" w:hint="default"/>
                <w:sz w:val="18"/>
                <w:szCs w:val="18"/>
              </w:rPr>
            </w:r>
          </w:p>
        </w:tc>
        <w:tc>
          <w:tcPr>
            <w:tcW w:w="1092" w:type="dxa"/>
            <w:vMerge/>
            <w:tcBorders>
              <w:left w:val="single" w:sz="4" w:space="0" w:color="000000"/>
              <w:right w:val="single" w:sz="4" w:space="0" w:color="000000"/>
            </w:tcBorders>
            <w:shd w:val="clear" w:color="auto" w:fill="D2D2D2"/>
          </w:tcPr>
          <w:p>
            <w:pPr/>
          </w:p>
        </w:tc>
        <w:tc>
          <w:tcPr>
            <w:tcW w:w="415"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2"/>
              <w:ind w:left="24" w:right="19"/>
              <w:jc w:val="left"/>
              <w:rPr>
                <w:rFonts w:ascii="宋体" w:hAnsi="宋体" w:cs="宋体" w:eastAsia="宋体" w:hint="default"/>
                <w:sz w:val="18"/>
                <w:szCs w:val="18"/>
              </w:rPr>
            </w:pPr>
            <w:r>
              <w:rPr>
                <w:rFonts w:ascii="宋体" w:hAnsi="宋体" w:cs="宋体" w:eastAsia="宋体" w:hint="default"/>
                <w:sz w:val="18"/>
                <w:szCs w:val="18"/>
              </w:rPr>
              <w:t>减： 库存</w:t>
            </w:r>
          </w:p>
          <w:p>
            <w:pPr>
              <w:pStyle w:val="TableParagraph"/>
              <w:spacing w:line="214" w:lineRule="exact"/>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vMerge/>
            <w:tcBorders>
              <w:left w:val="single" w:sz="4" w:space="0" w:color="000000"/>
              <w:bottom w:val="nil" w:sz="6" w:space="0" w:color="auto"/>
              <w:right w:val="single" w:sz="4" w:space="0" w:color="000000"/>
            </w:tcBorders>
            <w:shd w:val="clear" w:color="auto" w:fill="D2D2D2"/>
          </w:tcPr>
          <w:p>
            <w:pPr/>
          </w:p>
        </w:tc>
        <w:tc>
          <w:tcPr>
            <w:tcW w:w="497"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540"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ind w:left="86"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40" w:lineRule="auto"/>
              <w:ind w:left="86" w:right="83"/>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261" w:type="dxa"/>
            <w:vMerge/>
            <w:tcBorders>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10" w:space="0" w:color="D2D2D2"/>
              <w:right w:val="single" w:sz="12" w:space="0" w:color="D2D2D2"/>
            </w:tcBorders>
          </w:tcPr>
          <w:p>
            <w:pPr>
              <w:pStyle w:val="TableParagraph"/>
              <w:spacing w:line="240" w:lineRule="auto" w:before="24"/>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10" w:hRule="exact"/>
        </w:trPr>
        <w:tc>
          <w:tcPr>
            <w:tcW w:w="1955"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709" w:type="dxa"/>
            <w:gridSpan w:val="3"/>
            <w:vMerge/>
            <w:tcBorders>
              <w:left w:val="single" w:sz="10" w:space="0" w:color="D2D2D2"/>
              <w:bottom w:val="single" w:sz="15" w:space="0" w:color="D2D2D2"/>
              <w:right w:val="single" w:sz="10" w:space="0" w:color="D2D2D2"/>
            </w:tcBorders>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497" w:type="dxa"/>
            <w:vMerge w:val="restart"/>
            <w:tcBorders>
              <w:top w:val="nil" w:sz="6" w:space="0" w:color="auto"/>
              <w:left w:val="single" w:sz="4" w:space="0" w:color="000000"/>
              <w:right w:val="single" w:sz="4" w:space="0" w:color="000000"/>
            </w:tcBorders>
            <w:shd w:val="clear" w:color="auto" w:fill="D2D2D2"/>
          </w:tcPr>
          <w:p>
            <w:pPr>
              <w:pStyle w:val="TableParagraph"/>
              <w:spacing w:line="199" w:lineRule="exact"/>
              <w:ind w:left="64"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4" w:lineRule="exact"/>
              <w:ind w:left="64"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1316" w:type="dxa"/>
            <w:vMerge/>
            <w:tcBorders>
              <w:left w:val="single" w:sz="10" w:space="0" w:color="D2D2D2"/>
              <w:right w:val="single" w:sz="12" w:space="0" w:color="D2D2D2"/>
            </w:tcBorders>
          </w:tcPr>
          <w:p>
            <w:pPr/>
          </w:p>
        </w:tc>
      </w:tr>
      <w:tr>
        <w:trPr>
          <w:trHeight w:val="107" w:hRule="exact"/>
        </w:trPr>
        <w:tc>
          <w:tcPr>
            <w:tcW w:w="1955"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ind w:left="2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23" w:right="19"/>
              <w:jc w:val="left"/>
              <w:rPr>
                <w:rFonts w:ascii="宋体" w:hAnsi="宋体" w:cs="宋体" w:eastAsia="宋体" w:hint="default"/>
                <w:sz w:val="18"/>
                <w:szCs w:val="18"/>
              </w:rPr>
            </w:pPr>
            <w:r>
              <w:rPr>
                <w:rFonts w:ascii="宋体" w:hAnsi="宋体" w:cs="宋体" w:eastAsia="宋体" w:hint="default"/>
                <w:sz w:val="18"/>
                <w:szCs w:val="18"/>
              </w:rPr>
              <w:t>先 股</w:t>
            </w: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ind w:left="24"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24" w:right="22"/>
              <w:jc w:val="left"/>
              <w:rPr>
                <w:rFonts w:ascii="宋体" w:hAnsi="宋体" w:cs="宋体" w:eastAsia="宋体" w:hint="default"/>
                <w:sz w:val="18"/>
                <w:szCs w:val="18"/>
              </w:rPr>
            </w:pPr>
            <w:r>
              <w:rPr>
                <w:rFonts w:ascii="宋体" w:hAnsi="宋体" w:cs="宋体" w:eastAsia="宋体" w:hint="default"/>
                <w:sz w:val="18"/>
                <w:szCs w:val="18"/>
              </w:rPr>
              <w:t>续 债</w:t>
            </w: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15"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40" w:type="dxa"/>
            <w:vMerge/>
            <w:tcBorders>
              <w:left w:val="single" w:sz="4" w:space="0" w:color="000000"/>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85" w:type="dxa"/>
            <w:vMerge/>
            <w:tcBorders>
              <w:left w:val="single" w:sz="4" w:space="0" w:color="000000"/>
              <w:right w:val="single" w:sz="4" w:space="0" w:color="000000"/>
            </w:tcBorders>
            <w:shd w:val="clear" w:color="auto" w:fill="D2D2D2"/>
          </w:tcPr>
          <w:p>
            <w:pPr/>
          </w:p>
        </w:tc>
        <w:tc>
          <w:tcPr>
            <w:tcW w:w="1316" w:type="dxa"/>
            <w:vMerge/>
            <w:tcBorders>
              <w:left w:val="single" w:sz="10" w:space="0" w:color="D2D2D2"/>
              <w:bottom w:val="nil" w:sz="6" w:space="0" w:color="auto"/>
              <w:right w:val="single" w:sz="12" w:space="0" w:color="D2D2D2"/>
            </w:tcBorders>
          </w:tcPr>
          <w:p>
            <w:pPr/>
          </w:p>
        </w:tc>
      </w:tr>
      <w:tr>
        <w:trPr>
          <w:trHeight w:val="128" w:hRule="exact"/>
        </w:trPr>
        <w:tc>
          <w:tcPr>
            <w:tcW w:w="1955"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092"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497"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485"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60" w:hRule="exact"/>
        </w:trPr>
        <w:tc>
          <w:tcPr>
            <w:tcW w:w="1955"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415"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c>
          <w:tcPr>
            <w:tcW w:w="497" w:type="dxa"/>
            <w:vMerge w:val="restart"/>
            <w:tcBorders>
              <w:top w:val="nil" w:sz="6" w:space="0" w:color="auto"/>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
        </w:tc>
        <w:tc>
          <w:tcPr>
            <w:tcW w:w="485"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10" w:hRule="exact"/>
        </w:trPr>
        <w:tc>
          <w:tcPr>
            <w:tcW w:w="1955"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415"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540" w:type="dxa"/>
            <w:vMerge w:val="restart"/>
            <w:tcBorders>
              <w:top w:val="nil" w:sz="6" w:space="0" w:color="auto"/>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58" w:hRule="exact"/>
        </w:trPr>
        <w:tc>
          <w:tcPr>
            <w:tcW w:w="1955"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485"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38"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761,191,294.00</w:t>
            </w:r>
          </w:p>
        </w:tc>
        <w:tc>
          <w:tcPr>
            <w:tcW w:w="235" w:type="dxa"/>
            <w:tcBorders>
              <w:top w:val="single" w:sz="15" w:space="0" w:color="D2D2D2"/>
              <w:left w:val="single" w:sz="4" w:space="0" w:color="000000"/>
              <w:bottom w:val="single" w:sz="4" w:space="0" w:color="000000"/>
              <w:right w:val="single" w:sz="4" w:space="0" w:color="000000"/>
            </w:tcBorders>
          </w:tcPr>
          <w:p>
            <w:pPr/>
          </w:p>
        </w:tc>
        <w:tc>
          <w:tcPr>
            <w:tcW w:w="238" w:type="dxa"/>
            <w:tcBorders>
              <w:top w:val="single" w:sz="15" w:space="0" w:color="D2D2D2"/>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5"/>
                <w:sz w:val="18"/>
              </w:rPr>
              <w:t>5,202.00</w:t>
            </w: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58,979,225.64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840,656,376.89</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1,690,511,645.81</w:t>
            </w: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761,191,294.00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5"/>
                <w:sz w:val="18"/>
              </w:rPr>
              <w:t>5,202.00</w:t>
            </w: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58,979,225.64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840,656,376.89</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1,690,511,645.81</w:t>
            </w:r>
          </w:p>
        </w:tc>
      </w:tr>
      <w:tr>
        <w:trPr>
          <w:trHeight w:val="56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88,148.16</w:t>
            </w: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1,512,877.75</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-107,748,318.39</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-106,147,292.48</w:t>
            </w: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88,148.16</w:t>
            </w: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-94,817,582.68</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-94,729,434.52</w:t>
            </w:r>
          </w:p>
        </w:tc>
      </w:tr>
      <w:tr>
        <w:trPr>
          <w:trHeight w:val="56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1,512,877.75</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-12,930,735.71</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-11,417,857.96</w:t>
            </w: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1,512,877.75</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-1,512,877.75</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-11,417,857.96</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-11,417,857.96</w:t>
            </w:r>
          </w:p>
        </w:tc>
      </w:tr>
      <w:tr>
        <w:trPr>
          <w:trHeight w:val="334"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761,191,294.00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41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93,350.16</w:t>
            </w:r>
          </w:p>
        </w:tc>
        <w:tc>
          <w:tcPr>
            <w:tcW w:w="4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60,492,103.39</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732,908,058.50</w:t>
            </w:r>
          </w:p>
        </w:tc>
        <w:tc>
          <w:tcPr>
            <w:tcW w:w="48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1,584,364,353.33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20" w:right="0"/>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5" w:footer="980" w:top="1060" w:bottom="1160" w:left="120" w:right="0"/>
        </w:sectPr>
      </w:pPr>
    </w:p>
    <w:p>
      <w:pPr>
        <w:pStyle w:val="BodyText"/>
        <w:spacing w:line="240" w:lineRule="auto" w:before="44"/>
        <w:ind w:left="1012"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BodyText"/>
        <w:spacing w:line="154" w:lineRule="exact"/>
        <w:ind w:left="1012" w:right="-20"/>
        <w:jc w:val="left"/>
      </w:pPr>
      <w:r>
        <w:rPr/>
        <w:t>其他权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48" w:lineRule="auto"/>
        <w:ind w:left="954" w:right="-20" w:firstLine="1709"/>
        <w:jc w:val="left"/>
      </w:pPr>
      <w:r>
        <w:rPr/>
        <w:t>上期 归属于母公司所有者权益</w:t>
      </w:r>
    </w:p>
    <w:p>
      <w:pPr>
        <w:spacing w:line="240" w:lineRule="auto" w:before="2"/>
        <w:rPr>
          <w:rFonts w:ascii="宋体" w:hAnsi="宋体" w:cs="宋体" w:eastAsia="宋体" w:hint="default"/>
          <w:sz w:val="24"/>
          <w:szCs w:val="24"/>
        </w:rPr>
      </w:pPr>
      <w:r>
        <w:rPr/>
        <w:br w:type="column"/>
      </w:r>
      <w:r>
        <w:rPr>
          <w:rFonts w:ascii="宋体"/>
          <w:sz w:val="24"/>
        </w:rPr>
      </w:r>
    </w:p>
    <w:p>
      <w:pPr>
        <w:pStyle w:val="BodyText"/>
        <w:spacing w:line="240" w:lineRule="auto"/>
        <w:ind w:left="994" w:right="1112"/>
        <w:jc w:val="center"/>
      </w:pPr>
      <w:r>
        <w:rPr/>
        <w:t>单位：元</w:t>
      </w:r>
    </w:p>
    <w:p>
      <w:pPr>
        <w:spacing w:after="0" w:line="240" w:lineRule="auto"/>
        <w:jc w:val="center"/>
        <w:sectPr>
          <w:type w:val="continuous"/>
          <w:pgSz w:w="11910" w:h="16840"/>
          <w:pgMar w:top="1060" w:bottom="1160" w:left="120" w:right="0"/>
          <w:cols w:num="4" w:equalWidth="0">
            <w:col w:w="1733" w:space="597"/>
            <w:col w:w="1553" w:space="40"/>
            <w:col w:w="3024" w:space="1973"/>
            <w:col w:w="2870"/>
          </w:cols>
        </w:sectPr>
      </w:pPr>
    </w:p>
    <w:p>
      <w:pPr>
        <w:pStyle w:val="BodyText"/>
        <w:tabs>
          <w:tab w:pos="3343" w:val="left" w:leader="none"/>
        </w:tabs>
        <w:spacing w:line="240" w:lineRule="auto" w:before="9"/>
        <w:ind w:left="914" w:right="0"/>
        <w:jc w:val="left"/>
      </w:pPr>
      <w:r>
        <w:rPr>
          <w:position w:val="7"/>
        </w:rPr>
        <w:t>项目</w:t>
        <w:tab/>
      </w:r>
      <w:r>
        <w:rPr/>
        <w:t>益工具</w:t>
      </w:r>
    </w:p>
    <w:p>
      <w:pPr>
        <w:pStyle w:val="BodyText"/>
        <w:spacing w:line="158" w:lineRule="auto" w:before="105"/>
        <w:ind w:left="3288" w:right="0" w:hanging="802"/>
        <w:jc w:val="both"/>
      </w:pPr>
      <w:r>
        <w:rPr>
          <w:position w:val="1"/>
        </w:rPr>
        <w:t>股本   </w:t>
      </w:r>
      <w:r>
        <w:rPr/>
        <w:t>优 永</w:t>
      </w:r>
      <w:r>
        <w:rPr>
          <w:spacing w:val="11"/>
        </w:rPr>
        <w:t> </w:t>
      </w:r>
      <w:r>
        <w:rPr>
          <w:position w:val="-11"/>
        </w:rPr>
        <w:t>其</w:t>
      </w:r>
      <w:r>
        <w:rPr>
          <w:position w:val="-11"/>
        </w:rPr>
        <w:t> </w:t>
      </w:r>
      <w:r>
        <w:rPr/>
        <w:t>先 续</w:t>
      </w:r>
      <w:r>
        <w:rPr>
          <w:spacing w:val="-70"/>
        </w:rPr>
        <w:t> </w:t>
      </w:r>
      <w:r>
        <w:rPr>
          <w:position w:val="-11"/>
        </w:rPr>
        <w:t>他</w:t>
      </w:r>
      <w:r>
        <w:rPr>
          <w:position w:val="-11"/>
        </w:rPr>
        <w:t> </w:t>
      </w:r>
      <w:r>
        <w:rPr/>
        <w:t>股</w:t>
      </w:r>
      <w:r>
        <w:rPr>
          <w:spacing w:val="-35"/>
        </w:rPr>
        <w:t> </w:t>
      </w:r>
      <w:r>
        <w:rPr/>
        <w:t>债</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240" w:lineRule="auto"/>
        <w:ind w:left="173" w:right="-20"/>
        <w:jc w:val="left"/>
      </w:pPr>
      <w:r>
        <w:rPr/>
        <w:t>资本公积</w:t>
      </w:r>
    </w:p>
    <w:p>
      <w:pPr>
        <w:pStyle w:val="BodyText"/>
        <w:tabs>
          <w:tab w:pos="1589" w:val="left" w:leader="none"/>
        </w:tabs>
        <w:spacing w:line="231" w:lineRule="exact"/>
        <w:ind w:left="173" w:right="-19"/>
        <w:jc w:val="left"/>
      </w:pPr>
      <w:r>
        <w:rPr/>
        <w:br w:type="column"/>
      </w:r>
      <w:r>
        <w:rPr/>
        <w:t>减：</w:t>
        <w:tab/>
        <w:t>专</w:t>
      </w:r>
    </w:p>
    <w:p>
      <w:pPr>
        <w:pStyle w:val="BodyText"/>
        <w:tabs>
          <w:tab w:pos="670" w:val="left" w:leader="none"/>
          <w:tab w:pos="850" w:val="left" w:leader="none"/>
          <w:tab w:pos="1589" w:val="left" w:leader="none"/>
        </w:tabs>
        <w:spacing w:line="232" w:lineRule="exact" w:before="23"/>
        <w:ind w:left="262" w:right="0"/>
        <w:jc w:val="left"/>
      </w:pPr>
      <w:r>
        <w:rPr/>
        <w:t>库</w:t>
        <w:tab/>
        <w:t>其他综合 </w:t>
      </w:r>
      <w:r>
        <w:rPr>
          <w:spacing w:val="19"/>
        </w:rPr>
        <w:t> </w:t>
      </w:r>
      <w:r>
        <w:rPr/>
        <w:t>项</w:t>
      </w:r>
      <w:r>
        <w:rPr/>
        <w:t> 存</w:t>
        <w:tab/>
        <w:tab/>
        <w:t>收益</w:t>
        <w:tab/>
        <w:t>储</w:t>
      </w:r>
    </w:p>
    <w:p>
      <w:pPr>
        <w:pStyle w:val="BodyText"/>
        <w:tabs>
          <w:tab w:pos="1589" w:val="left" w:leader="none"/>
        </w:tabs>
        <w:spacing w:line="214" w:lineRule="exact"/>
        <w:ind w:left="262" w:right="-19"/>
        <w:jc w:val="left"/>
      </w:pPr>
      <w:r>
        <w:rPr/>
        <w:t>股</w:t>
        <w:tab/>
        <w:t>备</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240" w:lineRule="auto"/>
        <w:ind w:left="324" w:right="-20"/>
        <w:jc w:val="left"/>
      </w:pPr>
      <w:r>
        <w:rPr/>
        <w:t>盈余公积</w:t>
      </w:r>
    </w:p>
    <w:p>
      <w:pPr>
        <w:spacing w:line="147"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少数</w:t>
      </w:r>
    </w:p>
    <w:p>
      <w:pPr>
        <w:pStyle w:val="BodyText"/>
        <w:tabs>
          <w:tab w:pos="1916" w:val="left" w:leader="none"/>
        </w:tabs>
        <w:spacing w:line="232" w:lineRule="exact"/>
        <w:ind w:left="319" w:right="-20"/>
        <w:jc w:val="left"/>
      </w:pPr>
      <w:r>
        <w:rPr/>
        <w:t>一般</w:t>
        <w:tab/>
      </w:r>
      <w:r>
        <w:rPr>
          <w:position w:val="-5"/>
        </w:rPr>
        <w:t>股东</w:t>
      </w:r>
      <w:r>
        <w:rPr/>
      </w:r>
    </w:p>
    <w:p>
      <w:pPr>
        <w:pStyle w:val="BodyText"/>
        <w:spacing w:line="189" w:lineRule="auto" w:before="12"/>
        <w:ind w:left="319" w:right="-20"/>
        <w:jc w:val="left"/>
      </w:pPr>
      <w:r>
        <w:rPr/>
        <w:t>风险 </w:t>
      </w:r>
      <w:r>
        <w:rPr>
          <w:rFonts w:ascii="Times New Roman" w:hAnsi="Times New Roman" w:cs="Times New Roman" w:eastAsia="Times New Roman" w:hint="default"/>
        </w:rPr>
      </w:r>
      <w:r>
        <w:rPr>
          <w:rFonts w:ascii="Times New Roman" w:hAnsi="Times New Roman" w:cs="Times New Roman" w:eastAsia="Times New Roman" w:hint="default"/>
          <w:shd w:fill="D2D2D2" w:color="auto" w:val="clear"/>
        </w:rPr>
      </w:r>
      <w:r>
        <w:rPr>
          <w:shd w:fill="D2D2D2" w:color="auto" w:val="clear"/>
        </w:rPr>
        <w:t>未分配利润</w:t>
      </w:r>
      <w:r>
        <w:rPr>
          <w:spacing w:val="66"/>
          <w:shd w:fill="D2D2D2" w:color="auto" w:val="clear"/>
        </w:rPr>
        <w:t> </w:t>
      </w:r>
      <w:r>
        <w:rPr>
          <w:spacing w:val="66"/>
        </w:rPr>
      </w:r>
      <w:r>
        <w:rPr>
          <w:position w:val="-5"/>
        </w:rPr>
        <w:t>权益</w:t>
      </w:r>
      <w:r>
        <w:rPr>
          <w:position w:val="-5"/>
        </w:rPr>
        <w:t> </w:t>
      </w:r>
      <w:r>
        <w:rPr/>
        <w:t>准备</w:t>
      </w:r>
    </w:p>
    <w:p>
      <w:pPr>
        <w:pStyle w:val="BodyText"/>
        <w:spacing w:line="240" w:lineRule="auto" w:before="59"/>
        <w:ind w:left="586" w:right="428" w:hanging="452"/>
        <w:jc w:val="left"/>
      </w:pPr>
      <w:r>
        <w:rPr/>
        <w:br w:type="column"/>
      </w:r>
      <w:r>
        <w:rPr/>
        <w:t>所有者权益合 计</w:t>
      </w:r>
    </w:p>
    <w:p>
      <w:pPr>
        <w:spacing w:after="0" w:line="240" w:lineRule="auto"/>
        <w:jc w:val="left"/>
        <w:sectPr>
          <w:type w:val="continuous"/>
          <w:pgSz w:w="11910" w:h="16840"/>
          <w:pgMar w:top="1060" w:bottom="1160" w:left="120" w:right="0"/>
          <w:cols w:num="6" w:equalWidth="0">
            <w:col w:w="3940" w:space="40"/>
            <w:col w:w="894" w:space="40"/>
            <w:col w:w="1770" w:space="40"/>
            <w:col w:w="1045" w:space="40"/>
            <w:col w:w="2277" w:space="40"/>
            <w:col w:w="1664"/>
          </w:cols>
        </w:sectPr>
      </w:pPr>
    </w:p>
    <w:p>
      <w:pPr>
        <w:pStyle w:val="BodyText"/>
        <w:tabs>
          <w:tab w:pos="2105" w:val="left" w:leader="none"/>
          <w:tab w:pos="3996" w:val="left" w:leader="none"/>
          <w:tab w:pos="5573" w:val="left" w:leader="none"/>
          <w:tab w:pos="6975" w:val="left" w:leader="none"/>
          <w:tab w:pos="8687" w:val="left" w:leader="none"/>
          <w:tab w:pos="10257" w:val="left" w:leader="none"/>
        </w:tabs>
        <w:spacing w:line="240" w:lineRule="auto" w:before="94"/>
        <w:ind w:left="141" w:right="0"/>
        <w:jc w:val="left"/>
        <w:rPr>
          <w:rFonts w:ascii="Times New Roman" w:hAnsi="Times New Roman" w:cs="Times New Roman" w:eastAsia="Times New Roman" w:hint="default"/>
        </w:rPr>
      </w:pPr>
      <w:r>
        <w:rPr/>
        <w:pict>
          <v:group style="position:absolute;margin-left:11.16001pt;margin-top:99.139984pt;width:567.85pt;height:662pt;mso-position-horizontal-relative:page;mso-position-vertical-relative:page;z-index:-771376" coordorigin="223,1983" coordsize="11357,13240">
            <v:group style="position:absolute;left:240;top:1997;width:1952;height:804" coordorigin="240,1997" coordsize="1952,804">
              <v:shape style="position:absolute;left:240;top:1997;width:1952;height:804" coordorigin="240,1997" coordsize="1952,804" path="m240,2801l2192,2801,2192,1997,240,1997,240,2801xe" filled="true" fillcolor="#d2d2d2" stroked="false">
                <v:path arrowok="t"/>
                <v:fill type="solid"/>
              </v:shape>
            </v:group>
            <v:group style="position:absolute;left:251;top:2801;width:2;height:312" coordorigin="251,2801" coordsize="2,312">
              <v:shape style="position:absolute;left:251;top:2801;width:2;height:312" coordorigin="251,2801" coordsize="0,312" path="m251,2801l251,3113e" filled="false" stroked="true" strokeweight="1.08pt" strokecolor="#d2d2d2">
                <v:path arrowok="t"/>
              </v:shape>
            </v:group>
            <v:group style="position:absolute;left:2181;top:2801;width:2;height:312" coordorigin="2181,2801" coordsize="2,312">
              <v:shape style="position:absolute;left:2181;top:2801;width:2;height:312" coordorigin="2181,2801" coordsize="0,312" path="m2181,2801l2181,3113e" filled="false" stroked="true" strokeweight="1.08pt" strokecolor="#d2d2d2">
                <v:path arrowok="t"/>
              </v:shape>
            </v:group>
            <v:group style="position:absolute;left:240;top:3113;width:1952;height:804" coordorigin="240,3113" coordsize="1952,804">
              <v:shape style="position:absolute;left:240;top:3113;width:1952;height:804" coordorigin="240,3113" coordsize="1952,804" path="m240,3917l2192,3917,2192,3113,240,3113,240,3917xe" filled="true" fillcolor="#d2d2d2" stroked="false">
                <v:path arrowok="t"/>
                <v:fill type="solid"/>
              </v:shape>
            </v:group>
            <v:group style="position:absolute;left:262;top:2801;width:1909;height:312" coordorigin="262,2801" coordsize="1909,312">
              <v:shape style="position:absolute;left:262;top:2801;width:1909;height:312" coordorigin="262,2801" coordsize="1909,312" path="m262,3113l2170,3113,2170,2801,262,2801,262,3113xe" filled="true" fillcolor="#d2d2d2" stroked="false">
                <v:path arrowok="t"/>
                <v:fill type="solid"/>
              </v:shape>
            </v:group>
            <v:group style="position:absolute;left:2201;top:2002;width:9370;height:2" coordorigin="2201,2002" coordsize="9370,2">
              <v:shape style="position:absolute;left:2201;top:2002;width:9370;height:2" coordorigin="2201,2002" coordsize="9370,0" path="m2201,2002l11570,2002e" filled="false" stroked="true" strokeweight=".48pt" strokecolor="#d2d2d2">
                <v:path arrowok="t"/>
              </v:shape>
            </v:group>
            <v:group style="position:absolute;left:2213;top:2007;width:2;height:312" coordorigin="2213,2007" coordsize="2,312">
              <v:shape style="position:absolute;left:2213;top:2007;width:2;height:312" coordorigin="2213,2007" coordsize="0,312" path="m2213,2007l2213,2319e" filled="false" stroked="true" strokeweight="1.2pt" strokecolor="#d2d2d2">
                <v:path arrowok="t"/>
              </v:shape>
            </v:group>
            <v:group style="position:absolute;left:11560;top:2007;width:2;height:312" coordorigin="11560,2007" coordsize="2,312">
              <v:shape style="position:absolute;left:11560;top:2007;width:2;height:312" coordorigin="11560,2007" coordsize="0,312" path="m11560,2007l11560,2319e" filled="false" stroked="true" strokeweight="1.08pt" strokecolor="#d2d2d2">
                <v:path arrowok="t"/>
              </v:shape>
            </v:group>
            <v:group style="position:absolute;left:2201;top:2324;width:9370;height:2" coordorigin="2201,2324" coordsize="9370,2">
              <v:shape style="position:absolute;left:2201;top:2324;width:9370;height:2" coordorigin="2201,2324" coordsize="9370,0" path="m2201,2324l11570,2324e" filled="false" stroked="true" strokeweight=".48pt" strokecolor="#d2d2d2">
                <v:path arrowok="t"/>
              </v:shape>
            </v:group>
            <v:group style="position:absolute;left:2225;top:2007;width:9324;height:312" coordorigin="2225,2007" coordsize="9324,312">
              <v:shape style="position:absolute;left:2225;top:2007;width:9324;height:312" coordorigin="2225,2007" coordsize="9324,312" path="m2225,2319l11549,2319,11549,2007,2225,2007,2225,2319xe" filled="true" fillcolor="#d2d2d2" stroked="false">
                <v:path arrowok="t"/>
                <v:fill type="solid"/>
              </v:shape>
            </v:group>
            <v:group style="position:absolute;left:238;top:1992;width:1955;height:2" coordorigin="238,1992" coordsize="1955,2">
              <v:shape style="position:absolute;left:238;top:1992;width:1955;height:2" coordorigin="238,1992" coordsize="1955,0" path="m238,1992l2192,1992e" filled="false" stroked="true" strokeweight=".48pt" strokecolor="#000000">
                <v:path arrowok="t"/>
              </v:shape>
            </v:group>
            <v:group style="position:absolute;left:2201;top:1992;width:9370;height:2" coordorigin="2201,1992" coordsize="9370,2">
              <v:shape style="position:absolute;left:2201;top:1992;width:9370;height:2" coordorigin="2201,1992" coordsize="9370,0" path="m2201,1992l11570,1992e" filled="false" stroked="true" strokeweight=".48pt" strokecolor="#000000">
                <v:path arrowok="t"/>
              </v:shape>
            </v:group>
            <v:group style="position:absolute;left:2201;top:2362;width:7576;height:2" coordorigin="2201,2362" coordsize="7576,2">
              <v:shape style="position:absolute;left:2201;top:2362;width:7576;height:2" coordorigin="2201,2362" coordsize="7576,0" path="m2201,2362l9777,2362e" filled="false" stroked="true" strokeweight="2.4pt" strokecolor="#d2d2d2">
                <v:path arrowok="t"/>
              </v:shape>
            </v:group>
            <v:group style="position:absolute;left:2213;top:2386;width:2;height:233" coordorigin="2213,2386" coordsize="2,233">
              <v:shape style="position:absolute;left:2213;top:2386;width:2;height:233" coordorigin="2213,2386" coordsize="0,233" path="m2213,2386l2213,2619e" filled="false" stroked="true" strokeweight="1.2pt" strokecolor="#d2d2d2">
                <v:path arrowok="t"/>
              </v:shape>
            </v:group>
            <v:group style="position:absolute;left:9765;top:2386;width:2;height:233" coordorigin="9765,2386" coordsize="2,233">
              <v:shape style="position:absolute;left:9765;top:2386;width:2;height:233" coordorigin="9765,2386" coordsize="0,233" path="m9765,2386l9765,2619e" filled="false" stroked="true" strokeweight="1.2pt" strokecolor="#d2d2d2">
                <v:path arrowok="t"/>
              </v:shape>
            </v:group>
            <v:group style="position:absolute;left:2201;top:2643;width:7576;height:2" coordorigin="2201,2643" coordsize="7576,2">
              <v:shape style="position:absolute;left:2201;top:2643;width:7576;height:2" coordorigin="2201,2643" coordsize="7576,0" path="m2201,2643l9777,2643e" filled="false" stroked="true" strokeweight="2.4pt" strokecolor="#d2d2d2">
                <v:path arrowok="t"/>
              </v:shape>
            </v:group>
            <v:group style="position:absolute;left:2225;top:2386;width:7528;height:233" coordorigin="2225,2386" coordsize="7528,233">
              <v:shape style="position:absolute;left:2225;top:2386;width:7528;height:233" coordorigin="2225,2386" coordsize="7528,233" path="m2225,2619l9753,2619,9753,2386,2225,2386,2225,2619xe" filled="true" fillcolor="#d2d2d2" stroked="false">
                <v:path arrowok="t"/>
                <v:fill type="solid"/>
              </v:shape>
            </v:group>
            <v:group style="position:absolute;left:9787;top:2338;width:473;height:440" coordorigin="9787,2338" coordsize="473,440">
              <v:shape style="position:absolute;left:9787;top:2338;width:473;height:440" coordorigin="9787,2338" coordsize="473,440" path="m9787,2777l10260,2777,10260,2338,9787,2338,9787,2777xe" filled="true" fillcolor="#d2d2d2" stroked="false">
                <v:path arrowok="t"/>
                <v:fill type="solid"/>
              </v:shape>
            </v:group>
            <v:group style="position:absolute;left:9799;top:2777;width:2;height:701" coordorigin="9799,2777" coordsize="2,701">
              <v:shape style="position:absolute;left:9799;top:2777;width:2;height:701" coordorigin="9799,2777" coordsize="0,701" path="m9799,2777l9799,3478e" filled="false" stroked="true" strokeweight="1.2pt" strokecolor="#d2d2d2">
                <v:path arrowok="t"/>
              </v:shape>
            </v:group>
            <v:group style="position:absolute;left:10249;top:2777;width:2;height:701" coordorigin="10249,2777" coordsize="2,701">
              <v:shape style="position:absolute;left:10249;top:2777;width:2;height:701" coordorigin="10249,2777" coordsize="0,701" path="m10249,2777l10249,3478e" filled="false" stroked="true" strokeweight="1.08pt" strokecolor="#d2d2d2">
                <v:path arrowok="t"/>
              </v:shape>
            </v:group>
            <v:group style="position:absolute;left:9787;top:3478;width:473;height:440" coordorigin="9787,3478" coordsize="473,440">
              <v:shape style="position:absolute;left:9787;top:3478;width:473;height:440" coordorigin="9787,3478" coordsize="473,440" path="m9787,3917l10260,3917,10260,3478,9787,3478,9787,3917xe" filled="true" fillcolor="#d2d2d2" stroked="false">
                <v:path arrowok="t"/>
                <v:fill type="solid"/>
              </v:shape>
            </v:group>
            <v:group style="position:absolute;left:9811;top:2777;width:428;height:233" coordorigin="9811,2777" coordsize="428,233">
              <v:shape style="position:absolute;left:9811;top:2777;width:428;height:233" coordorigin="9811,2777" coordsize="428,233" path="m9811,3010l10238,3010,10238,2777,9811,2777,9811,3010xe" filled="true" fillcolor="#d2d2d2" stroked="false">
                <v:path arrowok="t"/>
                <v:fill type="solid"/>
              </v:shape>
            </v:group>
            <v:group style="position:absolute;left:9811;top:3010;width:428;height:233" coordorigin="9811,3010" coordsize="428,233">
              <v:shape style="position:absolute;left:9811;top:3010;width:428;height:233" coordorigin="9811,3010" coordsize="428,233" path="m9811,3243l10238,3243,10238,3010,9811,3010,9811,3243xe" filled="true" fillcolor="#d2d2d2" stroked="false">
                <v:path arrowok="t"/>
                <v:fill type="solid"/>
              </v:shape>
            </v:group>
            <v:group style="position:absolute;left:9811;top:3243;width:428;height:236" coordorigin="9811,3243" coordsize="428,236">
              <v:shape style="position:absolute;left:9811;top:3243;width:428;height:236" coordorigin="9811,3243" coordsize="428,236" path="m9811,3478l10238,3478,10238,3243,9811,3243,9811,3478xe" filled="true" fillcolor="#d2d2d2" stroked="false">
                <v:path arrowok="t"/>
                <v:fill type="solid"/>
              </v:shape>
            </v:group>
            <v:group style="position:absolute;left:10269;top:2338;width:1302;height:555" coordorigin="10269,2338" coordsize="1302,555">
              <v:shape style="position:absolute;left:10269;top:2338;width:1302;height:555" coordorigin="10269,2338" coordsize="1302,555" path="m10269,2892l11570,2892,11570,2338,10269,2338,10269,2892xe" filled="true" fillcolor="#d2d2d2" stroked="false">
                <v:path arrowok="t"/>
                <v:fill type="solid"/>
              </v:shape>
            </v:group>
            <v:group style="position:absolute;left:10281;top:2892;width:2;height:468" coordorigin="10281,2892" coordsize="2,468">
              <v:shape style="position:absolute;left:10281;top:2892;width:2;height:468" coordorigin="10281,2892" coordsize="0,468" path="m10281,2892l10281,3360e" filled="false" stroked="true" strokeweight="1.2pt" strokecolor="#d2d2d2">
                <v:path arrowok="t"/>
              </v:shape>
            </v:group>
            <v:group style="position:absolute;left:11560;top:2892;width:2;height:468" coordorigin="11560,2892" coordsize="2,468">
              <v:shape style="position:absolute;left:11560;top:2892;width:2;height:468" coordorigin="11560,2892" coordsize="0,468" path="m11560,2892l11560,3360e" filled="false" stroked="true" strokeweight="1.08pt" strokecolor="#d2d2d2">
                <v:path arrowok="t"/>
              </v:shape>
            </v:group>
            <v:group style="position:absolute;left:10269;top:3360;width:1302;height:557" coordorigin="10269,3360" coordsize="1302,557">
              <v:shape style="position:absolute;left:10269;top:3360;width:1302;height:557" coordorigin="10269,3360" coordsize="1302,557" path="m10269,3917l11570,3917,11570,3360,10269,3360,10269,3917xe" filled="true" fillcolor="#d2d2d2" stroked="false">
                <v:path arrowok="t"/>
                <v:fill type="solid"/>
              </v:shape>
            </v:group>
            <v:group style="position:absolute;left:10293;top:2892;width:1256;height:236" coordorigin="10293,2892" coordsize="1256,236">
              <v:shape style="position:absolute;left:10293;top:2892;width:1256;height:236" coordorigin="10293,2892" coordsize="1256,236" path="m10293,3128l11549,3128,11549,2892,10293,2892,10293,3128xe" filled="true" fillcolor="#d2d2d2" stroked="false">
                <v:path arrowok="t"/>
                <v:fill type="solid"/>
              </v:shape>
            </v:group>
            <v:group style="position:absolute;left:10293;top:3128;width:1256;height:233" coordorigin="10293,3128" coordsize="1256,233">
              <v:shape style="position:absolute;left:10293;top:3128;width:1256;height:233" coordorigin="10293,3128" coordsize="1256,233" path="m10293,3360l11549,3360,11549,3128,10293,3128,10293,3360xe" filled="true" fillcolor="#d2d2d2" stroked="false">
                <v:path arrowok="t"/>
                <v:fill type="solid"/>
              </v:shape>
            </v:group>
            <v:group style="position:absolute;left:2201;top:2333;width:7576;height:2" coordorigin="2201,2333" coordsize="7576,2">
              <v:shape style="position:absolute;left:2201;top:2333;width:7576;height:2" coordorigin="2201,2333" coordsize="7576,0" path="m2201,2333l9777,2333e" filled="false" stroked="true" strokeweight=".48pt" strokecolor="#000000">
                <v:path arrowok="t"/>
              </v:shape>
            </v:group>
            <v:group style="position:absolute;left:9787;top:2333;width:473;height:2" coordorigin="9787,2333" coordsize="473,2">
              <v:shape style="position:absolute;left:9787;top:2333;width:473;height:2" coordorigin="9787,2333" coordsize="473,0" path="m9787,2333l10260,2333e" filled="false" stroked="true" strokeweight=".48pt" strokecolor="#000000">
                <v:path arrowok="t"/>
              </v:shape>
            </v:group>
            <v:group style="position:absolute;left:10269;top:2333;width:1302;height:2" coordorigin="10269,2333" coordsize="1302,2">
              <v:shape style="position:absolute;left:10269;top:2333;width:1302;height:2" coordorigin="10269,2333" coordsize="1302,0" path="m10269,2333l11570,2333e" filled="false" stroked="true" strokeweight=".48pt" strokecolor="#000000">
                <v:path arrowok="t"/>
              </v:shape>
            </v:group>
            <v:group style="position:absolute;left:2201;top:2676;width:1174;height:504" coordorigin="2201,2676" coordsize="1174,504">
              <v:shape style="position:absolute;left:2201;top:2676;width:1174;height:504" coordorigin="2201,2676" coordsize="1174,504" path="m2201,3180l3375,3180,3375,2676,2201,2676,2201,3180xe" filled="true" fillcolor="#d2d2d2" stroked="false">
                <v:path arrowok="t"/>
                <v:fill type="solid"/>
              </v:shape>
            </v:group>
            <v:group style="position:absolute;left:2213;top:3180;width:2;height:233" coordorigin="2213,3180" coordsize="2,233">
              <v:shape style="position:absolute;left:2213;top:3180;width:2;height:233" coordorigin="2213,3180" coordsize="0,233" path="m2213,3180l2213,3413e" filled="false" stroked="true" strokeweight="1.2pt" strokecolor="#d2d2d2">
                <v:path arrowok="t"/>
              </v:shape>
            </v:group>
            <v:group style="position:absolute;left:3363;top:3180;width:2;height:233" coordorigin="3363,3180" coordsize="2,233">
              <v:shape style="position:absolute;left:3363;top:3180;width:2;height:233" coordorigin="3363,3180" coordsize="0,233" path="m3363,3180l3363,3413e" filled="false" stroked="true" strokeweight="1.2pt" strokecolor="#d2d2d2">
                <v:path arrowok="t"/>
              </v:shape>
            </v:group>
            <v:group style="position:absolute;left:2201;top:3413;width:1174;height:504" coordorigin="2201,3413" coordsize="1174,504">
              <v:shape style="position:absolute;left:2201;top:3413;width:1174;height:504" coordorigin="2201,3413" coordsize="1174,504" path="m2201,3917l3375,3917,3375,3413,2201,3413,2201,3917xe" filled="true" fillcolor="#d2d2d2" stroked="false">
                <v:path arrowok="t"/>
                <v:fill type="solid"/>
              </v:shape>
            </v:group>
            <v:group style="position:absolute;left:2225;top:3180;width:1126;height:233" coordorigin="2225,3180" coordsize="1126,233">
              <v:shape style="position:absolute;left:2225;top:3180;width:1126;height:233" coordorigin="2225,3180" coordsize="1126,233" path="m2225,3413l3351,3413,3351,3180,2225,3180,2225,3413xe" filled="true" fillcolor="#d2d2d2" stroked="false">
                <v:path arrowok="t"/>
                <v:fill type="solid"/>
              </v:shape>
            </v:group>
            <v:group style="position:absolute;left:3384;top:2678;width:699;height:2" coordorigin="3384,2678" coordsize="699,2">
              <v:shape style="position:absolute;left:3384;top:2678;width:699;height:2" coordorigin="3384,2678" coordsize="699,0" path="m3384,2678l4083,2678e" filled="false" stroked="true" strokeweight=".12pt" strokecolor="#d2d2d2">
                <v:path arrowok="t"/>
              </v:shape>
            </v:group>
            <v:group style="position:absolute;left:3396;top:2679;width:2;height:468" coordorigin="3396,2679" coordsize="2,468">
              <v:shape style="position:absolute;left:3396;top:2679;width:2;height:468" coordorigin="3396,2679" coordsize="0,468" path="m3396,2679l3396,3147e" filled="false" stroked="true" strokeweight="1.2pt" strokecolor="#d2d2d2">
                <v:path arrowok="t"/>
              </v:shape>
            </v:group>
            <v:group style="position:absolute;left:4071;top:2679;width:2;height:468" coordorigin="4071,2679" coordsize="2,468">
              <v:shape style="position:absolute;left:4071;top:2679;width:2;height:468" coordorigin="4071,2679" coordsize="0,468" path="m4071,2679l4071,3147e" filled="false" stroked="true" strokeweight="1.2pt" strokecolor="#d2d2d2">
                <v:path arrowok="t"/>
              </v:shape>
            </v:group>
            <v:group style="position:absolute;left:3384;top:3148;width:699;height:2" coordorigin="3384,3148" coordsize="699,2">
              <v:shape style="position:absolute;left:3384;top:3148;width:699;height:2" coordorigin="3384,3148" coordsize="699,0" path="m3384,3148l4083,3148e" filled="false" stroked="true" strokeweight=".12001pt" strokecolor="#d2d2d2">
                <v:path arrowok="t"/>
              </v:shape>
            </v:group>
            <v:group style="position:absolute;left:3408;top:2679;width:651;height:233" coordorigin="3408,2679" coordsize="651,233">
              <v:shape style="position:absolute;left:3408;top:2679;width:651;height:233" coordorigin="3408,2679" coordsize="651,233" path="m3408,2912l4059,2912,4059,2679,3408,2679,3408,2912xe" filled="true" fillcolor="#d2d2d2" stroked="false">
                <v:path arrowok="t"/>
                <v:fill type="solid"/>
              </v:shape>
            </v:group>
            <v:group style="position:absolute;left:3408;top:2912;width:651;height:236" coordorigin="3408,2912" coordsize="651,236">
              <v:shape style="position:absolute;left:3408;top:2912;width:651;height:236" coordorigin="3408,2912" coordsize="651,236" path="m3408,3147l4059,3147,4059,2912,3408,2912,3408,3147xe" filled="true" fillcolor="#d2d2d2" stroked="false">
                <v:path arrowok="t"/>
                <v:fill type="solid"/>
              </v:shape>
            </v:group>
            <v:group style="position:absolute;left:4093;top:2676;width:1080;height:504" coordorigin="4093,2676" coordsize="1080,504">
              <v:shape style="position:absolute;left:4093;top:2676;width:1080;height:504" coordorigin="4093,2676" coordsize="1080,504" path="m4093,3180l5173,3180,5173,2676,4093,2676,4093,3180xe" filled="true" fillcolor="#d2d2d2" stroked="false">
                <v:path arrowok="t"/>
                <v:fill type="solid"/>
              </v:shape>
            </v:group>
            <v:group style="position:absolute;left:4105;top:3180;width:2;height:233" coordorigin="4105,3180" coordsize="2,233">
              <v:shape style="position:absolute;left:4105;top:3180;width:2;height:233" coordorigin="4105,3180" coordsize="0,233" path="m4105,3180l4105,3413e" filled="false" stroked="true" strokeweight="1.2pt" strokecolor="#d2d2d2">
                <v:path arrowok="t"/>
              </v:shape>
            </v:group>
            <v:group style="position:absolute;left:5162;top:3180;width:2;height:233" coordorigin="5162,3180" coordsize="2,233">
              <v:shape style="position:absolute;left:5162;top:3180;width:2;height:233" coordorigin="5162,3180" coordsize="0,233" path="m5162,3180l5162,3413e" filled="false" stroked="true" strokeweight="1.08pt" strokecolor="#d2d2d2">
                <v:path arrowok="t"/>
              </v:shape>
            </v:group>
            <v:group style="position:absolute;left:4093;top:3413;width:1080;height:504" coordorigin="4093,3413" coordsize="1080,504">
              <v:shape style="position:absolute;left:4093;top:3413;width:1080;height:504" coordorigin="4093,3413" coordsize="1080,504" path="m4093,3917l5173,3917,5173,3413,4093,3413,4093,3917xe" filled="true" fillcolor="#d2d2d2" stroked="false">
                <v:path arrowok="t"/>
                <v:fill type="solid"/>
              </v:shape>
            </v:group>
            <v:group style="position:absolute;left:4117;top:3180;width:1035;height:233" coordorigin="4117,3180" coordsize="1035,233">
              <v:shape style="position:absolute;left:4117;top:3180;width:1035;height:233" coordorigin="4117,3180" coordsize="1035,233" path="m4117,3413l5151,3413,5151,3180,4117,3180,4117,3413xe" filled="true" fillcolor="#d2d2d2" stroked="false">
                <v:path arrowok="t"/>
                <v:fill type="solid"/>
              </v:shape>
            </v:group>
            <v:group style="position:absolute;left:5185;top:2676;width:404;height:154" coordorigin="5185,2676" coordsize="404,154">
              <v:shape style="position:absolute;left:5185;top:2676;width:404;height:154" coordorigin="5185,2676" coordsize="404,154" path="m5185,2830l5588,2830,5588,2676,5185,2676,5185,2830xe" filled="true" fillcolor="#d2d2d2" stroked="false">
                <v:path arrowok="t"/>
                <v:fill type="solid"/>
              </v:shape>
            </v:group>
            <v:group style="position:absolute;left:5196;top:2830;width:2;height:934" coordorigin="5196,2830" coordsize="2,934">
              <v:shape style="position:absolute;left:5196;top:2830;width:2;height:934" coordorigin="5196,2830" coordsize="0,934" path="m5196,2830l5196,3764e" filled="false" stroked="true" strokeweight="1.08pt" strokecolor="#d2d2d2">
                <v:path arrowok="t"/>
              </v:shape>
            </v:group>
            <v:group style="position:absolute;left:5577;top:2830;width:2;height:934" coordorigin="5577,2830" coordsize="2,934">
              <v:shape style="position:absolute;left:5577;top:2830;width:2;height:934" coordorigin="5577,2830" coordsize="0,934" path="m5577,2830l5577,3764e" filled="false" stroked="true" strokeweight="1.08pt" strokecolor="#d2d2d2">
                <v:path arrowok="t"/>
              </v:shape>
            </v:group>
            <v:group style="position:absolute;left:5185;top:3764;width:404;height:154" coordorigin="5185,3764" coordsize="404,154">
              <v:shape style="position:absolute;left:5185;top:3764;width:404;height:154" coordorigin="5185,3764" coordsize="404,154" path="m5185,3917l5588,3917,5588,3764,5185,3764,5185,3917xe" filled="true" fillcolor="#d2d2d2" stroked="false">
                <v:path arrowok="t"/>
                <v:fill type="solid"/>
              </v:shape>
            </v:group>
            <v:group style="position:absolute;left:5207;top:2830;width:360;height:233" coordorigin="5207,2830" coordsize="360,233">
              <v:shape style="position:absolute;left:5207;top:2830;width:360;height:233" coordorigin="5207,2830" coordsize="360,233" path="m5207,3063l5567,3063,5567,2830,5207,2830,5207,3063xe" filled="true" fillcolor="#d2d2d2" stroked="false">
                <v:path arrowok="t"/>
                <v:fill type="solid"/>
              </v:shape>
            </v:group>
            <v:group style="position:absolute;left:5207;top:3063;width:360;height:233" coordorigin="5207,3063" coordsize="360,233">
              <v:shape style="position:absolute;left:5207;top:3063;width:360;height:233" coordorigin="5207,3063" coordsize="360,233" path="m5207,3296l5567,3296,5567,3063,5207,3063,5207,3296xe" filled="true" fillcolor="#d2d2d2" stroked="false">
                <v:path arrowok="t"/>
                <v:fill type="solid"/>
              </v:shape>
            </v:group>
            <v:group style="position:absolute;left:5207;top:3296;width:360;height:236" coordorigin="5207,3296" coordsize="360,236">
              <v:shape style="position:absolute;left:5207;top:3296;width:360;height:236" coordorigin="5207,3296" coordsize="360,236" path="m5207,3531l5567,3531,5567,3296,5207,3296,5207,3531xe" filled="true" fillcolor="#d2d2d2" stroked="false">
                <v:path arrowok="t"/>
                <v:fill type="solid"/>
              </v:shape>
            </v:group>
            <v:group style="position:absolute;left:5207;top:3531;width:360;height:233" coordorigin="5207,3531" coordsize="360,233">
              <v:shape style="position:absolute;left:5207;top:3531;width:360;height:233" coordorigin="5207,3531" coordsize="360,233" path="m5207,3764l5567,3764,5567,3531,5207,3531,5207,3764xe" filled="true" fillcolor="#d2d2d2" stroked="false">
                <v:path arrowok="t"/>
                <v:fill type="solid"/>
              </v:shape>
            </v:group>
            <v:group style="position:absolute;left:5598;top:2676;width:932;height:387" coordorigin="5598,2676" coordsize="932,387">
              <v:shape style="position:absolute;left:5598;top:2676;width:932;height:387" coordorigin="5598,2676" coordsize="932,387" path="m5598,3063l6529,3063,6529,2676,5598,2676,5598,3063xe" filled="true" fillcolor="#d2d2d2" stroked="false">
                <v:path arrowok="t"/>
                <v:fill type="solid"/>
              </v:shape>
            </v:group>
            <v:group style="position:absolute;left:5610;top:3063;width:2;height:468" coordorigin="5610,3063" coordsize="2,468">
              <v:shape style="position:absolute;left:5610;top:3063;width:2;height:468" coordorigin="5610,3063" coordsize="0,468" path="m5610,3063l5610,3531e" filled="false" stroked="true" strokeweight="1.2pt" strokecolor="#d2d2d2">
                <v:path arrowok="t"/>
              </v:shape>
            </v:group>
            <v:group style="position:absolute;left:6517;top:3063;width:2;height:468" coordorigin="6517,3063" coordsize="2,468">
              <v:shape style="position:absolute;left:6517;top:3063;width:2;height:468" coordorigin="6517,3063" coordsize="0,468" path="m6517,3063l6517,3531e" filled="false" stroked="true" strokeweight="1.2pt" strokecolor="#d2d2d2">
                <v:path arrowok="t"/>
              </v:shape>
            </v:group>
            <v:group style="position:absolute;left:5598;top:3531;width:932;height:387" coordorigin="5598,3531" coordsize="932,387">
              <v:shape style="position:absolute;left:5598;top:3531;width:932;height:387" coordorigin="5598,3531" coordsize="932,387" path="m5598,3917l6529,3917,6529,3531,5598,3531,5598,3917xe" filled="true" fillcolor="#d2d2d2" stroked="false">
                <v:path arrowok="t"/>
                <v:fill type="solid"/>
              </v:shape>
            </v:group>
            <v:group style="position:absolute;left:5622;top:3063;width:884;height:233" coordorigin="5622,3063" coordsize="884,233">
              <v:shape style="position:absolute;left:5622;top:3063;width:884;height:233" coordorigin="5622,3063" coordsize="884,233" path="m5622,3296l6505,3296,6505,3063,5622,3063,5622,3296xe" filled="true" fillcolor="#d2d2d2" stroked="false">
                <v:path arrowok="t"/>
                <v:fill type="solid"/>
              </v:shape>
            </v:group>
            <v:group style="position:absolute;left:5622;top:3296;width:884;height:236" coordorigin="5622,3296" coordsize="884,236">
              <v:shape style="position:absolute;left:5622;top:3296;width:884;height:236" coordorigin="5622,3296" coordsize="884,236" path="m5622,3531l6505,3531,6505,3296,5622,3296,5622,3531xe" filled="true" fillcolor="#d2d2d2" stroked="false">
                <v:path arrowok="t"/>
                <v:fill type="solid"/>
              </v:shape>
            </v:group>
            <v:group style="position:absolute;left:6539;top:2676;width:353;height:154" coordorigin="6539,2676" coordsize="353,154">
              <v:shape style="position:absolute;left:6539;top:2676;width:353;height:154" coordorigin="6539,2676" coordsize="353,154" path="m6539,2830l6892,2830,6892,2676,6539,2676,6539,2830xe" filled="true" fillcolor="#d2d2d2" stroked="false">
                <v:path arrowok="t"/>
                <v:fill type="solid"/>
              </v:shape>
            </v:group>
            <v:group style="position:absolute;left:6550;top:2830;width:2;height:934" coordorigin="6550,2830" coordsize="2,934">
              <v:shape style="position:absolute;left:6550;top:2830;width:2;height:934" coordorigin="6550,2830" coordsize="0,934" path="m6550,2830l6550,3764e" filled="false" stroked="true" strokeweight="1.08pt" strokecolor="#d2d2d2">
                <v:path arrowok="t"/>
              </v:shape>
            </v:group>
            <v:group style="position:absolute;left:6880;top:2830;width:2;height:934" coordorigin="6880,2830" coordsize="2,934">
              <v:shape style="position:absolute;left:6880;top:2830;width:2;height:934" coordorigin="6880,2830" coordsize="0,934" path="m6880,2830l6880,3764e" filled="false" stroked="true" strokeweight="1.2pt" strokecolor="#d2d2d2">
                <v:path arrowok="t"/>
              </v:shape>
            </v:group>
            <v:group style="position:absolute;left:6539;top:3764;width:353;height:154" coordorigin="6539,3764" coordsize="353,154">
              <v:shape style="position:absolute;left:6539;top:3764;width:353;height:154" coordorigin="6539,3764" coordsize="353,154" path="m6539,3917l6892,3917,6892,3764,6539,3764,6539,3917xe" filled="true" fillcolor="#d2d2d2" stroked="false">
                <v:path arrowok="t"/>
                <v:fill type="solid"/>
              </v:shape>
            </v:group>
            <v:group style="position:absolute;left:6561;top:2830;width:308;height:233" coordorigin="6561,2830" coordsize="308,233">
              <v:shape style="position:absolute;left:6561;top:2830;width:308;height:233" coordorigin="6561,2830" coordsize="308,233" path="m6561,3063l6868,3063,6868,2830,6561,2830,6561,3063xe" filled="true" fillcolor="#d2d2d2" stroked="false">
                <v:path arrowok="t"/>
                <v:fill type="solid"/>
              </v:shape>
            </v:group>
            <v:group style="position:absolute;left:6561;top:3063;width:308;height:233" coordorigin="6561,3063" coordsize="308,233">
              <v:shape style="position:absolute;left:6561;top:3063;width:308;height:233" coordorigin="6561,3063" coordsize="308,233" path="m6561,3296l6868,3296,6868,3063,6561,3063,6561,3296xe" filled="true" fillcolor="#d2d2d2" stroked="false">
                <v:path arrowok="t"/>
                <v:fill type="solid"/>
              </v:shape>
            </v:group>
            <v:group style="position:absolute;left:6561;top:3296;width:308;height:236" coordorigin="6561,3296" coordsize="308,236">
              <v:shape style="position:absolute;left:6561;top:3296;width:308;height:236" coordorigin="6561,3296" coordsize="308,236" path="m6561,3531l6868,3531,6868,3296,6561,3296,6561,3531xe" filled="true" fillcolor="#d2d2d2" stroked="false">
                <v:path arrowok="t"/>
                <v:fill type="solid"/>
              </v:shape>
            </v:group>
            <v:group style="position:absolute;left:6561;top:3531;width:308;height:233" coordorigin="6561,3531" coordsize="308,233">
              <v:shape style="position:absolute;left:6561;top:3531;width:308;height:233" coordorigin="6561,3531" coordsize="308,233" path="m6561,3764l6868,3764,6868,3531,6561,3531,6561,3764xe" filled="true" fillcolor="#d2d2d2" stroked="false">
                <v:path arrowok="t"/>
                <v:fill type="solid"/>
              </v:shape>
            </v:group>
            <v:group style="position:absolute;left:6901;top:2676;width:1251;height:504" coordorigin="6901,2676" coordsize="1251,504">
              <v:shape style="position:absolute;left:6901;top:2676;width:1251;height:504" coordorigin="6901,2676" coordsize="1251,504" path="m6901,3180l8152,3180,8152,2676,6901,2676,6901,3180xe" filled="true" fillcolor="#d2d2d2" stroked="false">
                <v:path arrowok="t"/>
                <v:fill type="solid"/>
              </v:shape>
            </v:group>
            <v:group style="position:absolute;left:6913;top:3180;width:2;height:233" coordorigin="6913,3180" coordsize="2,233">
              <v:shape style="position:absolute;left:6913;top:3180;width:2;height:233" coordorigin="6913,3180" coordsize="0,233" path="m6913,3180l6913,3413e" filled="false" stroked="true" strokeweight="1.2pt" strokecolor="#d2d2d2">
                <v:path arrowok="t"/>
              </v:shape>
            </v:group>
            <v:group style="position:absolute;left:8141;top:3180;width:2;height:233" coordorigin="8141,3180" coordsize="2,233">
              <v:shape style="position:absolute;left:8141;top:3180;width:2;height:233" coordorigin="8141,3180" coordsize="0,233" path="m8141,3180l8141,3413e" filled="false" stroked="true" strokeweight="1.08pt" strokecolor="#d2d2d2">
                <v:path arrowok="t"/>
              </v:shape>
            </v:group>
            <v:group style="position:absolute;left:6901;top:3413;width:1251;height:504" coordorigin="6901,3413" coordsize="1251,504">
              <v:shape style="position:absolute;left:6901;top:3413;width:1251;height:504" coordorigin="6901,3413" coordsize="1251,504" path="m6901,3917l8152,3917,8152,3413,6901,3413,6901,3917xe" filled="true" fillcolor="#d2d2d2" stroked="false">
                <v:path arrowok="t"/>
                <v:fill type="solid"/>
              </v:shape>
            </v:group>
            <v:group style="position:absolute;left:6925;top:3180;width:1205;height:233" coordorigin="6925,3180" coordsize="1205,233">
              <v:shape style="position:absolute;left:6925;top:3180;width:1205;height:233" coordorigin="6925,3180" coordsize="1205,233" path="m6925,3413l8130,3413,8130,3180,6925,3180,6925,3413xe" filled="true" fillcolor="#d2d2d2" stroked="false">
                <v:path arrowok="t"/>
                <v:fill type="solid"/>
              </v:shape>
            </v:group>
            <v:group style="position:absolute;left:8161;top:2676;width:531;height:272" coordorigin="8161,2676" coordsize="531,272">
              <v:shape style="position:absolute;left:8161;top:2676;width:531;height:272" coordorigin="8161,2676" coordsize="531,272" path="m8161,2948l8692,2948,8692,2676,8161,2676,8161,2948xe" filled="true" fillcolor="#d2d2d2" stroked="false">
                <v:path arrowok="t"/>
                <v:fill type="solid"/>
              </v:shape>
            </v:group>
            <v:group style="position:absolute;left:8173;top:2948;width:2;height:699" coordorigin="8173,2948" coordsize="2,699">
              <v:shape style="position:absolute;left:8173;top:2948;width:2;height:699" coordorigin="8173,2948" coordsize="0,699" path="m8173,2948l8173,3646e" filled="false" stroked="true" strokeweight="1.2pt" strokecolor="#d2d2d2">
                <v:path arrowok="t"/>
              </v:shape>
            </v:group>
            <v:group style="position:absolute;left:8681;top:2948;width:2;height:699" coordorigin="8681,2948" coordsize="2,699">
              <v:shape style="position:absolute;left:8681;top:2948;width:2;height:699" coordorigin="8681,2948" coordsize="0,699" path="m8681,2948l8681,3646e" filled="false" stroked="true" strokeweight="1.104pt" strokecolor="#d2d2d2">
                <v:path arrowok="t"/>
              </v:shape>
            </v:group>
            <v:group style="position:absolute;left:8161;top:3646;width:531;height:272" coordorigin="8161,3646" coordsize="531,272">
              <v:shape style="position:absolute;left:8161;top:3646;width:531;height:272" coordorigin="8161,3646" coordsize="531,272" path="m8161,3917l8692,3917,8692,3646,8161,3646,8161,3917xe" filled="true" fillcolor="#d2d2d2" stroked="false">
                <v:path arrowok="t"/>
                <v:fill type="solid"/>
              </v:shape>
            </v:group>
            <v:group style="position:absolute;left:8185;top:2948;width:485;height:233" coordorigin="8185,2948" coordsize="485,233">
              <v:shape style="position:absolute;left:8185;top:2948;width:485;height:233" coordorigin="8185,2948" coordsize="485,233" path="m8185,3180l8670,3180,8670,2948,8185,2948,8185,3180xe" filled="true" fillcolor="#d2d2d2" stroked="false">
                <v:path arrowok="t"/>
                <v:fill type="solid"/>
              </v:shape>
            </v:group>
            <v:group style="position:absolute;left:8185;top:3180;width:485;height:233" coordorigin="8185,3180" coordsize="485,233">
              <v:shape style="position:absolute;left:8185;top:3180;width:485;height:233" coordorigin="8185,3180" coordsize="485,233" path="m8185,3413l8670,3413,8670,3180,8185,3180,8185,3413xe" filled="true" fillcolor="#d2d2d2" stroked="false">
                <v:path arrowok="t"/>
                <v:fill type="solid"/>
              </v:shape>
            </v:group>
            <v:group style="position:absolute;left:8185;top:3413;width:485;height:233" coordorigin="8185,3413" coordsize="485,233">
              <v:shape style="position:absolute;left:8185;top:3413;width:485;height:233" coordorigin="8185,3413" coordsize="485,233" path="m8185,3646l8670,3646,8670,3413,8185,3413,8185,3646xe" filled="true" fillcolor="#d2d2d2" stroked="false">
                <v:path arrowok="t"/>
                <v:fill type="solid"/>
              </v:shape>
            </v:group>
            <v:group style="position:absolute;left:8702;top:2676;width:1076;height:504" coordorigin="8702,2676" coordsize="1076,504">
              <v:shape style="position:absolute;left:8702;top:2676;width:1076;height:504" coordorigin="8702,2676" coordsize="1076,504" path="m8702,3180l9777,3180,9777,2676,8702,2676,8702,3180xe" filled="true" fillcolor="#d2d2d2" stroked="false">
                <v:path arrowok="t"/>
                <v:fill type="solid"/>
              </v:shape>
            </v:group>
            <v:group style="position:absolute;left:8714;top:3180;width:2;height:233" coordorigin="8714,3180" coordsize="2,233">
              <v:shape style="position:absolute;left:8714;top:3180;width:2;height:233" coordorigin="8714,3180" coordsize="0,233" path="m8714,3180l8714,3413e" filled="false" stroked="true" strokeweight="1.2pt" strokecolor="#d2d2d2">
                <v:path arrowok="t"/>
              </v:shape>
            </v:group>
            <v:group style="position:absolute;left:9765;top:3180;width:2;height:233" coordorigin="9765,3180" coordsize="2,233">
              <v:shape style="position:absolute;left:9765;top:3180;width:2;height:233" coordorigin="9765,3180" coordsize="0,233" path="m9765,3180l9765,3413e" filled="false" stroked="true" strokeweight="1.2pt" strokecolor="#d2d2d2">
                <v:path arrowok="t"/>
              </v:shape>
            </v:group>
            <v:group style="position:absolute;left:8702;top:3413;width:1076;height:504" coordorigin="8702,3413" coordsize="1076,504">
              <v:shape style="position:absolute;left:8702;top:3413;width:1076;height:504" coordorigin="8702,3413" coordsize="1076,504" path="m8702,3917l9777,3917,9777,3413,8702,3413,8702,3917xe" filled="true" fillcolor="#d2d2d2" stroked="false">
                <v:path arrowok="t"/>
                <v:fill type="solid"/>
              </v:shape>
            </v:group>
            <v:group style="position:absolute;left:2201;top:2672;width:1172;height:2" coordorigin="2201,2672" coordsize="1172,2">
              <v:shape style="position:absolute;left:2201;top:2672;width:1172;height:2" coordorigin="2201,2672" coordsize="1172,0" path="m2201,2672l3372,2672e" filled="false" stroked="true" strokeweight=".48001pt" strokecolor="#000000">
                <v:path arrowok="t"/>
              </v:shape>
            </v:group>
            <v:group style="position:absolute;left:3382;top:2672;width:699;height:2" coordorigin="3382,2672" coordsize="699,2">
              <v:shape style="position:absolute;left:3382;top:2672;width:699;height:2" coordorigin="3382,2672" coordsize="699,0" path="m3382,2672l4081,2672e" filled="false" stroked="true" strokeweight=".48001pt" strokecolor="#000000">
                <v:path arrowok="t"/>
              </v:shape>
            </v:group>
            <v:group style="position:absolute;left:4091;top:2672;width:1083;height:2" coordorigin="4091,2672" coordsize="1083,2">
              <v:shape style="position:absolute;left:4091;top:2672;width:1083;height:2" coordorigin="4091,2672" coordsize="1083,0" path="m4091,2672l5173,2672e" filled="false" stroked="true" strokeweight=".48001pt" strokecolor="#000000">
                <v:path arrowok="t"/>
              </v:shape>
            </v:group>
            <v:group style="position:absolute;left:5183;top:2672;width:406;height:2" coordorigin="5183,2672" coordsize="406,2">
              <v:shape style="position:absolute;left:5183;top:2672;width:406;height:2" coordorigin="5183,2672" coordsize="406,0" path="m5183,2672l5588,2672e" filled="false" stroked="true" strokeweight=".48001pt" strokecolor="#000000">
                <v:path arrowok="t"/>
              </v:shape>
            </v:group>
            <v:group style="position:absolute;left:5598;top:2672;width:930;height:2" coordorigin="5598,2672" coordsize="930,2">
              <v:shape style="position:absolute;left:5598;top:2672;width:930;height:2" coordorigin="5598,2672" coordsize="930,0" path="m5598,2672l6527,2672e" filled="false" stroked="true" strokeweight=".48001pt" strokecolor="#000000">
                <v:path arrowok="t"/>
              </v:shape>
            </v:group>
            <v:group style="position:absolute;left:6537;top:2672;width:353;height:2" coordorigin="6537,2672" coordsize="353,2">
              <v:shape style="position:absolute;left:6537;top:2672;width:353;height:2" coordorigin="6537,2672" coordsize="353,0" path="m6537,2672l6889,2672e" filled="false" stroked="true" strokeweight=".48001pt" strokecolor="#000000">
                <v:path arrowok="t"/>
              </v:shape>
            </v:group>
            <v:group style="position:absolute;left:6899;top:2672;width:1253;height:2" coordorigin="6899,2672" coordsize="1253,2">
              <v:shape style="position:absolute;left:6899;top:2672;width:1253;height:2" coordorigin="6899,2672" coordsize="1253,0" path="m6899,2672l8152,2672e" filled="false" stroked="true" strokeweight=".48001pt" strokecolor="#000000">
                <v:path arrowok="t"/>
              </v:shape>
            </v:group>
            <v:group style="position:absolute;left:8161;top:2672;width:531;height:2" coordorigin="8161,2672" coordsize="531,2">
              <v:shape style="position:absolute;left:8161;top:2672;width:531;height:2" coordorigin="8161,2672" coordsize="531,0" path="m8161,2672l8692,2672e" filled="false" stroked="true" strokeweight=".48001pt" strokecolor="#000000">
                <v:path arrowok="t"/>
              </v:shape>
            </v:group>
            <v:group style="position:absolute;left:8702;top:2672;width:1076;height:2" coordorigin="8702,2672" coordsize="1076,2">
              <v:shape style="position:absolute;left:8702;top:2672;width:1076;height:2" coordorigin="8702,2672" coordsize="1076,0" path="m8702,2672l9777,2672e" filled="false" stroked="true" strokeweight=".48001pt" strokecolor="#000000">
                <v:path arrowok="t"/>
              </v:shape>
            </v:group>
            <v:group style="position:absolute;left:3384;top:3173;width:226;height:2" coordorigin="3384,3173" coordsize="226,2">
              <v:shape style="position:absolute;left:3384;top:3173;width:226;height:2" coordorigin="3384,3173" coordsize="226,0" path="m3384,3173l3610,3173e" filled="false" stroked="true" strokeweight="1.44pt" strokecolor="#d2d2d2">
                <v:path arrowok="t"/>
              </v:shape>
            </v:group>
            <v:group style="position:absolute;left:3396;top:3188;width:2;height:701" coordorigin="3396,3188" coordsize="2,701">
              <v:shape style="position:absolute;left:3396;top:3188;width:2;height:701" coordorigin="3396,3188" coordsize="0,701" path="m3396,3188l3396,3888e" filled="false" stroked="true" strokeweight="1.2pt" strokecolor="#d2d2d2">
                <v:path arrowok="t"/>
              </v:shape>
            </v:group>
            <v:group style="position:absolute;left:3599;top:3188;width:2;height:701" coordorigin="3599,3188" coordsize="2,701">
              <v:shape style="position:absolute;left:3599;top:3188;width:2;height:701" coordorigin="3599,3188" coordsize="0,701" path="m3599,3188l3599,3888e" filled="false" stroked="true" strokeweight="1.08pt" strokecolor="#d2d2d2">
                <v:path arrowok="t"/>
              </v:shape>
            </v:group>
            <v:group style="position:absolute;left:3384;top:3903;width:226;height:2" coordorigin="3384,3903" coordsize="226,2">
              <v:shape style="position:absolute;left:3384;top:3903;width:226;height:2" coordorigin="3384,3903" coordsize="226,0" path="m3384,3903l3610,3903e" filled="false" stroked="true" strokeweight="1.44pt" strokecolor="#d2d2d2">
                <v:path arrowok="t"/>
              </v:shape>
            </v:group>
            <v:group style="position:absolute;left:3408;top:3188;width:180;height:233" coordorigin="3408,3188" coordsize="180,233">
              <v:shape style="position:absolute;left:3408;top:3188;width:180;height:233" coordorigin="3408,3188" coordsize="180,233" path="m3408,3420l3588,3420,3588,3188,3408,3188,3408,3420xe" filled="true" fillcolor="#d2d2d2" stroked="false">
                <v:path arrowok="t"/>
                <v:fill type="solid"/>
              </v:shape>
            </v:group>
            <v:group style="position:absolute;left:3408;top:3420;width:180;height:233" coordorigin="3408,3420" coordsize="180,233">
              <v:shape style="position:absolute;left:3408;top:3420;width:180;height:233" coordorigin="3408,3420" coordsize="180,233" path="m3408,3653l3588,3653,3588,3420,3408,3420,3408,3653xe" filled="true" fillcolor="#d2d2d2" stroked="false">
                <v:path arrowok="t"/>
                <v:fill type="solid"/>
              </v:shape>
            </v:group>
            <v:group style="position:absolute;left:3408;top:3653;width:180;height:236" coordorigin="3408,3653" coordsize="180,236">
              <v:shape style="position:absolute;left:3408;top:3653;width:180;height:236" coordorigin="3408,3653" coordsize="180,236" path="m3408,3888l3588,3888,3588,3653,3408,3653,3408,3888xe" filled="true" fillcolor="#d2d2d2" stroked="false">
                <v:path arrowok="t"/>
                <v:fill type="solid"/>
              </v:shape>
            </v:group>
            <v:group style="position:absolute;left:3620;top:3173;width:229;height:2" coordorigin="3620,3173" coordsize="229,2">
              <v:shape style="position:absolute;left:3620;top:3173;width:229;height:2" coordorigin="3620,3173" coordsize="229,0" path="m3620,3173l3848,3173e" filled="false" stroked="true" strokeweight="1.44pt" strokecolor="#d2d2d2">
                <v:path arrowok="t"/>
              </v:shape>
            </v:group>
            <v:group style="position:absolute;left:3632;top:3188;width:2;height:701" coordorigin="3632,3188" coordsize="2,701">
              <v:shape style="position:absolute;left:3632;top:3188;width:2;height:701" coordorigin="3632,3188" coordsize="0,701" path="m3632,3188l3632,3888e" filled="false" stroked="true" strokeweight="1.2pt" strokecolor="#d2d2d2">
                <v:path arrowok="t"/>
              </v:shape>
            </v:group>
            <v:group style="position:absolute;left:3836;top:3188;width:2;height:701" coordorigin="3836,3188" coordsize="2,701">
              <v:shape style="position:absolute;left:3836;top:3188;width:2;height:701" coordorigin="3836,3188" coordsize="0,701" path="m3836,3188l3836,3888e" filled="false" stroked="true" strokeweight="1.2pt" strokecolor="#d2d2d2">
                <v:path arrowok="t"/>
              </v:shape>
            </v:group>
            <v:group style="position:absolute;left:3620;top:3903;width:229;height:2" coordorigin="3620,3903" coordsize="229,2">
              <v:shape style="position:absolute;left:3620;top:3903;width:229;height:2" coordorigin="3620,3903" coordsize="229,0" path="m3620,3903l3848,3903e" filled="false" stroked="true" strokeweight="1.44pt" strokecolor="#d2d2d2">
                <v:path arrowok="t"/>
              </v:shape>
            </v:group>
            <v:group style="position:absolute;left:3644;top:3188;width:181;height:233" coordorigin="3644,3188" coordsize="181,233">
              <v:shape style="position:absolute;left:3644;top:3188;width:181;height:233" coordorigin="3644,3188" coordsize="181,233" path="m3644,3420l3824,3420,3824,3188,3644,3188,3644,3420xe" filled="true" fillcolor="#d2d2d2" stroked="false">
                <v:path arrowok="t"/>
                <v:fill type="solid"/>
              </v:shape>
            </v:group>
            <v:group style="position:absolute;left:3644;top:3420;width:181;height:233" coordorigin="3644,3420" coordsize="181,233">
              <v:shape style="position:absolute;left:3644;top:3420;width:181;height:233" coordorigin="3644,3420" coordsize="181,233" path="m3644,3653l3824,3653,3824,3420,3644,3420,3644,3653xe" filled="true" fillcolor="#d2d2d2" stroked="false">
                <v:path arrowok="t"/>
                <v:fill type="solid"/>
              </v:shape>
            </v:group>
            <v:group style="position:absolute;left:3644;top:3653;width:181;height:236" coordorigin="3644,3653" coordsize="181,236">
              <v:shape style="position:absolute;left:3644;top:3653;width:181;height:236" coordorigin="3644,3653" coordsize="181,236" path="m3644,3888l3824,3888,3824,3653,3644,3653,3644,3888xe" filled="true" fillcolor="#d2d2d2" stroked="false">
                <v:path arrowok="t"/>
                <v:fill type="solid"/>
              </v:shape>
            </v:group>
            <v:group style="position:absolute;left:3858;top:3159;width:226;height:144" coordorigin="3858,3159" coordsize="226,144">
              <v:shape style="position:absolute;left:3858;top:3159;width:226;height:144" coordorigin="3858,3159" coordsize="226,144" path="m3858,3303l4083,3303,4083,3159,3858,3159,3858,3303xe" filled="true" fillcolor="#d2d2d2" stroked="false">
                <v:path arrowok="t"/>
                <v:fill type="solid"/>
              </v:shape>
            </v:group>
            <v:group style="position:absolute;left:3869;top:3303;width:2;height:468" coordorigin="3869,3303" coordsize="2,468">
              <v:shape style="position:absolute;left:3869;top:3303;width:2;height:468" coordorigin="3869,3303" coordsize="0,468" path="m3869,3303l3869,3771e" filled="false" stroked="true" strokeweight="1.08pt" strokecolor="#d2d2d2">
                <v:path arrowok="t"/>
              </v:shape>
            </v:group>
            <v:group style="position:absolute;left:4071;top:3303;width:2;height:468" coordorigin="4071,3303" coordsize="2,468">
              <v:shape style="position:absolute;left:4071;top:3303;width:2;height:468" coordorigin="4071,3303" coordsize="0,468" path="m4071,3303l4071,3771e" filled="false" stroked="true" strokeweight="1.2pt" strokecolor="#d2d2d2">
                <v:path arrowok="t"/>
              </v:shape>
            </v:group>
            <v:group style="position:absolute;left:3858;top:3771;width:226;height:147" coordorigin="3858,3771" coordsize="226,147">
              <v:shape style="position:absolute;left:3858;top:3771;width:226;height:147" coordorigin="3858,3771" coordsize="226,147" path="m3858,3917l4083,3917,4083,3771,3858,3771,3858,3917xe" filled="true" fillcolor="#d2d2d2" stroked="false">
                <v:path arrowok="t"/>
                <v:fill type="solid"/>
              </v:shape>
            </v:group>
            <v:group style="position:absolute;left:3879;top:3303;width:180;height:236" coordorigin="3879,3303" coordsize="180,236">
              <v:shape style="position:absolute;left:3879;top:3303;width:180;height:236" coordorigin="3879,3303" coordsize="180,236" path="m3879,3538l4059,3538,4059,3303,3879,3303,3879,3538xe" filled="true" fillcolor="#d2d2d2" stroked="false">
                <v:path arrowok="t"/>
                <v:fill type="solid"/>
              </v:shape>
            </v:group>
            <v:group style="position:absolute;left:3879;top:3538;width:180;height:233" coordorigin="3879,3538" coordsize="180,233">
              <v:shape style="position:absolute;left:3879;top:3538;width:180;height:233" coordorigin="3879,3538" coordsize="180,233" path="m3879,3771l4059,3771,4059,3538,3879,3538,3879,3771xe" filled="true" fillcolor="#d2d2d2" stroked="false">
                <v:path arrowok="t"/>
                <v:fill type="solid"/>
              </v:shape>
            </v:group>
            <v:group style="position:absolute;left:3382;top:3154;width:228;height:2" coordorigin="3382,3154" coordsize="228,2">
              <v:shape style="position:absolute;left:3382;top:3154;width:228;height:2" coordorigin="3382,3154" coordsize="228,0" path="m3382,3154l3610,3154e" filled="false" stroked="true" strokeweight=".48pt" strokecolor="#000000">
                <v:path arrowok="t"/>
              </v:shape>
            </v:group>
            <v:group style="position:absolute;left:3620;top:3154;width:227;height:2" coordorigin="3620,3154" coordsize="227,2">
              <v:shape style="position:absolute;left:3620;top:3154;width:227;height:2" coordorigin="3620,3154" coordsize="227,0" path="m3620,3154l3846,3154e" filled="false" stroked="true" strokeweight=".48pt" strokecolor="#000000">
                <v:path arrowok="t"/>
              </v:shape>
            </v:group>
            <v:group style="position:absolute;left:3855;top:3154;width:226;height:2" coordorigin="3855,3154" coordsize="226,2">
              <v:shape style="position:absolute;left:3855;top:3154;width:226;height:2" coordorigin="3855,3154" coordsize="226,0" path="m3855,3154l4081,3154e" filled="false" stroked="true" strokeweight=".48pt" strokecolor="#000000">
                <v:path arrowok="t"/>
              </v:shape>
            </v:group>
            <v:group style="position:absolute;left:240;top:3932;width:1952;height:2" coordorigin="240,3932" coordsize="1952,2">
              <v:shape style="position:absolute;left:240;top:3932;width:1952;height:2" coordorigin="240,3932" coordsize="1952,0" path="m240,3932l2192,3932e" filled="false" stroked="true" strokeweight=".48001pt" strokecolor="#d2d2d2">
                <v:path arrowok="t"/>
              </v:shape>
            </v:group>
            <v:group style="position:absolute;left:251;top:3936;width:2;height:312" coordorigin="251,3936" coordsize="2,312">
              <v:shape style="position:absolute;left:251;top:3936;width:2;height:312" coordorigin="251,3936" coordsize="0,312" path="m251,3936l251,4248e" filled="false" stroked="true" strokeweight="1.08pt" strokecolor="#d2d2d2">
                <v:path arrowok="t"/>
              </v:shape>
            </v:group>
            <v:group style="position:absolute;left:2181;top:3936;width:2;height:312" coordorigin="2181,3936" coordsize="2,312">
              <v:shape style="position:absolute;left:2181;top:3936;width:2;height:312" coordorigin="2181,3936" coordsize="0,312" path="m2181,3936l2181,4248e" filled="false" stroked="true" strokeweight="1.08pt" strokecolor="#d2d2d2">
                <v:path arrowok="t"/>
              </v:shape>
            </v:group>
            <v:group style="position:absolute;left:240;top:4252;width:1952;height:2" coordorigin="240,4252" coordsize="1952,2">
              <v:shape style="position:absolute;left:240;top:4252;width:1952;height:2" coordorigin="240,4252" coordsize="1952,0" path="m240,4252l2192,4252e" filled="false" stroked="true" strokeweight=".36pt" strokecolor="#d2d2d2">
                <v:path arrowok="t"/>
              </v:shape>
            </v:group>
            <v:group style="position:absolute;left:262;top:3936;width:1909;height:312" coordorigin="262,3936" coordsize="1909,312">
              <v:shape style="position:absolute;left:262;top:3936;width:1909;height:312" coordorigin="262,3936" coordsize="1909,312" path="m262,4248l2170,4248,2170,3936,262,3936,262,4248xe" filled="true" fillcolor="#d2d2d2" stroked="false">
                <v:path arrowok="t"/>
                <v:fill type="solid"/>
              </v:shape>
            </v:group>
            <v:group style="position:absolute;left:238;top:3922;width:1955;height:2" coordorigin="238,3922" coordsize="1955,2">
              <v:shape style="position:absolute;left:238;top:3922;width:1955;height:2" coordorigin="238,3922" coordsize="1955,0" path="m238,3922l2192,3922e" filled="false" stroked="true" strokeweight=".48pt" strokecolor="#000000">
                <v:path arrowok="t"/>
              </v:shape>
            </v:group>
            <v:group style="position:absolute;left:2201;top:3922;width:1172;height:2" coordorigin="2201,3922" coordsize="1172,2">
              <v:shape style="position:absolute;left:2201;top:3922;width:1172;height:2" coordorigin="2201,3922" coordsize="1172,0" path="m2201,3922l3372,3922e" filled="false" stroked="true" strokeweight=".48pt" strokecolor="#000000">
                <v:path arrowok="t"/>
              </v:shape>
            </v:group>
            <v:group style="position:absolute;left:3382;top:3922;width:228;height:2" coordorigin="3382,3922" coordsize="228,2">
              <v:shape style="position:absolute;left:3382;top:3922;width:228;height:2" coordorigin="3382,3922" coordsize="228,0" path="m3382,3922l3610,3922e" filled="false" stroked="true" strokeweight=".48pt" strokecolor="#000000">
                <v:path arrowok="t"/>
              </v:shape>
            </v:group>
            <v:group style="position:absolute;left:3620;top:3922;width:227;height:2" coordorigin="3620,3922" coordsize="227,2">
              <v:shape style="position:absolute;left:3620;top:3922;width:227;height:2" coordorigin="3620,3922" coordsize="227,0" path="m3620,3922l3846,3922e" filled="false" stroked="true" strokeweight=".48pt" strokecolor="#000000">
                <v:path arrowok="t"/>
              </v:shape>
            </v:group>
            <v:group style="position:absolute;left:3855;top:3922;width:226;height:2" coordorigin="3855,3922" coordsize="226,2">
              <v:shape style="position:absolute;left:3855;top:3922;width:226;height:2" coordorigin="3855,3922" coordsize="226,0" path="m3855,3922l4081,3922e" filled="false" stroked="true" strokeweight=".48pt" strokecolor="#000000">
                <v:path arrowok="t"/>
              </v:shape>
            </v:group>
            <v:group style="position:absolute;left:4091;top:3922;width:1083;height:2" coordorigin="4091,3922" coordsize="1083,2">
              <v:shape style="position:absolute;left:4091;top:3922;width:1083;height:2" coordorigin="4091,3922" coordsize="1083,0" path="m4091,3922l5173,3922e" filled="false" stroked="true" strokeweight=".48pt" strokecolor="#000000">
                <v:path arrowok="t"/>
              </v:shape>
            </v:group>
            <v:group style="position:absolute;left:5183;top:3922;width:406;height:2" coordorigin="5183,3922" coordsize="406,2">
              <v:shape style="position:absolute;left:5183;top:3922;width:406;height:2" coordorigin="5183,3922" coordsize="406,0" path="m5183,3922l5588,3922e" filled="false" stroked="true" strokeweight=".48pt" strokecolor="#000000">
                <v:path arrowok="t"/>
              </v:shape>
            </v:group>
            <v:group style="position:absolute;left:5598;top:3922;width:930;height:2" coordorigin="5598,3922" coordsize="930,2">
              <v:shape style="position:absolute;left:5598;top:3922;width:930;height:2" coordorigin="5598,3922" coordsize="930,0" path="m5598,3922l6527,3922e" filled="false" stroked="true" strokeweight=".48pt" strokecolor="#000000">
                <v:path arrowok="t"/>
              </v:shape>
            </v:group>
            <v:group style="position:absolute;left:6537;top:3922;width:353;height:2" coordorigin="6537,3922" coordsize="353,2">
              <v:shape style="position:absolute;left:6537;top:3922;width:353;height:2" coordorigin="6537,3922" coordsize="353,0" path="m6537,3922l6889,3922e" filled="false" stroked="true" strokeweight=".48pt" strokecolor="#000000">
                <v:path arrowok="t"/>
              </v:shape>
            </v:group>
            <v:group style="position:absolute;left:6899;top:3922;width:1253;height:2" coordorigin="6899,3922" coordsize="1253,2">
              <v:shape style="position:absolute;left:6899;top:3922;width:1253;height:2" coordorigin="6899,3922" coordsize="1253,0" path="m6899,3922l8152,3922e" filled="false" stroked="true" strokeweight=".48pt" strokecolor="#000000">
                <v:path arrowok="t"/>
              </v:shape>
            </v:group>
            <v:group style="position:absolute;left:8161;top:3922;width:531;height:2" coordorigin="8161,3922" coordsize="531,2">
              <v:shape style="position:absolute;left:8161;top:3922;width:531;height:2" coordorigin="8161,3922" coordsize="531,0" path="m8161,3922l8692,3922e" filled="false" stroked="true" strokeweight=".48pt" strokecolor="#000000">
                <v:path arrowok="t"/>
              </v:shape>
            </v:group>
            <v:group style="position:absolute;left:8702;top:3922;width:1076;height:2" coordorigin="8702,3922" coordsize="1076,2">
              <v:shape style="position:absolute;left:8702;top:3922;width:1076;height:2" coordorigin="8702,3922" coordsize="1076,0" path="m8702,3922l9777,3922e" filled="false" stroked="true" strokeweight=".48pt" strokecolor="#000000">
                <v:path arrowok="t"/>
              </v:shape>
            </v:group>
            <v:group style="position:absolute;left:9787;top:3922;width:473;height:2" coordorigin="9787,3922" coordsize="473,2">
              <v:shape style="position:absolute;left:9787;top:3922;width:473;height:2" coordorigin="9787,3922" coordsize="473,0" path="m9787,3922l10260,3922e" filled="false" stroked="true" strokeweight=".48pt" strokecolor="#000000">
                <v:path arrowok="t"/>
              </v:shape>
            </v:group>
            <v:group style="position:absolute;left:10269;top:3922;width:1302;height:2" coordorigin="10269,3922" coordsize="1302,2">
              <v:shape style="position:absolute;left:10269;top:3922;width:1302;height:2" coordorigin="10269,3922" coordsize="1302,0" path="m10269,3922l11570,3922e" filled="false" stroked="true" strokeweight=".48pt" strokecolor="#000000">
                <v:path arrowok="t"/>
              </v:shape>
            </v:group>
            <v:group style="position:absolute;left:240;top:4270;width:1952;height:2" coordorigin="240,4270" coordsize="1952,2">
              <v:shape style="position:absolute;left:240;top:4270;width:1952;height:2" coordorigin="240,4270" coordsize="1952,0" path="m240,4270l2192,4270e" filled="false" stroked="true" strokeweight=".48pt" strokecolor="#d2d2d2">
                <v:path arrowok="t"/>
              </v:shape>
            </v:group>
            <v:group style="position:absolute;left:251;top:4275;width:2;height:312" coordorigin="251,4275" coordsize="2,312">
              <v:shape style="position:absolute;left:251;top:4275;width:2;height:312" coordorigin="251,4275" coordsize="0,312" path="m251,4275l251,4587e" filled="false" stroked="true" strokeweight="1.08pt" strokecolor="#d2d2d2">
                <v:path arrowok="t"/>
              </v:shape>
            </v:group>
            <v:group style="position:absolute;left:2181;top:4275;width:2;height:312" coordorigin="2181,4275" coordsize="2,312">
              <v:shape style="position:absolute;left:2181;top:4275;width:2;height:312" coordorigin="2181,4275" coordsize="0,312" path="m2181,4275l2181,4587e" filled="false" stroked="true" strokeweight="1.08pt" strokecolor="#d2d2d2">
                <v:path arrowok="t"/>
              </v:shape>
            </v:group>
            <v:group style="position:absolute;left:240;top:4592;width:1952;height:2" coordorigin="240,4592" coordsize="1952,2">
              <v:shape style="position:absolute;left:240;top:4592;width:1952;height:2" coordorigin="240,4592" coordsize="1952,0" path="m240,4592l2192,4592e" filled="false" stroked="true" strokeweight=".48pt" strokecolor="#d2d2d2">
                <v:path arrowok="t"/>
              </v:shape>
            </v:group>
            <v:group style="position:absolute;left:262;top:4275;width:1909;height:312" coordorigin="262,4275" coordsize="1909,312">
              <v:shape style="position:absolute;left:262;top:4275;width:1909;height:312" coordorigin="262,4275" coordsize="1909,312" path="m262,4587l2170,4587,2170,4275,262,4275,262,4587xe" filled="true" fillcolor="#d2d2d2" stroked="false">
                <v:path arrowok="t"/>
                <v:fill type="solid"/>
              </v:shape>
            </v:group>
            <v:group style="position:absolute;left:238;top:4260;width:1955;height:2" coordorigin="238,4260" coordsize="1955,2">
              <v:shape style="position:absolute;left:238;top:4260;width:1955;height:2" coordorigin="238,4260" coordsize="1955,0" path="m238,4260l2192,4260e" filled="false" stroked="true" strokeweight=".48001pt" strokecolor="#000000">
                <v:path arrowok="t"/>
              </v:shape>
            </v:group>
            <v:group style="position:absolute;left:2201;top:4260;width:1172;height:2" coordorigin="2201,4260" coordsize="1172,2">
              <v:shape style="position:absolute;left:2201;top:4260;width:1172;height:2" coordorigin="2201,4260" coordsize="1172,0" path="m2201,4260l3372,4260e" filled="false" stroked="true" strokeweight=".48001pt" strokecolor="#000000">
                <v:path arrowok="t"/>
              </v:shape>
            </v:group>
            <v:group style="position:absolute;left:3382;top:4260;width:228;height:2" coordorigin="3382,4260" coordsize="228,2">
              <v:shape style="position:absolute;left:3382;top:4260;width:228;height:2" coordorigin="3382,4260" coordsize="228,0" path="m3382,4260l3610,4260e" filled="false" stroked="true" strokeweight=".48001pt" strokecolor="#000000">
                <v:path arrowok="t"/>
              </v:shape>
            </v:group>
            <v:group style="position:absolute;left:3620;top:4260;width:227;height:2" coordorigin="3620,4260" coordsize="227,2">
              <v:shape style="position:absolute;left:3620;top:4260;width:227;height:2" coordorigin="3620,4260" coordsize="227,0" path="m3620,4260l3846,4260e" filled="false" stroked="true" strokeweight=".48001pt" strokecolor="#000000">
                <v:path arrowok="t"/>
              </v:shape>
            </v:group>
            <v:group style="position:absolute;left:3855;top:4260;width:226;height:2" coordorigin="3855,4260" coordsize="226,2">
              <v:shape style="position:absolute;left:3855;top:4260;width:226;height:2" coordorigin="3855,4260" coordsize="226,0" path="m3855,4260l4081,4260e" filled="false" stroked="true" strokeweight=".48001pt" strokecolor="#000000">
                <v:path arrowok="t"/>
              </v:shape>
            </v:group>
            <v:group style="position:absolute;left:4091;top:4260;width:1083;height:2" coordorigin="4091,4260" coordsize="1083,2">
              <v:shape style="position:absolute;left:4091;top:4260;width:1083;height:2" coordorigin="4091,4260" coordsize="1083,0" path="m4091,4260l5173,4260e" filled="false" stroked="true" strokeweight=".48001pt" strokecolor="#000000">
                <v:path arrowok="t"/>
              </v:shape>
            </v:group>
            <v:group style="position:absolute;left:5183;top:4260;width:406;height:2" coordorigin="5183,4260" coordsize="406,2">
              <v:shape style="position:absolute;left:5183;top:4260;width:406;height:2" coordorigin="5183,4260" coordsize="406,0" path="m5183,4260l5588,4260e" filled="false" stroked="true" strokeweight=".48001pt" strokecolor="#000000">
                <v:path arrowok="t"/>
              </v:shape>
            </v:group>
            <v:group style="position:absolute;left:5598;top:4260;width:930;height:2" coordorigin="5598,4260" coordsize="930,2">
              <v:shape style="position:absolute;left:5598;top:4260;width:930;height:2" coordorigin="5598,4260" coordsize="930,0" path="m5598,4260l6527,4260e" filled="false" stroked="true" strokeweight=".48001pt" strokecolor="#000000">
                <v:path arrowok="t"/>
              </v:shape>
            </v:group>
            <v:group style="position:absolute;left:6537;top:4260;width:353;height:2" coordorigin="6537,4260" coordsize="353,2">
              <v:shape style="position:absolute;left:6537;top:4260;width:353;height:2" coordorigin="6537,4260" coordsize="353,0" path="m6537,4260l6889,4260e" filled="false" stroked="true" strokeweight=".48001pt" strokecolor="#000000">
                <v:path arrowok="t"/>
              </v:shape>
            </v:group>
            <v:group style="position:absolute;left:6899;top:4260;width:1253;height:2" coordorigin="6899,4260" coordsize="1253,2">
              <v:shape style="position:absolute;left:6899;top:4260;width:1253;height:2" coordorigin="6899,4260" coordsize="1253,0" path="m6899,4260l8152,4260e" filled="false" stroked="true" strokeweight=".48001pt" strokecolor="#000000">
                <v:path arrowok="t"/>
              </v:shape>
            </v:group>
            <v:group style="position:absolute;left:8161;top:4260;width:531;height:2" coordorigin="8161,4260" coordsize="531,2">
              <v:shape style="position:absolute;left:8161;top:4260;width:531;height:2" coordorigin="8161,4260" coordsize="531,0" path="m8161,4260l8692,4260e" filled="false" stroked="true" strokeweight=".48001pt" strokecolor="#000000">
                <v:path arrowok="t"/>
              </v:shape>
            </v:group>
            <v:group style="position:absolute;left:8702;top:4260;width:1076;height:2" coordorigin="8702,4260" coordsize="1076,2">
              <v:shape style="position:absolute;left:8702;top:4260;width:1076;height:2" coordorigin="8702,4260" coordsize="1076,0" path="m8702,4260l9777,4260e" filled="false" stroked="true" strokeweight=".48001pt" strokecolor="#000000">
                <v:path arrowok="t"/>
              </v:shape>
            </v:group>
            <v:group style="position:absolute;left:9787;top:4260;width:473;height:2" coordorigin="9787,4260" coordsize="473,2">
              <v:shape style="position:absolute;left:9787;top:4260;width:473;height:2" coordorigin="9787,4260" coordsize="473,0" path="m9787,4260l10260,4260e" filled="false" stroked="true" strokeweight=".48001pt" strokecolor="#000000">
                <v:path arrowok="t"/>
              </v:shape>
            </v:group>
            <v:group style="position:absolute;left:10269;top:4260;width:1302;height:2" coordorigin="10269,4260" coordsize="1302,2">
              <v:shape style="position:absolute;left:10269;top:4260;width:1302;height:2" coordorigin="10269,4260" coordsize="1302,0" path="m10269,4260l11570,4260e" filled="false" stroked="true" strokeweight=".48001pt" strokecolor="#000000">
                <v:path arrowok="t"/>
              </v:shape>
            </v:group>
            <v:group style="position:absolute;left:240;top:4611;width:1952;height:2" coordorigin="240,4611" coordsize="1952,2">
              <v:shape style="position:absolute;left:240;top:4611;width:1952;height:2" coordorigin="240,4611" coordsize="1952,0" path="m240,4611l2192,4611e" filled="false" stroked="true" strokeweight=".48pt" strokecolor="#d2d2d2">
                <v:path arrowok="t"/>
              </v:shape>
            </v:group>
            <v:group style="position:absolute;left:251;top:4616;width:2;height:312" coordorigin="251,4616" coordsize="2,312">
              <v:shape style="position:absolute;left:251;top:4616;width:2;height:312" coordorigin="251,4616" coordsize="0,312" path="m251,4616l251,4928e" filled="false" stroked="true" strokeweight="1.08pt" strokecolor="#d2d2d2">
                <v:path arrowok="t"/>
              </v:shape>
            </v:group>
            <v:group style="position:absolute;left:2181;top:4616;width:2;height:312" coordorigin="2181,4616" coordsize="2,312">
              <v:shape style="position:absolute;left:2181;top:4616;width:2;height:312" coordorigin="2181,4616" coordsize="0,312" path="m2181,4616l2181,4928e" filled="false" stroked="true" strokeweight="1.08pt" strokecolor="#d2d2d2">
                <v:path arrowok="t"/>
              </v:shape>
            </v:group>
            <v:group style="position:absolute;left:240;top:4932;width:1952;height:2" coordorigin="240,4932" coordsize="1952,2">
              <v:shape style="position:absolute;left:240;top:4932;width:1952;height:2" coordorigin="240,4932" coordsize="1952,0" path="m240,4932l2192,4932e" filled="false" stroked="true" strokeweight=".48pt" strokecolor="#d2d2d2">
                <v:path arrowok="t"/>
              </v:shape>
            </v:group>
            <v:group style="position:absolute;left:262;top:4616;width:1909;height:312" coordorigin="262,4616" coordsize="1909,312">
              <v:shape style="position:absolute;left:262;top:4616;width:1909;height:312" coordorigin="262,4616" coordsize="1909,312" path="m262,4928l2170,4928,2170,4616,262,4616,262,4928xe" filled="true" fillcolor="#d2d2d2" stroked="false">
                <v:path arrowok="t"/>
                <v:fill type="solid"/>
              </v:shape>
            </v:group>
            <v:group style="position:absolute;left:238;top:4601;width:1955;height:2" coordorigin="238,4601" coordsize="1955,2">
              <v:shape style="position:absolute;left:238;top:4601;width:1955;height:2" coordorigin="238,4601" coordsize="1955,0" path="m238,4601l2192,4601e" filled="false" stroked="true" strokeweight=".48pt" strokecolor="#000000">
                <v:path arrowok="t"/>
              </v:shape>
            </v:group>
            <v:group style="position:absolute;left:2201;top:4601;width:1172;height:2" coordorigin="2201,4601" coordsize="1172,2">
              <v:shape style="position:absolute;left:2201;top:4601;width:1172;height:2" coordorigin="2201,4601" coordsize="1172,0" path="m2201,4601l3372,4601e" filled="false" stroked="true" strokeweight=".48pt" strokecolor="#000000">
                <v:path arrowok="t"/>
              </v:shape>
            </v:group>
            <v:group style="position:absolute;left:3382;top:4601;width:228;height:2" coordorigin="3382,4601" coordsize="228,2">
              <v:shape style="position:absolute;left:3382;top:4601;width:228;height:2" coordorigin="3382,4601" coordsize="228,0" path="m3382,4601l3610,4601e" filled="false" stroked="true" strokeweight=".48pt" strokecolor="#000000">
                <v:path arrowok="t"/>
              </v:shape>
            </v:group>
            <v:group style="position:absolute;left:3620;top:4601;width:227;height:2" coordorigin="3620,4601" coordsize="227,2">
              <v:shape style="position:absolute;left:3620;top:4601;width:227;height:2" coordorigin="3620,4601" coordsize="227,0" path="m3620,4601l3846,4601e" filled="false" stroked="true" strokeweight=".48pt" strokecolor="#000000">
                <v:path arrowok="t"/>
              </v:shape>
            </v:group>
            <v:group style="position:absolute;left:3855;top:4601;width:226;height:2" coordorigin="3855,4601" coordsize="226,2">
              <v:shape style="position:absolute;left:3855;top:4601;width:226;height:2" coordorigin="3855,4601" coordsize="226,0" path="m3855,4601l4081,4601e" filled="false" stroked="true" strokeweight=".48pt" strokecolor="#000000">
                <v:path arrowok="t"/>
              </v:shape>
            </v:group>
            <v:group style="position:absolute;left:4091;top:4601;width:1083;height:2" coordorigin="4091,4601" coordsize="1083,2">
              <v:shape style="position:absolute;left:4091;top:4601;width:1083;height:2" coordorigin="4091,4601" coordsize="1083,0" path="m4091,4601l5173,4601e" filled="false" stroked="true" strokeweight=".48pt" strokecolor="#000000">
                <v:path arrowok="t"/>
              </v:shape>
            </v:group>
            <v:group style="position:absolute;left:5183;top:4601;width:406;height:2" coordorigin="5183,4601" coordsize="406,2">
              <v:shape style="position:absolute;left:5183;top:4601;width:406;height:2" coordorigin="5183,4601" coordsize="406,0" path="m5183,4601l5588,4601e" filled="false" stroked="true" strokeweight=".48pt" strokecolor="#000000">
                <v:path arrowok="t"/>
              </v:shape>
            </v:group>
            <v:group style="position:absolute;left:5598;top:4601;width:930;height:2" coordorigin="5598,4601" coordsize="930,2">
              <v:shape style="position:absolute;left:5598;top:4601;width:930;height:2" coordorigin="5598,4601" coordsize="930,0" path="m5598,4601l6527,4601e" filled="false" stroked="true" strokeweight=".48pt" strokecolor="#000000">
                <v:path arrowok="t"/>
              </v:shape>
            </v:group>
            <v:group style="position:absolute;left:6537;top:4601;width:353;height:2" coordorigin="6537,4601" coordsize="353,2">
              <v:shape style="position:absolute;left:6537;top:4601;width:353;height:2" coordorigin="6537,4601" coordsize="353,0" path="m6537,4601l6889,4601e" filled="false" stroked="true" strokeweight=".48pt" strokecolor="#000000">
                <v:path arrowok="t"/>
              </v:shape>
            </v:group>
            <v:group style="position:absolute;left:6899;top:4601;width:1253;height:2" coordorigin="6899,4601" coordsize="1253,2">
              <v:shape style="position:absolute;left:6899;top:4601;width:1253;height:2" coordorigin="6899,4601" coordsize="1253,0" path="m6899,4601l8152,4601e" filled="false" stroked="true" strokeweight=".48pt" strokecolor="#000000">
                <v:path arrowok="t"/>
              </v:shape>
            </v:group>
            <v:group style="position:absolute;left:8161;top:4601;width:531;height:2" coordorigin="8161,4601" coordsize="531,2">
              <v:shape style="position:absolute;left:8161;top:4601;width:531;height:2" coordorigin="8161,4601" coordsize="531,0" path="m8161,4601l8692,4601e" filled="false" stroked="true" strokeweight=".48pt" strokecolor="#000000">
                <v:path arrowok="t"/>
              </v:shape>
            </v:group>
            <v:group style="position:absolute;left:8702;top:4601;width:1076;height:2" coordorigin="8702,4601" coordsize="1076,2">
              <v:shape style="position:absolute;left:8702;top:4601;width:1076;height:2" coordorigin="8702,4601" coordsize="1076,0" path="m8702,4601l9777,4601e" filled="false" stroked="true" strokeweight=".48pt" strokecolor="#000000">
                <v:path arrowok="t"/>
              </v:shape>
            </v:group>
            <v:group style="position:absolute;left:9787;top:4601;width:473;height:2" coordorigin="9787,4601" coordsize="473,2">
              <v:shape style="position:absolute;left:9787;top:4601;width:473;height:2" coordorigin="9787,4601" coordsize="473,0" path="m9787,4601l10260,4601e" filled="false" stroked="true" strokeweight=".48pt" strokecolor="#000000">
                <v:path arrowok="t"/>
              </v:shape>
            </v:group>
            <v:group style="position:absolute;left:10269;top:4601;width:1302;height:2" coordorigin="10269,4601" coordsize="1302,2">
              <v:shape style="position:absolute;left:10269;top:4601;width:1302;height:2" coordorigin="10269,4601" coordsize="1302,0" path="m10269,4601l11570,4601e" filled="false" stroked="true" strokeweight=".48pt" strokecolor="#000000">
                <v:path arrowok="t"/>
              </v:shape>
            </v:group>
            <v:group style="position:absolute;left:240;top:4952;width:1952;height:2" coordorigin="240,4952" coordsize="1952,2">
              <v:shape style="position:absolute;left:240;top:4952;width:1952;height:2" coordorigin="240,4952" coordsize="1952,0" path="m240,4952l2192,4952e" filled="false" stroked="true" strokeweight=".48pt" strokecolor="#d2d2d2">
                <v:path arrowok="t"/>
              </v:shape>
            </v:group>
            <v:group style="position:absolute;left:251;top:4956;width:2;height:312" coordorigin="251,4956" coordsize="2,312">
              <v:shape style="position:absolute;left:251;top:4956;width:2;height:312" coordorigin="251,4956" coordsize="0,312" path="m251,4956l251,5268e" filled="false" stroked="true" strokeweight="1.08pt" strokecolor="#d2d2d2">
                <v:path arrowok="t"/>
              </v:shape>
            </v:group>
            <v:group style="position:absolute;left:2181;top:4956;width:2;height:312" coordorigin="2181,4956" coordsize="2,312">
              <v:shape style="position:absolute;left:2181;top:4956;width:2;height:312" coordorigin="2181,4956" coordsize="0,312" path="m2181,4956l2181,5268e" filled="false" stroked="true" strokeweight="1.08pt" strokecolor="#d2d2d2">
                <v:path arrowok="t"/>
              </v:shape>
            </v:group>
            <v:group style="position:absolute;left:240;top:5272;width:1952;height:2" coordorigin="240,5272" coordsize="1952,2">
              <v:shape style="position:absolute;left:240;top:5272;width:1952;height:2" coordorigin="240,5272" coordsize="1952,0" path="m240,5272l2192,5272e" filled="false" stroked="true" strokeweight=".35999pt" strokecolor="#d2d2d2">
                <v:path arrowok="t"/>
              </v:shape>
            </v:group>
            <v:group style="position:absolute;left:262;top:4956;width:1909;height:312" coordorigin="262,4956" coordsize="1909,312">
              <v:shape style="position:absolute;left:262;top:4956;width:1909;height:312" coordorigin="262,4956" coordsize="1909,312" path="m262,5268l2170,5268,2170,4956,262,4956,262,5268xe" filled="true" fillcolor="#d2d2d2" stroked="false">
                <v:path arrowok="t"/>
                <v:fill type="solid"/>
              </v:shape>
            </v:group>
            <v:group style="position:absolute;left:238;top:4942;width:1955;height:2" coordorigin="238,4942" coordsize="1955,2">
              <v:shape style="position:absolute;left:238;top:4942;width:1955;height:2" coordorigin="238,4942" coordsize="1955,0" path="m238,4942l2192,4942e" filled="false" stroked="true" strokeweight=".48001pt" strokecolor="#000000">
                <v:path arrowok="t"/>
              </v:shape>
            </v:group>
            <v:group style="position:absolute;left:2201;top:4942;width:1172;height:2" coordorigin="2201,4942" coordsize="1172,2">
              <v:shape style="position:absolute;left:2201;top:4942;width:1172;height:2" coordorigin="2201,4942" coordsize="1172,0" path="m2201,4942l3372,4942e" filled="false" stroked="true" strokeweight=".48001pt" strokecolor="#000000">
                <v:path arrowok="t"/>
              </v:shape>
            </v:group>
            <v:group style="position:absolute;left:3382;top:4942;width:228;height:2" coordorigin="3382,4942" coordsize="228,2">
              <v:shape style="position:absolute;left:3382;top:4942;width:228;height:2" coordorigin="3382,4942" coordsize="228,0" path="m3382,4942l3610,4942e" filled="false" stroked="true" strokeweight=".48001pt" strokecolor="#000000">
                <v:path arrowok="t"/>
              </v:shape>
            </v:group>
            <v:group style="position:absolute;left:3620;top:4942;width:227;height:2" coordorigin="3620,4942" coordsize="227,2">
              <v:shape style="position:absolute;left:3620;top:4942;width:227;height:2" coordorigin="3620,4942" coordsize="227,0" path="m3620,4942l3846,4942e" filled="false" stroked="true" strokeweight=".48001pt" strokecolor="#000000">
                <v:path arrowok="t"/>
              </v:shape>
            </v:group>
            <v:group style="position:absolute;left:3855;top:4942;width:226;height:2" coordorigin="3855,4942" coordsize="226,2">
              <v:shape style="position:absolute;left:3855;top:4942;width:226;height:2" coordorigin="3855,4942" coordsize="226,0" path="m3855,4942l4081,4942e" filled="false" stroked="true" strokeweight=".48001pt" strokecolor="#000000">
                <v:path arrowok="t"/>
              </v:shape>
            </v:group>
            <v:group style="position:absolute;left:4091;top:4942;width:1083;height:2" coordorigin="4091,4942" coordsize="1083,2">
              <v:shape style="position:absolute;left:4091;top:4942;width:1083;height:2" coordorigin="4091,4942" coordsize="1083,0" path="m4091,4942l5173,4942e" filled="false" stroked="true" strokeweight=".48001pt" strokecolor="#000000">
                <v:path arrowok="t"/>
              </v:shape>
            </v:group>
            <v:group style="position:absolute;left:5183;top:4942;width:406;height:2" coordorigin="5183,4942" coordsize="406,2">
              <v:shape style="position:absolute;left:5183;top:4942;width:406;height:2" coordorigin="5183,4942" coordsize="406,0" path="m5183,4942l5588,4942e" filled="false" stroked="true" strokeweight=".48001pt" strokecolor="#000000">
                <v:path arrowok="t"/>
              </v:shape>
            </v:group>
            <v:group style="position:absolute;left:5598;top:4942;width:930;height:2" coordorigin="5598,4942" coordsize="930,2">
              <v:shape style="position:absolute;left:5598;top:4942;width:930;height:2" coordorigin="5598,4942" coordsize="930,0" path="m5598,4942l6527,4942e" filled="false" stroked="true" strokeweight=".48001pt" strokecolor="#000000">
                <v:path arrowok="t"/>
              </v:shape>
            </v:group>
            <v:group style="position:absolute;left:6537;top:4942;width:353;height:2" coordorigin="6537,4942" coordsize="353,2">
              <v:shape style="position:absolute;left:6537;top:4942;width:353;height:2" coordorigin="6537,4942" coordsize="353,0" path="m6537,4942l6889,4942e" filled="false" stroked="true" strokeweight=".48001pt" strokecolor="#000000">
                <v:path arrowok="t"/>
              </v:shape>
            </v:group>
            <v:group style="position:absolute;left:6899;top:4942;width:1253;height:2" coordorigin="6899,4942" coordsize="1253,2">
              <v:shape style="position:absolute;left:6899;top:4942;width:1253;height:2" coordorigin="6899,4942" coordsize="1253,0" path="m6899,4942l8152,4942e" filled="false" stroked="true" strokeweight=".48001pt" strokecolor="#000000">
                <v:path arrowok="t"/>
              </v:shape>
            </v:group>
            <v:group style="position:absolute;left:8161;top:4942;width:531;height:2" coordorigin="8161,4942" coordsize="531,2">
              <v:shape style="position:absolute;left:8161;top:4942;width:531;height:2" coordorigin="8161,4942" coordsize="531,0" path="m8161,4942l8692,4942e" filled="false" stroked="true" strokeweight=".48001pt" strokecolor="#000000">
                <v:path arrowok="t"/>
              </v:shape>
            </v:group>
            <v:group style="position:absolute;left:8702;top:4942;width:1076;height:2" coordorigin="8702,4942" coordsize="1076,2">
              <v:shape style="position:absolute;left:8702;top:4942;width:1076;height:2" coordorigin="8702,4942" coordsize="1076,0" path="m8702,4942l9777,4942e" filled="false" stroked="true" strokeweight=".48001pt" strokecolor="#000000">
                <v:path arrowok="t"/>
              </v:shape>
            </v:group>
            <v:group style="position:absolute;left:9787;top:4942;width:473;height:2" coordorigin="9787,4942" coordsize="473,2">
              <v:shape style="position:absolute;left:9787;top:4942;width:473;height:2" coordorigin="9787,4942" coordsize="473,0" path="m9787,4942l10260,4942e" filled="false" stroked="true" strokeweight=".48001pt" strokecolor="#000000">
                <v:path arrowok="t"/>
              </v:shape>
            </v:group>
            <v:group style="position:absolute;left:10269;top:4942;width:1302;height:2" coordorigin="10269,4942" coordsize="1302,2">
              <v:shape style="position:absolute;left:10269;top:4942;width:1302;height:2" coordorigin="10269,4942" coordsize="1302,0" path="m10269,4942l11570,4942e" filled="false" stroked="true" strokeweight=".48001pt" strokecolor="#000000">
                <v:path arrowok="t"/>
              </v:shape>
            </v:group>
            <v:group style="position:absolute;left:240;top:5290;width:1952;height:2" coordorigin="240,5290" coordsize="1952,2">
              <v:shape style="position:absolute;left:240;top:5290;width:1952;height:2" coordorigin="240,5290" coordsize="1952,0" path="m240,5290l2192,5290e" filled="false" stroked="true" strokeweight=".47998pt" strokecolor="#d2d2d2">
                <v:path arrowok="t"/>
              </v:shape>
            </v:group>
            <v:group style="position:absolute;left:251;top:5295;width:2;height:313" coordorigin="251,5295" coordsize="2,313">
              <v:shape style="position:absolute;left:251;top:5295;width:2;height:313" coordorigin="251,5295" coordsize="0,313" path="m251,5295l251,5607e" filled="false" stroked="true" strokeweight="1.08pt" strokecolor="#d2d2d2">
                <v:path arrowok="t"/>
              </v:shape>
            </v:group>
            <v:group style="position:absolute;left:2181;top:5295;width:2;height:313" coordorigin="2181,5295" coordsize="2,313">
              <v:shape style="position:absolute;left:2181;top:5295;width:2;height:313" coordorigin="2181,5295" coordsize="0,313" path="m2181,5295l2181,5607e" filled="false" stroked="true" strokeweight="1.08pt" strokecolor="#d2d2d2">
                <v:path arrowok="t"/>
              </v:shape>
            </v:group>
            <v:group style="position:absolute;left:240;top:5612;width:1952;height:2" coordorigin="240,5612" coordsize="1952,2">
              <v:shape style="position:absolute;left:240;top:5612;width:1952;height:2" coordorigin="240,5612" coordsize="1952,0" path="m240,5612l2192,5612e" filled="false" stroked="true" strokeweight=".47998pt" strokecolor="#d2d2d2">
                <v:path arrowok="t"/>
              </v:shape>
            </v:group>
            <v:group style="position:absolute;left:262;top:5295;width:1909;height:313" coordorigin="262,5295" coordsize="1909,313">
              <v:shape style="position:absolute;left:262;top:5295;width:1909;height:313" coordorigin="262,5295" coordsize="1909,313" path="m262,5607l2170,5607,2170,5295,262,5295,262,5607xe" filled="true" fillcolor="#d2d2d2" stroked="false">
                <v:path arrowok="t"/>
                <v:fill type="solid"/>
              </v:shape>
            </v:group>
            <v:group style="position:absolute;left:238;top:5280;width:1955;height:2" coordorigin="238,5280" coordsize="1955,2">
              <v:shape style="position:absolute;left:238;top:5280;width:1955;height:2" coordorigin="238,5280" coordsize="1955,0" path="m238,5280l2192,5280e" filled="false" stroked="true" strokeweight=".48001pt" strokecolor="#000000">
                <v:path arrowok="t"/>
              </v:shape>
            </v:group>
            <v:group style="position:absolute;left:2201;top:5280;width:1172;height:2" coordorigin="2201,5280" coordsize="1172,2">
              <v:shape style="position:absolute;left:2201;top:5280;width:1172;height:2" coordorigin="2201,5280" coordsize="1172,0" path="m2201,5280l3372,5280e" filled="false" stroked="true" strokeweight=".48001pt" strokecolor="#000000">
                <v:path arrowok="t"/>
              </v:shape>
            </v:group>
            <v:group style="position:absolute;left:3382;top:5280;width:228;height:2" coordorigin="3382,5280" coordsize="228,2">
              <v:shape style="position:absolute;left:3382;top:5280;width:228;height:2" coordorigin="3382,5280" coordsize="228,0" path="m3382,5280l3610,5280e" filled="false" stroked="true" strokeweight=".48001pt" strokecolor="#000000">
                <v:path arrowok="t"/>
              </v:shape>
            </v:group>
            <v:group style="position:absolute;left:3620;top:5280;width:227;height:2" coordorigin="3620,5280" coordsize="227,2">
              <v:shape style="position:absolute;left:3620;top:5280;width:227;height:2" coordorigin="3620,5280" coordsize="227,0" path="m3620,5280l3846,5280e" filled="false" stroked="true" strokeweight=".48001pt" strokecolor="#000000">
                <v:path arrowok="t"/>
              </v:shape>
            </v:group>
            <v:group style="position:absolute;left:3855;top:5280;width:226;height:2" coordorigin="3855,5280" coordsize="226,2">
              <v:shape style="position:absolute;left:3855;top:5280;width:226;height:2" coordorigin="3855,5280" coordsize="226,0" path="m3855,5280l4081,5280e" filled="false" stroked="true" strokeweight=".48001pt" strokecolor="#000000">
                <v:path arrowok="t"/>
              </v:shape>
            </v:group>
            <v:group style="position:absolute;left:4091;top:5280;width:1083;height:2" coordorigin="4091,5280" coordsize="1083,2">
              <v:shape style="position:absolute;left:4091;top:5280;width:1083;height:2" coordorigin="4091,5280" coordsize="1083,0" path="m4091,5280l5173,5280e" filled="false" stroked="true" strokeweight=".48001pt" strokecolor="#000000">
                <v:path arrowok="t"/>
              </v:shape>
            </v:group>
            <v:group style="position:absolute;left:5183;top:5280;width:406;height:2" coordorigin="5183,5280" coordsize="406,2">
              <v:shape style="position:absolute;left:5183;top:5280;width:406;height:2" coordorigin="5183,5280" coordsize="406,0" path="m5183,5280l5588,5280e" filled="false" stroked="true" strokeweight=".48001pt" strokecolor="#000000">
                <v:path arrowok="t"/>
              </v:shape>
            </v:group>
            <v:group style="position:absolute;left:5598;top:5280;width:930;height:2" coordorigin="5598,5280" coordsize="930,2">
              <v:shape style="position:absolute;left:5598;top:5280;width:930;height:2" coordorigin="5598,5280" coordsize="930,0" path="m5598,5280l6527,5280e" filled="false" stroked="true" strokeweight=".48001pt" strokecolor="#000000">
                <v:path arrowok="t"/>
              </v:shape>
            </v:group>
            <v:group style="position:absolute;left:6537;top:5280;width:353;height:2" coordorigin="6537,5280" coordsize="353,2">
              <v:shape style="position:absolute;left:6537;top:5280;width:353;height:2" coordorigin="6537,5280" coordsize="353,0" path="m6537,5280l6889,5280e" filled="false" stroked="true" strokeweight=".48001pt" strokecolor="#000000">
                <v:path arrowok="t"/>
              </v:shape>
            </v:group>
            <v:group style="position:absolute;left:6899;top:5280;width:1253;height:2" coordorigin="6899,5280" coordsize="1253,2">
              <v:shape style="position:absolute;left:6899;top:5280;width:1253;height:2" coordorigin="6899,5280" coordsize="1253,0" path="m6899,5280l8152,5280e" filled="false" stroked="true" strokeweight=".48001pt" strokecolor="#000000">
                <v:path arrowok="t"/>
              </v:shape>
            </v:group>
            <v:group style="position:absolute;left:8161;top:5280;width:531;height:2" coordorigin="8161,5280" coordsize="531,2">
              <v:shape style="position:absolute;left:8161;top:5280;width:531;height:2" coordorigin="8161,5280" coordsize="531,0" path="m8161,5280l8692,5280e" filled="false" stroked="true" strokeweight=".48001pt" strokecolor="#000000">
                <v:path arrowok="t"/>
              </v:shape>
            </v:group>
            <v:group style="position:absolute;left:8702;top:5280;width:1076;height:2" coordorigin="8702,5280" coordsize="1076,2">
              <v:shape style="position:absolute;left:8702;top:5280;width:1076;height:2" coordorigin="8702,5280" coordsize="1076,0" path="m8702,5280l9777,5280e" filled="false" stroked="true" strokeweight=".48001pt" strokecolor="#000000">
                <v:path arrowok="t"/>
              </v:shape>
            </v:group>
            <v:group style="position:absolute;left:9787;top:5280;width:473;height:2" coordorigin="9787,5280" coordsize="473,2">
              <v:shape style="position:absolute;left:9787;top:5280;width:473;height:2" coordorigin="9787,5280" coordsize="473,0" path="m9787,5280l10260,5280e" filled="false" stroked="true" strokeweight=".48001pt" strokecolor="#000000">
                <v:path arrowok="t"/>
              </v:shape>
            </v:group>
            <v:group style="position:absolute;left:10269;top:5280;width:1302;height:2" coordorigin="10269,5280" coordsize="1302,2">
              <v:shape style="position:absolute;left:10269;top:5280;width:1302;height:2" coordorigin="10269,5280" coordsize="1302,0" path="m10269,5280l11570,5280e" filled="false" stroked="true" strokeweight=".48001pt" strokecolor="#000000">
                <v:path arrowok="t"/>
              </v:shape>
            </v:group>
            <v:group style="position:absolute;left:240;top:5631;width:1952;height:2" coordorigin="240,5631" coordsize="1952,2">
              <v:shape style="position:absolute;left:240;top:5631;width:1952;height:2" coordorigin="240,5631" coordsize="1952,0" path="m240,5631l2192,5631e" filled="false" stroked="true" strokeweight=".48001pt" strokecolor="#d2d2d2">
                <v:path arrowok="t"/>
              </v:shape>
            </v:group>
            <v:group style="position:absolute;left:251;top:5636;width:2;height:312" coordorigin="251,5636" coordsize="2,312">
              <v:shape style="position:absolute;left:251;top:5636;width:2;height:312" coordorigin="251,5636" coordsize="0,312" path="m251,5636l251,5948e" filled="false" stroked="true" strokeweight="1.08pt" strokecolor="#d2d2d2">
                <v:path arrowok="t"/>
              </v:shape>
            </v:group>
            <v:group style="position:absolute;left:2181;top:5636;width:2;height:312" coordorigin="2181,5636" coordsize="2,312">
              <v:shape style="position:absolute;left:2181;top:5636;width:2;height:312" coordorigin="2181,5636" coordsize="0,312" path="m2181,5636l2181,5948e" filled="false" stroked="true" strokeweight="1.08pt" strokecolor="#d2d2d2">
                <v:path arrowok="t"/>
              </v:shape>
            </v:group>
            <v:group style="position:absolute;left:240;top:5953;width:1952;height:2" coordorigin="240,5953" coordsize="1952,2">
              <v:shape style="position:absolute;left:240;top:5953;width:1952;height:2" coordorigin="240,5953" coordsize="1952,0" path="m240,5953l2192,5953e" filled="false" stroked="true" strokeweight=".48001pt" strokecolor="#d2d2d2">
                <v:path arrowok="t"/>
              </v:shape>
            </v:group>
            <v:group style="position:absolute;left:262;top:5636;width:1909;height:312" coordorigin="262,5636" coordsize="1909,312">
              <v:shape style="position:absolute;left:262;top:5636;width:1909;height:312" coordorigin="262,5636" coordsize="1909,312" path="m262,5948l2170,5948,2170,5636,262,5636,262,5948xe" filled="true" fillcolor="#d2d2d2" stroked="false">
                <v:path arrowok="t"/>
                <v:fill type="solid"/>
              </v:shape>
            </v:group>
            <v:group style="position:absolute;left:238;top:5622;width:1955;height:2" coordorigin="238,5622" coordsize="1955,2">
              <v:shape style="position:absolute;left:238;top:5622;width:1955;height:2" coordorigin="238,5622" coordsize="1955,0" path="m238,5622l2192,5622e" filled="false" stroked="true" strokeweight=".48001pt" strokecolor="#000000">
                <v:path arrowok="t"/>
              </v:shape>
            </v:group>
            <v:group style="position:absolute;left:2201;top:5622;width:1172;height:2" coordorigin="2201,5622" coordsize="1172,2">
              <v:shape style="position:absolute;left:2201;top:5622;width:1172;height:2" coordorigin="2201,5622" coordsize="1172,0" path="m2201,5622l3372,5622e" filled="false" stroked="true" strokeweight=".48001pt" strokecolor="#000000">
                <v:path arrowok="t"/>
              </v:shape>
            </v:group>
            <v:group style="position:absolute;left:3382;top:5622;width:228;height:2" coordorigin="3382,5622" coordsize="228,2">
              <v:shape style="position:absolute;left:3382;top:5622;width:228;height:2" coordorigin="3382,5622" coordsize="228,0" path="m3382,5622l3610,5622e" filled="false" stroked="true" strokeweight=".48001pt" strokecolor="#000000">
                <v:path arrowok="t"/>
              </v:shape>
            </v:group>
            <v:group style="position:absolute;left:3620;top:5622;width:227;height:2" coordorigin="3620,5622" coordsize="227,2">
              <v:shape style="position:absolute;left:3620;top:5622;width:227;height:2" coordorigin="3620,5622" coordsize="227,0" path="m3620,5622l3846,5622e" filled="false" stroked="true" strokeweight=".48001pt" strokecolor="#000000">
                <v:path arrowok="t"/>
              </v:shape>
            </v:group>
            <v:group style="position:absolute;left:3855;top:5622;width:226;height:2" coordorigin="3855,5622" coordsize="226,2">
              <v:shape style="position:absolute;left:3855;top:5622;width:226;height:2" coordorigin="3855,5622" coordsize="226,0" path="m3855,5622l4081,5622e" filled="false" stroked="true" strokeweight=".48001pt" strokecolor="#000000">
                <v:path arrowok="t"/>
              </v:shape>
            </v:group>
            <v:group style="position:absolute;left:4091;top:5622;width:1083;height:2" coordorigin="4091,5622" coordsize="1083,2">
              <v:shape style="position:absolute;left:4091;top:5622;width:1083;height:2" coordorigin="4091,5622" coordsize="1083,0" path="m4091,5622l5173,5622e" filled="false" stroked="true" strokeweight=".48001pt" strokecolor="#000000">
                <v:path arrowok="t"/>
              </v:shape>
            </v:group>
            <v:group style="position:absolute;left:5183;top:5622;width:406;height:2" coordorigin="5183,5622" coordsize="406,2">
              <v:shape style="position:absolute;left:5183;top:5622;width:406;height:2" coordorigin="5183,5622" coordsize="406,0" path="m5183,5622l5588,5622e" filled="false" stroked="true" strokeweight=".48001pt" strokecolor="#000000">
                <v:path arrowok="t"/>
              </v:shape>
            </v:group>
            <v:group style="position:absolute;left:5598;top:5622;width:930;height:2" coordorigin="5598,5622" coordsize="930,2">
              <v:shape style="position:absolute;left:5598;top:5622;width:930;height:2" coordorigin="5598,5622" coordsize="930,0" path="m5598,5622l6527,5622e" filled="false" stroked="true" strokeweight=".48001pt" strokecolor="#000000">
                <v:path arrowok="t"/>
              </v:shape>
            </v:group>
            <v:group style="position:absolute;left:6537;top:5622;width:353;height:2" coordorigin="6537,5622" coordsize="353,2">
              <v:shape style="position:absolute;left:6537;top:5622;width:353;height:2" coordorigin="6537,5622" coordsize="353,0" path="m6537,5622l6889,5622e" filled="false" stroked="true" strokeweight=".48001pt" strokecolor="#000000">
                <v:path arrowok="t"/>
              </v:shape>
            </v:group>
            <v:group style="position:absolute;left:6899;top:5622;width:1253;height:2" coordorigin="6899,5622" coordsize="1253,2">
              <v:shape style="position:absolute;left:6899;top:5622;width:1253;height:2" coordorigin="6899,5622" coordsize="1253,0" path="m6899,5622l8152,5622e" filled="false" stroked="true" strokeweight=".48001pt" strokecolor="#000000">
                <v:path arrowok="t"/>
              </v:shape>
            </v:group>
            <v:group style="position:absolute;left:8161;top:5622;width:531;height:2" coordorigin="8161,5622" coordsize="531,2">
              <v:shape style="position:absolute;left:8161;top:5622;width:531;height:2" coordorigin="8161,5622" coordsize="531,0" path="m8161,5622l8692,5622e" filled="false" stroked="true" strokeweight=".48001pt" strokecolor="#000000">
                <v:path arrowok="t"/>
              </v:shape>
            </v:group>
            <v:group style="position:absolute;left:8702;top:5622;width:1076;height:2" coordorigin="8702,5622" coordsize="1076,2">
              <v:shape style="position:absolute;left:8702;top:5622;width:1076;height:2" coordorigin="8702,5622" coordsize="1076,0" path="m8702,5622l9777,5622e" filled="false" stroked="true" strokeweight=".48001pt" strokecolor="#000000">
                <v:path arrowok="t"/>
              </v:shape>
            </v:group>
            <v:group style="position:absolute;left:9787;top:5622;width:473;height:2" coordorigin="9787,5622" coordsize="473,2">
              <v:shape style="position:absolute;left:9787;top:5622;width:473;height:2" coordorigin="9787,5622" coordsize="473,0" path="m9787,5622l10260,5622e" filled="false" stroked="true" strokeweight=".48001pt" strokecolor="#000000">
                <v:path arrowok="t"/>
              </v:shape>
            </v:group>
            <v:group style="position:absolute;left:10269;top:5622;width:1302;height:2" coordorigin="10269,5622" coordsize="1302,2">
              <v:shape style="position:absolute;left:10269;top:5622;width:1302;height:2" coordorigin="10269,5622" coordsize="1302,0" path="m10269,5622l11570,5622e" filled="false" stroked="true" strokeweight=".48001pt" strokecolor="#000000">
                <v:path arrowok="t"/>
              </v:shape>
            </v:group>
            <v:group style="position:absolute;left:251;top:5967;width:2;height:557" coordorigin="251,5967" coordsize="2,557">
              <v:shape style="position:absolute;left:251;top:5967;width:2;height:557" coordorigin="251,5967" coordsize="0,557" path="m251,5967l251,6524e" filled="false" stroked="true" strokeweight="1.08pt" strokecolor="#d2d2d2">
                <v:path arrowok="t"/>
              </v:shape>
            </v:group>
            <v:group style="position:absolute;left:2181;top:5967;width:2;height:557" coordorigin="2181,5967" coordsize="2,557">
              <v:shape style="position:absolute;left:2181;top:5967;width:2;height:557" coordorigin="2181,5967" coordsize="0,557" path="m2181,5967l2181,6524e" filled="false" stroked="true" strokeweight="1.08pt" strokecolor="#d2d2d2">
                <v:path arrowok="t"/>
              </v:shape>
            </v:group>
            <v:group style="position:absolute;left:262;top:5967;width:1909;height:312" coordorigin="262,5967" coordsize="1909,312">
              <v:shape style="position:absolute;left:262;top:5967;width:1909;height:312" coordorigin="262,5967" coordsize="1909,312" path="m262,6279l2170,6279,2170,5967,262,5967,262,6279xe" filled="true" fillcolor="#d2d2d2" stroked="false">
                <v:path arrowok="t"/>
                <v:fill type="solid"/>
              </v:shape>
            </v:group>
            <v:group style="position:absolute;left:262;top:6279;width:1909;height:245" coordorigin="262,6279" coordsize="1909,245">
              <v:shape style="position:absolute;left:262;top:6279;width:1909;height:245" coordorigin="262,6279" coordsize="1909,245" path="m262,6524l2170,6524,2170,6279,262,6279,262,6524xe" filled="true" fillcolor="#d2d2d2" stroked="false">
                <v:path arrowok="t"/>
                <v:fill type="solid"/>
              </v:shape>
            </v:group>
            <v:group style="position:absolute;left:238;top:5963;width:1955;height:2" coordorigin="238,5963" coordsize="1955,2">
              <v:shape style="position:absolute;left:238;top:5963;width:1955;height:2" coordorigin="238,5963" coordsize="1955,0" path="m238,5963l2192,5963e" filled="false" stroked="true" strokeweight=".48001pt" strokecolor="#000000">
                <v:path arrowok="t"/>
              </v:shape>
            </v:group>
            <v:group style="position:absolute;left:2201;top:5963;width:1172;height:2" coordorigin="2201,5963" coordsize="1172,2">
              <v:shape style="position:absolute;left:2201;top:5963;width:1172;height:2" coordorigin="2201,5963" coordsize="1172,0" path="m2201,5963l3372,5963e" filled="false" stroked="true" strokeweight=".48001pt" strokecolor="#000000">
                <v:path arrowok="t"/>
              </v:shape>
            </v:group>
            <v:group style="position:absolute;left:3382;top:5963;width:228;height:2" coordorigin="3382,5963" coordsize="228,2">
              <v:shape style="position:absolute;left:3382;top:5963;width:228;height:2" coordorigin="3382,5963" coordsize="228,0" path="m3382,5963l3610,5963e" filled="false" stroked="true" strokeweight=".48001pt" strokecolor="#000000">
                <v:path arrowok="t"/>
              </v:shape>
            </v:group>
            <v:group style="position:absolute;left:3620;top:5963;width:227;height:2" coordorigin="3620,5963" coordsize="227,2">
              <v:shape style="position:absolute;left:3620;top:5963;width:227;height:2" coordorigin="3620,5963" coordsize="227,0" path="m3620,5963l3846,5963e" filled="false" stroked="true" strokeweight=".48001pt" strokecolor="#000000">
                <v:path arrowok="t"/>
              </v:shape>
            </v:group>
            <v:group style="position:absolute;left:3855;top:5963;width:226;height:2" coordorigin="3855,5963" coordsize="226,2">
              <v:shape style="position:absolute;left:3855;top:5963;width:226;height:2" coordorigin="3855,5963" coordsize="226,0" path="m3855,5963l4081,5963e" filled="false" stroked="true" strokeweight=".48001pt" strokecolor="#000000">
                <v:path arrowok="t"/>
              </v:shape>
            </v:group>
            <v:group style="position:absolute;left:4091;top:5963;width:1083;height:2" coordorigin="4091,5963" coordsize="1083,2">
              <v:shape style="position:absolute;left:4091;top:5963;width:1083;height:2" coordorigin="4091,5963" coordsize="1083,0" path="m4091,5963l5173,5963e" filled="false" stroked="true" strokeweight=".48001pt" strokecolor="#000000">
                <v:path arrowok="t"/>
              </v:shape>
            </v:group>
            <v:group style="position:absolute;left:5183;top:5963;width:406;height:2" coordorigin="5183,5963" coordsize="406,2">
              <v:shape style="position:absolute;left:5183;top:5963;width:406;height:2" coordorigin="5183,5963" coordsize="406,0" path="m5183,5963l5588,5963e" filled="false" stroked="true" strokeweight=".48001pt" strokecolor="#000000">
                <v:path arrowok="t"/>
              </v:shape>
            </v:group>
            <v:group style="position:absolute;left:5598;top:5963;width:930;height:2" coordorigin="5598,5963" coordsize="930,2">
              <v:shape style="position:absolute;left:5598;top:5963;width:930;height:2" coordorigin="5598,5963" coordsize="930,0" path="m5598,5963l6527,5963e" filled="false" stroked="true" strokeweight=".48001pt" strokecolor="#000000">
                <v:path arrowok="t"/>
              </v:shape>
            </v:group>
            <v:group style="position:absolute;left:6537;top:5963;width:353;height:2" coordorigin="6537,5963" coordsize="353,2">
              <v:shape style="position:absolute;left:6537;top:5963;width:353;height:2" coordorigin="6537,5963" coordsize="353,0" path="m6537,5963l6889,5963e" filled="false" stroked="true" strokeweight=".48001pt" strokecolor="#000000">
                <v:path arrowok="t"/>
              </v:shape>
            </v:group>
            <v:group style="position:absolute;left:6899;top:5963;width:1253;height:2" coordorigin="6899,5963" coordsize="1253,2">
              <v:shape style="position:absolute;left:6899;top:5963;width:1253;height:2" coordorigin="6899,5963" coordsize="1253,0" path="m6899,5963l8152,5963e" filled="false" stroked="true" strokeweight=".48001pt" strokecolor="#000000">
                <v:path arrowok="t"/>
              </v:shape>
            </v:group>
            <v:group style="position:absolute;left:8161;top:5963;width:531;height:2" coordorigin="8161,5963" coordsize="531,2">
              <v:shape style="position:absolute;left:8161;top:5963;width:531;height:2" coordorigin="8161,5963" coordsize="531,0" path="m8161,5963l8692,5963e" filled="false" stroked="true" strokeweight=".48001pt" strokecolor="#000000">
                <v:path arrowok="t"/>
              </v:shape>
            </v:group>
            <v:group style="position:absolute;left:8702;top:5963;width:1076;height:2" coordorigin="8702,5963" coordsize="1076,2">
              <v:shape style="position:absolute;left:8702;top:5963;width:1076;height:2" coordorigin="8702,5963" coordsize="1076,0" path="m8702,5963l9777,5963e" filled="false" stroked="true" strokeweight=".48001pt" strokecolor="#000000">
                <v:path arrowok="t"/>
              </v:shape>
            </v:group>
            <v:group style="position:absolute;left:9787;top:5963;width:473;height:2" coordorigin="9787,5963" coordsize="473,2">
              <v:shape style="position:absolute;left:9787;top:5963;width:473;height:2" coordorigin="9787,5963" coordsize="473,0" path="m9787,5963l10260,5963e" filled="false" stroked="true" strokeweight=".48001pt" strokecolor="#000000">
                <v:path arrowok="t"/>
              </v:shape>
            </v:group>
            <v:group style="position:absolute;left:10269;top:5963;width:1302;height:2" coordorigin="10269,5963" coordsize="1302,2">
              <v:shape style="position:absolute;left:10269;top:5963;width:1302;height:2" coordorigin="10269,5963" coordsize="1302,0" path="m10269,5963l11570,5963e" filled="false" stroked="true" strokeweight=".48001pt" strokecolor="#000000">
                <v:path arrowok="t"/>
              </v:shape>
            </v:group>
            <v:group style="position:absolute;left:240;top:6539;width:1952;height:2" coordorigin="240,6539" coordsize="1952,2">
              <v:shape style="position:absolute;left:240;top:6539;width:1952;height:2" coordorigin="240,6539" coordsize="1952,0" path="m240,6539l2192,6539e" filled="false" stroked="true" strokeweight=".48001pt" strokecolor="#d2d2d2">
                <v:path arrowok="t"/>
              </v:shape>
            </v:group>
            <v:group style="position:absolute;left:251;top:6543;width:2;height:312" coordorigin="251,6543" coordsize="2,312">
              <v:shape style="position:absolute;left:251;top:6543;width:2;height:312" coordorigin="251,6543" coordsize="0,312" path="m251,6543l251,6855e" filled="false" stroked="true" strokeweight="1.08pt" strokecolor="#d2d2d2">
                <v:path arrowok="t"/>
              </v:shape>
            </v:group>
            <v:group style="position:absolute;left:2181;top:6543;width:2;height:312" coordorigin="2181,6543" coordsize="2,312">
              <v:shape style="position:absolute;left:2181;top:6543;width:2;height:312" coordorigin="2181,6543" coordsize="0,312" path="m2181,6543l2181,6855e" filled="false" stroked="true" strokeweight="1.08pt" strokecolor="#d2d2d2">
                <v:path arrowok="t"/>
              </v:shape>
            </v:group>
            <v:group style="position:absolute;left:240;top:6860;width:1952;height:2" coordorigin="240,6860" coordsize="1952,2">
              <v:shape style="position:absolute;left:240;top:6860;width:1952;height:2" coordorigin="240,6860" coordsize="1952,0" path="m240,6860l2192,6860e" filled="false" stroked="true" strokeweight=".48001pt" strokecolor="#d2d2d2">
                <v:path arrowok="t"/>
              </v:shape>
            </v:group>
            <v:group style="position:absolute;left:262;top:6543;width:1909;height:312" coordorigin="262,6543" coordsize="1909,312">
              <v:shape style="position:absolute;left:262;top:6543;width:1909;height:312" coordorigin="262,6543" coordsize="1909,312" path="m262,6855l2170,6855,2170,6543,262,6543,262,6855xe" filled="true" fillcolor="#d2d2d2" stroked="false">
                <v:path arrowok="t"/>
                <v:fill type="solid"/>
              </v:shape>
            </v:group>
            <v:group style="position:absolute;left:238;top:6529;width:1955;height:2" coordorigin="238,6529" coordsize="1955,2">
              <v:shape style="position:absolute;left:238;top:6529;width:1955;height:2" coordorigin="238,6529" coordsize="1955,0" path="m238,6529l2192,6529e" filled="false" stroked="true" strokeweight=".47998pt" strokecolor="#000000">
                <v:path arrowok="t"/>
              </v:shape>
            </v:group>
            <v:group style="position:absolute;left:2201;top:6529;width:1172;height:2" coordorigin="2201,6529" coordsize="1172,2">
              <v:shape style="position:absolute;left:2201;top:6529;width:1172;height:2" coordorigin="2201,6529" coordsize="1172,0" path="m2201,6529l3372,6529e" filled="false" stroked="true" strokeweight=".47998pt" strokecolor="#000000">
                <v:path arrowok="t"/>
              </v:shape>
            </v:group>
            <v:group style="position:absolute;left:3382;top:6529;width:228;height:2" coordorigin="3382,6529" coordsize="228,2">
              <v:shape style="position:absolute;left:3382;top:6529;width:228;height:2" coordorigin="3382,6529" coordsize="228,0" path="m3382,6529l3610,6529e" filled="false" stroked="true" strokeweight=".47998pt" strokecolor="#000000">
                <v:path arrowok="t"/>
              </v:shape>
            </v:group>
            <v:group style="position:absolute;left:3620;top:6529;width:227;height:2" coordorigin="3620,6529" coordsize="227,2">
              <v:shape style="position:absolute;left:3620;top:6529;width:227;height:2" coordorigin="3620,6529" coordsize="227,0" path="m3620,6529l3846,6529e" filled="false" stroked="true" strokeweight=".47998pt" strokecolor="#000000">
                <v:path arrowok="t"/>
              </v:shape>
            </v:group>
            <v:group style="position:absolute;left:3855;top:6529;width:226;height:2" coordorigin="3855,6529" coordsize="226,2">
              <v:shape style="position:absolute;left:3855;top:6529;width:226;height:2" coordorigin="3855,6529" coordsize="226,0" path="m3855,6529l4081,6529e" filled="false" stroked="true" strokeweight=".47998pt" strokecolor="#000000">
                <v:path arrowok="t"/>
              </v:shape>
            </v:group>
            <v:group style="position:absolute;left:4091;top:6529;width:1083;height:2" coordorigin="4091,6529" coordsize="1083,2">
              <v:shape style="position:absolute;left:4091;top:6529;width:1083;height:2" coordorigin="4091,6529" coordsize="1083,0" path="m4091,6529l5173,6529e" filled="false" stroked="true" strokeweight=".47998pt" strokecolor="#000000">
                <v:path arrowok="t"/>
              </v:shape>
            </v:group>
            <v:group style="position:absolute;left:5183;top:6529;width:406;height:2" coordorigin="5183,6529" coordsize="406,2">
              <v:shape style="position:absolute;left:5183;top:6529;width:406;height:2" coordorigin="5183,6529" coordsize="406,0" path="m5183,6529l5588,6529e" filled="false" stroked="true" strokeweight=".47998pt" strokecolor="#000000">
                <v:path arrowok="t"/>
              </v:shape>
            </v:group>
            <v:group style="position:absolute;left:5598;top:6529;width:930;height:2" coordorigin="5598,6529" coordsize="930,2">
              <v:shape style="position:absolute;left:5598;top:6529;width:930;height:2" coordorigin="5598,6529" coordsize="930,0" path="m5598,6529l6527,6529e" filled="false" stroked="true" strokeweight=".47998pt" strokecolor="#000000">
                <v:path arrowok="t"/>
              </v:shape>
            </v:group>
            <v:group style="position:absolute;left:6537;top:6529;width:353;height:2" coordorigin="6537,6529" coordsize="353,2">
              <v:shape style="position:absolute;left:6537;top:6529;width:353;height:2" coordorigin="6537,6529" coordsize="353,0" path="m6537,6529l6889,6529e" filled="false" stroked="true" strokeweight=".47998pt" strokecolor="#000000">
                <v:path arrowok="t"/>
              </v:shape>
            </v:group>
            <v:group style="position:absolute;left:6899;top:6529;width:1253;height:2" coordorigin="6899,6529" coordsize="1253,2">
              <v:shape style="position:absolute;left:6899;top:6529;width:1253;height:2" coordorigin="6899,6529" coordsize="1253,0" path="m6899,6529l8152,6529e" filled="false" stroked="true" strokeweight=".47998pt" strokecolor="#000000">
                <v:path arrowok="t"/>
              </v:shape>
            </v:group>
            <v:group style="position:absolute;left:8161;top:6529;width:531;height:2" coordorigin="8161,6529" coordsize="531,2">
              <v:shape style="position:absolute;left:8161;top:6529;width:531;height:2" coordorigin="8161,6529" coordsize="531,0" path="m8161,6529l8692,6529e" filled="false" stroked="true" strokeweight=".47998pt" strokecolor="#000000">
                <v:path arrowok="t"/>
              </v:shape>
            </v:group>
            <v:group style="position:absolute;left:8702;top:6529;width:1076;height:2" coordorigin="8702,6529" coordsize="1076,2">
              <v:shape style="position:absolute;left:8702;top:6529;width:1076;height:2" coordorigin="8702,6529" coordsize="1076,0" path="m8702,6529l9777,6529e" filled="false" stroked="true" strokeweight=".47998pt" strokecolor="#000000">
                <v:path arrowok="t"/>
              </v:shape>
            </v:group>
            <v:group style="position:absolute;left:9787;top:6529;width:473;height:2" coordorigin="9787,6529" coordsize="473,2">
              <v:shape style="position:absolute;left:9787;top:6529;width:473;height:2" coordorigin="9787,6529" coordsize="473,0" path="m9787,6529l10260,6529e" filled="false" stroked="true" strokeweight=".47998pt" strokecolor="#000000">
                <v:path arrowok="t"/>
              </v:shape>
            </v:group>
            <v:group style="position:absolute;left:10269;top:6529;width:1302;height:2" coordorigin="10269,6529" coordsize="1302,2">
              <v:shape style="position:absolute;left:10269;top:6529;width:1302;height:2" coordorigin="10269,6529" coordsize="1302,0" path="m10269,6529l11570,6529e" filled="false" stroked="true" strokeweight=".47998pt" strokecolor="#000000">
                <v:path arrowok="t"/>
              </v:shape>
            </v:group>
            <v:group style="position:absolute;left:251;top:6875;width:2;height:557" coordorigin="251,6875" coordsize="2,557">
              <v:shape style="position:absolute;left:251;top:6875;width:2;height:557" coordorigin="251,6875" coordsize="0,557" path="m251,6875l251,7431e" filled="false" stroked="true" strokeweight="1.08pt" strokecolor="#d2d2d2">
                <v:path arrowok="t"/>
              </v:shape>
            </v:group>
            <v:group style="position:absolute;left:2181;top:6875;width:2;height:557" coordorigin="2181,6875" coordsize="2,557">
              <v:shape style="position:absolute;left:2181;top:6875;width:2;height:557" coordorigin="2181,6875" coordsize="0,557" path="m2181,6875l2181,7431e" filled="false" stroked="true" strokeweight="1.08pt" strokecolor="#d2d2d2">
                <v:path arrowok="t"/>
              </v:shape>
            </v:group>
            <v:group style="position:absolute;left:262;top:6875;width:1909;height:312" coordorigin="262,6875" coordsize="1909,312">
              <v:shape style="position:absolute;left:262;top:6875;width:1909;height:312" coordorigin="262,6875" coordsize="1909,312" path="m262,7187l2170,7187,2170,6875,262,6875,262,7187xe" filled="true" fillcolor="#d2d2d2" stroked="false">
                <v:path arrowok="t"/>
                <v:fill type="solid"/>
              </v:shape>
            </v:group>
            <v:group style="position:absolute;left:262;top:7187;width:1909;height:245" coordorigin="262,7187" coordsize="1909,245">
              <v:shape style="position:absolute;left:262;top:7187;width:1909;height:245" coordorigin="262,7187" coordsize="1909,245" path="m262,7431l2170,7431,2170,7187,262,7187,262,7431xe" filled="true" fillcolor="#d2d2d2" stroked="false">
                <v:path arrowok="t"/>
                <v:fill type="solid"/>
              </v:shape>
            </v:group>
            <v:group style="position:absolute;left:238;top:6870;width:1955;height:2" coordorigin="238,6870" coordsize="1955,2">
              <v:shape style="position:absolute;left:238;top:6870;width:1955;height:2" coordorigin="238,6870" coordsize="1955,0" path="m238,6870l2192,6870e" filled="false" stroked="true" strokeweight=".47998pt" strokecolor="#000000">
                <v:path arrowok="t"/>
              </v:shape>
            </v:group>
            <v:group style="position:absolute;left:2201;top:6870;width:1172;height:2" coordorigin="2201,6870" coordsize="1172,2">
              <v:shape style="position:absolute;left:2201;top:6870;width:1172;height:2" coordorigin="2201,6870" coordsize="1172,0" path="m2201,6870l3372,6870e" filled="false" stroked="true" strokeweight=".47998pt" strokecolor="#000000">
                <v:path arrowok="t"/>
              </v:shape>
            </v:group>
            <v:group style="position:absolute;left:3382;top:6870;width:228;height:2" coordorigin="3382,6870" coordsize="228,2">
              <v:shape style="position:absolute;left:3382;top:6870;width:228;height:2" coordorigin="3382,6870" coordsize="228,0" path="m3382,6870l3610,6870e" filled="false" stroked="true" strokeweight=".47998pt" strokecolor="#000000">
                <v:path arrowok="t"/>
              </v:shape>
            </v:group>
            <v:group style="position:absolute;left:3620;top:6870;width:227;height:2" coordorigin="3620,6870" coordsize="227,2">
              <v:shape style="position:absolute;left:3620;top:6870;width:227;height:2" coordorigin="3620,6870" coordsize="227,0" path="m3620,6870l3846,6870e" filled="false" stroked="true" strokeweight=".47998pt" strokecolor="#000000">
                <v:path arrowok="t"/>
              </v:shape>
            </v:group>
            <v:group style="position:absolute;left:3855;top:6870;width:226;height:2" coordorigin="3855,6870" coordsize="226,2">
              <v:shape style="position:absolute;left:3855;top:6870;width:226;height:2" coordorigin="3855,6870" coordsize="226,0" path="m3855,6870l4081,6870e" filled="false" stroked="true" strokeweight=".47998pt" strokecolor="#000000">
                <v:path arrowok="t"/>
              </v:shape>
            </v:group>
            <v:group style="position:absolute;left:4091;top:6870;width:1083;height:2" coordorigin="4091,6870" coordsize="1083,2">
              <v:shape style="position:absolute;left:4091;top:6870;width:1083;height:2" coordorigin="4091,6870" coordsize="1083,0" path="m4091,6870l5173,6870e" filled="false" stroked="true" strokeweight=".47998pt" strokecolor="#000000">
                <v:path arrowok="t"/>
              </v:shape>
            </v:group>
            <v:group style="position:absolute;left:5183;top:6870;width:406;height:2" coordorigin="5183,6870" coordsize="406,2">
              <v:shape style="position:absolute;left:5183;top:6870;width:406;height:2" coordorigin="5183,6870" coordsize="406,0" path="m5183,6870l5588,6870e" filled="false" stroked="true" strokeweight=".47998pt" strokecolor="#000000">
                <v:path arrowok="t"/>
              </v:shape>
            </v:group>
            <v:group style="position:absolute;left:5598;top:6870;width:930;height:2" coordorigin="5598,6870" coordsize="930,2">
              <v:shape style="position:absolute;left:5598;top:6870;width:930;height:2" coordorigin="5598,6870" coordsize="930,0" path="m5598,6870l6527,6870e" filled="false" stroked="true" strokeweight=".47998pt" strokecolor="#000000">
                <v:path arrowok="t"/>
              </v:shape>
            </v:group>
            <v:group style="position:absolute;left:6537;top:6870;width:353;height:2" coordorigin="6537,6870" coordsize="353,2">
              <v:shape style="position:absolute;left:6537;top:6870;width:353;height:2" coordorigin="6537,6870" coordsize="353,0" path="m6537,6870l6889,6870e" filled="false" stroked="true" strokeweight=".47998pt" strokecolor="#000000">
                <v:path arrowok="t"/>
              </v:shape>
            </v:group>
            <v:group style="position:absolute;left:6899;top:6870;width:1253;height:2" coordorigin="6899,6870" coordsize="1253,2">
              <v:shape style="position:absolute;left:6899;top:6870;width:1253;height:2" coordorigin="6899,6870" coordsize="1253,0" path="m6899,6870l8152,6870e" filled="false" stroked="true" strokeweight=".47998pt" strokecolor="#000000">
                <v:path arrowok="t"/>
              </v:shape>
            </v:group>
            <v:group style="position:absolute;left:8161;top:6870;width:531;height:2" coordorigin="8161,6870" coordsize="531,2">
              <v:shape style="position:absolute;left:8161;top:6870;width:531;height:2" coordorigin="8161,6870" coordsize="531,0" path="m8161,6870l8692,6870e" filled="false" stroked="true" strokeweight=".47998pt" strokecolor="#000000">
                <v:path arrowok="t"/>
              </v:shape>
            </v:group>
            <v:group style="position:absolute;left:8702;top:6870;width:1076;height:2" coordorigin="8702,6870" coordsize="1076,2">
              <v:shape style="position:absolute;left:8702;top:6870;width:1076;height:2" coordorigin="8702,6870" coordsize="1076,0" path="m8702,6870l9777,6870e" filled="false" stroked="true" strokeweight=".47998pt" strokecolor="#000000">
                <v:path arrowok="t"/>
              </v:shape>
            </v:group>
            <v:group style="position:absolute;left:9787;top:6870;width:473;height:2" coordorigin="9787,6870" coordsize="473,2">
              <v:shape style="position:absolute;left:9787;top:6870;width:473;height:2" coordorigin="9787,6870" coordsize="473,0" path="m9787,6870l10260,6870e" filled="false" stroked="true" strokeweight=".47998pt" strokecolor="#000000">
                <v:path arrowok="t"/>
              </v:shape>
            </v:group>
            <v:group style="position:absolute;left:10269;top:6870;width:1302;height:2" coordorigin="10269,6870" coordsize="1302,2">
              <v:shape style="position:absolute;left:10269;top:6870;width:1302;height:2" coordorigin="10269,6870" coordsize="1302,0" path="m10269,6870l11570,6870e" filled="false" stroked="true" strokeweight=".47998pt" strokecolor="#000000">
                <v:path arrowok="t"/>
              </v:shape>
            </v:group>
            <v:group style="position:absolute;left:240;top:7446;width:1952;height:2" coordorigin="240,7446" coordsize="1952,2">
              <v:shape style="position:absolute;left:240;top:7446;width:1952;height:2" coordorigin="240,7446" coordsize="1952,0" path="m240,7446l2192,7446e" filled="false" stroked="true" strokeweight=".48001pt" strokecolor="#d2d2d2">
                <v:path arrowok="t"/>
              </v:shape>
            </v:group>
            <v:group style="position:absolute;left:251;top:7451;width:2;height:312" coordorigin="251,7451" coordsize="2,312">
              <v:shape style="position:absolute;left:251;top:7451;width:2;height:312" coordorigin="251,7451" coordsize="0,312" path="m251,7451l251,7763e" filled="false" stroked="true" strokeweight="1.08pt" strokecolor="#d2d2d2">
                <v:path arrowok="t"/>
              </v:shape>
            </v:group>
            <v:group style="position:absolute;left:2181;top:7451;width:2;height:312" coordorigin="2181,7451" coordsize="2,312">
              <v:shape style="position:absolute;left:2181;top:7451;width:2;height:312" coordorigin="2181,7451" coordsize="0,312" path="m2181,7451l2181,7763e" filled="false" stroked="true" strokeweight="1.08pt" strokecolor="#d2d2d2">
                <v:path arrowok="t"/>
              </v:shape>
            </v:group>
            <v:group style="position:absolute;left:240;top:7766;width:1952;height:2" coordorigin="240,7766" coordsize="1952,2">
              <v:shape style="position:absolute;left:240;top:7766;width:1952;height:2" coordorigin="240,7766" coordsize="1952,0" path="m240,7766l2192,7766e" filled="false" stroked="true" strokeweight=".36002pt" strokecolor="#d2d2d2">
                <v:path arrowok="t"/>
              </v:shape>
            </v:group>
            <v:group style="position:absolute;left:262;top:7451;width:1909;height:312" coordorigin="262,7451" coordsize="1909,312">
              <v:shape style="position:absolute;left:262;top:7451;width:1909;height:312" coordorigin="262,7451" coordsize="1909,312" path="m262,7763l2170,7763,2170,7451,262,7451,262,7763xe" filled="true" fillcolor="#d2d2d2" stroked="false">
                <v:path arrowok="t"/>
                <v:fill type="solid"/>
              </v:shape>
            </v:group>
            <v:group style="position:absolute;left:238;top:7436;width:1955;height:2" coordorigin="238,7436" coordsize="1955,2">
              <v:shape style="position:absolute;left:238;top:7436;width:1955;height:2" coordorigin="238,7436" coordsize="1955,0" path="m238,7436l2192,7436e" filled="false" stroked="true" strokeweight=".48001pt" strokecolor="#000000">
                <v:path arrowok="t"/>
              </v:shape>
            </v:group>
            <v:group style="position:absolute;left:2201;top:7436;width:1172;height:2" coordorigin="2201,7436" coordsize="1172,2">
              <v:shape style="position:absolute;left:2201;top:7436;width:1172;height:2" coordorigin="2201,7436" coordsize="1172,0" path="m2201,7436l3372,7436e" filled="false" stroked="true" strokeweight=".48001pt" strokecolor="#000000">
                <v:path arrowok="t"/>
              </v:shape>
            </v:group>
            <v:group style="position:absolute;left:3382;top:7436;width:228;height:2" coordorigin="3382,7436" coordsize="228,2">
              <v:shape style="position:absolute;left:3382;top:7436;width:228;height:2" coordorigin="3382,7436" coordsize="228,0" path="m3382,7436l3610,7436e" filled="false" stroked="true" strokeweight=".48001pt" strokecolor="#000000">
                <v:path arrowok="t"/>
              </v:shape>
            </v:group>
            <v:group style="position:absolute;left:3620;top:7436;width:227;height:2" coordorigin="3620,7436" coordsize="227,2">
              <v:shape style="position:absolute;left:3620;top:7436;width:227;height:2" coordorigin="3620,7436" coordsize="227,0" path="m3620,7436l3846,7436e" filled="false" stroked="true" strokeweight=".48001pt" strokecolor="#000000">
                <v:path arrowok="t"/>
              </v:shape>
            </v:group>
            <v:group style="position:absolute;left:3855;top:7436;width:226;height:2" coordorigin="3855,7436" coordsize="226,2">
              <v:shape style="position:absolute;left:3855;top:7436;width:226;height:2" coordorigin="3855,7436" coordsize="226,0" path="m3855,7436l4081,7436e" filled="false" stroked="true" strokeweight=".48001pt" strokecolor="#000000">
                <v:path arrowok="t"/>
              </v:shape>
            </v:group>
            <v:group style="position:absolute;left:4091;top:7436;width:1083;height:2" coordorigin="4091,7436" coordsize="1083,2">
              <v:shape style="position:absolute;left:4091;top:7436;width:1083;height:2" coordorigin="4091,7436" coordsize="1083,0" path="m4091,7436l5173,7436e" filled="false" stroked="true" strokeweight=".48001pt" strokecolor="#000000">
                <v:path arrowok="t"/>
              </v:shape>
            </v:group>
            <v:group style="position:absolute;left:5183;top:7436;width:406;height:2" coordorigin="5183,7436" coordsize="406,2">
              <v:shape style="position:absolute;left:5183;top:7436;width:406;height:2" coordorigin="5183,7436" coordsize="406,0" path="m5183,7436l5588,7436e" filled="false" stroked="true" strokeweight=".48001pt" strokecolor="#000000">
                <v:path arrowok="t"/>
              </v:shape>
            </v:group>
            <v:group style="position:absolute;left:5598;top:7436;width:930;height:2" coordorigin="5598,7436" coordsize="930,2">
              <v:shape style="position:absolute;left:5598;top:7436;width:930;height:2" coordorigin="5598,7436" coordsize="930,0" path="m5598,7436l6527,7436e" filled="false" stroked="true" strokeweight=".48001pt" strokecolor="#000000">
                <v:path arrowok="t"/>
              </v:shape>
            </v:group>
            <v:group style="position:absolute;left:6537;top:7436;width:353;height:2" coordorigin="6537,7436" coordsize="353,2">
              <v:shape style="position:absolute;left:6537;top:7436;width:353;height:2" coordorigin="6537,7436" coordsize="353,0" path="m6537,7436l6889,7436e" filled="false" stroked="true" strokeweight=".48001pt" strokecolor="#000000">
                <v:path arrowok="t"/>
              </v:shape>
            </v:group>
            <v:group style="position:absolute;left:6899;top:7436;width:1253;height:2" coordorigin="6899,7436" coordsize="1253,2">
              <v:shape style="position:absolute;left:6899;top:7436;width:1253;height:2" coordorigin="6899,7436" coordsize="1253,0" path="m6899,7436l8152,7436e" filled="false" stroked="true" strokeweight=".48001pt" strokecolor="#000000">
                <v:path arrowok="t"/>
              </v:shape>
            </v:group>
            <v:group style="position:absolute;left:8161;top:7436;width:531;height:2" coordorigin="8161,7436" coordsize="531,2">
              <v:shape style="position:absolute;left:8161;top:7436;width:531;height:2" coordorigin="8161,7436" coordsize="531,0" path="m8161,7436l8692,7436e" filled="false" stroked="true" strokeweight=".48001pt" strokecolor="#000000">
                <v:path arrowok="t"/>
              </v:shape>
            </v:group>
            <v:group style="position:absolute;left:8702;top:7436;width:1076;height:2" coordorigin="8702,7436" coordsize="1076,2">
              <v:shape style="position:absolute;left:8702;top:7436;width:1076;height:2" coordorigin="8702,7436" coordsize="1076,0" path="m8702,7436l9777,7436e" filled="false" stroked="true" strokeweight=".48001pt" strokecolor="#000000">
                <v:path arrowok="t"/>
              </v:shape>
            </v:group>
            <v:group style="position:absolute;left:9787;top:7436;width:473;height:2" coordorigin="9787,7436" coordsize="473,2">
              <v:shape style="position:absolute;left:9787;top:7436;width:473;height:2" coordorigin="9787,7436" coordsize="473,0" path="m9787,7436l10260,7436e" filled="false" stroked="true" strokeweight=".48001pt" strokecolor="#000000">
                <v:path arrowok="t"/>
              </v:shape>
            </v:group>
            <v:group style="position:absolute;left:10269;top:7436;width:1302;height:2" coordorigin="10269,7436" coordsize="1302,2">
              <v:shape style="position:absolute;left:10269;top:7436;width:1302;height:2" coordorigin="10269,7436" coordsize="1302,0" path="m10269,7436l11570,7436e" filled="false" stroked="true" strokeweight=".48001pt" strokecolor="#000000">
                <v:path arrowok="t"/>
              </v:shape>
            </v:group>
            <v:group style="position:absolute;left:251;top:7782;width:2;height:329" coordorigin="251,7782" coordsize="2,329">
              <v:shape style="position:absolute;left:251;top:7782;width:2;height:329" coordorigin="251,7782" coordsize="0,329" path="m251,7782l251,8111e" filled="false" stroked="true" strokeweight="1.08pt" strokecolor="#d2d2d2">
                <v:path arrowok="t"/>
              </v:shape>
            </v:group>
            <v:group style="position:absolute;left:2181;top:7782;width:2;height:329" coordorigin="2181,7782" coordsize="2,329">
              <v:shape style="position:absolute;left:2181;top:7782;width:2;height:329" coordorigin="2181,7782" coordsize="0,329" path="m2181,7782l2181,8111e" filled="false" stroked="true" strokeweight="1.08pt" strokecolor="#d2d2d2">
                <v:path arrowok="t"/>
              </v:shape>
            </v:group>
            <v:group style="position:absolute;left:262;top:7782;width:1909;height:312" coordorigin="262,7782" coordsize="1909,312">
              <v:shape style="position:absolute;left:262;top:7782;width:1909;height:312" coordorigin="262,7782" coordsize="1909,312" path="m262,8094l2170,8094,2170,7782,262,7782,262,8094xe" filled="true" fillcolor="#d2d2d2" stroked="false">
                <v:path arrowok="t"/>
                <v:fill type="solid"/>
              </v:shape>
            </v:group>
            <v:group style="position:absolute;left:262;top:8102;width:1909;height:2" coordorigin="262,8102" coordsize="1909,2">
              <v:shape style="position:absolute;left:262;top:8102;width:1909;height:2" coordorigin="262,8102" coordsize="1909,0" path="m262,8102l2170,8102e" filled="false" stroked="true" strokeweight=".84003pt" strokecolor="#d2d2d2">
                <v:path arrowok="t"/>
              </v:shape>
            </v:group>
            <v:group style="position:absolute;left:238;top:7775;width:1955;height:2" coordorigin="238,7775" coordsize="1955,2">
              <v:shape style="position:absolute;left:238;top:7775;width:1955;height:2" coordorigin="238,7775" coordsize="1955,0" path="m238,7775l2192,7775e" filled="false" stroked="true" strokeweight=".48001pt" strokecolor="#000000">
                <v:path arrowok="t"/>
              </v:shape>
            </v:group>
            <v:group style="position:absolute;left:2201;top:7775;width:1172;height:2" coordorigin="2201,7775" coordsize="1172,2">
              <v:shape style="position:absolute;left:2201;top:7775;width:1172;height:2" coordorigin="2201,7775" coordsize="1172,0" path="m2201,7775l3372,7775e" filled="false" stroked="true" strokeweight=".48001pt" strokecolor="#000000">
                <v:path arrowok="t"/>
              </v:shape>
            </v:group>
            <v:group style="position:absolute;left:3382;top:7775;width:228;height:2" coordorigin="3382,7775" coordsize="228,2">
              <v:shape style="position:absolute;left:3382;top:7775;width:228;height:2" coordorigin="3382,7775" coordsize="228,0" path="m3382,7775l3610,7775e" filled="false" stroked="true" strokeweight=".48001pt" strokecolor="#000000">
                <v:path arrowok="t"/>
              </v:shape>
            </v:group>
            <v:group style="position:absolute;left:3620;top:7775;width:227;height:2" coordorigin="3620,7775" coordsize="227,2">
              <v:shape style="position:absolute;left:3620;top:7775;width:227;height:2" coordorigin="3620,7775" coordsize="227,0" path="m3620,7775l3846,7775e" filled="false" stroked="true" strokeweight=".48001pt" strokecolor="#000000">
                <v:path arrowok="t"/>
              </v:shape>
            </v:group>
            <v:group style="position:absolute;left:3855;top:7775;width:226;height:2" coordorigin="3855,7775" coordsize="226,2">
              <v:shape style="position:absolute;left:3855;top:7775;width:226;height:2" coordorigin="3855,7775" coordsize="226,0" path="m3855,7775l4081,7775e" filled="false" stroked="true" strokeweight=".48001pt" strokecolor="#000000">
                <v:path arrowok="t"/>
              </v:shape>
            </v:group>
            <v:group style="position:absolute;left:4091;top:7775;width:1083;height:2" coordorigin="4091,7775" coordsize="1083,2">
              <v:shape style="position:absolute;left:4091;top:7775;width:1083;height:2" coordorigin="4091,7775" coordsize="1083,0" path="m4091,7775l5173,7775e" filled="false" stroked="true" strokeweight=".48001pt" strokecolor="#000000">
                <v:path arrowok="t"/>
              </v:shape>
            </v:group>
            <v:group style="position:absolute;left:5183;top:7775;width:406;height:2" coordorigin="5183,7775" coordsize="406,2">
              <v:shape style="position:absolute;left:5183;top:7775;width:406;height:2" coordorigin="5183,7775" coordsize="406,0" path="m5183,7775l5588,7775e" filled="false" stroked="true" strokeweight=".48001pt" strokecolor="#000000">
                <v:path arrowok="t"/>
              </v:shape>
            </v:group>
            <v:group style="position:absolute;left:5598;top:7775;width:930;height:2" coordorigin="5598,7775" coordsize="930,2">
              <v:shape style="position:absolute;left:5598;top:7775;width:930;height:2" coordorigin="5598,7775" coordsize="930,0" path="m5598,7775l6527,7775e" filled="false" stroked="true" strokeweight=".48001pt" strokecolor="#000000">
                <v:path arrowok="t"/>
              </v:shape>
            </v:group>
            <v:group style="position:absolute;left:6537;top:7775;width:353;height:2" coordorigin="6537,7775" coordsize="353,2">
              <v:shape style="position:absolute;left:6537;top:7775;width:353;height:2" coordorigin="6537,7775" coordsize="353,0" path="m6537,7775l6889,7775e" filled="false" stroked="true" strokeweight=".48001pt" strokecolor="#000000">
                <v:path arrowok="t"/>
              </v:shape>
            </v:group>
            <v:group style="position:absolute;left:6899;top:7775;width:1253;height:2" coordorigin="6899,7775" coordsize="1253,2">
              <v:shape style="position:absolute;left:6899;top:7775;width:1253;height:2" coordorigin="6899,7775" coordsize="1253,0" path="m6899,7775l8152,7775e" filled="false" stroked="true" strokeweight=".48001pt" strokecolor="#000000">
                <v:path arrowok="t"/>
              </v:shape>
            </v:group>
            <v:group style="position:absolute;left:8161;top:7775;width:531;height:2" coordorigin="8161,7775" coordsize="531,2">
              <v:shape style="position:absolute;left:8161;top:7775;width:531;height:2" coordorigin="8161,7775" coordsize="531,0" path="m8161,7775l8692,7775e" filled="false" stroked="true" strokeweight=".48001pt" strokecolor="#000000">
                <v:path arrowok="t"/>
              </v:shape>
            </v:group>
            <v:group style="position:absolute;left:8702;top:7775;width:1076;height:2" coordorigin="8702,7775" coordsize="1076,2">
              <v:shape style="position:absolute;left:8702;top:7775;width:1076;height:2" coordorigin="8702,7775" coordsize="1076,0" path="m8702,7775l9777,7775e" filled="false" stroked="true" strokeweight=".48001pt" strokecolor="#000000">
                <v:path arrowok="t"/>
              </v:shape>
            </v:group>
            <v:group style="position:absolute;left:9787;top:7775;width:473;height:2" coordorigin="9787,7775" coordsize="473,2">
              <v:shape style="position:absolute;left:9787;top:7775;width:473;height:2" coordorigin="9787,7775" coordsize="473,0" path="m9787,7775l10260,7775e" filled="false" stroked="true" strokeweight=".48001pt" strokecolor="#000000">
                <v:path arrowok="t"/>
              </v:shape>
            </v:group>
            <v:group style="position:absolute;left:10269;top:7775;width:1302;height:2" coordorigin="10269,7775" coordsize="1302,2">
              <v:shape style="position:absolute;left:10269;top:7775;width:1302;height:2" coordorigin="10269,7775" coordsize="1302,0" path="m10269,7775l11570,7775e" filled="false" stroked="true" strokeweight=".48001pt" strokecolor="#000000">
                <v:path arrowok="t"/>
              </v:shape>
            </v:group>
            <v:group style="position:absolute;left:251;top:8120;width:2;height:557" coordorigin="251,8120" coordsize="2,557">
              <v:shape style="position:absolute;left:251;top:8120;width:2;height:557" coordorigin="251,8120" coordsize="0,557" path="m251,8120l251,8677e" filled="false" stroked="true" strokeweight="1.08pt" strokecolor="#d2d2d2">
                <v:path arrowok="t"/>
              </v:shape>
            </v:group>
            <v:group style="position:absolute;left:2181;top:8120;width:2;height:557" coordorigin="2181,8120" coordsize="2,557">
              <v:shape style="position:absolute;left:2181;top:8120;width:2;height:557" coordorigin="2181,8120" coordsize="0,557" path="m2181,8120l2181,8677e" filled="false" stroked="true" strokeweight="1.08pt" strokecolor="#d2d2d2">
                <v:path arrowok="t"/>
              </v:shape>
            </v:group>
            <v:group style="position:absolute;left:262;top:8120;width:1909;height:312" coordorigin="262,8120" coordsize="1909,312">
              <v:shape style="position:absolute;left:262;top:8120;width:1909;height:312" coordorigin="262,8120" coordsize="1909,312" path="m262,8432l2170,8432,2170,8120,262,8120,262,8432xe" filled="true" fillcolor="#d2d2d2" stroked="false">
                <v:path arrowok="t"/>
                <v:fill type="solid"/>
              </v:shape>
            </v:group>
            <v:group style="position:absolute;left:262;top:8432;width:1909;height:245" coordorigin="262,8432" coordsize="1909,245">
              <v:shape style="position:absolute;left:262;top:8432;width:1909;height:245" coordorigin="262,8432" coordsize="1909,245" path="m262,8677l2170,8677,2170,8432,262,8432,262,8677xe" filled="true" fillcolor="#d2d2d2" stroked="false">
                <v:path arrowok="t"/>
                <v:fill type="solid"/>
              </v:shape>
            </v:group>
            <v:group style="position:absolute;left:238;top:8115;width:1955;height:2" coordorigin="238,8115" coordsize="1955,2">
              <v:shape style="position:absolute;left:238;top:8115;width:1955;height:2" coordorigin="238,8115" coordsize="1955,0" path="m238,8115l2192,8115e" filled="false" stroked="true" strokeweight=".47998pt" strokecolor="#000000">
                <v:path arrowok="t"/>
              </v:shape>
            </v:group>
            <v:group style="position:absolute;left:2201;top:8115;width:1172;height:2" coordorigin="2201,8115" coordsize="1172,2">
              <v:shape style="position:absolute;left:2201;top:8115;width:1172;height:2" coordorigin="2201,8115" coordsize="1172,0" path="m2201,8115l3372,8115e" filled="false" stroked="true" strokeweight=".47998pt" strokecolor="#000000">
                <v:path arrowok="t"/>
              </v:shape>
            </v:group>
            <v:group style="position:absolute;left:3382;top:8115;width:228;height:2" coordorigin="3382,8115" coordsize="228,2">
              <v:shape style="position:absolute;left:3382;top:8115;width:228;height:2" coordorigin="3382,8115" coordsize="228,0" path="m3382,8115l3610,8115e" filled="false" stroked="true" strokeweight=".47998pt" strokecolor="#000000">
                <v:path arrowok="t"/>
              </v:shape>
            </v:group>
            <v:group style="position:absolute;left:3620;top:8115;width:227;height:2" coordorigin="3620,8115" coordsize="227,2">
              <v:shape style="position:absolute;left:3620;top:8115;width:227;height:2" coordorigin="3620,8115" coordsize="227,0" path="m3620,8115l3846,8115e" filled="false" stroked="true" strokeweight=".47998pt" strokecolor="#000000">
                <v:path arrowok="t"/>
              </v:shape>
            </v:group>
            <v:group style="position:absolute;left:3855;top:8115;width:226;height:2" coordorigin="3855,8115" coordsize="226,2">
              <v:shape style="position:absolute;left:3855;top:8115;width:226;height:2" coordorigin="3855,8115" coordsize="226,0" path="m3855,8115l4081,8115e" filled="false" stroked="true" strokeweight=".47998pt" strokecolor="#000000">
                <v:path arrowok="t"/>
              </v:shape>
            </v:group>
            <v:group style="position:absolute;left:4091;top:8115;width:1083;height:2" coordorigin="4091,8115" coordsize="1083,2">
              <v:shape style="position:absolute;left:4091;top:8115;width:1083;height:2" coordorigin="4091,8115" coordsize="1083,0" path="m4091,8115l5173,8115e" filled="false" stroked="true" strokeweight=".47998pt" strokecolor="#000000">
                <v:path arrowok="t"/>
              </v:shape>
            </v:group>
            <v:group style="position:absolute;left:5183;top:8115;width:406;height:2" coordorigin="5183,8115" coordsize="406,2">
              <v:shape style="position:absolute;left:5183;top:8115;width:406;height:2" coordorigin="5183,8115" coordsize="406,0" path="m5183,8115l5588,8115e" filled="false" stroked="true" strokeweight=".47998pt" strokecolor="#000000">
                <v:path arrowok="t"/>
              </v:shape>
            </v:group>
            <v:group style="position:absolute;left:5598;top:8115;width:930;height:2" coordorigin="5598,8115" coordsize="930,2">
              <v:shape style="position:absolute;left:5598;top:8115;width:930;height:2" coordorigin="5598,8115" coordsize="930,0" path="m5598,8115l6527,8115e" filled="false" stroked="true" strokeweight=".47998pt" strokecolor="#000000">
                <v:path arrowok="t"/>
              </v:shape>
            </v:group>
            <v:group style="position:absolute;left:6537;top:8115;width:353;height:2" coordorigin="6537,8115" coordsize="353,2">
              <v:shape style="position:absolute;left:6537;top:8115;width:353;height:2" coordorigin="6537,8115" coordsize="353,0" path="m6537,8115l6889,8115e" filled="false" stroked="true" strokeweight=".47998pt" strokecolor="#000000">
                <v:path arrowok="t"/>
              </v:shape>
            </v:group>
            <v:group style="position:absolute;left:6899;top:8115;width:1253;height:2" coordorigin="6899,8115" coordsize="1253,2">
              <v:shape style="position:absolute;left:6899;top:8115;width:1253;height:2" coordorigin="6899,8115" coordsize="1253,0" path="m6899,8115l8152,8115e" filled="false" stroked="true" strokeweight=".47998pt" strokecolor="#000000">
                <v:path arrowok="t"/>
              </v:shape>
            </v:group>
            <v:group style="position:absolute;left:8161;top:8115;width:531;height:2" coordorigin="8161,8115" coordsize="531,2">
              <v:shape style="position:absolute;left:8161;top:8115;width:531;height:2" coordorigin="8161,8115" coordsize="531,0" path="m8161,8115l8692,8115e" filled="false" stroked="true" strokeweight=".47998pt" strokecolor="#000000">
                <v:path arrowok="t"/>
              </v:shape>
            </v:group>
            <v:group style="position:absolute;left:8702;top:8115;width:1076;height:2" coordorigin="8702,8115" coordsize="1076,2">
              <v:shape style="position:absolute;left:8702;top:8115;width:1076;height:2" coordorigin="8702,8115" coordsize="1076,0" path="m8702,8115l9777,8115e" filled="false" stroked="true" strokeweight=".47998pt" strokecolor="#000000">
                <v:path arrowok="t"/>
              </v:shape>
            </v:group>
            <v:group style="position:absolute;left:9787;top:8115;width:473;height:2" coordorigin="9787,8115" coordsize="473,2">
              <v:shape style="position:absolute;left:9787;top:8115;width:473;height:2" coordorigin="9787,8115" coordsize="473,0" path="m9787,8115l10260,8115e" filled="false" stroked="true" strokeweight=".47998pt" strokecolor="#000000">
                <v:path arrowok="t"/>
              </v:shape>
            </v:group>
            <v:group style="position:absolute;left:10269;top:8115;width:1302;height:2" coordorigin="10269,8115" coordsize="1302,2">
              <v:shape style="position:absolute;left:10269;top:8115;width:1302;height:2" coordorigin="10269,8115" coordsize="1302,0" path="m10269,8115l11570,8115e" filled="false" stroked="true" strokeweight=".47998pt" strokecolor="#000000">
                <v:path arrowok="t"/>
              </v:shape>
            </v:group>
            <v:group style="position:absolute;left:240;top:8693;width:1952;height:2" coordorigin="240,8693" coordsize="1952,2">
              <v:shape style="position:absolute;left:240;top:8693;width:1952;height:2" coordorigin="240,8693" coordsize="1952,0" path="m240,8693l2192,8693e" filled="false" stroked="true" strokeweight=".36002pt" strokecolor="#d2d2d2">
                <v:path arrowok="t"/>
              </v:shape>
            </v:group>
            <v:group style="position:absolute;left:251;top:8696;width:2;height:312" coordorigin="251,8696" coordsize="2,312">
              <v:shape style="position:absolute;left:251;top:8696;width:2;height:312" coordorigin="251,8696" coordsize="0,312" path="m251,8696l251,9008e" filled="false" stroked="true" strokeweight="1.08pt" strokecolor="#d2d2d2">
                <v:path arrowok="t"/>
              </v:shape>
            </v:group>
            <v:group style="position:absolute;left:2181;top:8696;width:2;height:312" coordorigin="2181,8696" coordsize="2,312">
              <v:shape style="position:absolute;left:2181;top:8696;width:2;height:312" coordorigin="2181,8696" coordsize="0,312" path="m2181,8696l2181,9008e" filled="false" stroked="true" strokeweight="1.08pt" strokecolor="#d2d2d2">
                <v:path arrowok="t"/>
              </v:shape>
            </v:group>
            <v:group style="position:absolute;left:240;top:9013;width:1952;height:2" coordorigin="240,9013" coordsize="1952,2">
              <v:shape style="position:absolute;left:240;top:9013;width:1952;height:2" coordorigin="240,9013" coordsize="1952,0" path="m240,9013l2192,9013e" filled="false" stroked="true" strokeweight=".48001pt" strokecolor="#d2d2d2">
                <v:path arrowok="t"/>
              </v:shape>
            </v:group>
            <v:group style="position:absolute;left:262;top:8696;width:1909;height:312" coordorigin="262,8696" coordsize="1909,312">
              <v:shape style="position:absolute;left:262;top:8696;width:1909;height:312" coordorigin="262,8696" coordsize="1909,312" path="m262,9008l2170,9008,2170,8696,262,8696,262,9008xe" filled="true" fillcolor="#d2d2d2" stroked="false">
                <v:path arrowok="t"/>
                <v:fill type="solid"/>
              </v:shape>
            </v:group>
            <v:group style="position:absolute;left:238;top:8682;width:1955;height:2" coordorigin="238,8682" coordsize="1955,2">
              <v:shape style="position:absolute;left:238;top:8682;width:1955;height:2" coordorigin="238,8682" coordsize="1955,0" path="m238,8682l2192,8682e" filled="false" stroked="true" strokeweight=".48001pt" strokecolor="#000000">
                <v:path arrowok="t"/>
              </v:shape>
            </v:group>
            <v:group style="position:absolute;left:2201;top:8682;width:1172;height:2" coordorigin="2201,8682" coordsize="1172,2">
              <v:shape style="position:absolute;left:2201;top:8682;width:1172;height:2" coordorigin="2201,8682" coordsize="1172,0" path="m2201,8682l3372,8682e" filled="false" stroked="true" strokeweight=".48001pt" strokecolor="#000000">
                <v:path arrowok="t"/>
              </v:shape>
            </v:group>
            <v:group style="position:absolute;left:3382;top:8682;width:228;height:2" coordorigin="3382,8682" coordsize="228,2">
              <v:shape style="position:absolute;left:3382;top:8682;width:228;height:2" coordorigin="3382,8682" coordsize="228,0" path="m3382,8682l3610,8682e" filled="false" stroked="true" strokeweight=".48001pt" strokecolor="#000000">
                <v:path arrowok="t"/>
              </v:shape>
            </v:group>
            <v:group style="position:absolute;left:3620;top:8682;width:227;height:2" coordorigin="3620,8682" coordsize="227,2">
              <v:shape style="position:absolute;left:3620;top:8682;width:227;height:2" coordorigin="3620,8682" coordsize="227,0" path="m3620,8682l3846,8682e" filled="false" stroked="true" strokeweight=".48001pt" strokecolor="#000000">
                <v:path arrowok="t"/>
              </v:shape>
            </v:group>
            <v:group style="position:absolute;left:3855;top:8682;width:226;height:2" coordorigin="3855,8682" coordsize="226,2">
              <v:shape style="position:absolute;left:3855;top:8682;width:226;height:2" coordorigin="3855,8682" coordsize="226,0" path="m3855,8682l4081,8682e" filled="false" stroked="true" strokeweight=".48001pt" strokecolor="#000000">
                <v:path arrowok="t"/>
              </v:shape>
            </v:group>
            <v:group style="position:absolute;left:4091;top:8682;width:1083;height:2" coordorigin="4091,8682" coordsize="1083,2">
              <v:shape style="position:absolute;left:4091;top:8682;width:1083;height:2" coordorigin="4091,8682" coordsize="1083,0" path="m4091,8682l5173,8682e" filled="false" stroked="true" strokeweight=".48001pt" strokecolor="#000000">
                <v:path arrowok="t"/>
              </v:shape>
            </v:group>
            <v:group style="position:absolute;left:5183;top:8682;width:406;height:2" coordorigin="5183,8682" coordsize="406,2">
              <v:shape style="position:absolute;left:5183;top:8682;width:406;height:2" coordorigin="5183,8682" coordsize="406,0" path="m5183,8682l5588,8682e" filled="false" stroked="true" strokeweight=".48001pt" strokecolor="#000000">
                <v:path arrowok="t"/>
              </v:shape>
            </v:group>
            <v:group style="position:absolute;left:5598;top:8682;width:930;height:2" coordorigin="5598,8682" coordsize="930,2">
              <v:shape style="position:absolute;left:5598;top:8682;width:930;height:2" coordorigin="5598,8682" coordsize="930,0" path="m5598,8682l6527,8682e" filled="false" stroked="true" strokeweight=".48001pt" strokecolor="#000000">
                <v:path arrowok="t"/>
              </v:shape>
            </v:group>
            <v:group style="position:absolute;left:6537;top:8682;width:353;height:2" coordorigin="6537,8682" coordsize="353,2">
              <v:shape style="position:absolute;left:6537;top:8682;width:353;height:2" coordorigin="6537,8682" coordsize="353,0" path="m6537,8682l6889,8682e" filled="false" stroked="true" strokeweight=".48001pt" strokecolor="#000000">
                <v:path arrowok="t"/>
              </v:shape>
            </v:group>
            <v:group style="position:absolute;left:6899;top:8682;width:1253;height:2" coordorigin="6899,8682" coordsize="1253,2">
              <v:shape style="position:absolute;left:6899;top:8682;width:1253;height:2" coordorigin="6899,8682" coordsize="1253,0" path="m6899,8682l8152,8682e" filled="false" stroked="true" strokeweight=".48001pt" strokecolor="#000000">
                <v:path arrowok="t"/>
              </v:shape>
            </v:group>
            <v:group style="position:absolute;left:8161;top:8682;width:531;height:2" coordorigin="8161,8682" coordsize="531,2">
              <v:shape style="position:absolute;left:8161;top:8682;width:531;height:2" coordorigin="8161,8682" coordsize="531,0" path="m8161,8682l8692,8682e" filled="false" stroked="true" strokeweight=".48001pt" strokecolor="#000000">
                <v:path arrowok="t"/>
              </v:shape>
            </v:group>
            <v:group style="position:absolute;left:8702;top:8682;width:1076;height:2" coordorigin="8702,8682" coordsize="1076,2">
              <v:shape style="position:absolute;left:8702;top:8682;width:1076;height:2" coordorigin="8702,8682" coordsize="1076,0" path="m8702,8682l9777,8682e" filled="false" stroked="true" strokeweight=".48001pt" strokecolor="#000000">
                <v:path arrowok="t"/>
              </v:shape>
            </v:group>
            <v:group style="position:absolute;left:9787;top:8682;width:473;height:2" coordorigin="9787,8682" coordsize="473,2">
              <v:shape style="position:absolute;left:9787;top:8682;width:473;height:2" coordorigin="9787,8682" coordsize="473,0" path="m9787,8682l10260,8682e" filled="false" stroked="true" strokeweight=".48001pt" strokecolor="#000000">
                <v:path arrowok="t"/>
              </v:shape>
            </v:group>
            <v:group style="position:absolute;left:10269;top:8682;width:1302;height:2" coordorigin="10269,8682" coordsize="1302,2">
              <v:shape style="position:absolute;left:10269;top:8682;width:1302;height:2" coordorigin="10269,8682" coordsize="1302,0" path="m10269,8682l11570,8682e" filled="false" stroked="true" strokeweight=".48001pt" strokecolor="#000000">
                <v:path arrowok="t"/>
              </v:shape>
            </v:group>
            <v:group style="position:absolute;left:240;top:9032;width:1952;height:2" coordorigin="240,9032" coordsize="1952,2">
              <v:shape style="position:absolute;left:240;top:9032;width:1952;height:2" coordorigin="240,9032" coordsize="1952,0" path="m240,9032l2192,9032e" filled="false" stroked="true" strokeweight=".47998pt" strokecolor="#d2d2d2">
                <v:path arrowok="t"/>
              </v:shape>
            </v:group>
            <v:group style="position:absolute;left:251;top:9037;width:2;height:313" coordorigin="251,9037" coordsize="2,313">
              <v:shape style="position:absolute;left:251;top:9037;width:2;height:313" coordorigin="251,9037" coordsize="0,313" path="m251,9037l251,9349e" filled="false" stroked="true" strokeweight="1.08pt" strokecolor="#d2d2d2">
                <v:path arrowok="t"/>
              </v:shape>
            </v:group>
            <v:group style="position:absolute;left:2181;top:9037;width:2;height:313" coordorigin="2181,9037" coordsize="2,313">
              <v:shape style="position:absolute;left:2181;top:9037;width:2;height:313" coordorigin="2181,9037" coordsize="0,313" path="m2181,9037l2181,9349e" filled="false" stroked="true" strokeweight="1.08pt" strokecolor="#d2d2d2">
                <v:path arrowok="t"/>
              </v:shape>
            </v:group>
            <v:group style="position:absolute;left:240;top:9354;width:1952;height:2" coordorigin="240,9354" coordsize="1952,2">
              <v:shape style="position:absolute;left:240;top:9354;width:1952;height:2" coordorigin="240,9354" coordsize="1952,0" path="m240,9354l2192,9354e" filled="false" stroked="true" strokeweight=".47998pt" strokecolor="#d2d2d2">
                <v:path arrowok="t"/>
              </v:shape>
            </v:group>
            <v:group style="position:absolute;left:262;top:9037;width:1909;height:313" coordorigin="262,9037" coordsize="1909,313">
              <v:shape style="position:absolute;left:262;top:9037;width:1909;height:313" coordorigin="262,9037" coordsize="1909,313" path="m262,9349l2170,9349,2170,9037,262,9037,262,9349xe" filled="true" fillcolor="#d2d2d2" stroked="false">
                <v:path arrowok="t"/>
                <v:fill type="solid"/>
              </v:shape>
            </v:group>
            <v:group style="position:absolute;left:238;top:9023;width:1955;height:2" coordorigin="238,9023" coordsize="1955,2">
              <v:shape style="position:absolute;left:238;top:9023;width:1955;height:2" coordorigin="238,9023" coordsize="1955,0" path="m238,9023l2192,9023e" filled="false" stroked="true" strokeweight=".48001pt" strokecolor="#000000">
                <v:path arrowok="t"/>
              </v:shape>
            </v:group>
            <v:group style="position:absolute;left:2201;top:9023;width:1172;height:2" coordorigin="2201,9023" coordsize="1172,2">
              <v:shape style="position:absolute;left:2201;top:9023;width:1172;height:2" coordorigin="2201,9023" coordsize="1172,0" path="m2201,9023l3372,9023e" filled="false" stroked="true" strokeweight=".48001pt" strokecolor="#000000">
                <v:path arrowok="t"/>
              </v:shape>
            </v:group>
            <v:group style="position:absolute;left:3382;top:9023;width:228;height:2" coordorigin="3382,9023" coordsize="228,2">
              <v:shape style="position:absolute;left:3382;top:9023;width:228;height:2" coordorigin="3382,9023" coordsize="228,0" path="m3382,9023l3610,9023e" filled="false" stroked="true" strokeweight=".48001pt" strokecolor="#000000">
                <v:path arrowok="t"/>
              </v:shape>
            </v:group>
            <v:group style="position:absolute;left:3620;top:9023;width:227;height:2" coordorigin="3620,9023" coordsize="227,2">
              <v:shape style="position:absolute;left:3620;top:9023;width:227;height:2" coordorigin="3620,9023" coordsize="227,0" path="m3620,9023l3846,9023e" filled="false" stroked="true" strokeweight=".48001pt" strokecolor="#000000">
                <v:path arrowok="t"/>
              </v:shape>
            </v:group>
            <v:group style="position:absolute;left:3855;top:9023;width:226;height:2" coordorigin="3855,9023" coordsize="226,2">
              <v:shape style="position:absolute;left:3855;top:9023;width:226;height:2" coordorigin="3855,9023" coordsize="226,0" path="m3855,9023l4081,9023e" filled="false" stroked="true" strokeweight=".48001pt" strokecolor="#000000">
                <v:path arrowok="t"/>
              </v:shape>
            </v:group>
            <v:group style="position:absolute;left:4091;top:9023;width:1083;height:2" coordorigin="4091,9023" coordsize="1083,2">
              <v:shape style="position:absolute;left:4091;top:9023;width:1083;height:2" coordorigin="4091,9023" coordsize="1083,0" path="m4091,9023l5173,9023e" filled="false" stroked="true" strokeweight=".48001pt" strokecolor="#000000">
                <v:path arrowok="t"/>
              </v:shape>
            </v:group>
            <v:group style="position:absolute;left:5183;top:9023;width:406;height:2" coordorigin="5183,9023" coordsize="406,2">
              <v:shape style="position:absolute;left:5183;top:9023;width:406;height:2" coordorigin="5183,9023" coordsize="406,0" path="m5183,9023l5588,9023e" filled="false" stroked="true" strokeweight=".48001pt" strokecolor="#000000">
                <v:path arrowok="t"/>
              </v:shape>
            </v:group>
            <v:group style="position:absolute;left:5598;top:9023;width:930;height:2" coordorigin="5598,9023" coordsize="930,2">
              <v:shape style="position:absolute;left:5598;top:9023;width:930;height:2" coordorigin="5598,9023" coordsize="930,0" path="m5598,9023l6527,9023e" filled="false" stroked="true" strokeweight=".48001pt" strokecolor="#000000">
                <v:path arrowok="t"/>
              </v:shape>
            </v:group>
            <v:group style="position:absolute;left:6537;top:9023;width:353;height:2" coordorigin="6537,9023" coordsize="353,2">
              <v:shape style="position:absolute;left:6537;top:9023;width:353;height:2" coordorigin="6537,9023" coordsize="353,0" path="m6537,9023l6889,9023e" filled="false" stroked="true" strokeweight=".48001pt" strokecolor="#000000">
                <v:path arrowok="t"/>
              </v:shape>
            </v:group>
            <v:group style="position:absolute;left:6899;top:9023;width:1253;height:2" coordorigin="6899,9023" coordsize="1253,2">
              <v:shape style="position:absolute;left:6899;top:9023;width:1253;height:2" coordorigin="6899,9023" coordsize="1253,0" path="m6899,9023l8152,9023e" filled="false" stroked="true" strokeweight=".48001pt" strokecolor="#000000">
                <v:path arrowok="t"/>
              </v:shape>
            </v:group>
            <v:group style="position:absolute;left:8161;top:9023;width:531;height:2" coordorigin="8161,9023" coordsize="531,2">
              <v:shape style="position:absolute;left:8161;top:9023;width:531;height:2" coordorigin="8161,9023" coordsize="531,0" path="m8161,9023l8692,9023e" filled="false" stroked="true" strokeweight=".48001pt" strokecolor="#000000">
                <v:path arrowok="t"/>
              </v:shape>
            </v:group>
            <v:group style="position:absolute;left:8702;top:9023;width:1076;height:2" coordorigin="8702,9023" coordsize="1076,2">
              <v:shape style="position:absolute;left:8702;top:9023;width:1076;height:2" coordorigin="8702,9023" coordsize="1076,0" path="m8702,9023l9777,9023e" filled="false" stroked="true" strokeweight=".48001pt" strokecolor="#000000">
                <v:path arrowok="t"/>
              </v:shape>
            </v:group>
            <v:group style="position:absolute;left:9787;top:9023;width:473;height:2" coordorigin="9787,9023" coordsize="473,2">
              <v:shape style="position:absolute;left:9787;top:9023;width:473;height:2" coordorigin="9787,9023" coordsize="473,0" path="m9787,9023l10260,9023e" filled="false" stroked="true" strokeweight=".48001pt" strokecolor="#000000">
                <v:path arrowok="t"/>
              </v:shape>
            </v:group>
            <v:group style="position:absolute;left:10269;top:9023;width:1302;height:2" coordorigin="10269,9023" coordsize="1302,2">
              <v:shape style="position:absolute;left:10269;top:9023;width:1302;height:2" coordorigin="10269,9023" coordsize="1302,0" path="m10269,9023l11570,9023e" filled="false" stroked="true" strokeweight=".48001pt" strokecolor="#000000">
                <v:path arrowok="t"/>
              </v:shape>
            </v:group>
            <v:group style="position:absolute;left:240;top:9373;width:1952;height:2" coordorigin="240,9373" coordsize="1952,2">
              <v:shape style="position:absolute;left:240;top:9373;width:1952;height:2" coordorigin="240,9373" coordsize="1952,0" path="m240,9373l2192,9373e" filled="false" stroked="true" strokeweight=".48001pt" strokecolor="#d2d2d2">
                <v:path arrowok="t"/>
              </v:shape>
            </v:group>
            <v:group style="position:absolute;left:251;top:9378;width:2;height:312" coordorigin="251,9378" coordsize="2,312">
              <v:shape style="position:absolute;left:251;top:9378;width:2;height:312" coordorigin="251,9378" coordsize="0,312" path="m251,9378l251,9690e" filled="false" stroked="true" strokeweight="1.08pt" strokecolor="#d2d2d2">
                <v:path arrowok="t"/>
              </v:shape>
            </v:group>
            <v:group style="position:absolute;left:2181;top:9378;width:2;height:312" coordorigin="2181,9378" coordsize="2,312">
              <v:shape style="position:absolute;left:2181;top:9378;width:2;height:312" coordorigin="2181,9378" coordsize="0,312" path="m2181,9378l2181,9690e" filled="false" stroked="true" strokeweight="1.08pt" strokecolor="#d2d2d2">
                <v:path arrowok="t"/>
              </v:shape>
            </v:group>
            <v:group style="position:absolute;left:240;top:9694;width:1952;height:2" coordorigin="240,9694" coordsize="1952,2">
              <v:shape style="position:absolute;left:240;top:9694;width:1952;height:2" coordorigin="240,9694" coordsize="1952,0" path="m240,9694l2192,9694e" filled="false" stroked="true" strokeweight=".36002pt" strokecolor="#d2d2d2">
                <v:path arrowok="t"/>
              </v:shape>
            </v:group>
            <v:group style="position:absolute;left:262;top:9378;width:1909;height:312" coordorigin="262,9378" coordsize="1909,312">
              <v:shape style="position:absolute;left:262;top:9378;width:1909;height:312" coordorigin="262,9378" coordsize="1909,312" path="m262,9690l2170,9690,2170,9378,262,9378,262,9690xe" filled="true" fillcolor="#d2d2d2" stroked="false">
                <v:path arrowok="t"/>
                <v:fill type="solid"/>
              </v:shape>
            </v:group>
            <v:group style="position:absolute;left:238;top:9364;width:1955;height:2" coordorigin="238,9364" coordsize="1955,2">
              <v:shape style="position:absolute;left:238;top:9364;width:1955;height:2" coordorigin="238,9364" coordsize="1955,0" path="m238,9364l2192,9364e" filled="false" stroked="true" strokeweight=".48001pt" strokecolor="#000000">
                <v:path arrowok="t"/>
              </v:shape>
            </v:group>
            <v:group style="position:absolute;left:2201;top:9364;width:1172;height:2" coordorigin="2201,9364" coordsize="1172,2">
              <v:shape style="position:absolute;left:2201;top:9364;width:1172;height:2" coordorigin="2201,9364" coordsize="1172,0" path="m2201,9364l3372,9364e" filled="false" stroked="true" strokeweight=".48001pt" strokecolor="#000000">
                <v:path arrowok="t"/>
              </v:shape>
            </v:group>
            <v:group style="position:absolute;left:3382;top:9364;width:228;height:2" coordorigin="3382,9364" coordsize="228,2">
              <v:shape style="position:absolute;left:3382;top:9364;width:228;height:2" coordorigin="3382,9364" coordsize="228,0" path="m3382,9364l3610,9364e" filled="false" stroked="true" strokeweight=".48001pt" strokecolor="#000000">
                <v:path arrowok="t"/>
              </v:shape>
            </v:group>
            <v:group style="position:absolute;left:3620;top:9364;width:227;height:2" coordorigin="3620,9364" coordsize="227,2">
              <v:shape style="position:absolute;left:3620;top:9364;width:227;height:2" coordorigin="3620,9364" coordsize="227,0" path="m3620,9364l3846,9364e" filled="false" stroked="true" strokeweight=".48001pt" strokecolor="#000000">
                <v:path arrowok="t"/>
              </v:shape>
            </v:group>
            <v:group style="position:absolute;left:3855;top:9364;width:226;height:2" coordorigin="3855,9364" coordsize="226,2">
              <v:shape style="position:absolute;left:3855;top:9364;width:226;height:2" coordorigin="3855,9364" coordsize="226,0" path="m3855,9364l4081,9364e" filled="false" stroked="true" strokeweight=".48001pt" strokecolor="#000000">
                <v:path arrowok="t"/>
              </v:shape>
            </v:group>
            <v:group style="position:absolute;left:4091;top:9364;width:1083;height:2" coordorigin="4091,9364" coordsize="1083,2">
              <v:shape style="position:absolute;left:4091;top:9364;width:1083;height:2" coordorigin="4091,9364" coordsize="1083,0" path="m4091,9364l5173,9364e" filled="false" stroked="true" strokeweight=".48001pt" strokecolor="#000000">
                <v:path arrowok="t"/>
              </v:shape>
            </v:group>
            <v:group style="position:absolute;left:5183;top:9364;width:406;height:2" coordorigin="5183,9364" coordsize="406,2">
              <v:shape style="position:absolute;left:5183;top:9364;width:406;height:2" coordorigin="5183,9364" coordsize="406,0" path="m5183,9364l5588,9364e" filled="false" stroked="true" strokeweight=".48001pt" strokecolor="#000000">
                <v:path arrowok="t"/>
              </v:shape>
            </v:group>
            <v:group style="position:absolute;left:5598;top:9364;width:930;height:2" coordorigin="5598,9364" coordsize="930,2">
              <v:shape style="position:absolute;left:5598;top:9364;width:930;height:2" coordorigin="5598,9364" coordsize="930,0" path="m5598,9364l6527,9364e" filled="false" stroked="true" strokeweight=".48001pt" strokecolor="#000000">
                <v:path arrowok="t"/>
              </v:shape>
            </v:group>
            <v:group style="position:absolute;left:6537;top:9364;width:353;height:2" coordorigin="6537,9364" coordsize="353,2">
              <v:shape style="position:absolute;left:6537;top:9364;width:353;height:2" coordorigin="6537,9364" coordsize="353,0" path="m6537,9364l6889,9364e" filled="false" stroked="true" strokeweight=".48001pt" strokecolor="#000000">
                <v:path arrowok="t"/>
              </v:shape>
            </v:group>
            <v:group style="position:absolute;left:6899;top:9364;width:1253;height:2" coordorigin="6899,9364" coordsize="1253,2">
              <v:shape style="position:absolute;left:6899;top:9364;width:1253;height:2" coordorigin="6899,9364" coordsize="1253,0" path="m6899,9364l8152,9364e" filled="false" stroked="true" strokeweight=".48001pt" strokecolor="#000000">
                <v:path arrowok="t"/>
              </v:shape>
            </v:group>
            <v:group style="position:absolute;left:8161;top:9364;width:531;height:2" coordorigin="8161,9364" coordsize="531,2">
              <v:shape style="position:absolute;left:8161;top:9364;width:531;height:2" coordorigin="8161,9364" coordsize="531,0" path="m8161,9364l8692,9364e" filled="false" stroked="true" strokeweight=".48001pt" strokecolor="#000000">
                <v:path arrowok="t"/>
              </v:shape>
            </v:group>
            <v:group style="position:absolute;left:8702;top:9364;width:1076;height:2" coordorigin="8702,9364" coordsize="1076,2">
              <v:shape style="position:absolute;left:8702;top:9364;width:1076;height:2" coordorigin="8702,9364" coordsize="1076,0" path="m8702,9364l9777,9364e" filled="false" stroked="true" strokeweight=".48001pt" strokecolor="#000000">
                <v:path arrowok="t"/>
              </v:shape>
            </v:group>
            <v:group style="position:absolute;left:9787;top:9364;width:473;height:2" coordorigin="9787,9364" coordsize="473,2">
              <v:shape style="position:absolute;left:9787;top:9364;width:473;height:2" coordorigin="9787,9364" coordsize="473,0" path="m9787,9364l10260,9364e" filled="false" stroked="true" strokeweight=".48001pt" strokecolor="#000000">
                <v:path arrowok="t"/>
              </v:shape>
            </v:group>
            <v:group style="position:absolute;left:10269;top:9364;width:1302;height:2" coordorigin="10269,9364" coordsize="1302,2">
              <v:shape style="position:absolute;left:10269;top:9364;width:1302;height:2" coordorigin="10269,9364" coordsize="1302,0" path="m10269,9364l11570,9364e" filled="false" stroked="true" strokeweight=".48001pt" strokecolor="#000000">
                <v:path arrowok="t"/>
              </v:shape>
            </v:group>
            <v:group style="position:absolute;left:240;top:9713;width:1952;height:2" coordorigin="240,9713" coordsize="1952,2">
              <v:shape style="position:absolute;left:240;top:9713;width:1952;height:2" coordorigin="240,9713" coordsize="1952,0" path="m240,9713l2192,9713e" filled="false" stroked="true" strokeweight=".35999pt" strokecolor="#d2d2d2">
                <v:path arrowok="t"/>
              </v:shape>
            </v:group>
            <v:group style="position:absolute;left:251;top:9717;width:2;height:312" coordorigin="251,9717" coordsize="2,312">
              <v:shape style="position:absolute;left:251;top:9717;width:2;height:312" coordorigin="251,9717" coordsize="0,312" path="m251,9717l251,10029e" filled="false" stroked="true" strokeweight="1.08pt" strokecolor="#d2d2d2">
                <v:path arrowok="t"/>
              </v:shape>
            </v:group>
            <v:group style="position:absolute;left:2181;top:9717;width:2;height:312" coordorigin="2181,9717" coordsize="2,312">
              <v:shape style="position:absolute;left:2181;top:9717;width:2;height:312" coordorigin="2181,9717" coordsize="0,312" path="m2181,9717l2181,10029e" filled="false" stroked="true" strokeweight="1.08pt" strokecolor="#d2d2d2">
                <v:path arrowok="t"/>
              </v:shape>
            </v:group>
            <v:group style="position:absolute;left:240;top:10033;width:1952;height:2" coordorigin="240,10033" coordsize="1952,2">
              <v:shape style="position:absolute;left:240;top:10033;width:1952;height:2" coordorigin="240,10033" coordsize="1952,0" path="m240,10033l2192,10033e" filled="false" stroked="true" strokeweight=".48001pt" strokecolor="#d2d2d2">
                <v:path arrowok="t"/>
              </v:shape>
            </v:group>
            <v:group style="position:absolute;left:262;top:9717;width:1909;height:312" coordorigin="262,9717" coordsize="1909,312">
              <v:shape style="position:absolute;left:262;top:9717;width:1909;height:312" coordorigin="262,9717" coordsize="1909,312" path="m262,10029l2170,10029,2170,9717,262,9717,262,10029xe" filled="true" fillcolor="#d2d2d2" stroked="false">
                <v:path arrowok="t"/>
                <v:fill type="solid"/>
              </v:shape>
            </v:group>
            <v:group style="position:absolute;left:238;top:9702;width:1955;height:2" coordorigin="238,9702" coordsize="1955,2">
              <v:shape style="position:absolute;left:238;top:9702;width:1955;height:2" coordorigin="238,9702" coordsize="1955,0" path="m238,9702l2192,9702e" filled="false" stroked="true" strokeweight=".47998pt" strokecolor="#000000">
                <v:path arrowok="t"/>
              </v:shape>
            </v:group>
            <v:group style="position:absolute;left:2201;top:9702;width:1172;height:2" coordorigin="2201,9702" coordsize="1172,2">
              <v:shape style="position:absolute;left:2201;top:9702;width:1172;height:2" coordorigin="2201,9702" coordsize="1172,0" path="m2201,9702l3372,9702e" filled="false" stroked="true" strokeweight=".47998pt" strokecolor="#000000">
                <v:path arrowok="t"/>
              </v:shape>
            </v:group>
            <v:group style="position:absolute;left:3382;top:9702;width:228;height:2" coordorigin="3382,9702" coordsize="228,2">
              <v:shape style="position:absolute;left:3382;top:9702;width:228;height:2" coordorigin="3382,9702" coordsize="228,0" path="m3382,9702l3610,9702e" filled="false" stroked="true" strokeweight=".47998pt" strokecolor="#000000">
                <v:path arrowok="t"/>
              </v:shape>
            </v:group>
            <v:group style="position:absolute;left:3620;top:9702;width:227;height:2" coordorigin="3620,9702" coordsize="227,2">
              <v:shape style="position:absolute;left:3620;top:9702;width:227;height:2" coordorigin="3620,9702" coordsize="227,0" path="m3620,9702l3846,9702e" filled="false" stroked="true" strokeweight=".47998pt" strokecolor="#000000">
                <v:path arrowok="t"/>
              </v:shape>
            </v:group>
            <v:group style="position:absolute;left:3855;top:9702;width:226;height:2" coordorigin="3855,9702" coordsize="226,2">
              <v:shape style="position:absolute;left:3855;top:9702;width:226;height:2" coordorigin="3855,9702" coordsize="226,0" path="m3855,9702l4081,9702e" filled="false" stroked="true" strokeweight=".47998pt" strokecolor="#000000">
                <v:path arrowok="t"/>
              </v:shape>
            </v:group>
            <v:group style="position:absolute;left:4091;top:9702;width:1083;height:2" coordorigin="4091,9702" coordsize="1083,2">
              <v:shape style="position:absolute;left:4091;top:9702;width:1083;height:2" coordorigin="4091,9702" coordsize="1083,0" path="m4091,9702l5173,9702e" filled="false" stroked="true" strokeweight=".47998pt" strokecolor="#000000">
                <v:path arrowok="t"/>
              </v:shape>
            </v:group>
            <v:group style="position:absolute;left:5183;top:9702;width:406;height:2" coordorigin="5183,9702" coordsize="406,2">
              <v:shape style="position:absolute;left:5183;top:9702;width:406;height:2" coordorigin="5183,9702" coordsize="406,0" path="m5183,9702l5588,9702e" filled="false" stroked="true" strokeweight=".47998pt" strokecolor="#000000">
                <v:path arrowok="t"/>
              </v:shape>
            </v:group>
            <v:group style="position:absolute;left:5598;top:9702;width:930;height:2" coordorigin="5598,9702" coordsize="930,2">
              <v:shape style="position:absolute;left:5598;top:9702;width:930;height:2" coordorigin="5598,9702" coordsize="930,0" path="m5598,9702l6527,9702e" filled="false" stroked="true" strokeweight=".47998pt" strokecolor="#000000">
                <v:path arrowok="t"/>
              </v:shape>
            </v:group>
            <v:group style="position:absolute;left:6537;top:9702;width:353;height:2" coordorigin="6537,9702" coordsize="353,2">
              <v:shape style="position:absolute;left:6537;top:9702;width:353;height:2" coordorigin="6537,9702" coordsize="353,0" path="m6537,9702l6889,9702e" filled="false" stroked="true" strokeweight=".47998pt" strokecolor="#000000">
                <v:path arrowok="t"/>
              </v:shape>
            </v:group>
            <v:group style="position:absolute;left:6899;top:9702;width:1253;height:2" coordorigin="6899,9702" coordsize="1253,2">
              <v:shape style="position:absolute;left:6899;top:9702;width:1253;height:2" coordorigin="6899,9702" coordsize="1253,0" path="m6899,9702l8152,9702e" filled="false" stroked="true" strokeweight=".47998pt" strokecolor="#000000">
                <v:path arrowok="t"/>
              </v:shape>
            </v:group>
            <v:group style="position:absolute;left:8161;top:9702;width:531;height:2" coordorigin="8161,9702" coordsize="531,2">
              <v:shape style="position:absolute;left:8161;top:9702;width:531;height:2" coordorigin="8161,9702" coordsize="531,0" path="m8161,9702l8692,9702e" filled="false" stroked="true" strokeweight=".47998pt" strokecolor="#000000">
                <v:path arrowok="t"/>
              </v:shape>
            </v:group>
            <v:group style="position:absolute;left:8702;top:9702;width:1076;height:2" coordorigin="8702,9702" coordsize="1076,2">
              <v:shape style="position:absolute;left:8702;top:9702;width:1076;height:2" coordorigin="8702,9702" coordsize="1076,0" path="m8702,9702l9777,9702e" filled="false" stroked="true" strokeweight=".47998pt" strokecolor="#000000">
                <v:path arrowok="t"/>
              </v:shape>
            </v:group>
            <v:group style="position:absolute;left:9787;top:9702;width:473;height:2" coordorigin="9787,9702" coordsize="473,2">
              <v:shape style="position:absolute;left:9787;top:9702;width:473;height:2" coordorigin="9787,9702" coordsize="473,0" path="m9787,9702l10260,9702e" filled="false" stroked="true" strokeweight=".47998pt" strokecolor="#000000">
                <v:path arrowok="t"/>
              </v:shape>
            </v:group>
            <v:group style="position:absolute;left:10269;top:9702;width:1302;height:2" coordorigin="10269,9702" coordsize="1302,2">
              <v:shape style="position:absolute;left:10269;top:9702;width:1302;height:2" coordorigin="10269,9702" coordsize="1302,0" path="m10269,9702l11570,9702e" filled="false" stroked="true" strokeweight=".47998pt" strokecolor="#000000">
                <v:path arrowok="t"/>
              </v:shape>
            </v:group>
            <v:group style="position:absolute;left:251;top:10048;width:2;height:557" coordorigin="251,10048" coordsize="2,557">
              <v:shape style="position:absolute;left:251;top:10048;width:2;height:557" coordorigin="251,10048" coordsize="0,557" path="m251,10048l251,10605e" filled="false" stroked="true" strokeweight="1.08pt" strokecolor="#d2d2d2">
                <v:path arrowok="t"/>
              </v:shape>
            </v:group>
            <v:group style="position:absolute;left:2181;top:10048;width:2;height:557" coordorigin="2181,10048" coordsize="2,557">
              <v:shape style="position:absolute;left:2181;top:10048;width:2;height:557" coordorigin="2181,10048" coordsize="0,557" path="m2181,10048l2181,10605e" filled="false" stroked="true" strokeweight="1.08pt" strokecolor="#d2d2d2">
                <v:path arrowok="t"/>
              </v:shape>
            </v:group>
            <v:group style="position:absolute;left:262;top:10048;width:1909;height:312" coordorigin="262,10048" coordsize="1909,312">
              <v:shape style="position:absolute;left:262;top:10048;width:1909;height:312" coordorigin="262,10048" coordsize="1909,312" path="m262,10360l2170,10360,2170,10048,262,10048,262,10360xe" filled="true" fillcolor="#d2d2d2" stroked="false">
                <v:path arrowok="t"/>
                <v:fill type="solid"/>
              </v:shape>
            </v:group>
            <v:group style="position:absolute;left:262;top:10360;width:1909;height:245" coordorigin="262,10360" coordsize="1909,245">
              <v:shape style="position:absolute;left:262;top:10360;width:1909;height:245" coordorigin="262,10360" coordsize="1909,245" path="m262,10605l2170,10605,2170,10360,262,10360,262,10605xe" filled="true" fillcolor="#d2d2d2" stroked="false">
                <v:path arrowok="t"/>
                <v:fill type="solid"/>
              </v:shape>
            </v:group>
            <v:group style="position:absolute;left:238;top:10043;width:1955;height:2" coordorigin="238,10043" coordsize="1955,2">
              <v:shape style="position:absolute;left:238;top:10043;width:1955;height:2" coordorigin="238,10043" coordsize="1955,0" path="m238,10043l2192,10043e" filled="false" stroked="true" strokeweight=".47998pt" strokecolor="#000000">
                <v:path arrowok="t"/>
              </v:shape>
            </v:group>
            <v:group style="position:absolute;left:2201;top:10043;width:1172;height:2" coordorigin="2201,10043" coordsize="1172,2">
              <v:shape style="position:absolute;left:2201;top:10043;width:1172;height:2" coordorigin="2201,10043" coordsize="1172,0" path="m2201,10043l3372,10043e" filled="false" stroked="true" strokeweight=".47998pt" strokecolor="#000000">
                <v:path arrowok="t"/>
              </v:shape>
            </v:group>
            <v:group style="position:absolute;left:3382;top:10043;width:228;height:2" coordorigin="3382,10043" coordsize="228,2">
              <v:shape style="position:absolute;left:3382;top:10043;width:228;height:2" coordorigin="3382,10043" coordsize="228,0" path="m3382,10043l3610,10043e" filled="false" stroked="true" strokeweight=".47998pt" strokecolor="#000000">
                <v:path arrowok="t"/>
              </v:shape>
            </v:group>
            <v:group style="position:absolute;left:3620;top:10043;width:227;height:2" coordorigin="3620,10043" coordsize="227,2">
              <v:shape style="position:absolute;left:3620;top:10043;width:227;height:2" coordorigin="3620,10043" coordsize="227,0" path="m3620,10043l3846,10043e" filled="false" stroked="true" strokeweight=".47998pt" strokecolor="#000000">
                <v:path arrowok="t"/>
              </v:shape>
            </v:group>
            <v:group style="position:absolute;left:3855;top:10043;width:226;height:2" coordorigin="3855,10043" coordsize="226,2">
              <v:shape style="position:absolute;left:3855;top:10043;width:226;height:2" coordorigin="3855,10043" coordsize="226,0" path="m3855,10043l4081,10043e" filled="false" stroked="true" strokeweight=".47998pt" strokecolor="#000000">
                <v:path arrowok="t"/>
              </v:shape>
            </v:group>
            <v:group style="position:absolute;left:4091;top:10043;width:1083;height:2" coordorigin="4091,10043" coordsize="1083,2">
              <v:shape style="position:absolute;left:4091;top:10043;width:1083;height:2" coordorigin="4091,10043" coordsize="1083,0" path="m4091,10043l5173,10043e" filled="false" stroked="true" strokeweight=".47998pt" strokecolor="#000000">
                <v:path arrowok="t"/>
              </v:shape>
            </v:group>
            <v:group style="position:absolute;left:5183;top:10043;width:406;height:2" coordorigin="5183,10043" coordsize="406,2">
              <v:shape style="position:absolute;left:5183;top:10043;width:406;height:2" coordorigin="5183,10043" coordsize="406,0" path="m5183,10043l5588,10043e" filled="false" stroked="true" strokeweight=".47998pt" strokecolor="#000000">
                <v:path arrowok="t"/>
              </v:shape>
            </v:group>
            <v:group style="position:absolute;left:5598;top:10043;width:930;height:2" coordorigin="5598,10043" coordsize="930,2">
              <v:shape style="position:absolute;left:5598;top:10043;width:930;height:2" coordorigin="5598,10043" coordsize="930,0" path="m5598,10043l6527,10043e" filled="false" stroked="true" strokeweight=".47998pt" strokecolor="#000000">
                <v:path arrowok="t"/>
              </v:shape>
            </v:group>
            <v:group style="position:absolute;left:6537;top:10043;width:353;height:2" coordorigin="6537,10043" coordsize="353,2">
              <v:shape style="position:absolute;left:6537;top:10043;width:353;height:2" coordorigin="6537,10043" coordsize="353,0" path="m6537,10043l6889,10043e" filled="false" stroked="true" strokeweight=".47998pt" strokecolor="#000000">
                <v:path arrowok="t"/>
              </v:shape>
            </v:group>
            <v:group style="position:absolute;left:6899;top:10043;width:1253;height:2" coordorigin="6899,10043" coordsize="1253,2">
              <v:shape style="position:absolute;left:6899;top:10043;width:1253;height:2" coordorigin="6899,10043" coordsize="1253,0" path="m6899,10043l8152,10043e" filled="false" stroked="true" strokeweight=".47998pt" strokecolor="#000000">
                <v:path arrowok="t"/>
              </v:shape>
            </v:group>
            <v:group style="position:absolute;left:8161;top:10043;width:531;height:2" coordorigin="8161,10043" coordsize="531,2">
              <v:shape style="position:absolute;left:8161;top:10043;width:531;height:2" coordorigin="8161,10043" coordsize="531,0" path="m8161,10043l8692,10043e" filled="false" stroked="true" strokeweight=".47998pt" strokecolor="#000000">
                <v:path arrowok="t"/>
              </v:shape>
            </v:group>
            <v:group style="position:absolute;left:8702;top:10043;width:1076;height:2" coordorigin="8702,10043" coordsize="1076,2">
              <v:shape style="position:absolute;left:8702;top:10043;width:1076;height:2" coordorigin="8702,10043" coordsize="1076,0" path="m8702,10043l9777,10043e" filled="false" stroked="true" strokeweight=".47998pt" strokecolor="#000000">
                <v:path arrowok="t"/>
              </v:shape>
            </v:group>
            <v:group style="position:absolute;left:9787;top:10043;width:473;height:2" coordorigin="9787,10043" coordsize="473,2">
              <v:shape style="position:absolute;left:9787;top:10043;width:473;height:2" coordorigin="9787,10043" coordsize="473,0" path="m9787,10043l10260,10043e" filled="false" stroked="true" strokeweight=".47998pt" strokecolor="#000000">
                <v:path arrowok="t"/>
              </v:shape>
            </v:group>
            <v:group style="position:absolute;left:10269;top:10043;width:1302;height:2" coordorigin="10269,10043" coordsize="1302,2">
              <v:shape style="position:absolute;left:10269;top:10043;width:1302;height:2" coordorigin="10269,10043" coordsize="1302,0" path="m10269,10043l11570,10043e" filled="false" stroked="true" strokeweight=".47998pt" strokecolor="#000000">
                <v:path arrowok="t"/>
              </v:shape>
            </v:group>
            <v:group style="position:absolute;left:251;top:10614;width:2;height:262" coordorigin="251,10614" coordsize="2,262">
              <v:shape style="position:absolute;left:251;top:10614;width:2;height:262" coordorigin="251,10614" coordsize="0,262" path="m251,10614l251,10876e" filled="false" stroked="true" strokeweight="1.08pt" strokecolor="#d2d2d2">
                <v:path arrowok="t"/>
              </v:shape>
            </v:group>
            <v:group style="position:absolute;left:2181;top:10614;width:2;height:262" coordorigin="2181,10614" coordsize="2,262">
              <v:shape style="position:absolute;left:2181;top:10614;width:2;height:262" coordorigin="2181,10614" coordsize="0,262" path="m2181,10614l2181,10876e" filled="false" stroked="true" strokeweight="1.08pt" strokecolor="#d2d2d2">
                <v:path arrowok="t"/>
              </v:shape>
            </v:group>
            <v:group style="position:absolute;left:262;top:10614;width:1909;height:262" coordorigin="262,10614" coordsize="1909,262">
              <v:shape style="position:absolute;left:262;top:10614;width:1909;height:262" coordorigin="262,10614" coordsize="1909,262" path="m262,10876l2170,10876,2170,10614,262,10614,262,10876xe" filled="true" fillcolor="#d2d2d2" stroked="false">
                <v:path arrowok="t"/>
                <v:fill type="solid"/>
              </v:shape>
            </v:group>
            <v:group style="position:absolute;left:238;top:10609;width:1955;height:2" coordorigin="238,10609" coordsize="1955,2">
              <v:shape style="position:absolute;left:238;top:10609;width:1955;height:2" coordorigin="238,10609" coordsize="1955,0" path="m238,10609l2192,10609e" filled="false" stroked="true" strokeweight=".47998pt" strokecolor="#000000">
                <v:path arrowok="t"/>
              </v:shape>
            </v:group>
            <v:group style="position:absolute;left:2201;top:10609;width:1172;height:2" coordorigin="2201,10609" coordsize="1172,2">
              <v:shape style="position:absolute;left:2201;top:10609;width:1172;height:2" coordorigin="2201,10609" coordsize="1172,0" path="m2201,10609l3372,10609e" filled="false" stroked="true" strokeweight=".47998pt" strokecolor="#000000">
                <v:path arrowok="t"/>
              </v:shape>
            </v:group>
            <v:group style="position:absolute;left:3382;top:10609;width:228;height:2" coordorigin="3382,10609" coordsize="228,2">
              <v:shape style="position:absolute;left:3382;top:10609;width:228;height:2" coordorigin="3382,10609" coordsize="228,0" path="m3382,10609l3610,10609e" filled="false" stroked="true" strokeweight=".47998pt" strokecolor="#000000">
                <v:path arrowok="t"/>
              </v:shape>
            </v:group>
            <v:group style="position:absolute;left:3620;top:10609;width:227;height:2" coordorigin="3620,10609" coordsize="227,2">
              <v:shape style="position:absolute;left:3620;top:10609;width:227;height:2" coordorigin="3620,10609" coordsize="227,0" path="m3620,10609l3846,10609e" filled="false" stroked="true" strokeweight=".47998pt" strokecolor="#000000">
                <v:path arrowok="t"/>
              </v:shape>
            </v:group>
            <v:group style="position:absolute;left:3855;top:10609;width:226;height:2" coordorigin="3855,10609" coordsize="226,2">
              <v:shape style="position:absolute;left:3855;top:10609;width:226;height:2" coordorigin="3855,10609" coordsize="226,0" path="m3855,10609l4081,10609e" filled="false" stroked="true" strokeweight=".47998pt" strokecolor="#000000">
                <v:path arrowok="t"/>
              </v:shape>
            </v:group>
            <v:group style="position:absolute;left:4091;top:10609;width:1083;height:2" coordorigin="4091,10609" coordsize="1083,2">
              <v:shape style="position:absolute;left:4091;top:10609;width:1083;height:2" coordorigin="4091,10609" coordsize="1083,0" path="m4091,10609l5173,10609e" filled="false" stroked="true" strokeweight=".47998pt" strokecolor="#000000">
                <v:path arrowok="t"/>
              </v:shape>
            </v:group>
            <v:group style="position:absolute;left:5183;top:10609;width:406;height:2" coordorigin="5183,10609" coordsize="406,2">
              <v:shape style="position:absolute;left:5183;top:10609;width:406;height:2" coordorigin="5183,10609" coordsize="406,0" path="m5183,10609l5588,10609e" filled="false" stroked="true" strokeweight=".47998pt" strokecolor="#000000">
                <v:path arrowok="t"/>
              </v:shape>
            </v:group>
            <v:group style="position:absolute;left:5598;top:10609;width:930;height:2" coordorigin="5598,10609" coordsize="930,2">
              <v:shape style="position:absolute;left:5598;top:10609;width:930;height:2" coordorigin="5598,10609" coordsize="930,0" path="m5598,10609l6527,10609e" filled="false" stroked="true" strokeweight=".47998pt" strokecolor="#000000">
                <v:path arrowok="t"/>
              </v:shape>
            </v:group>
            <v:group style="position:absolute;left:6537;top:10609;width:353;height:2" coordorigin="6537,10609" coordsize="353,2">
              <v:shape style="position:absolute;left:6537;top:10609;width:353;height:2" coordorigin="6537,10609" coordsize="353,0" path="m6537,10609l6889,10609e" filled="false" stroked="true" strokeweight=".47998pt" strokecolor="#000000">
                <v:path arrowok="t"/>
              </v:shape>
            </v:group>
            <v:group style="position:absolute;left:6899;top:10609;width:1253;height:2" coordorigin="6899,10609" coordsize="1253,2">
              <v:shape style="position:absolute;left:6899;top:10609;width:1253;height:2" coordorigin="6899,10609" coordsize="1253,0" path="m6899,10609l8152,10609e" filled="false" stroked="true" strokeweight=".47998pt" strokecolor="#000000">
                <v:path arrowok="t"/>
              </v:shape>
            </v:group>
            <v:group style="position:absolute;left:8161;top:10609;width:531;height:2" coordorigin="8161,10609" coordsize="531,2">
              <v:shape style="position:absolute;left:8161;top:10609;width:531;height:2" coordorigin="8161,10609" coordsize="531,0" path="m8161,10609l8692,10609e" filled="false" stroked="true" strokeweight=".47998pt" strokecolor="#000000">
                <v:path arrowok="t"/>
              </v:shape>
            </v:group>
            <v:group style="position:absolute;left:8702;top:10609;width:1076;height:2" coordorigin="8702,10609" coordsize="1076,2">
              <v:shape style="position:absolute;left:8702;top:10609;width:1076;height:2" coordorigin="8702,10609" coordsize="1076,0" path="m8702,10609l9777,10609e" filled="false" stroked="true" strokeweight=".47998pt" strokecolor="#000000">
                <v:path arrowok="t"/>
              </v:shape>
            </v:group>
            <v:group style="position:absolute;left:9787;top:10609;width:473;height:2" coordorigin="9787,10609" coordsize="473,2">
              <v:shape style="position:absolute;left:9787;top:10609;width:473;height:2" coordorigin="9787,10609" coordsize="473,0" path="m9787,10609l10260,10609e" filled="false" stroked="true" strokeweight=".47998pt" strokecolor="#000000">
                <v:path arrowok="t"/>
              </v:shape>
            </v:group>
            <v:group style="position:absolute;left:10269;top:10609;width:1302;height:2" coordorigin="10269,10609" coordsize="1302,2">
              <v:shape style="position:absolute;left:10269;top:10609;width:1302;height:2" coordorigin="10269,10609" coordsize="1302,0" path="m10269,10609l11570,10609e" filled="false" stroked="true" strokeweight=".47998pt" strokecolor="#000000">
                <v:path arrowok="t"/>
              </v:shape>
            </v:group>
            <v:group style="position:absolute;left:251;top:10885;width:2;height:557" coordorigin="251,10885" coordsize="2,557">
              <v:shape style="position:absolute;left:251;top:10885;width:2;height:557" coordorigin="251,10885" coordsize="0,557" path="m251,10885l251,11442e" filled="false" stroked="true" strokeweight="1.08pt" strokecolor="#d2d2d2">
                <v:path arrowok="t"/>
              </v:shape>
            </v:group>
            <v:group style="position:absolute;left:2181;top:10885;width:2;height:557" coordorigin="2181,10885" coordsize="2,557">
              <v:shape style="position:absolute;left:2181;top:10885;width:2;height:557" coordorigin="2181,10885" coordsize="0,557" path="m2181,10885l2181,11442e" filled="false" stroked="true" strokeweight="1.08pt" strokecolor="#d2d2d2">
                <v:path arrowok="t"/>
              </v:shape>
            </v:group>
            <v:group style="position:absolute;left:262;top:10885;width:1909;height:312" coordorigin="262,10885" coordsize="1909,312">
              <v:shape style="position:absolute;left:262;top:10885;width:1909;height:312" coordorigin="262,10885" coordsize="1909,312" path="m262,11197l2170,11197,2170,10885,262,10885,262,11197xe" filled="true" fillcolor="#d2d2d2" stroked="false">
                <v:path arrowok="t"/>
                <v:fill type="solid"/>
              </v:shape>
            </v:group>
            <v:group style="position:absolute;left:262;top:11197;width:1909;height:245" coordorigin="262,11197" coordsize="1909,245">
              <v:shape style="position:absolute;left:262;top:11197;width:1909;height:245" coordorigin="262,11197" coordsize="1909,245" path="m262,11442l2170,11442,2170,11197,262,11197,262,11442xe" filled="true" fillcolor="#d2d2d2" stroked="false">
                <v:path arrowok="t"/>
                <v:fill type="solid"/>
              </v:shape>
            </v:group>
            <v:group style="position:absolute;left:238;top:10881;width:1955;height:2" coordorigin="238,10881" coordsize="1955,2">
              <v:shape style="position:absolute;left:238;top:10881;width:1955;height:2" coordorigin="238,10881" coordsize="1955,0" path="m238,10881l2192,10881e" filled="false" stroked="true" strokeweight=".48004pt" strokecolor="#000000">
                <v:path arrowok="t"/>
              </v:shape>
            </v:group>
            <v:group style="position:absolute;left:2201;top:10881;width:1172;height:2" coordorigin="2201,10881" coordsize="1172,2">
              <v:shape style="position:absolute;left:2201;top:10881;width:1172;height:2" coordorigin="2201,10881" coordsize="1172,0" path="m2201,10881l3372,10881e" filled="false" stroked="true" strokeweight=".48004pt" strokecolor="#000000">
                <v:path arrowok="t"/>
              </v:shape>
            </v:group>
            <v:group style="position:absolute;left:3382;top:10881;width:228;height:2" coordorigin="3382,10881" coordsize="228,2">
              <v:shape style="position:absolute;left:3382;top:10881;width:228;height:2" coordorigin="3382,10881" coordsize="228,0" path="m3382,10881l3610,10881e" filled="false" stroked="true" strokeweight=".48004pt" strokecolor="#000000">
                <v:path arrowok="t"/>
              </v:shape>
            </v:group>
            <v:group style="position:absolute;left:3620;top:10881;width:227;height:2" coordorigin="3620,10881" coordsize="227,2">
              <v:shape style="position:absolute;left:3620;top:10881;width:227;height:2" coordorigin="3620,10881" coordsize="227,0" path="m3620,10881l3846,10881e" filled="false" stroked="true" strokeweight=".48004pt" strokecolor="#000000">
                <v:path arrowok="t"/>
              </v:shape>
            </v:group>
            <v:group style="position:absolute;left:3855;top:10881;width:226;height:2" coordorigin="3855,10881" coordsize="226,2">
              <v:shape style="position:absolute;left:3855;top:10881;width:226;height:2" coordorigin="3855,10881" coordsize="226,0" path="m3855,10881l4081,10881e" filled="false" stroked="true" strokeweight=".48004pt" strokecolor="#000000">
                <v:path arrowok="t"/>
              </v:shape>
            </v:group>
            <v:group style="position:absolute;left:4091;top:10881;width:1083;height:2" coordorigin="4091,10881" coordsize="1083,2">
              <v:shape style="position:absolute;left:4091;top:10881;width:1083;height:2" coordorigin="4091,10881" coordsize="1083,0" path="m4091,10881l5173,10881e" filled="false" stroked="true" strokeweight=".48004pt" strokecolor="#000000">
                <v:path arrowok="t"/>
              </v:shape>
            </v:group>
            <v:group style="position:absolute;left:5183;top:10881;width:406;height:2" coordorigin="5183,10881" coordsize="406,2">
              <v:shape style="position:absolute;left:5183;top:10881;width:406;height:2" coordorigin="5183,10881" coordsize="406,0" path="m5183,10881l5588,10881e" filled="false" stroked="true" strokeweight=".48004pt" strokecolor="#000000">
                <v:path arrowok="t"/>
              </v:shape>
            </v:group>
            <v:group style="position:absolute;left:5598;top:10881;width:930;height:2" coordorigin="5598,10881" coordsize="930,2">
              <v:shape style="position:absolute;left:5598;top:10881;width:930;height:2" coordorigin="5598,10881" coordsize="930,0" path="m5598,10881l6527,10881e" filled="false" stroked="true" strokeweight=".48004pt" strokecolor="#000000">
                <v:path arrowok="t"/>
              </v:shape>
            </v:group>
            <v:group style="position:absolute;left:6537;top:10881;width:353;height:2" coordorigin="6537,10881" coordsize="353,2">
              <v:shape style="position:absolute;left:6537;top:10881;width:353;height:2" coordorigin="6537,10881" coordsize="353,0" path="m6537,10881l6889,10881e" filled="false" stroked="true" strokeweight=".48004pt" strokecolor="#000000">
                <v:path arrowok="t"/>
              </v:shape>
            </v:group>
            <v:group style="position:absolute;left:6899;top:10881;width:1253;height:2" coordorigin="6899,10881" coordsize="1253,2">
              <v:shape style="position:absolute;left:6899;top:10881;width:1253;height:2" coordorigin="6899,10881" coordsize="1253,0" path="m6899,10881l8152,10881e" filled="false" stroked="true" strokeweight=".48004pt" strokecolor="#000000">
                <v:path arrowok="t"/>
              </v:shape>
            </v:group>
            <v:group style="position:absolute;left:8161;top:10881;width:531;height:2" coordorigin="8161,10881" coordsize="531,2">
              <v:shape style="position:absolute;left:8161;top:10881;width:531;height:2" coordorigin="8161,10881" coordsize="531,0" path="m8161,10881l8692,10881e" filled="false" stroked="true" strokeweight=".48004pt" strokecolor="#000000">
                <v:path arrowok="t"/>
              </v:shape>
            </v:group>
            <v:group style="position:absolute;left:8702;top:10881;width:1076;height:2" coordorigin="8702,10881" coordsize="1076,2">
              <v:shape style="position:absolute;left:8702;top:10881;width:1076;height:2" coordorigin="8702,10881" coordsize="1076,0" path="m8702,10881l9777,10881e" filled="false" stroked="true" strokeweight=".48004pt" strokecolor="#000000">
                <v:path arrowok="t"/>
              </v:shape>
            </v:group>
            <v:group style="position:absolute;left:9787;top:10881;width:473;height:2" coordorigin="9787,10881" coordsize="473,2">
              <v:shape style="position:absolute;left:9787;top:10881;width:473;height:2" coordorigin="9787,10881" coordsize="473,0" path="m9787,10881l10260,10881e" filled="false" stroked="true" strokeweight=".48004pt" strokecolor="#000000">
                <v:path arrowok="t"/>
              </v:shape>
            </v:group>
            <v:group style="position:absolute;left:10269;top:10881;width:1302;height:2" coordorigin="10269,10881" coordsize="1302,2">
              <v:shape style="position:absolute;left:10269;top:10881;width:1302;height:2" coordorigin="10269,10881" coordsize="1302,0" path="m10269,10881l11570,10881e" filled="false" stroked="true" strokeweight=".48004pt" strokecolor="#000000">
                <v:path arrowok="t"/>
              </v:shape>
            </v:group>
            <v:group style="position:absolute;left:251;top:11454;width:2;height:557" coordorigin="251,11454" coordsize="2,557">
              <v:shape style="position:absolute;left:251;top:11454;width:2;height:557" coordorigin="251,11454" coordsize="0,557" path="m251,11454l251,12011e" filled="false" stroked="true" strokeweight="1.08pt" strokecolor="#d2d2d2">
                <v:path arrowok="t"/>
              </v:shape>
            </v:group>
            <v:group style="position:absolute;left:2181;top:11454;width:2;height:557" coordorigin="2181,11454" coordsize="2,557">
              <v:shape style="position:absolute;left:2181;top:11454;width:2;height:557" coordorigin="2181,11454" coordsize="0,557" path="m2181,11454l2181,12011e" filled="false" stroked="true" strokeweight="1.08pt" strokecolor="#d2d2d2">
                <v:path arrowok="t"/>
              </v:shape>
            </v:group>
            <v:group style="position:absolute;left:262;top:11454;width:1909;height:312" coordorigin="262,11454" coordsize="1909,312">
              <v:shape style="position:absolute;left:262;top:11454;width:1909;height:312" coordorigin="262,11454" coordsize="1909,312" path="m262,11766l2170,11766,2170,11454,262,11454,262,11766xe" filled="true" fillcolor="#d2d2d2" stroked="false">
                <v:path arrowok="t"/>
                <v:fill type="solid"/>
              </v:shape>
            </v:group>
            <v:group style="position:absolute;left:262;top:11766;width:1909;height:245" coordorigin="262,11766" coordsize="1909,245">
              <v:shape style="position:absolute;left:262;top:11766;width:1909;height:245" coordorigin="262,11766" coordsize="1909,245" path="m262,12011l2170,12011,2170,11766,262,11766,262,12011xe" filled="true" fillcolor="#d2d2d2" stroked="false">
                <v:path arrowok="t"/>
                <v:fill type="solid"/>
              </v:shape>
            </v:group>
            <v:group style="position:absolute;left:238;top:11447;width:1955;height:2" coordorigin="238,11447" coordsize="1955,2">
              <v:shape style="position:absolute;left:238;top:11447;width:1955;height:2" coordorigin="238,11447" coordsize="1955,0" path="m238,11447l2192,11447e" filled="false" stroked="true" strokeweight=".47998pt" strokecolor="#000000">
                <v:path arrowok="t"/>
              </v:shape>
            </v:group>
            <v:group style="position:absolute;left:2201;top:11447;width:1172;height:2" coordorigin="2201,11447" coordsize="1172,2">
              <v:shape style="position:absolute;left:2201;top:11447;width:1172;height:2" coordorigin="2201,11447" coordsize="1172,0" path="m2201,11447l3372,11447e" filled="false" stroked="true" strokeweight=".47998pt" strokecolor="#000000">
                <v:path arrowok="t"/>
              </v:shape>
            </v:group>
            <v:group style="position:absolute;left:3382;top:11447;width:228;height:2" coordorigin="3382,11447" coordsize="228,2">
              <v:shape style="position:absolute;left:3382;top:11447;width:228;height:2" coordorigin="3382,11447" coordsize="228,0" path="m3382,11447l3610,11447e" filled="false" stroked="true" strokeweight=".47998pt" strokecolor="#000000">
                <v:path arrowok="t"/>
              </v:shape>
            </v:group>
            <v:group style="position:absolute;left:3620;top:11447;width:227;height:2" coordorigin="3620,11447" coordsize="227,2">
              <v:shape style="position:absolute;left:3620;top:11447;width:227;height:2" coordorigin="3620,11447" coordsize="227,0" path="m3620,11447l3846,11447e" filled="false" stroked="true" strokeweight=".47998pt" strokecolor="#000000">
                <v:path arrowok="t"/>
              </v:shape>
            </v:group>
            <v:group style="position:absolute;left:3855;top:11447;width:226;height:2" coordorigin="3855,11447" coordsize="226,2">
              <v:shape style="position:absolute;left:3855;top:11447;width:226;height:2" coordorigin="3855,11447" coordsize="226,0" path="m3855,11447l4081,11447e" filled="false" stroked="true" strokeweight=".47998pt" strokecolor="#000000">
                <v:path arrowok="t"/>
              </v:shape>
            </v:group>
            <v:group style="position:absolute;left:4091;top:11447;width:1083;height:2" coordorigin="4091,11447" coordsize="1083,2">
              <v:shape style="position:absolute;left:4091;top:11447;width:1083;height:2" coordorigin="4091,11447" coordsize="1083,0" path="m4091,11447l5173,11447e" filled="false" stroked="true" strokeweight=".47998pt" strokecolor="#000000">
                <v:path arrowok="t"/>
              </v:shape>
            </v:group>
            <v:group style="position:absolute;left:5183;top:11447;width:406;height:2" coordorigin="5183,11447" coordsize="406,2">
              <v:shape style="position:absolute;left:5183;top:11447;width:406;height:2" coordorigin="5183,11447" coordsize="406,0" path="m5183,11447l5588,11447e" filled="false" stroked="true" strokeweight=".47998pt" strokecolor="#000000">
                <v:path arrowok="t"/>
              </v:shape>
            </v:group>
            <v:group style="position:absolute;left:5598;top:11447;width:930;height:2" coordorigin="5598,11447" coordsize="930,2">
              <v:shape style="position:absolute;left:5598;top:11447;width:930;height:2" coordorigin="5598,11447" coordsize="930,0" path="m5598,11447l6527,11447e" filled="false" stroked="true" strokeweight=".47998pt" strokecolor="#000000">
                <v:path arrowok="t"/>
              </v:shape>
            </v:group>
            <v:group style="position:absolute;left:6537;top:11447;width:353;height:2" coordorigin="6537,11447" coordsize="353,2">
              <v:shape style="position:absolute;left:6537;top:11447;width:353;height:2" coordorigin="6537,11447" coordsize="353,0" path="m6537,11447l6889,11447e" filled="false" stroked="true" strokeweight=".47998pt" strokecolor="#000000">
                <v:path arrowok="t"/>
              </v:shape>
            </v:group>
            <v:group style="position:absolute;left:6899;top:11447;width:1253;height:2" coordorigin="6899,11447" coordsize="1253,2">
              <v:shape style="position:absolute;left:6899;top:11447;width:1253;height:2" coordorigin="6899,11447" coordsize="1253,0" path="m6899,11447l8152,11447e" filled="false" stroked="true" strokeweight=".47998pt" strokecolor="#000000">
                <v:path arrowok="t"/>
              </v:shape>
            </v:group>
            <v:group style="position:absolute;left:8161;top:11447;width:531;height:2" coordorigin="8161,11447" coordsize="531,2">
              <v:shape style="position:absolute;left:8161;top:11447;width:531;height:2" coordorigin="8161,11447" coordsize="531,0" path="m8161,11447l8692,11447e" filled="false" stroked="true" strokeweight=".47998pt" strokecolor="#000000">
                <v:path arrowok="t"/>
              </v:shape>
            </v:group>
            <v:group style="position:absolute;left:8702;top:11447;width:1076;height:2" coordorigin="8702,11447" coordsize="1076,2">
              <v:shape style="position:absolute;left:8702;top:11447;width:1076;height:2" coordorigin="8702,11447" coordsize="1076,0" path="m8702,11447l9777,11447e" filled="false" stroked="true" strokeweight=".47998pt" strokecolor="#000000">
                <v:path arrowok="t"/>
              </v:shape>
            </v:group>
            <v:group style="position:absolute;left:9787;top:11447;width:473;height:2" coordorigin="9787,11447" coordsize="473,2">
              <v:shape style="position:absolute;left:9787;top:11447;width:473;height:2" coordorigin="9787,11447" coordsize="473,0" path="m9787,11447l10260,11447e" filled="false" stroked="true" strokeweight=".47998pt" strokecolor="#000000">
                <v:path arrowok="t"/>
              </v:shape>
            </v:group>
            <v:group style="position:absolute;left:10269;top:11447;width:1302;height:2" coordorigin="10269,11447" coordsize="1302,2">
              <v:shape style="position:absolute;left:10269;top:11447;width:1302;height:2" coordorigin="10269,11447" coordsize="1302,0" path="m10269,11447l11570,11447e" filled="false" stroked="true" strokeweight=".47998pt" strokecolor="#000000">
                <v:path arrowok="t"/>
              </v:shape>
            </v:group>
            <v:group style="position:absolute;left:251;top:12021;width:2;height:557" coordorigin="251,12021" coordsize="2,557">
              <v:shape style="position:absolute;left:251;top:12021;width:2;height:557" coordorigin="251,12021" coordsize="0,557" path="m251,12021l251,12577e" filled="false" stroked="true" strokeweight="1.08pt" strokecolor="#d2d2d2">
                <v:path arrowok="t"/>
              </v:shape>
            </v:group>
            <v:group style="position:absolute;left:2181;top:12021;width:2;height:557" coordorigin="2181,12021" coordsize="2,557">
              <v:shape style="position:absolute;left:2181;top:12021;width:2;height:557" coordorigin="2181,12021" coordsize="0,557" path="m2181,12021l2181,12577e" filled="false" stroked="true" strokeweight="1.08pt" strokecolor="#d2d2d2">
                <v:path arrowok="t"/>
              </v:shape>
            </v:group>
            <v:group style="position:absolute;left:262;top:12021;width:1909;height:312" coordorigin="262,12021" coordsize="1909,312">
              <v:shape style="position:absolute;left:262;top:12021;width:1909;height:312" coordorigin="262,12021" coordsize="1909,312" path="m262,12333l2170,12333,2170,12021,262,12021,262,12333xe" filled="true" fillcolor="#d2d2d2" stroked="false">
                <v:path arrowok="t"/>
                <v:fill type="solid"/>
              </v:shape>
            </v:group>
            <v:group style="position:absolute;left:262;top:12333;width:1909;height:245" coordorigin="262,12333" coordsize="1909,245">
              <v:shape style="position:absolute;left:262;top:12333;width:1909;height:245" coordorigin="262,12333" coordsize="1909,245" path="m262,12577l2170,12577,2170,12333,262,12333,262,12577xe" filled="true" fillcolor="#d2d2d2" stroked="false">
                <v:path arrowok="t"/>
                <v:fill type="solid"/>
              </v:shape>
            </v:group>
            <v:group style="position:absolute;left:238;top:12016;width:1955;height:2" coordorigin="238,12016" coordsize="1955,2">
              <v:shape style="position:absolute;left:238;top:12016;width:1955;height:2" coordorigin="238,12016" coordsize="1955,0" path="m238,12016l2192,12016e" filled="false" stroked="true" strokeweight=".47998pt" strokecolor="#000000">
                <v:path arrowok="t"/>
              </v:shape>
            </v:group>
            <v:group style="position:absolute;left:2201;top:12016;width:1172;height:2" coordorigin="2201,12016" coordsize="1172,2">
              <v:shape style="position:absolute;left:2201;top:12016;width:1172;height:2" coordorigin="2201,12016" coordsize="1172,0" path="m2201,12016l3372,12016e" filled="false" stroked="true" strokeweight=".47998pt" strokecolor="#000000">
                <v:path arrowok="t"/>
              </v:shape>
            </v:group>
            <v:group style="position:absolute;left:3382;top:12016;width:228;height:2" coordorigin="3382,12016" coordsize="228,2">
              <v:shape style="position:absolute;left:3382;top:12016;width:228;height:2" coordorigin="3382,12016" coordsize="228,0" path="m3382,12016l3610,12016e" filled="false" stroked="true" strokeweight=".47998pt" strokecolor="#000000">
                <v:path arrowok="t"/>
              </v:shape>
            </v:group>
            <v:group style="position:absolute;left:3620;top:12016;width:227;height:2" coordorigin="3620,12016" coordsize="227,2">
              <v:shape style="position:absolute;left:3620;top:12016;width:227;height:2" coordorigin="3620,12016" coordsize="227,0" path="m3620,12016l3846,12016e" filled="false" stroked="true" strokeweight=".47998pt" strokecolor="#000000">
                <v:path arrowok="t"/>
              </v:shape>
            </v:group>
            <v:group style="position:absolute;left:3855;top:12016;width:226;height:2" coordorigin="3855,12016" coordsize="226,2">
              <v:shape style="position:absolute;left:3855;top:12016;width:226;height:2" coordorigin="3855,12016" coordsize="226,0" path="m3855,12016l4081,12016e" filled="false" stroked="true" strokeweight=".47998pt" strokecolor="#000000">
                <v:path arrowok="t"/>
              </v:shape>
            </v:group>
            <v:group style="position:absolute;left:4091;top:12016;width:1083;height:2" coordorigin="4091,12016" coordsize="1083,2">
              <v:shape style="position:absolute;left:4091;top:12016;width:1083;height:2" coordorigin="4091,12016" coordsize="1083,0" path="m4091,12016l5173,12016e" filled="false" stroked="true" strokeweight=".47998pt" strokecolor="#000000">
                <v:path arrowok="t"/>
              </v:shape>
            </v:group>
            <v:group style="position:absolute;left:5183;top:12016;width:406;height:2" coordorigin="5183,12016" coordsize="406,2">
              <v:shape style="position:absolute;left:5183;top:12016;width:406;height:2" coordorigin="5183,12016" coordsize="406,0" path="m5183,12016l5588,12016e" filled="false" stroked="true" strokeweight=".47998pt" strokecolor="#000000">
                <v:path arrowok="t"/>
              </v:shape>
            </v:group>
            <v:group style="position:absolute;left:5598;top:12016;width:930;height:2" coordorigin="5598,12016" coordsize="930,2">
              <v:shape style="position:absolute;left:5598;top:12016;width:930;height:2" coordorigin="5598,12016" coordsize="930,0" path="m5598,12016l6527,12016e" filled="false" stroked="true" strokeweight=".47998pt" strokecolor="#000000">
                <v:path arrowok="t"/>
              </v:shape>
            </v:group>
            <v:group style="position:absolute;left:6537;top:12016;width:353;height:2" coordorigin="6537,12016" coordsize="353,2">
              <v:shape style="position:absolute;left:6537;top:12016;width:353;height:2" coordorigin="6537,12016" coordsize="353,0" path="m6537,12016l6889,12016e" filled="false" stroked="true" strokeweight=".47998pt" strokecolor="#000000">
                <v:path arrowok="t"/>
              </v:shape>
            </v:group>
            <v:group style="position:absolute;left:6899;top:12016;width:1253;height:2" coordorigin="6899,12016" coordsize="1253,2">
              <v:shape style="position:absolute;left:6899;top:12016;width:1253;height:2" coordorigin="6899,12016" coordsize="1253,0" path="m6899,12016l8152,12016e" filled="false" stroked="true" strokeweight=".47998pt" strokecolor="#000000">
                <v:path arrowok="t"/>
              </v:shape>
            </v:group>
            <v:group style="position:absolute;left:8161;top:12016;width:531;height:2" coordorigin="8161,12016" coordsize="531,2">
              <v:shape style="position:absolute;left:8161;top:12016;width:531;height:2" coordorigin="8161,12016" coordsize="531,0" path="m8161,12016l8692,12016e" filled="false" stroked="true" strokeweight=".47998pt" strokecolor="#000000">
                <v:path arrowok="t"/>
              </v:shape>
            </v:group>
            <v:group style="position:absolute;left:8702;top:12016;width:1076;height:2" coordorigin="8702,12016" coordsize="1076,2">
              <v:shape style="position:absolute;left:8702;top:12016;width:1076;height:2" coordorigin="8702,12016" coordsize="1076,0" path="m8702,12016l9777,12016e" filled="false" stroked="true" strokeweight=".47998pt" strokecolor="#000000">
                <v:path arrowok="t"/>
              </v:shape>
            </v:group>
            <v:group style="position:absolute;left:9787;top:12016;width:473;height:2" coordorigin="9787,12016" coordsize="473,2">
              <v:shape style="position:absolute;left:9787;top:12016;width:473;height:2" coordorigin="9787,12016" coordsize="473,0" path="m9787,12016l10260,12016e" filled="false" stroked="true" strokeweight=".47998pt" strokecolor="#000000">
                <v:path arrowok="t"/>
              </v:shape>
            </v:group>
            <v:group style="position:absolute;left:10269;top:12016;width:1302;height:2" coordorigin="10269,12016" coordsize="1302,2">
              <v:shape style="position:absolute;left:10269;top:12016;width:1302;height:2" coordorigin="10269,12016" coordsize="1302,0" path="m10269,12016l11570,12016e" filled="false" stroked="true" strokeweight=".47998pt" strokecolor="#000000">
                <v:path arrowok="t"/>
              </v:shape>
            </v:group>
            <v:group style="position:absolute;left:240;top:12592;width:1952;height:2" coordorigin="240,12592" coordsize="1952,2">
              <v:shape style="position:absolute;left:240;top:12592;width:1952;height:2" coordorigin="240,12592" coordsize="1952,0" path="m240,12592l2192,12592e" filled="false" stroked="true" strokeweight=".48004pt" strokecolor="#d2d2d2">
                <v:path arrowok="t"/>
              </v:shape>
            </v:group>
            <v:group style="position:absolute;left:251;top:12597;width:2;height:312" coordorigin="251,12597" coordsize="2,312">
              <v:shape style="position:absolute;left:251;top:12597;width:2;height:312" coordorigin="251,12597" coordsize="0,312" path="m251,12597l251,12909e" filled="false" stroked="true" strokeweight="1.08pt" strokecolor="#d2d2d2">
                <v:path arrowok="t"/>
              </v:shape>
            </v:group>
            <v:group style="position:absolute;left:2181;top:12597;width:2;height:312" coordorigin="2181,12597" coordsize="2,312">
              <v:shape style="position:absolute;left:2181;top:12597;width:2;height:312" coordorigin="2181,12597" coordsize="0,312" path="m2181,12597l2181,12909e" filled="false" stroked="true" strokeweight="1.08pt" strokecolor="#d2d2d2">
                <v:path arrowok="t"/>
              </v:shape>
            </v:group>
            <v:group style="position:absolute;left:240;top:12913;width:1952;height:2" coordorigin="240,12913" coordsize="1952,2">
              <v:shape style="position:absolute;left:240;top:12913;width:1952;height:2" coordorigin="240,12913" coordsize="1952,0" path="m240,12913l2192,12913e" filled="false" stroked="true" strokeweight=".47998pt" strokecolor="#d2d2d2">
                <v:path arrowok="t"/>
              </v:shape>
            </v:group>
            <v:group style="position:absolute;left:262;top:12597;width:1909;height:312" coordorigin="262,12597" coordsize="1909,312">
              <v:shape style="position:absolute;left:262;top:12597;width:1909;height:312" coordorigin="262,12597" coordsize="1909,312" path="m262,12909l2170,12909,2170,12597,262,12597,262,12909xe" filled="true" fillcolor="#d2d2d2" stroked="false">
                <v:path arrowok="t"/>
                <v:fill type="solid"/>
              </v:shape>
            </v:group>
            <v:group style="position:absolute;left:238;top:12582;width:1955;height:2" coordorigin="238,12582" coordsize="1955,2">
              <v:shape style="position:absolute;left:238;top:12582;width:1955;height:2" coordorigin="238,12582" coordsize="1955,0" path="m238,12582l2192,12582e" filled="false" stroked="true" strokeweight=".47998pt" strokecolor="#000000">
                <v:path arrowok="t"/>
              </v:shape>
            </v:group>
            <v:group style="position:absolute;left:2201;top:12582;width:1172;height:2" coordorigin="2201,12582" coordsize="1172,2">
              <v:shape style="position:absolute;left:2201;top:12582;width:1172;height:2" coordorigin="2201,12582" coordsize="1172,0" path="m2201,12582l3372,12582e" filled="false" stroked="true" strokeweight=".47998pt" strokecolor="#000000">
                <v:path arrowok="t"/>
              </v:shape>
            </v:group>
            <v:group style="position:absolute;left:3382;top:12582;width:228;height:2" coordorigin="3382,12582" coordsize="228,2">
              <v:shape style="position:absolute;left:3382;top:12582;width:228;height:2" coordorigin="3382,12582" coordsize="228,0" path="m3382,12582l3610,12582e" filled="false" stroked="true" strokeweight=".47998pt" strokecolor="#000000">
                <v:path arrowok="t"/>
              </v:shape>
            </v:group>
            <v:group style="position:absolute;left:3620;top:12582;width:227;height:2" coordorigin="3620,12582" coordsize="227,2">
              <v:shape style="position:absolute;left:3620;top:12582;width:227;height:2" coordorigin="3620,12582" coordsize="227,0" path="m3620,12582l3846,12582e" filled="false" stroked="true" strokeweight=".47998pt" strokecolor="#000000">
                <v:path arrowok="t"/>
              </v:shape>
            </v:group>
            <v:group style="position:absolute;left:3855;top:12582;width:226;height:2" coordorigin="3855,12582" coordsize="226,2">
              <v:shape style="position:absolute;left:3855;top:12582;width:226;height:2" coordorigin="3855,12582" coordsize="226,0" path="m3855,12582l4081,12582e" filled="false" stroked="true" strokeweight=".47998pt" strokecolor="#000000">
                <v:path arrowok="t"/>
              </v:shape>
            </v:group>
            <v:group style="position:absolute;left:4091;top:12582;width:1083;height:2" coordorigin="4091,12582" coordsize="1083,2">
              <v:shape style="position:absolute;left:4091;top:12582;width:1083;height:2" coordorigin="4091,12582" coordsize="1083,0" path="m4091,12582l5173,12582e" filled="false" stroked="true" strokeweight=".47998pt" strokecolor="#000000">
                <v:path arrowok="t"/>
              </v:shape>
            </v:group>
            <v:group style="position:absolute;left:5183;top:12582;width:406;height:2" coordorigin="5183,12582" coordsize="406,2">
              <v:shape style="position:absolute;left:5183;top:12582;width:406;height:2" coordorigin="5183,12582" coordsize="406,0" path="m5183,12582l5588,12582e" filled="false" stroked="true" strokeweight=".47998pt" strokecolor="#000000">
                <v:path arrowok="t"/>
              </v:shape>
            </v:group>
            <v:group style="position:absolute;left:5598;top:12582;width:930;height:2" coordorigin="5598,12582" coordsize="930,2">
              <v:shape style="position:absolute;left:5598;top:12582;width:930;height:2" coordorigin="5598,12582" coordsize="930,0" path="m5598,12582l6527,12582e" filled="false" stroked="true" strokeweight=".47998pt" strokecolor="#000000">
                <v:path arrowok="t"/>
              </v:shape>
            </v:group>
            <v:group style="position:absolute;left:6537;top:12582;width:353;height:2" coordorigin="6537,12582" coordsize="353,2">
              <v:shape style="position:absolute;left:6537;top:12582;width:353;height:2" coordorigin="6537,12582" coordsize="353,0" path="m6537,12582l6889,12582e" filled="false" stroked="true" strokeweight=".47998pt" strokecolor="#000000">
                <v:path arrowok="t"/>
              </v:shape>
            </v:group>
            <v:group style="position:absolute;left:6899;top:12582;width:1253;height:2" coordorigin="6899,12582" coordsize="1253,2">
              <v:shape style="position:absolute;left:6899;top:12582;width:1253;height:2" coordorigin="6899,12582" coordsize="1253,0" path="m6899,12582l8152,12582e" filled="false" stroked="true" strokeweight=".47998pt" strokecolor="#000000">
                <v:path arrowok="t"/>
              </v:shape>
            </v:group>
            <v:group style="position:absolute;left:8161;top:12582;width:531;height:2" coordorigin="8161,12582" coordsize="531,2">
              <v:shape style="position:absolute;left:8161;top:12582;width:531;height:2" coordorigin="8161,12582" coordsize="531,0" path="m8161,12582l8692,12582e" filled="false" stroked="true" strokeweight=".47998pt" strokecolor="#000000">
                <v:path arrowok="t"/>
              </v:shape>
            </v:group>
            <v:group style="position:absolute;left:8702;top:12582;width:1076;height:2" coordorigin="8702,12582" coordsize="1076,2">
              <v:shape style="position:absolute;left:8702;top:12582;width:1076;height:2" coordorigin="8702,12582" coordsize="1076,0" path="m8702,12582l9777,12582e" filled="false" stroked="true" strokeweight=".47998pt" strokecolor="#000000">
                <v:path arrowok="t"/>
              </v:shape>
            </v:group>
            <v:group style="position:absolute;left:9787;top:12582;width:473;height:2" coordorigin="9787,12582" coordsize="473,2">
              <v:shape style="position:absolute;left:9787;top:12582;width:473;height:2" coordorigin="9787,12582" coordsize="473,0" path="m9787,12582l10260,12582e" filled="false" stroked="true" strokeweight=".47998pt" strokecolor="#000000">
                <v:path arrowok="t"/>
              </v:shape>
            </v:group>
            <v:group style="position:absolute;left:10269;top:12582;width:1302;height:2" coordorigin="10269,12582" coordsize="1302,2">
              <v:shape style="position:absolute;left:10269;top:12582;width:1302;height:2" coordorigin="10269,12582" coordsize="1302,0" path="m10269,12582l11570,12582e" filled="false" stroked="true" strokeweight=".47998pt" strokecolor="#000000">
                <v:path arrowok="t"/>
              </v:shape>
            </v:group>
            <v:group style="position:absolute;left:251;top:12928;width:2;height:330" coordorigin="251,12928" coordsize="2,330">
              <v:shape style="position:absolute;left:251;top:12928;width:2;height:330" coordorigin="251,12928" coordsize="0,330" path="m251,12928l251,13257e" filled="false" stroked="true" strokeweight="1.08pt" strokecolor="#d2d2d2">
                <v:path arrowok="t"/>
              </v:shape>
            </v:group>
            <v:group style="position:absolute;left:2181;top:12928;width:2;height:330" coordorigin="2181,12928" coordsize="2,330">
              <v:shape style="position:absolute;left:2181;top:12928;width:2;height:330" coordorigin="2181,12928" coordsize="0,330" path="m2181,12928l2181,13257e" filled="false" stroked="true" strokeweight="1.08pt" strokecolor="#d2d2d2">
                <v:path arrowok="t"/>
              </v:shape>
            </v:group>
            <v:group style="position:absolute;left:262;top:12928;width:1909;height:313" coordorigin="262,12928" coordsize="1909,313">
              <v:shape style="position:absolute;left:262;top:12928;width:1909;height:313" coordorigin="262,12928" coordsize="1909,313" path="m262,13240l2170,13240,2170,12928,262,12928,262,13240xe" filled="true" fillcolor="#d2d2d2" stroked="false">
                <v:path arrowok="t"/>
                <v:fill type="solid"/>
              </v:shape>
            </v:group>
            <v:group style="position:absolute;left:262;top:13249;width:1909;height:2" coordorigin="262,13249" coordsize="1909,2">
              <v:shape style="position:absolute;left:262;top:13249;width:1909;height:2" coordorigin="262,13249" coordsize="1909,0" path="m262,13249l2170,13249e" filled="false" stroked="true" strokeweight=".84003pt" strokecolor="#d2d2d2">
                <v:path arrowok="t"/>
              </v:shape>
            </v:group>
            <v:group style="position:absolute;left:238;top:12923;width:1955;height:2" coordorigin="238,12923" coordsize="1955,2">
              <v:shape style="position:absolute;left:238;top:12923;width:1955;height:2" coordorigin="238,12923" coordsize="1955,0" path="m238,12923l2192,12923e" filled="false" stroked="true" strokeweight=".48004pt" strokecolor="#000000">
                <v:path arrowok="t"/>
              </v:shape>
            </v:group>
            <v:group style="position:absolute;left:2201;top:12923;width:1172;height:2" coordorigin="2201,12923" coordsize="1172,2">
              <v:shape style="position:absolute;left:2201;top:12923;width:1172;height:2" coordorigin="2201,12923" coordsize="1172,0" path="m2201,12923l3372,12923e" filled="false" stroked="true" strokeweight=".48004pt" strokecolor="#000000">
                <v:path arrowok="t"/>
              </v:shape>
            </v:group>
            <v:group style="position:absolute;left:3382;top:12923;width:228;height:2" coordorigin="3382,12923" coordsize="228,2">
              <v:shape style="position:absolute;left:3382;top:12923;width:228;height:2" coordorigin="3382,12923" coordsize="228,0" path="m3382,12923l3610,12923e" filled="false" stroked="true" strokeweight=".48004pt" strokecolor="#000000">
                <v:path arrowok="t"/>
              </v:shape>
            </v:group>
            <v:group style="position:absolute;left:3620;top:12923;width:227;height:2" coordorigin="3620,12923" coordsize="227,2">
              <v:shape style="position:absolute;left:3620;top:12923;width:227;height:2" coordorigin="3620,12923" coordsize="227,0" path="m3620,12923l3846,12923e" filled="false" stroked="true" strokeweight=".48004pt" strokecolor="#000000">
                <v:path arrowok="t"/>
              </v:shape>
            </v:group>
            <v:group style="position:absolute;left:3855;top:12923;width:226;height:2" coordorigin="3855,12923" coordsize="226,2">
              <v:shape style="position:absolute;left:3855;top:12923;width:226;height:2" coordorigin="3855,12923" coordsize="226,0" path="m3855,12923l4081,12923e" filled="false" stroked="true" strokeweight=".48004pt" strokecolor="#000000">
                <v:path arrowok="t"/>
              </v:shape>
            </v:group>
            <v:group style="position:absolute;left:4091;top:12923;width:1083;height:2" coordorigin="4091,12923" coordsize="1083,2">
              <v:shape style="position:absolute;left:4091;top:12923;width:1083;height:2" coordorigin="4091,12923" coordsize="1083,0" path="m4091,12923l5173,12923e" filled="false" stroked="true" strokeweight=".48004pt" strokecolor="#000000">
                <v:path arrowok="t"/>
              </v:shape>
            </v:group>
            <v:group style="position:absolute;left:5183;top:12923;width:406;height:2" coordorigin="5183,12923" coordsize="406,2">
              <v:shape style="position:absolute;left:5183;top:12923;width:406;height:2" coordorigin="5183,12923" coordsize="406,0" path="m5183,12923l5588,12923e" filled="false" stroked="true" strokeweight=".48004pt" strokecolor="#000000">
                <v:path arrowok="t"/>
              </v:shape>
            </v:group>
            <v:group style="position:absolute;left:5598;top:12923;width:930;height:2" coordorigin="5598,12923" coordsize="930,2">
              <v:shape style="position:absolute;left:5598;top:12923;width:930;height:2" coordorigin="5598,12923" coordsize="930,0" path="m5598,12923l6527,12923e" filled="false" stroked="true" strokeweight=".48004pt" strokecolor="#000000">
                <v:path arrowok="t"/>
              </v:shape>
            </v:group>
            <v:group style="position:absolute;left:6537;top:12923;width:353;height:2" coordorigin="6537,12923" coordsize="353,2">
              <v:shape style="position:absolute;left:6537;top:12923;width:353;height:2" coordorigin="6537,12923" coordsize="353,0" path="m6537,12923l6889,12923e" filled="false" stroked="true" strokeweight=".48004pt" strokecolor="#000000">
                <v:path arrowok="t"/>
              </v:shape>
            </v:group>
            <v:group style="position:absolute;left:6899;top:12923;width:1253;height:2" coordorigin="6899,12923" coordsize="1253,2">
              <v:shape style="position:absolute;left:6899;top:12923;width:1253;height:2" coordorigin="6899,12923" coordsize="1253,0" path="m6899,12923l8152,12923e" filled="false" stroked="true" strokeweight=".48004pt" strokecolor="#000000">
                <v:path arrowok="t"/>
              </v:shape>
            </v:group>
            <v:group style="position:absolute;left:8161;top:12923;width:531;height:2" coordorigin="8161,12923" coordsize="531,2">
              <v:shape style="position:absolute;left:8161;top:12923;width:531;height:2" coordorigin="8161,12923" coordsize="531,0" path="m8161,12923l8692,12923e" filled="false" stroked="true" strokeweight=".48004pt" strokecolor="#000000">
                <v:path arrowok="t"/>
              </v:shape>
            </v:group>
            <v:group style="position:absolute;left:8702;top:12923;width:1076;height:2" coordorigin="8702,12923" coordsize="1076,2">
              <v:shape style="position:absolute;left:8702;top:12923;width:1076;height:2" coordorigin="8702,12923" coordsize="1076,0" path="m8702,12923l9777,12923e" filled="false" stroked="true" strokeweight=".48004pt" strokecolor="#000000">
                <v:path arrowok="t"/>
              </v:shape>
            </v:group>
            <v:group style="position:absolute;left:9787;top:12923;width:473;height:2" coordorigin="9787,12923" coordsize="473,2">
              <v:shape style="position:absolute;left:9787;top:12923;width:473;height:2" coordorigin="9787,12923" coordsize="473,0" path="m9787,12923l10260,12923e" filled="false" stroked="true" strokeweight=".48004pt" strokecolor="#000000">
                <v:path arrowok="t"/>
              </v:shape>
            </v:group>
            <v:group style="position:absolute;left:10269;top:12923;width:1302;height:2" coordorigin="10269,12923" coordsize="1302,2">
              <v:shape style="position:absolute;left:10269;top:12923;width:1302;height:2" coordorigin="10269,12923" coordsize="1302,0" path="m10269,12923l11570,12923e" filled="false" stroked="true" strokeweight=".48004pt" strokecolor="#000000">
                <v:path arrowok="t"/>
              </v:shape>
            </v:group>
            <v:group style="position:absolute;left:251;top:13267;width:2;height:240" coordorigin="251,13267" coordsize="2,240">
              <v:shape style="position:absolute;left:251;top:13267;width:2;height:240" coordorigin="251,13267" coordsize="0,240" path="m251,13267l251,13507e" filled="false" stroked="true" strokeweight="1.08pt" strokecolor="#d2d2d2">
                <v:path arrowok="t"/>
              </v:shape>
            </v:group>
            <v:group style="position:absolute;left:2181;top:13267;width:2;height:240" coordorigin="2181,13267" coordsize="2,240">
              <v:shape style="position:absolute;left:2181;top:13267;width:2;height:240" coordorigin="2181,13267" coordsize="0,240" path="m2181,13267l2181,13507e" filled="false" stroked="true" strokeweight="1.08pt" strokecolor="#d2d2d2">
                <v:path arrowok="t"/>
              </v:shape>
            </v:group>
            <v:group style="position:absolute;left:262;top:13267;width:1909;height:240" coordorigin="262,13267" coordsize="1909,240">
              <v:shape style="position:absolute;left:262;top:13267;width:1909;height:240" coordorigin="262,13267" coordsize="1909,240" path="m262,13507l2170,13507,2170,13267,262,13267,262,13507xe" filled="true" fillcolor="#d2d2d2" stroked="false">
                <v:path arrowok="t"/>
                <v:fill type="solid"/>
              </v:shape>
            </v:group>
            <v:group style="position:absolute;left:238;top:13262;width:1955;height:2" coordorigin="238,13262" coordsize="1955,2">
              <v:shape style="position:absolute;left:238;top:13262;width:1955;height:2" coordorigin="238,13262" coordsize="1955,0" path="m238,13262l2192,13262e" filled="false" stroked="true" strokeweight=".47998pt" strokecolor="#000000">
                <v:path arrowok="t"/>
              </v:shape>
            </v:group>
            <v:group style="position:absolute;left:2201;top:13262;width:1172;height:2" coordorigin="2201,13262" coordsize="1172,2">
              <v:shape style="position:absolute;left:2201;top:13262;width:1172;height:2" coordorigin="2201,13262" coordsize="1172,0" path="m2201,13262l3372,13262e" filled="false" stroked="true" strokeweight=".47998pt" strokecolor="#000000">
                <v:path arrowok="t"/>
              </v:shape>
            </v:group>
            <v:group style="position:absolute;left:3382;top:13262;width:228;height:2" coordorigin="3382,13262" coordsize="228,2">
              <v:shape style="position:absolute;left:3382;top:13262;width:228;height:2" coordorigin="3382,13262" coordsize="228,0" path="m3382,13262l3610,13262e" filled="false" stroked="true" strokeweight=".47998pt" strokecolor="#000000">
                <v:path arrowok="t"/>
              </v:shape>
            </v:group>
            <v:group style="position:absolute;left:3620;top:13262;width:227;height:2" coordorigin="3620,13262" coordsize="227,2">
              <v:shape style="position:absolute;left:3620;top:13262;width:227;height:2" coordorigin="3620,13262" coordsize="227,0" path="m3620,13262l3846,13262e" filled="false" stroked="true" strokeweight=".47998pt" strokecolor="#000000">
                <v:path arrowok="t"/>
              </v:shape>
            </v:group>
            <v:group style="position:absolute;left:3855;top:13262;width:226;height:2" coordorigin="3855,13262" coordsize="226,2">
              <v:shape style="position:absolute;left:3855;top:13262;width:226;height:2" coordorigin="3855,13262" coordsize="226,0" path="m3855,13262l4081,13262e" filled="false" stroked="true" strokeweight=".47998pt" strokecolor="#000000">
                <v:path arrowok="t"/>
              </v:shape>
            </v:group>
            <v:group style="position:absolute;left:4091;top:13262;width:1083;height:2" coordorigin="4091,13262" coordsize="1083,2">
              <v:shape style="position:absolute;left:4091;top:13262;width:1083;height:2" coordorigin="4091,13262" coordsize="1083,0" path="m4091,13262l5173,13262e" filled="false" stroked="true" strokeweight=".47998pt" strokecolor="#000000">
                <v:path arrowok="t"/>
              </v:shape>
            </v:group>
            <v:group style="position:absolute;left:5183;top:13262;width:406;height:2" coordorigin="5183,13262" coordsize="406,2">
              <v:shape style="position:absolute;left:5183;top:13262;width:406;height:2" coordorigin="5183,13262" coordsize="406,0" path="m5183,13262l5588,13262e" filled="false" stroked="true" strokeweight=".47998pt" strokecolor="#000000">
                <v:path arrowok="t"/>
              </v:shape>
            </v:group>
            <v:group style="position:absolute;left:5598;top:13262;width:930;height:2" coordorigin="5598,13262" coordsize="930,2">
              <v:shape style="position:absolute;left:5598;top:13262;width:930;height:2" coordorigin="5598,13262" coordsize="930,0" path="m5598,13262l6527,13262e" filled="false" stroked="true" strokeweight=".47998pt" strokecolor="#000000">
                <v:path arrowok="t"/>
              </v:shape>
            </v:group>
            <v:group style="position:absolute;left:6537;top:13262;width:353;height:2" coordorigin="6537,13262" coordsize="353,2">
              <v:shape style="position:absolute;left:6537;top:13262;width:353;height:2" coordorigin="6537,13262" coordsize="353,0" path="m6537,13262l6889,13262e" filled="false" stroked="true" strokeweight=".47998pt" strokecolor="#000000">
                <v:path arrowok="t"/>
              </v:shape>
            </v:group>
            <v:group style="position:absolute;left:6899;top:13262;width:1253;height:2" coordorigin="6899,13262" coordsize="1253,2">
              <v:shape style="position:absolute;left:6899;top:13262;width:1253;height:2" coordorigin="6899,13262" coordsize="1253,0" path="m6899,13262l8152,13262e" filled="false" stroked="true" strokeweight=".47998pt" strokecolor="#000000">
                <v:path arrowok="t"/>
              </v:shape>
            </v:group>
            <v:group style="position:absolute;left:8161;top:13262;width:531;height:2" coordorigin="8161,13262" coordsize="531,2">
              <v:shape style="position:absolute;left:8161;top:13262;width:531;height:2" coordorigin="8161,13262" coordsize="531,0" path="m8161,13262l8692,13262e" filled="false" stroked="true" strokeweight=".47998pt" strokecolor="#000000">
                <v:path arrowok="t"/>
              </v:shape>
            </v:group>
            <v:group style="position:absolute;left:8702;top:13262;width:1076;height:2" coordorigin="8702,13262" coordsize="1076,2">
              <v:shape style="position:absolute;left:8702;top:13262;width:1076;height:2" coordorigin="8702,13262" coordsize="1076,0" path="m8702,13262l9777,13262e" filled="false" stroked="true" strokeweight=".47998pt" strokecolor="#000000">
                <v:path arrowok="t"/>
              </v:shape>
            </v:group>
            <v:group style="position:absolute;left:9787;top:13262;width:473;height:2" coordorigin="9787,13262" coordsize="473,2">
              <v:shape style="position:absolute;left:9787;top:13262;width:473;height:2" coordorigin="9787,13262" coordsize="473,0" path="m9787,13262l10260,13262e" filled="false" stroked="true" strokeweight=".47998pt" strokecolor="#000000">
                <v:path arrowok="t"/>
              </v:shape>
            </v:group>
            <v:group style="position:absolute;left:10269;top:13262;width:1302;height:2" coordorigin="10269,13262" coordsize="1302,2">
              <v:shape style="position:absolute;left:10269;top:13262;width:1302;height:2" coordorigin="10269,13262" coordsize="1302,0" path="m10269,13262l11570,13262e" filled="false" stroked="true" strokeweight=".47998pt" strokecolor="#000000">
                <v:path arrowok="t"/>
              </v:shape>
            </v:group>
            <v:group style="position:absolute;left:240;top:13521;width:1952;height:2" coordorigin="240,13521" coordsize="1952,2">
              <v:shape style="position:absolute;left:240;top:13521;width:1952;height:2" coordorigin="240,13521" coordsize="1952,0" path="m240,13521l2192,13521e" filled="false" stroked="true" strokeweight=".48004pt" strokecolor="#d2d2d2">
                <v:path arrowok="t"/>
              </v:shape>
            </v:group>
            <v:group style="position:absolute;left:251;top:13526;width:2;height:312" coordorigin="251,13526" coordsize="2,312">
              <v:shape style="position:absolute;left:251;top:13526;width:2;height:312" coordorigin="251,13526" coordsize="0,312" path="m251,13526l251,13838e" filled="false" stroked="true" strokeweight="1.08pt" strokecolor="#d2d2d2">
                <v:path arrowok="t"/>
              </v:shape>
            </v:group>
            <v:group style="position:absolute;left:2181;top:13526;width:2;height:312" coordorigin="2181,13526" coordsize="2,312">
              <v:shape style="position:absolute;left:2181;top:13526;width:2;height:312" coordorigin="2181,13526" coordsize="0,312" path="m2181,13526l2181,13838e" filled="false" stroked="true" strokeweight="1.08pt" strokecolor="#d2d2d2">
                <v:path arrowok="t"/>
              </v:shape>
            </v:group>
            <v:group style="position:absolute;left:240;top:13843;width:1952;height:2" coordorigin="240,13843" coordsize="1952,2">
              <v:shape style="position:absolute;left:240;top:13843;width:1952;height:2" coordorigin="240,13843" coordsize="1952,0" path="m240,13843l2192,13843e" filled="false" stroked="true" strokeweight=".47998pt" strokecolor="#d2d2d2">
                <v:path arrowok="t"/>
              </v:shape>
            </v:group>
            <v:group style="position:absolute;left:262;top:13526;width:1909;height:312" coordorigin="262,13526" coordsize="1909,312">
              <v:shape style="position:absolute;left:262;top:13526;width:1909;height:312" coordorigin="262,13526" coordsize="1909,312" path="m262,13838l2170,13838,2170,13526,262,13526,262,13838xe" filled="true" fillcolor="#d2d2d2" stroked="false">
                <v:path arrowok="t"/>
                <v:fill type="solid"/>
              </v:shape>
            </v:group>
            <v:group style="position:absolute;left:238;top:13512;width:1955;height:2" coordorigin="238,13512" coordsize="1955,2">
              <v:shape style="position:absolute;left:238;top:13512;width:1955;height:2" coordorigin="238,13512" coordsize="1955,0" path="m238,13512l2192,13512e" filled="false" stroked="true" strokeweight=".47998pt" strokecolor="#000000">
                <v:path arrowok="t"/>
              </v:shape>
            </v:group>
            <v:group style="position:absolute;left:2201;top:13512;width:1172;height:2" coordorigin="2201,13512" coordsize="1172,2">
              <v:shape style="position:absolute;left:2201;top:13512;width:1172;height:2" coordorigin="2201,13512" coordsize="1172,0" path="m2201,13512l3372,13512e" filled="false" stroked="true" strokeweight=".47998pt" strokecolor="#000000">
                <v:path arrowok="t"/>
              </v:shape>
            </v:group>
            <v:group style="position:absolute;left:3382;top:13512;width:228;height:2" coordorigin="3382,13512" coordsize="228,2">
              <v:shape style="position:absolute;left:3382;top:13512;width:228;height:2" coordorigin="3382,13512" coordsize="228,0" path="m3382,13512l3610,13512e" filled="false" stroked="true" strokeweight=".47998pt" strokecolor="#000000">
                <v:path arrowok="t"/>
              </v:shape>
            </v:group>
            <v:group style="position:absolute;left:3620;top:13512;width:227;height:2" coordorigin="3620,13512" coordsize="227,2">
              <v:shape style="position:absolute;left:3620;top:13512;width:227;height:2" coordorigin="3620,13512" coordsize="227,0" path="m3620,13512l3846,13512e" filled="false" stroked="true" strokeweight=".47998pt" strokecolor="#000000">
                <v:path arrowok="t"/>
              </v:shape>
            </v:group>
            <v:group style="position:absolute;left:3855;top:13512;width:226;height:2" coordorigin="3855,13512" coordsize="226,2">
              <v:shape style="position:absolute;left:3855;top:13512;width:226;height:2" coordorigin="3855,13512" coordsize="226,0" path="m3855,13512l4081,13512e" filled="false" stroked="true" strokeweight=".47998pt" strokecolor="#000000">
                <v:path arrowok="t"/>
              </v:shape>
            </v:group>
            <v:group style="position:absolute;left:4091;top:13512;width:1083;height:2" coordorigin="4091,13512" coordsize="1083,2">
              <v:shape style="position:absolute;left:4091;top:13512;width:1083;height:2" coordorigin="4091,13512" coordsize="1083,0" path="m4091,13512l5173,13512e" filled="false" stroked="true" strokeweight=".47998pt" strokecolor="#000000">
                <v:path arrowok="t"/>
              </v:shape>
            </v:group>
            <v:group style="position:absolute;left:5183;top:13512;width:406;height:2" coordorigin="5183,13512" coordsize="406,2">
              <v:shape style="position:absolute;left:5183;top:13512;width:406;height:2" coordorigin="5183,13512" coordsize="406,0" path="m5183,13512l5588,13512e" filled="false" stroked="true" strokeweight=".47998pt" strokecolor="#000000">
                <v:path arrowok="t"/>
              </v:shape>
            </v:group>
            <v:group style="position:absolute;left:5598;top:13512;width:930;height:2" coordorigin="5598,13512" coordsize="930,2">
              <v:shape style="position:absolute;left:5598;top:13512;width:930;height:2" coordorigin="5598,13512" coordsize="930,0" path="m5598,13512l6527,13512e" filled="false" stroked="true" strokeweight=".47998pt" strokecolor="#000000">
                <v:path arrowok="t"/>
              </v:shape>
            </v:group>
            <v:group style="position:absolute;left:6537;top:13512;width:353;height:2" coordorigin="6537,13512" coordsize="353,2">
              <v:shape style="position:absolute;left:6537;top:13512;width:353;height:2" coordorigin="6537,13512" coordsize="353,0" path="m6537,13512l6889,13512e" filled="false" stroked="true" strokeweight=".47998pt" strokecolor="#000000">
                <v:path arrowok="t"/>
              </v:shape>
            </v:group>
            <v:group style="position:absolute;left:6899;top:13512;width:1253;height:2" coordorigin="6899,13512" coordsize="1253,2">
              <v:shape style="position:absolute;left:6899;top:13512;width:1253;height:2" coordorigin="6899,13512" coordsize="1253,0" path="m6899,13512l8152,13512e" filled="false" stroked="true" strokeweight=".47998pt" strokecolor="#000000">
                <v:path arrowok="t"/>
              </v:shape>
            </v:group>
            <v:group style="position:absolute;left:8161;top:13512;width:531;height:2" coordorigin="8161,13512" coordsize="531,2">
              <v:shape style="position:absolute;left:8161;top:13512;width:531;height:2" coordorigin="8161,13512" coordsize="531,0" path="m8161,13512l8692,13512e" filled="false" stroked="true" strokeweight=".47998pt" strokecolor="#000000">
                <v:path arrowok="t"/>
              </v:shape>
            </v:group>
            <v:group style="position:absolute;left:8702;top:13512;width:1076;height:2" coordorigin="8702,13512" coordsize="1076,2">
              <v:shape style="position:absolute;left:8702;top:13512;width:1076;height:2" coordorigin="8702,13512" coordsize="1076,0" path="m8702,13512l9777,13512e" filled="false" stroked="true" strokeweight=".47998pt" strokecolor="#000000">
                <v:path arrowok="t"/>
              </v:shape>
            </v:group>
            <v:group style="position:absolute;left:9787;top:13512;width:473;height:2" coordorigin="9787,13512" coordsize="473,2">
              <v:shape style="position:absolute;left:9787;top:13512;width:473;height:2" coordorigin="9787,13512" coordsize="473,0" path="m9787,13512l10260,13512e" filled="false" stroked="true" strokeweight=".47998pt" strokecolor="#000000">
                <v:path arrowok="t"/>
              </v:shape>
            </v:group>
            <v:group style="position:absolute;left:10269;top:13512;width:1302;height:2" coordorigin="10269,13512" coordsize="1302,2">
              <v:shape style="position:absolute;left:10269;top:13512;width:1302;height:2" coordorigin="10269,13512" coordsize="1302,0" path="m10269,13512l11570,13512e" filled="false" stroked="true" strokeweight=".47998pt" strokecolor="#000000">
                <v:path arrowok="t"/>
              </v:shape>
            </v:group>
            <v:group style="position:absolute;left:240;top:13862;width:1952;height:2" coordorigin="240,13862" coordsize="1952,2">
              <v:shape style="position:absolute;left:240;top:13862;width:1952;height:2" coordorigin="240,13862" coordsize="1952,0" path="m240,13862l2192,13862e" filled="false" stroked="true" strokeweight=".47998pt" strokecolor="#d2d2d2">
                <v:path arrowok="t"/>
              </v:shape>
            </v:group>
            <v:group style="position:absolute;left:251;top:13867;width:2;height:312" coordorigin="251,13867" coordsize="2,312">
              <v:shape style="position:absolute;left:251;top:13867;width:2;height:312" coordorigin="251,13867" coordsize="0,312" path="m251,13867l251,14179e" filled="false" stroked="true" strokeweight="1.08pt" strokecolor="#d2d2d2">
                <v:path arrowok="t"/>
              </v:shape>
            </v:group>
            <v:group style="position:absolute;left:2181;top:13867;width:2;height:312" coordorigin="2181,13867" coordsize="2,312">
              <v:shape style="position:absolute;left:2181;top:13867;width:2;height:312" coordorigin="2181,13867" coordsize="0,312" path="m2181,13867l2181,14179e" filled="false" stroked="true" strokeweight="1.08pt" strokecolor="#d2d2d2">
                <v:path arrowok="t"/>
              </v:shape>
            </v:group>
            <v:group style="position:absolute;left:240;top:14182;width:1952;height:2" coordorigin="240,14182" coordsize="1952,2">
              <v:shape style="position:absolute;left:240;top:14182;width:1952;height:2" coordorigin="240,14182" coordsize="1952,0" path="m240,14182l2192,14182e" filled="false" stroked="true" strokeweight=".35999pt" strokecolor="#d2d2d2">
                <v:path arrowok="t"/>
              </v:shape>
            </v:group>
            <v:group style="position:absolute;left:262;top:13867;width:1909;height:312" coordorigin="262,13867" coordsize="1909,312">
              <v:shape style="position:absolute;left:262;top:13867;width:1909;height:312" coordorigin="262,13867" coordsize="1909,312" path="m262,14179l2170,14179,2170,13867,262,13867,262,14179xe" filled="true" fillcolor="#d2d2d2" stroked="false">
                <v:path arrowok="t"/>
                <v:fill type="solid"/>
              </v:shape>
            </v:group>
            <v:group style="position:absolute;left:238;top:13852;width:1955;height:2" coordorigin="238,13852" coordsize="1955,2">
              <v:shape style="position:absolute;left:238;top:13852;width:1955;height:2" coordorigin="238,13852" coordsize="1955,0" path="m238,13852l2192,13852e" filled="false" stroked="true" strokeweight=".48004pt" strokecolor="#000000">
                <v:path arrowok="t"/>
              </v:shape>
            </v:group>
            <v:group style="position:absolute;left:2201;top:13852;width:1172;height:2" coordorigin="2201,13852" coordsize="1172,2">
              <v:shape style="position:absolute;left:2201;top:13852;width:1172;height:2" coordorigin="2201,13852" coordsize="1172,0" path="m2201,13852l3372,13852e" filled="false" stroked="true" strokeweight=".48004pt" strokecolor="#000000">
                <v:path arrowok="t"/>
              </v:shape>
            </v:group>
            <v:group style="position:absolute;left:3382;top:13852;width:228;height:2" coordorigin="3382,13852" coordsize="228,2">
              <v:shape style="position:absolute;left:3382;top:13852;width:228;height:2" coordorigin="3382,13852" coordsize="228,0" path="m3382,13852l3610,13852e" filled="false" stroked="true" strokeweight=".48004pt" strokecolor="#000000">
                <v:path arrowok="t"/>
              </v:shape>
            </v:group>
            <v:group style="position:absolute;left:3620;top:13852;width:227;height:2" coordorigin="3620,13852" coordsize="227,2">
              <v:shape style="position:absolute;left:3620;top:13852;width:227;height:2" coordorigin="3620,13852" coordsize="227,0" path="m3620,13852l3846,13852e" filled="false" stroked="true" strokeweight=".48004pt" strokecolor="#000000">
                <v:path arrowok="t"/>
              </v:shape>
            </v:group>
            <v:group style="position:absolute;left:3855;top:13852;width:226;height:2" coordorigin="3855,13852" coordsize="226,2">
              <v:shape style="position:absolute;left:3855;top:13852;width:226;height:2" coordorigin="3855,13852" coordsize="226,0" path="m3855,13852l4081,13852e" filled="false" stroked="true" strokeweight=".48004pt" strokecolor="#000000">
                <v:path arrowok="t"/>
              </v:shape>
            </v:group>
            <v:group style="position:absolute;left:4091;top:13852;width:1083;height:2" coordorigin="4091,13852" coordsize="1083,2">
              <v:shape style="position:absolute;left:4091;top:13852;width:1083;height:2" coordorigin="4091,13852" coordsize="1083,0" path="m4091,13852l5173,13852e" filled="false" stroked="true" strokeweight=".48004pt" strokecolor="#000000">
                <v:path arrowok="t"/>
              </v:shape>
            </v:group>
            <v:group style="position:absolute;left:5183;top:13852;width:406;height:2" coordorigin="5183,13852" coordsize="406,2">
              <v:shape style="position:absolute;left:5183;top:13852;width:406;height:2" coordorigin="5183,13852" coordsize="406,0" path="m5183,13852l5588,13852e" filled="false" stroked="true" strokeweight=".48004pt" strokecolor="#000000">
                <v:path arrowok="t"/>
              </v:shape>
            </v:group>
            <v:group style="position:absolute;left:5598;top:13852;width:930;height:2" coordorigin="5598,13852" coordsize="930,2">
              <v:shape style="position:absolute;left:5598;top:13852;width:930;height:2" coordorigin="5598,13852" coordsize="930,0" path="m5598,13852l6527,13852e" filled="false" stroked="true" strokeweight=".48004pt" strokecolor="#000000">
                <v:path arrowok="t"/>
              </v:shape>
            </v:group>
            <v:group style="position:absolute;left:6537;top:13852;width:353;height:2" coordorigin="6537,13852" coordsize="353,2">
              <v:shape style="position:absolute;left:6537;top:13852;width:353;height:2" coordorigin="6537,13852" coordsize="353,0" path="m6537,13852l6889,13852e" filled="false" stroked="true" strokeweight=".48004pt" strokecolor="#000000">
                <v:path arrowok="t"/>
              </v:shape>
            </v:group>
            <v:group style="position:absolute;left:6899;top:13852;width:1253;height:2" coordorigin="6899,13852" coordsize="1253,2">
              <v:shape style="position:absolute;left:6899;top:13852;width:1253;height:2" coordorigin="6899,13852" coordsize="1253,0" path="m6899,13852l8152,13852e" filled="false" stroked="true" strokeweight=".48004pt" strokecolor="#000000">
                <v:path arrowok="t"/>
              </v:shape>
            </v:group>
            <v:group style="position:absolute;left:8161;top:13852;width:531;height:2" coordorigin="8161,13852" coordsize="531,2">
              <v:shape style="position:absolute;left:8161;top:13852;width:531;height:2" coordorigin="8161,13852" coordsize="531,0" path="m8161,13852l8692,13852e" filled="false" stroked="true" strokeweight=".48004pt" strokecolor="#000000">
                <v:path arrowok="t"/>
              </v:shape>
            </v:group>
            <v:group style="position:absolute;left:8702;top:13852;width:1076;height:2" coordorigin="8702,13852" coordsize="1076,2">
              <v:shape style="position:absolute;left:8702;top:13852;width:1076;height:2" coordorigin="8702,13852" coordsize="1076,0" path="m8702,13852l9777,13852e" filled="false" stroked="true" strokeweight=".48004pt" strokecolor="#000000">
                <v:path arrowok="t"/>
              </v:shape>
            </v:group>
            <v:group style="position:absolute;left:9787;top:13852;width:473;height:2" coordorigin="9787,13852" coordsize="473,2">
              <v:shape style="position:absolute;left:9787;top:13852;width:473;height:2" coordorigin="9787,13852" coordsize="473,0" path="m9787,13852l10260,13852e" filled="false" stroked="true" strokeweight=".48004pt" strokecolor="#000000">
                <v:path arrowok="t"/>
              </v:shape>
            </v:group>
            <v:group style="position:absolute;left:10269;top:13852;width:1302;height:2" coordorigin="10269,13852" coordsize="1302,2">
              <v:shape style="position:absolute;left:10269;top:13852;width:1302;height:2" coordorigin="10269,13852" coordsize="1302,0" path="m10269,13852l11570,13852e" filled="false" stroked="true" strokeweight=".48004pt" strokecolor="#000000">
                <v:path arrowok="t"/>
              </v:shape>
            </v:group>
            <v:group style="position:absolute;left:240;top:14202;width:1952;height:2" coordorigin="240,14202" coordsize="1952,2">
              <v:shape style="position:absolute;left:240;top:14202;width:1952;height:2" coordorigin="240,14202" coordsize="1952,0" path="m240,14202l2192,14202e" filled="false" stroked="true" strokeweight=".35999pt" strokecolor="#d2d2d2">
                <v:path arrowok="t"/>
              </v:shape>
            </v:group>
            <v:group style="position:absolute;left:251;top:14205;width:2;height:312" coordorigin="251,14205" coordsize="2,312">
              <v:shape style="position:absolute;left:251;top:14205;width:2;height:312" coordorigin="251,14205" coordsize="0,312" path="m251,14205l251,14517e" filled="false" stroked="true" strokeweight="1.08pt" strokecolor="#d2d2d2">
                <v:path arrowok="t"/>
              </v:shape>
            </v:group>
            <v:group style="position:absolute;left:2181;top:14205;width:2;height:312" coordorigin="2181,14205" coordsize="2,312">
              <v:shape style="position:absolute;left:2181;top:14205;width:2;height:312" coordorigin="2181,14205" coordsize="0,312" path="m2181,14205l2181,14517e" filled="false" stroked="true" strokeweight="1.08pt" strokecolor="#d2d2d2">
                <v:path arrowok="t"/>
              </v:shape>
            </v:group>
            <v:group style="position:absolute;left:240;top:14522;width:1952;height:2" coordorigin="240,14522" coordsize="1952,2">
              <v:shape style="position:absolute;left:240;top:14522;width:1952;height:2" coordorigin="240,14522" coordsize="1952,0" path="m240,14522l2192,14522e" filled="false" stroked="true" strokeweight=".47998pt" strokecolor="#d2d2d2">
                <v:path arrowok="t"/>
              </v:shape>
            </v:group>
            <v:group style="position:absolute;left:262;top:14205;width:1909;height:312" coordorigin="262,14205" coordsize="1909,312">
              <v:shape style="position:absolute;left:262;top:14205;width:1909;height:312" coordorigin="262,14205" coordsize="1909,312" path="m262,14517l2170,14517,2170,14205,262,14205,262,14517xe" filled="true" fillcolor="#d2d2d2" stroked="false">
                <v:path arrowok="t"/>
                <v:fill type="solid"/>
              </v:shape>
            </v:group>
            <v:group style="position:absolute;left:238;top:14191;width:1955;height:2" coordorigin="238,14191" coordsize="1955,2">
              <v:shape style="position:absolute;left:238;top:14191;width:1955;height:2" coordorigin="238,14191" coordsize="1955,0" path="m238,14191l2192,14191e" filled="false" stroked="true" strokeweight=".47998pt" strokecolor="#000000">
                <v:path arrowok="t"/>
              </v:shape>
            </v:group>
            <v:group style="position:absolute;left:2201;top:14191;width:1172;height:2" coordorigin="2201,14191" coordsize="1172,2">
              <v:shape style="position:absolute;left:2201;top:14191;width:1172;height:2" coordorigin="2201,14191" coordsize="1172,0" path="m2201,14191l3372,14191e" filled="false" stroked="true" strokeweight=".47998pt" strokecolor="#000000">
                <v:path arrowok="t"/>
              </v:shape>
            </v:group>
            <v:group style="position:absolute;left:3382;top:14191;width:228;height:2" coordorigin="3382,14191" coordsize="228,2">
              <v:shape style="position:absolute;left:3382;top:14191;width:228;height:2" coordorigin="3382,14191" coordsize="228,0" path="m3382,14191l3610,14191e" filled="false" stroked="true" strokeweight=".47998pt" strokecolor="#000000">
                <v:path arrowok="t"/>
              </v:shape>
            </v:group>
            <v:group style="position:absolute;left:3620;top:14191;width:227;height:2" coordorigin="3620,14191" coordsize="227,2">
              <v:shape style="position:absolute;left:3620;top:14191;width:227;height:2" coordorigin="3620,14191" coordsize="227,0" path="m3620,14191l3846,14191e" filled="false" stroked="true" strokeweight=".47998pt" strokecolor="#000000">
                <v:path arrowok="t"/>
              </v:shape>
            </v:group>
            <v:group style="position:absolute;left:3855;top:14191;width:226;height:2" coordorigin="3855,14191" coordsize="226,2">
              <v:shape style="position:absolute;left:3855;top:14191;width:226;height:2" coordorigin="3855,14191" coordsize="226,0" path="m3855,14191l4081,14191e" filled="false" stroked="true" strokeweight=".47998pt" strokecolor="#000000">
                <v:path arrowok="t"/>
              </v:shape>
            </v:group>
            <v:group style="position:absolute;left:4091;top:14191;width:1083;height:2" coordorigin="4091,14191" coordsize="1083,2">
              <v:shape style="position:absolute;left:4091;top:14191;width:1083;height:2" coordorigin="4091,14191" coordsize="1083,0" path="m4091,14191l5173,14191e" filled="false" stroked="true" strokeweight=".47998pt" strokecolor="#000000">
                <v:path arrowok="t"/>
              </v:shape>
            </v:group>
            <v:group style="position:absolute;left:5183;top:14191;width:406;height:2" coordorigin="5183,14191" coordsize="406,2">
              <v:shape style="position:absolute;left:5183;top:14191;width:406;height:2" coordorigin="5183,14191" coordsize="406,0" path="m5183,14191l5588,14191e" filled="false" stroked="true" strokeweight=".47998pt" strokecolor="#000000">
                <v:path arrowok="t"/>
              </v:shape>
            </v:group>
            <v:group style="position:absolute;left:5598;top:14191;width:930;height:2" coordorigin="5598,14191" coordsize="930,2">
              <v:shape style="position:absolute;left:5598;top:14191;width:930;height:2" coordorigin="5598,14191" coordsize="930,0" path="m5598,14191l6527,14191e" filled="false" stroked="true" strokeweight=".47998pt" strokecolor="#000000">
                <v:path arrowok="t"/>
              </v:shape>
            </v:group>
            <v:group style="position:absolute;left:6537;top:14191;width:353;height:2" coordorigin="6537,14191" coordsize="353,2">
              <v:shape style="position:absolute;left:6537;top:14191;width:353;height:2" coordorigin="6537,14191" coordsize="353,0" path="m6537,14191l6889,14191e" filled="false" stroked="true" strokeweight=".47998pt" strokecolor="#000000">
                <v:path arrowok="t"/>
              </v:shape>
            </v:group>
            <v:group style="position:absolute;left:6899;top:14191;width:1253;height:2" coordorigin="6899,14191" coordsize="1253,2">
              <v:shape style="position:absolute;left:6899;top:14191;width:1253;height:2" coordorigin="6899,14191" coordsize="1253,0" path="m6899,14191l8152,14191e" filled="false" stroked="true" strokeweight=".47998pt" strokecolor="#000000">
                <v:path arrowok="t"/>
              </v:shape>
            </v:group>
            <v:group style="position:absolute;left:8161;top:14191;width:531;height:2" coordorigin="8161,14191" coordsize="531,2">
              <v:shape style="position:absolute;left:8161;top:14191;width:531;height:2" coordorigin="8161,14191" coordsize="531,0" path="m8161,14191l8692,14191e" filled="false" stroked="true" strokeweight=".47998pt" strokecolor="#000000">
                <v:path arrowok="t"/>
              </v:shape>
            </v:group>
            <v:group style="position:absolute;left:8702;top:14191;width:1076;height:2" coordorigin="8702,14191" coordsize="1076,2">
              <v:shape style="position:absolute;left:8702;top:14191;width:1076;height:2" coordorigin="8702,14191" coordsize="1076,0" path="m8702,14191l9777,14191e" filled="false" stroked="true" strokeweight=".47998pt" strokecolor="#000000">
                <v:path arrowok="t"/>
              </v:shape>
            </v:group>
            <v:group style="position:absolute;left:9787;top:14191;width:473;height:2" coordorigin="9787,14191" coordsize="473,2">
              <v:shape style="position:absolute;left:9787;top:14191;width:473;height:2" coordorigin="9787,14191" coordsize="473,0" path="m9787,14191l10260,14191e" filled="false" stroked="true" strokeweight=".47998pt" strokecolor="#000000">
                <v:path arrowok="t"/>
              </v:shape>
            </v:group>
            <v:group style="position:absolute;left:10269;top:14191;width:1302;height:2" coordorigin="10269,14191" coordsize="1302,2">
              <v:shape style="position:absolute;left:10269;top:14191;width:1302;height:2" coordorigin="10269,14191" coordsize="1302,0" path="m10269,14191l11570,14191e" filled="false" stroked="true" strokeweight=".47998pt" strokecolor="#000000">
                <v:path arrowok="t"/>
              </v:shape>
            </v:group>
            <v:group style="position:absolute;left:240;top:14541;width:1952;height:2" coordorigin="240,14541" coordsize="1952,2">
              <v:shape style="position:absolute;left:240;top:14541;width:1952;height:2" coordorigin="240,14541" coordsize="1952,0" path="m240,14541l2192,14541e" filled="false" stroked="true" strokeweight=".48004pt" strokecolor="#d2d2d2">
                <v:path arrowok="t"/>
              </v:shape>
            </v:group>
            <v:group style="position:absolute;left:251;top:14546;width:2;height:312" coordorigin="251,14546" coordsize="2,312">
              <v:shape style="position:absolute;left:251;top:14546;width:2;height:312" coordorigin="251,14546" coordsize="0,312" path="m251,14546l251,14858e" filled="false" stroked="true" strokeweight="1.08pt" strokecolor="#d2d2d2">
                <v:path arrowok="t"/>
              </v:shape>
            </v:group>
            <v:group style="position:absolute;left:2181;top:14546;width:2;height:312" coordorigin="2181,14546" coordsize="2,312">
              <v:shape style="position:absolute;left:2181;top:14546;width:2;height:312" coordorigin="2181,14546" coordsize="0,312" path="m2181,14546l2181,14858e" filled="false" stroked="true" strokeweight="1.08pt" strokecolor="#d2d2d2">
                <v:path arrowok="t"/>
              </v:shape>
            </v:group>
            <v:group style="position:absolute;left:240;top:14863;width:1952;height:2" coordorigin="240,14863" coordsize="1952,2">
              <v:shape style="position:absolute;left:240;top:14863;width:1952;height:2" coordorigin="240,14863" coordsize="1952,0" path="m240,14863l2192,14863e" filled="false" stroked="true" strokeweight=".47998pt" strokecolor="#d2d2d2">
                <v:path arrowok="t"/>
              </v:shape>
            </v:group>
            <v:group style="position:absolute;left:262;top:14546;width:1909;height:312" coordorigin="262,14546" coordsize="1909,312">
              <v:shape style="position:absolute;left:262;top:14546;width:1909;height:312" coordorigin="262,14546" coordsize="1909,312" path="m262,14858l2170,14858,2170,14546,262,14546,262,14858xe" filled="true" fillcolor="#d2d2d2" stroked="false">
                <v:path arrowok="t"/>
                <v:fill type="solid"/>
              </v:shape>
            </v:group>
            <v:group style="position:absolute;left:238;top:14532;width:1955;height:2" coordorigin="238,14532" coordsize="1955,2">
              <v:shape style="position:absolute;left:238;top:14532;width:1955;height:2" coordorigin="238,14532" coordsize="1955,0" path="m238,14532l2192,14532e" filled="false" stroked="true" strokeweight=".47998pt" strokecolor="#000000">
                <v:path arrowok="t"/>
              </v:shape>
            </v:group>
            <v:group style="position:absolute;left:2201;top:14532;width:1172;height:2" coordorigin="2201,14532" coordsize="1172,2">
              <v:shape style="position:absolute;left:2201;top:14532;width:1172;height:2" coordorigin="2201,14532" coordsize="1172,0" path="m2201,14532l3372,14532e" filled="false" stroked="true" strokeweight=".47998pt" strokecolor="#000000">
                <v:path arrowok="t"/>
              </v:shape>
            </v:group>
            <v:group style="position:absolute;left:3382;top:14532;width:228;height:2" coordorigin="3382,14532" coordsize="228,2">
              <v:shape style="position:absolute;left:3382;top:14532;width:228;height:2" coordorigin="3382,14532" coordsize="228,0" path="m3382,14532l3610,14532e" filled="false" stroked="true" strokeweight=".47998pt" strokecolor="#000000">
                <v:path arrowok="t"/>
              </v:shape>
            </v:group>
            <v:group style="position:absolute;left:3620;top:14532;width:227;height:2" coordorigin="3620,14532" coordsize="227,2">
              <v:shape style="position:absolute;left:3620;top:14532;width:227;height:2" coordorigin="3620,14532" coordsize="227,0" path="m3620,14532l3846,14532e" filled="false" stroked="true" strokeweight=".47998pt" strokecolor="#000000">
                <v:path arrowok="t"/>
              </v:shape>
            </v:group>
            <v:group style="position:absolute;left:3855;top:14532;width:226;height:2" coordorigin="3855,14532" coordsize="226,2">
              <v:shape style="position:absolute;left:3855;top:14532;width:226;height:2" coordorigin="3855,14532" coordsize="226,0" path="m3855,14532l4081,14532e" filled="false" stroked="true" strokeweight=".47998pt" strokecolor="#000000">
                <v:path arrowok="t"/>
              </v:shape>
            </v:group>
            <v:group style="position:absolute;left:4091;top:14532;width:1083;height:2" coordorigin="4091,14532" coordsize="1083,2">
              <v:shape style="position:absolute;left:4091;top:14532;width:1083;height:2" coordorigin="4091,14532" coordsize="1083,0" path="m4091,14532l5173,14532e" filled="false" stroked="true" strokeweight=".47998pt" strokecolor="#000000">
                <v:path arrowok="t"/>
              </v:shape>
            </v:group>
            <v:group style="position:absolute;left:5183;top:14532;width:406;height:2" coordorigin="5183,14532" coordsize="406,2">
              <v:shape style="position:absolute;left:5183;top:14532;width:406;height:2" coordorigin="5183,14532" coordsize="406,0" path="m5183,14532l5588,14532e" filled="false" stroked="true" strokeweight=".47998pt" strokecolor="#000000">
                <v:path arrowok="t"/>
              </v:shape>
            </v:group>
            <v:group style="position:absolute;left:5598;top:14532;width:930;height:2" coordorigin="5598,14532" coordsize="930,2">
              <v:shape style="position:absolute;left:5598;top:14532;width:930;height:2" coordorigin="5598,14532" coordsize="930,0" path="m5598,14532l6527,14532e" filled="false" stroked="true" strokeweight=".47998pt" strokecolor="#000000">
                <v:path arrowok="t"/>
              </v:shape>
            </v:group>
            <v:group style="position:absolute;left:6537;top:14532;width:353;height:2" coordorigin="6537,14532" coordsize="353,2">
              <v:shape style="position:absolute;left:6537;top:14532;width:353;height:2" coordorigin="6537,14532" coordsize="353,0" path="m6537,14532l6889,14532e" filled="false" stroked="true" strokeweight=".47998pt" strokecolor="#000000">
                <v:path arrowok="t"/>
              </v:shape>
            </v:group>
            <v:group style="position:absolute;left:6899;top:14532;width:1253;height:2" coordorigin="6899,14532" coordsize="1253,2">
              <v:shape style="position:absolute;left:6899;top:14532;width:1253;height:2" coordorigin="6899,14532" coordsize="1253,0" path="m6899,14532l8152,14532e" filled="false" stroked="true" strokeweight=".47998pt" strokecolor="#000000">
                <v:path arrowok="t"/>
              </v:shape>
            </v:group>
            <v:group style="position:absolute;left:8161;top:14532;width:531;height:2" coordorigin="8161,14532" coordsize="531,2">
              <v:shape style="position:absolute;left:8161;top:14532;width:531;height:2" coordorigin="8161,14532" coordsize="531,0" path="m8161,14532l8692,14532e" filled="false" stroked="true" strokeweight=".47998pt" strokecolor="#000000">
                <v:path arrowok="t"/>
              </v:shape>
            </v:group>
            <v:group style="position:absolute;left:8702;top:14532;width:1076;height:2" coordorigin="8702,14532" coordsize="1076,2">
              <v:shape style="position:absolute;left:8702;top:14532;width:1076;height:2" coordorigin="8702,14532" coordsize="1076,0" path="m8702,14532l9777,14532e" filled="false" stroked="true" strokeweight=".47998pt" strokecolor="#000000">
                <v:path arrowok="t"/>
              </v:shape>
            </v:group>
            <v:group style="position:absolute;left:9787;top:14532;width:473;height:2" coordorigin="9787,14532" coordsize="473,2">
              <v:shape style="position:absolute;left:9787;top:14532;width:473;height:2" coordorigin="9787,14532" coordsize="473,0" path="m9787,14532l10260,14532e" filled="false" stroked="true" strokeweight=".47998pt" strokecolor="#000000">
                <v:path arrowok="t"/>
              </v:shape>
            </v:group>
            <v:group style="position:absolute;left:10269;top:14532;width:1302;height:2" coordorigin="10269,14532" coordsize="1302,2">
              <v:shape style="position:absolute;left:10269;top:14532;width:1302;height:2" coordorigin="10269,14532" coordsize="1302,0" path="m10269,14532l11570,14532e" filled="false" stroked="true" strokeweight=".47998pt" strokecolor="#000000">
                <v:path arrowok="t"/>
              </v:shape>
            </v:group>
            <v:group style="position:absolute;left:240;top:14882;width:1952;height:2" coordorigin="240,14882" coordsize="1952,2">
              <v:shape style="position:absolute;left:240;top:14882;width:1952;height:2" coordorigin="240,14882" coordsize="1952,0" path="m240,14882l2192,14882e" filled="false" stroked="true" strokeweight=".47998pt" strokecolor="#d2d2d2">
                <v:path arrowok="t"/>
              </v:shape>
            </v:group>
            <v:group style="position:absolute;left:251;top:14887;width:2;height:312" coordorigin="251,14887" coordsize="2,312">
              <v:shape style="position:absolute;left:251;top:14887;width:2;height:312" coordorigin="251,14887" coordsize="0,312" path="m251,14887l251,15199e" filled="false" stroked="true" strokeweight="1.08pt" strokecolor="#d2d2d2">
                <v:path arrowok="t"/>
              </v:shape>
            </v:group>
            <v:group style="position:absolute;left:2181;top:14887;width:2;height:312" coordorigin="2181,14887" coordsize="2,312">
              <v:shape style="position:absolute;left:2181;top:14887;width:2;height:312" coordorigin="2181,14887" coordsize="0,312" path="m2181,14887l2181,15199e" filled="false" stroked="true" strokeweight="1.08pt" strokecolor="#d2d2d2">
                <v:path arrowok="t"/>
              </v:shape>
            </v:group>
            <v:group style="position:absolute;left:240;top:15202;width:1952;height:2" coordorigin="240,15202" coordsize="1952,2">
              <v:shape style="position:absolute;left:240;top:15202;width:1952;height:2" coordorigin="240,15202" coordsize="1952,0" path="m240,15202l2192,15202e" filled="false" stroked="true" strokeweight=".35999pt" strokecolor="#d2d2d2">
                <v:path arrowok="t"/>
              </v:shape>
            </v:group>
            <v:group style="position:absolute;left:262;top:14887;width:1909;height:312" coordorigin="262,14887" coordsize="1909,312">
              <v:shape style="position:absolute;left:262;top:14887;width:1909;height:312" coordorigin="262,14887" coordsize="1909,312" path="m262,15199l2170,15199,2170,14887,262,14887,262,15199xe" filled="true" fillcolor="#d2d2d2" stroked="false">
                <v:path arrowok="t"/>
                <v:fill type="solid"/>
              </v:shape>
            </v:group>
            <v:group style="position:absolute;left:238;top:14872;width:1955;height:2" coordorigin="238,14872" coordsize="1955,2">
              <v:shape style="position:absolute;left:238;top:14872;width:1955;height:2" coordorigin="238,14872" coordsize="1955,0" path="m238,14872l2192,14872e" filled="false" stroked="true" strokeweight=".48004pt" strokecolor="#000000">
                <v:path arrowok="t"/>
              </v:shape>
            </v:group>
            <v:group style="position:absolute;left:2201;top:14872;width:1172;height:2" coordorigin="2201,14872" coordsize="1172,2">
              <v:shape style="position:absolute;left:2201;top:14872;width:1172;height:2" coordorigin="2201,14872" coordsize="1172,0" path="m2201,14872l3372,14872e" filled="false" stroked="true" strokeweight=".48004pt" strokecolor="#000000">
                <v:path arrowok="t"/>
              </v:shape>
            </v:group>
            <v:group style="position:absolute;left:3382;top:14872;width:228;height:2" coordorigin="3382,14872" coordsize="228,2">
              <v:shape style="position:absolute;left:3382;top:14872;width:228;height:2" coordorigin="3382,14872" coordsize="228,0" path="m3382,14872l3610,14872e" filled="false" stroked="true" strokeweight=".48004pt" strokecolor="#000000">
                <v:path arrowok="t"/>
              </v:shape>
            </v:group>
            <v:group style="position:absolute;left:3620;top:14872;width:227;height:2" coordorigin="3620,14872" coordsize="227,2">
              <v:shape style="position:absolute;left:3620;top:14872;width:227;height:2" coordorigin="3620,14872" coordsize="227,0" path="m3620,14872l3846,14872e" filled="false" stroked="true" strokeweight=".48004pt" strokecolor="#000000">
                <v:path arrowok="t"/>
              </v:shape>
            </v:group>
            <v:group style="position:absolute;left:3855;top:14872;width:226;height:2" coordorigin="3855,14872" coordsize="226,2">
              <v:shape style="position:absolute;left:3855;top:14872;width:226;height:2" coordorigin="3855,14872" coordsize="226,0" path="m3855,14872l4081,14872e" filled="false" stroked="true" strokeweight=".48004pt" strokecolor="#000000">
                <v:path arrowok="t"/>
              </v:shape>
            </v:group>
            <v:group style="position:absolute;left:4091;top:14872;width:1083;height:2" coordorigin="4091,14872" coordsize="1083,2">
              <v:shape style="position:absolute;left:4091;top:14872;width:1083;height:2" coordorigin="4091,14872" coordsize="1083,0" path="m4091,14872l5173,14872e" filled="false" stroked="true" strokeweight=".48004pt" strokecolor="#000000">
                <v:path arrowok="t"/>
              </v:shape>
            </v:group>
            <v:group style="position:absolute;left:5183;top:14872;width:406;height:2" coordorigin="5183,14872" coordsize="406,2">
              <v:shape style="position:absolute;left:5183;top:14872;width:406;height:2" coordorigin="5183,14872" coordsize="406,0" path="m5183,14872l5588,14872e" filled="false" stroked="true" strokeweight=".48004pt" strokecolor="#000000">
                <v:path arrowok="t"/>
              </v:shape>
            </v:group>
            <v:group style="position:absolute;left:5598;top:14872;width:930;height:2" coordorigin="5598,14872" coordsize="930,2">
              <v:shape style="position:absolute;left:5598;top:14872;width:930;height:2" coordorigin="5598,14872" coordsize="930,0" path="m5598,14872l6527,14872e" filled="false" stroked="true" strokeweight=".48004pt" strokecolor="#000000">
                <v:path arrowok="t"/>
              </v:shape>
            </v:group>
            <v:group style="position:absolute;left:6537;top:14872;width:353;height:2" coordorigin="6537,14872" coordsize="353,2">
              <v:shape style="position:absolute;left:6537;top:14872;width:353;height:2" coordorigin="6537,14872" coordsize="353,0" path="m6537,14872l6889,14872e" filled="false" stroked="true" strokeweight=".48004pt" strokecolor="#000000">
                <v:path arrowok="t"/>
              </v:shape>
            </v:group>
            <v:group style="position:absolute;left:6899;top:14872;width:1253;height:2" coordorigin="6899,14872" coordsize="1253,2">
              <v:shape style="position:absolute;left:6899;top:14872;width:1253;height:2" coordorigin="6899,14872" coordsize="1253,0" path="m6899,14872l8152,14872e" filled="false" stroked="true" strokeweight=".48004pt" strokecolor="#000000">
                <v:path arrowok="t"/>
              </v:shape>
            </v:group>
            <v:group style="position:absolute;left:8161;top:14872;width:531;height:2" coordorigin="8161,14872" coordsize="531,2">
              <v:shape style="position:absolute;left:8161;top:14872;width:531;height:2" coordorigin="8161,14872" coordsize="531,0" path="m8161,14872l8692,14872e" filled="false" stroked="true" strokeweight=".48004pt" strokecolor="#000000">
                <v:path arrowok="t"/>
              </v:shape>
            </v:group>
            <v:group style="position:absolute;left:8702;top:14872;width:1076;height:2" coordorigin="8702,14872" coordsize="1076,2">
              <v:shape style="position:absolute;left:8702;top:14872;width:1076;height:2" coordorigin="8702,14872" coordsize="1076,0" path="m8702,14872l9777,14872e" filled="false" stroked="true" strokeweight=".48004pt" strokecolor="#000000">
                <v:path arrowok="t"/>
              </v:shape>
            </v:group>
            <v:group style="position:absolute;left:9787;top:14872;width:473;height:2" coordorigin="9787,14872" coordsize="473,2">
              <v:shape style="position:absolute;left:9787;top:14872;width:473;height:2" coordorigin="9787,14872" coordsize="473,0" path="m9787,14872l10260,14872e" filled="false" stroked="true" strokeweight=".48004pt" strokecolor="#000000">
                <v:path arrowok="t"/>
              </v:shape>
            </v:group>
            <v:group style="position:absolute;left:10269;top:14872;width:1302;height:2" coordorigin="10269,14872" coordsize="1302,2">
              <v:shape style="position:absolute;left:10269;top:14872;width:1302;height:2" coordorigin="10269,14872" coordsize="1302,0" path="m10269,14872l11570,14872e" filled="false" stroked="true" strokeweight=".48004pt" strokecolor="#000000">
                <v:path arrowok="t"/>
              </v:shape>
            </v:group>
            <v:group style="position:absolute;left:233;top:1988;width:2;height:13221" coordorigin="233,1988" coordsize="2,13221">
              <v:shape style="position:absolute;left:233;top:1988;width:2;height:13221" coordorigin="233,1988" coordsize="0,13221" path="m233,1988l233,15208e" filled="false" stroked="true" strokeweight=".48pt" strokecolor="#000000">
                <v:path arrowok="t"/>
              </v:shape>
            </v:group>
            <v:group style="position:absolute;left:228;top:15213;width:10;height:2" coordorigin="228,15213" coordsize="10,2">
              <v:shape style="position:absolute;left:228;top:15213;width:10;height:2" coordorigin="228,15213" coordsize="10,0" path="m228,15213l238,15213e" filled="false" stroked="true" strokeweight=".47998pt" strokecolor="#000000">
                <v:path arrowok="t"/>
              </v:shape>
            </v:group>
            <v:group style="position:absolute;left:238;top:15213;width:1955;height:2" coordorigin="238,15213" coordsize="1955,2">
              <v:shape style="position:absolute;left:238;top:15213;width:1955;height:2" coordorigin="238,15213" coordsize="1955,0" path="m238,15213l2192,15213e" filled="false" stroked="true" strokeweight=".47998pt" strokecolor="#000000">
                <v:path arrowok="t"/>
              </v:shape>
            </v:group>
            <v:group style="position:absolute;left:2196;top:1988;width:2;height:13221" coordorigin="2196,1988" coordsize="2,13221">
              <v:shape style="position:absolute;left:2196;top:1988;width:2;height:13221" coordorigin="2196,1988" coordsize="0,13221" path="m2196,1988l2196,15208e" filled="false" stroked="true" strokeweight=".48pt" strokecolor="#000000">
                <v:path arrowok="t"/>
              </v:shape>
            </v:group>
            <v:group style="position:absolute;left:2192;top:15213;width:10;height:2" coordorigin="2192,15213" coordsize="10,2">
              <v:shape style="position:absolute;left:2192;top:15213;width:10;height:2" coordorigin="2192,15213" coordsize="10,0" path="m2192,15213l2201,15213e" filled="false" stroked="true" strokeweight=".47998pt" strokecolor="#000000">
                <v:path arrowok="t"/>
              </v:shape>
            </v:group>
            <v:group style="position:absolute;left:2201;top:15213;width:1172;height:2" coordorigin="2201,15213" coordsize="1172,2">
              <v:shape style="position:absolute;left:2201;top:15213;width:1172;height:2" coordorigin="2201,15213" coordsize="1172,0" path="m2201,15213l3372,15213e" filled="false" stroked="true" strokeweight=".47998pt" strokecolor="#000000">
                <v:path arrowok="t"/>
              </v:shape>
            </v:group>
            <v:group style="position:absolute;left:3377;top:2667;width:2;height:12552" coordorigin="3377,2667" coordsize="2,12552">
              <v:shape style="position:absolute;left:3377;top:2667;width:2;height:12552" coordorigin="3377,2667" coordsize="0,12552" path="m3377,2667l3377,15218e" filled="false" stroked="true" strokeweight=".48pt" strokecolor="#000000">
                <v:path arrowok="t"/>
              </v:shape>
            </v:group>
            <v:group style="position:absolute;left:3382;top:15213;width:228;height:2" coordorigin="3382,15213" coordsize="228,2">
              <v:shape style="position:absolute;left:3382;top:15213;width:228;height:2" coordorigin="3382,15213" coordsize="228,0" path="m3382,15213l3610,15213e" filled="false" stroked="true" strokeweight=".47998pt" strokecolor="#000000">
                <v:path arrowok="t"/>
              </v:shape>
            </v:group>
            <v:group style="position:absolute;left:3615;top:3149;width:2;height:12069" coordorigin="3615,3149" coordsize="2,12069">
              <v:shape style="position:absolute;left:3615;top:3149;width:2;height:12069" coordorigin="3615,3149" coordsize="0,12069" path="m3615,3149l3615,15218e" filled="false" stroked="true" strokeweight=".48001pt" strokecolor="#000000">
                <v:path arrowok="t"/>
              </v:shape>
            </v:group>
            <v:group style="position:absolute;left:3620;top:15213;width:227;height:2" coordorigin="3620,15213" coordsize="227,2">
              <v:shape style="position:absolute;left:3620;top:15213;width:227;height:2" coordorigin="3620,15213" coordsize="227,0" path="m3620,15213l3846,15213e" filled="false" stroked="true" strokeweight=".47998pt" strokecolor="#000000">
                <v:path arrowok="t"/>
              </v:shape>
            </v:group>
            <v:group style="position:absolute;left:3851;top:3149;width:2;height:12069" coordorigin="3851,3149" coordsize="2,12069">
              <v:shape style="position:absolute;left:3851;top:3149;width:2;height:12069" coordorigin="3851,3149" coordsize="0,12069" path="m3851,3149l3851,15218e" filled="false" stroked="true" strokeweight=".48001pt" strokecolor="#000000">
                <v:path arrowok="t"/>
              </v:shape>
            </v:group>
            <v:group style="position:absolute;left:3855;top:15213;width:226;height:2" coordorigin="3855,15213" coordsize="226,2">
              <v:shape style="position:absolute;left:3855;top:15213;width:226;height:2" coordorigin="3855,15213" coordsize="226,0" path="m3855,15213l4081,15213e" filled="false" stroked="true" strokeweight=".47998pt" strokecolor="#000000">
                <v:path arrowok="t"/>
              </v:shape>
            </v:group>
            <v:group style="position:absolute;left:4086;top:2667;width:2;height:12552" coordorigin="4086,2667" coordsize="2,12552">
              <v:shape style="position:absolute;left:4086;top:2667;width:2;height:12552" coordorigin="4086,2667" coordsize="0,12552" path="m4086,2667l4086,15218e" filled="false" stroked="true" strokeweight=".48pt" strokecolor="#000000">
                <v:path arrowok="t"/>
              </v:shape>
            </v:group>
            <v:group style="position:absolute;left:4091;top:15213;width:1083;height:2" coordorigin="4091,15213" coordsize="1083,2">
              <v:shape style="position:absolute;left:4091;top:15213;width:1083;height:2" coordorigin="4091,15213" coordsize="1083,0" path="m4091,15213l5173,15213e" filled="false" stroked="true" strokeweight=".47998pt" strokecolor="#000000">
                <v:path arrowok="t"/>
              </v:shape>
            </v:group>
            <v:group style="position:absolute;left:5178;top:2667;width:2;height:12552" coordorigin="5178,2667" coordsize="2,12552">
              <v:shape style="position:absolute;left:5178;top:2667;width:2;height:12552" coordorigin="5178,2667" coordsize="0,12552" path="m5178,2667l5178,15218e" filled="false" stroked="true" strokeweight=".47998pt" strokecolor="#000000">
                <v:path arrowok="t"/>
              </v:shape>
            </v:group>
            <v:group style="position:absolute;left:5183;top:15213;width:406;height:2" coordorigin="5183,15213" coordsize="406,2">
              <v:shape style="position:absolute;left:5183;top:15213;width:406;height:2" coordorigin="5183,15213" coordsize="406,0" path="m5183,15213l5588,15213e" filled="false" stroked="true" strokeweight=".47998pt" strokecolor="#000000">
                <v:path arrowok="t"/>
              </v:shape>
            </v:group>
            <v:group style="position:absolute;left:5593;top:2667;width:2;height:12552" coordorigin="5593,2667" coordsize="2,12552">
              <v:shape style="position:absolute;left:5593;top:2667;width:2;height:12552" coordorigin="5593,2667" coordsize="0,12552" path="m5593,2667l5593,15218e" filled="false" stroked="true" strokeweight=".48001pt" strokecolor="#000000">
                <v:path arrowok="t"/>
              </v:shape>
            </v:group>
            <v:group style="position:absolute;left:5598;top:15213;width:930;height:2" coordorigin="5598,15213" coordsize="930,2">
              <v:shape style="position:absolute;left:5598;top:15213;width:930;height:2" coordorigin="5598,15213" coordsize="930,0" path="m5598,15213l6527,15213e" filled="false" stroked="true" strokeweight=".47998pt" strokecolor="#000000">
                <v:path arrowok="t"/>
              </v:shape>
            </v:group>
            <v:group style="position:absolute;left:6532;top:2667;width:2;height:12552" coordorigin="6532,2667" coordsize="2,12552">
              <v:shape style="position:absolute;left:6532;top:2667;width:2;height:12552" coordorigin="6532,2667" coordsize="0,12552" path="m6532,2667l6532,15218e" filled="false" stroked="true" strokeweight=".48001pt" strokecolor="#000000">
                <v:path arrowok="t"/>
              </v:shape>
            </v:group>
            <v:group style="position:absolute;left:6537;top:15213;width:353;height:2" coordorigin="6537,15213" coordsize="353,2">
              <v:shape style="position:absolute;left:6537;top:15213;width:353;height:2" coordorigin="6537,15213" coordsize="353,0" path="m6537,15213l6889,15213e" filled="false" stroked="true" strokeweight=".47998pt" strokecolor="#000000">
                <v:path arrowok="t"/>
              </v:shape>
            </v:group>
            <v:group style="position:absolute;left:6894;top:2667;width:2;height:12552" coordorigin="6894,2667" coordsize="2,12552">
              <v:shape style="position:absolute;left:6894;top:2667;width:2;height:12552" coordorigin="6894,2667" coordsize="0,12552" path="m6894,2667l6894,15218e" filled="false" stroked="true" strokeweight=".47998pt" strokecolor="#000000">
                <v:path arrowok="t"/>
              </v:shape>
            </v:group>
            <v:group style="position:absolute;left:6899;top:15213;width:1253;height:2" coordorigin="6899,15213" coordsize="1253,2">
              <v:shape style="position:absolute;left:6899;top:15213;width:1253;height:2" coordorigin="6899,15213" coordsize="1253,0" path="m6899,15213l8152,15213e" filled="false" stroked="true" strokeweight=".47998pt" strokecolor="#000000">
                <v:path arrowok="t"/>
              </v:shape>
            </v:group>
            <v:group style="position:absolute;left:8157;top:2667;width:2;height:12552" coordorigin="8157,2667" coordsize="2,12552">
              <v:shape style="position:absolute;left:8157;top:2667;width:2;height:12552" coordorigin="8157,2667" coordsize="0,12552" path="m8157,2667l8157,15218e" filled="false" stroked="true" strokeweight=".47998pt" strokecolor="#000000">
                <v:path arrowok="t"/>
              </v:shape>
            </v:group>
            <v:group style="position:absolute;left:8161;top:15213;width:531;height:2" coordorigin="8161,15213" coordsize="531,2">
              <v:shape style="position:absolute;left:8161;top:15213;width:531;height:2" coordorigin="8161,15213" coordsize="531,0" path="m8161,15213l8692,15213e" filled="false" stroked="true" strokeweight=".47998pt" strokecolor="#000000">
                <v:path arrowok="t"/>
              </v:shape>
            </v:group>
            <v:group style="position:absolute;left:8697;top:2667;width:2;height:12552" coordorigin="8697,2667" coordsize="2,12552">
              <v:shape style="position:absolute;left:8697;top:2667;width:2;height:12552" coordorigin="8697,2667" coordsize="0,12552" path="m8697,2667l8697,15218e" filled="false" stroked="true" strokeweight=".48001pt" strokecolor="#000000">
                <v:path arrowok="t"/>
              </v:shape>
            </v:group>
            <v:group style="position:absolute;left:8702;top:15213;width:1076;height:2" coordorigin="8702,15213" coordsize="1076,2">
              <v:shape style="position:absolute;left:8702;top:15213;width:1076;height:2" coordorigin="8702,15213" coordsize="1076,0" path="m8702,15213l9777,15213e" filled="false" stroked="true" strokeweight=".47998pt" strokecolor="#000000">
                <v:path arrowok="t"/>
              </v:shape>
            </v:group>
            <v:group style="position:absolute;left:9782;top:2328;width:2;height:12890" coordorigin="9782,2328" coordsize="2,12890">
              <v:shape style="position:absolute;left:9782;top:2328;width:2;height:12890" coordorigin="9782,2328" coordsize="0,12890" path="m9782,2328l9782,15218e" filled="false" stroked="true" strokeweight=".47998pt" strokecolor="#000000">
                <v:path arrowok="t"/>
              </v:shape>
            </v:group>
            <v:group style="position:absolute;left:9787;top:15213;width:473;height:2" coordorigin="9787,15213" coordsize="473,2">
              <v:shape style="position:absolute;left:9787;top:15213;width:473;height:2" coordorigin="9787,15213" coordsize="473,0" path="m9787,15213l10260,15213e" filled="false" stroked="true" strokeweight=".47998pt" strokecolor="#000000">
                <v:path arrowok="t"/>
              </v:shape>
            </v:group>
            <v:group style="position:absolute;left:10264;top:2328;width:2;height:12890" coordorigin="10264,2328" coordsize="2,12890">
              <v:shape style="position:absolute;left:10264;top:2328;width:2;height:12890" coordorigin="10264,2328" coordsize="0,12890" path="m10264,2328l10264,15218e" filled="false" stroked="true" strokeweight=".47998pt" strokecolor="#000000">
                <v:path arrowok="t"/>
              </v:shape>
            </v:group>
            <v:group style="position:absolute;left:10269;top:15213;width:1302;height:2" coordorigin="10269,15213" coordsize="1302,2">
              <v:shape style="position:absolute;left:10269;top:15213;width:1302;height:2" coordorigin="10269,15213" coordsize="1302,0" path="m10269,15213l11570,15213e" filled="false" stroked="true" strokeweight=".47998pt" strokecolor="#000000">
                <v:path arrowok="t"/>
              </v:shape>
            </v:group>
            <v:group style="position:absolute;left:11575;top:1988;width:2;height:13231" coordorigin="11575,1988" coordsize="2,13231">
              <v:shape style="position:absolute;left:11575;top:1988;width:2;height:13231" coordorigin="11575,1988" coordsize="0,13231" path="m11575,1988l11575,15218e" filled="false" stroked="true" strokeweight=".47998pt" strokecolor="#000000">
                <v:path arrowok="t"/>
              </v:shape>
            </v:group>
            <w10:wrap type="none"/>
          </v:group>
        </w:pict>
      </w:r>
      <w:r>
        <w:rPr/>
        <w:t>一、上年期末余额</w:t>
        <w:tab/>
      </w:r>
      <w:r>
        <w:rPr>
          <w:rFonts w:ascii="Times New Roman" w:hAnsi="Times New Roman" w:cs="Times New Roman" w:eastAsia="Times New Roman" w:hint="default"/>
          <w:spacing w:val="-1"/>
        </w:rPr>
        <w:t>761,191,294.00</w:t>
        <w:tab/>
        <w:t>29,679,547.28</w:t>
        <w:tab/>
        <w:t>122,122.80</w:t>
        <w:tab/>
        <w:t>51,822,053.01</w:t>
        <w:tab/>
      </w:r>
      <w:r>
        <w:rPr>
          <w:rFonts w:ascii="Times New Roman" w:hAnsi="Times New Roman" w:cs="Times New Roman" w:eastAsia="Times New Roman" w:hint="default"/>
          <w:spacing w:val="-1"/>
          <w:position w:val="1"/>
        </w:rPr>
        <w:t>834,046,523.</w:t>
        <w:tab/>
        <w:t>1,676,861,540.7</w:t>
      </w:r>
      <w:r>
        <w:rPr>
          <w:rFonts w:ascii="Times New Roman" w:hAnsi="Times New Roman" w:cs="Times New Roman" w:eastAsia="Times New Roman" w:hint="default"/>
          <w:spacing w:val="-1"/>
        </w:rPr>
      </w:r>
    </w:p>
    <w:p>
      <w:pPr>
        <w:pStyle w:val="BodyText"/>
        <w:spacing w:line="345" w:lineRule="auto" w:before="89"/>
        <w:ind w:left="141" w:right="10005"/>
        <w:jc w:val="left"/>
      </w:pPr>
      <w:r>
        <w:rPr/>
        <w:t>加：会计政策变更 前期差错更正 同一控制下企业合并 其他</w:t>
      </w:r>
    </w:p>
    <w:p>
      <w:pPr>
        <w:pStyle w:val="BodyText"/>
        <w:tabs>
          <w:tab w:pos="2105" w:val="left" w:leader="none"/>
          <w:tab w:pos="3996" w:val="left" w:leader="none"/>
          <w:tab w:pos="5573" w:val="left" w:leader="none"/>
          <w:tab w:pos="6975" w:val="left" w:leader="none"/>
          <w:tab w:pos="8687" w:val="left" w:leader="none"/>
          <w:tab w:pos="10257" w:val="left" w:leader="none"/>
        </w:tabs>
        <w:spacing w:line="240" w:lineRule="auto" w:before="26"/>
        <w:ind w:left="141" w:right="0"/>
        <w:jc w:val="left"/>
        <w:rPr>
          <w:rFonts w:ascii="Times New Roman" w:hAnsi="Times New Roman" w:cs="Times New Roman" w:eastAsia="Times New Roman" w:hint="default"/>
        </w:rPr>
      </w:pPr>
      <w:r>
        <w:rPr/>
        <w:t>二、本年期初余额</w:t>
        <w:tab/>
      </w:r>
      <w:r>
        <w:rPr>
          <w:rFonts w:ascii="Times New Roman" w:hAnsi="Times New Roman" w:cs="Times New Roman" w:eastAsia="Times New Roman" w:hint="default"/>
          <w:spacing w:val="-1"/>
        </w:rPr>
        <w:t>761,191,294.00</w:t>
        <w:tab/>
        <w:t>29,679,547.28</w:t>
        <w:tab/>
        <w:t>122,122.80</w:t>
        <w:tab/>
        <w:t>51,822,053.01</w:t>
        <w:tab/>
      </w:r>
      <w:r>
        <w:rPr>
          <w:rFonts w:ascii="Times New Roman" w:hAnsi="Times New Roman" w:cs="Times New Roman" w:eastAsia="Times New Roman" w:hint="default"/>
          <w:spacing w:val="-1"/>
          <w:position w:val="1"/>
        </w:rPr>
        <w:t>834,046,523.</w:t>
        <w:tab/>
        <w:t>1,676,861,540.7</w:t>
      </w:r>
      <w:r>
        <w:rPr>
          <w:rFonts w:ascii="Times New Roman" w:hAnsi="Times New Roman" w:cs="Times New Roman" w:eastAsia="Times New Roman" w:hint="default"/>
          <w:spacing w:val="-1"/>
        </w:rPr>
      </w:r>
    </w:p>
    <w:p>
      <w:pPr>
        <w:pStyle w:val="BodyText"/>
        <w:spacing w:line="188" w:lineRule="exact" w:before="82"/>
        <w:ind w:left="141" w:right="0"/>
        <w:jc w:val="left"/>
      </w:pPr>
      <w:r>
        <w:rPr/>
        <w:t>三、本期增减变动金额</w:t>
      </w:r>
    </w:p>
    <w:p>
      <w:pPr>
        <w:pStyle w:val="BodyText"/>
        <w:tabs>
          <w:tab w:pos="7064" w:val="left" w:leader="none"/>
          <w:tab w:pos="8687" w:val="left" w:leader="none"/>
          <w:tab w:pos="10393" w:val="left" w:leader="none"/>
        </w:tabs>
        <w:spacing w:line="154" w:lineRule="exact"/>
        <w:ind w:left="5521" w:right="0"/>
        <w:jc w:val="left"/>
        <w:rPr>
          <w:rFonts w:ascii="Times New Roman" w:hAnsi="Times New Roman" w:cs="Times New Roman" w:eastAsia="Times New Roman" w:hint="default"/>
        </w:rPr>
      </w:pPr>
      <w:r>
        <w:rPr>
          <w:rFonts w:ascii="Times New Roman"/>
          <w:spacing w:val="-1"/>
        </w:rPr>
        <w:t>-116,920.80</w:t>
        <w:tab/>
        <w:t>7,157,172.63</w:t>
        <w:tab/>
        <w:t>6,609,853.25</w:t>
        <w:tab/>
        <w:t>13,650,105.08</w:t>
      </w:r>
    </w:p>
    <w:p>
      <w:pPr>
        <w:pStyle w:val="BodyText"/>
        <w:spacing w:line="219" w:lineRule="exact"/>
        <w:ind w:left="141" w:right="0"/>
        <w:jc w:val="left"/>
      </w:pPr>
      <w:r>
        <w:rPr/>
        <w:t>（减少以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号填列）</w:t>
      </w:r>
    </w:p>
    <w:p>
      <w:pPr>
        <w:pStyle w:val="BodyText"/>
        <w:tabs>
          <w:tab w:pos="5520" w:val="left" w:leader="none"/>
          <w:tab w:pos="8687" w:val="left" w:leader="none"/>
          <w:tab w:pos="10393" w:val="left" w:leader="none"/>
        </w:tabs>
        <w:spacing w:line="240" w:lineRule="auto" w:before="15"/>
        <w:ind w:left="141" w:right="0"/>
        <w:jc w:val="left"/>
        <w:rPr>
          <w:rFonts w:ascii="Times New Roman" w:hAnsi="Times New Roman" w:cs="Times New Roman" w:eastAsia="Times New Roman" w:hint="default"/>
        </w:rPr>
      </w:pPr>
      <w:r>
        <w:rPr/>
        <w:t>（一）综合收益总额</w:t>
        <w:tab/>
      </w:r>
      <w:r>
        <w:rPr>
          <w:rFonts w:ascii="Times New Roman" w:hAnsi="Times New Roman" w:cs="Times New Roman" w:eastAsia="Times New Roman" w:hint="default"/>
          <w:spacing w:val="-1"/>
        </w:rPr>
        <w:t>-116,920.80</w:t>
        <w:tab/>
      </w:r>
      <w:r>
        <w:rPr>
          <w:rFonts w:ascii="Times New Roman" w:hAnsi="Times New Roman" w:cs="Times New Roman" w:eastAsia="Times New Roman" w:hint="default"/>
          <w:spacing w:val="-1"/>
          <w:position w:val="1"/>
        </w:rPr>
        <w:t>13,767,025.8</w:t>
        <w:tab/>
      </w:r>
      <w:r>
        <w:rPr>
          <w:rFonts w:ascii="Times New Roman" w:hAnsi="Times New Roman" w:cs="Times New Roman" w:eastAsia="Times New Roman" w:hint="default"/>
          <w:spacing w:val="-1"/>
        </w:rPr>
        <w:t>13,650,105.08</w:t>
      </w:r>
    </w:p>
    <w:p>
      <w:pPr>
        <w:pStyle w:val="BodyText"/>
        <w:spacing w:line="316" w:lineRule="auto" w:before="82"/>
        <w:ind w:left="141" w:right="9722"/>
        <w:jc w:val="left"/>
      </w:pPr>
      <w:r>
        <w:rPr>
          <w:spacing w:val="-7"/>
        </w:rPr>
        <w:t>（二）所有者投入和减少</w:t>
      </w:r>
      <w:r>
        <w:rPr>
          <w:spacing w:val="-85"/>
        </w:rPr>
        <w:t> </w:t>
      </w:r>
      <w:r>
        <w:rPr>
          <w:spacing w:val="-85"/>
        </w:rPr>
      </w:r>
      <w:r>
        <w:rPr/>
        <w:t>资本</w:t>
      </w:r>
    </w:p>
    <w:p>
      <w:pPr>
        <w:pStyle w:val="BodyText"/>
        <w:spacing w:line="220" w:lineRule="exact"/>
        <w:ind w:left="141" w:right="0"/>
        <w:jc w:val="left"/>
      </w:pPr>
      <w:r>
        <w:rPr>
          <w:rFonts w:ascii="Times New Roman" w:hAnsi="Times New Roman" w:cs="Times New Roman" w:eastAsia="Times New Roman" w:hint="default"/>
        </w:rPr>
        <w:t>1</w:t>
      </w:r>
      <w:r>
        <w:rPr/>
        <w:t>．所有者投入的普通股</w:t>
      </w:r>
    </w:p>
    <w:p>
      <w:pPr>
        <w:pStyle w:val="BodyText"/>
        <w:spacing w:line="240" w:lineRule="auto" w:before="82"/>
        <w:ind w:left="141" w:right="0"/>
        <w:jc w:val="left"/>
      </w:pPr>
      <w:r>
        <w:rPr>
          <w:rFonts w:ascii="Times New Roman" w:hAnsi="Times New Roman" w:cs="Times New Roman" w:eastAsia="Times New Roman" w:hint="default"/>
        </w:rPr>
        <w:t>2</w:t>
      </w:r>
      <w:r>
        <w:rPr/>
        <w:t>．其他权益工具持有者</w:t>
      </w:r>
    </w:p>
    <w:p>
      <w:pPr>
        <w:pStyle w:val="BodyText"/>
        <w:spacing w:line="300" w:lineRule="auto" w:before="89"/>
        <w:ind w:left="141" w:right="9735"/>
        <w:jc w:val="left"/>
      </w:pPr>
      <w:r>
        <w:rPr>
          <w:rFonts w:ascii="Times New Roman" w:hAnsi="Times New Roman" w:cs="Times New Roman" w:eastAsia="Times New Roman" w:hint="default"/>
        </w:rPr>
        <w:t>3</w:t>
      </w:r>
      <w:r>
        <w:rPr/>
        <w:t>．股份支付计入所有者 权益的金额</w:t>
      </w:r>
    </w:p>
    <w:p>
      <w:pPr>
        <w:pStyle w:val="BodyText"/>
        <w:spacing w:line="233" w:lineRule="exact"/>
        <w:ind w:left="141" w:right="0"/>
        <w:jc w:val="left"/>
      </w:pPr>
      <w:r>
        <w:rPr>
          <w:rFonts w:ascii="Times New Roman" w:hAnsi="Times New Roman" w:cs="Times New Roman" w:eastAsia="Times New Roman" w:hint="default"/>
        </w:rPr>
        <w:t>4</w:t>
      </w:r>
      <w:r>
        <w:rPr/>
        <w:t>．其他</w:t>
      </w:r>
    </w:p>
    <w:p>
      <w:pPr>
        <w:pStyle w:val="BodyText"/>
        <w:tabs>
          <w:tab w:pos="7064" w:val="left" w:leader="none"/>
          <w:tab w:pos="8627" w:val="left" w:leader="none"/>
        </w:tabs>
        <w:spacing w:line="240" w:lineRule="auto" w:before="91"/>
        <w:ind w:left="141" w:right="0"/>
        <w:jc w:val="left"/>
        <w:rPr>
          <w:rFonts w:ascii="Times New Roman" w:hAnsi="Times New Roman" w:cs="Times New Roman" w:eastAsia="Times New Roman" w:hint="default"/>
        </w:rPr>
      </w:pPr>
      <w:r>
        <w:rPr/>
        <w:t>（三）利润分配</w:t>
        <w:tab/>
      </w:r>
      <w:r>
        <w:rPr>
          <w:rFonts w:ascii="Times New Roman" w:hAnsi="Times New Roman" w:cs="Times New Roman" w:eastAsia="Times New Roman" w:hint="default"/>
          <w:spacing w:val="-1"/>
        </w:rPr>
        <w:t>7,157,172.63</w:t>
        <w:tab/>
        <w:t>-7,157,172.63</w:t>
      </w:r>
    </w:p>
    <w:p>
      <w:pPr>
        <w:pStyle w:val="BodyText"/>
        <w:tabs>
          <w:tab w:pos="7064" w:val="left" w:leader="none"/>
          <w:tab w:pos="8627" w:val="left" w:leader="none"/>
        </w:tabs>
        <w:spacing w:line="240" w:lineRule="auto" w:before="92"/>
        <w:ind w:left="141"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．提取盈余公积</w:t>
        <w:tab/>
      </w:r>
      <w:r>
        <w:rPr>
          <w:rFonts w:ascii="Times New Roman" w:hAnsi="Times New Roman" w:cs="Times New Roman" w:eastAsia="Times New Roman" w:hint="default"/>
          <w:spacing w:val="-1"/>
        </w:rPr>
        <w:t>7,157,172.63</w:t>
        <w:tab/>
        <w:t>-7,157,172.63</w:t>
      </w:r>
    </w:p>
    <w:p>
      <w:pPr>
        <w:pStyle w:val="BodyText"/>
        <w:spacing w:line="240" w:lineRule="auto" w:before="89"/>
        <w:ind w:left="141" w:right="0"/>
        <w:jc w:val="left"/>
      </w:pPr>
      <w:r>
        <w:rPr>
          <w:rFonts w:ascii="Times New Roman" w:hAnsi="Times New Roman" w:cs="Times New Roman" w:eastAsia="Times New Roman" w:hint="default"/>
        </w:rPr>
        <w:t>2</w:t>
      </w:r>
      <w:r>
        <w:rPr/>
        <w:t>．提取一般风险准备</w:t>
      </w:r>
    </w:p>
    <w:p>
      <w:pPr>
        <w:pStyle w:val="BodyText"/>
        <w:spacing w:line="300" w:lineRule="auto" w:before="82"/>
        <w:ind w:left="141" w:right="9735"/>
        <w:jc w:val="left"/>
      </w:pPr>
      <w:r>
        <w:rPr>
          <w:rFonts w:ascii="Times New Roman" w:hAnsi="Times New Roman" w:cs="Times New Roman" w:eastAsia="Times New Roman" w:hint="default"/>
        </w:rPr>
        <w:t>3</w:t>
      </w:r>
      <w:r>
        <w:rPr/>
        <w:t>．对所有者（或股东） 的分配</w:t>
      </w:r>
    </w:p>
    <w:p>
      <w:pPr>
        <w:pStyle w:val="BodyText"/>
        <w:spacing w:line="223" w:lineRule="exact"/>
        <w:ind w:left="141" w:right="0"/>
        <w:jc w:val="left"/>
      </w:pPr>
      <w:r>
        <w:rPr>
          <w:rFonts w:ascii="Times New Roman" w:hAnsi="Times New Roman" w:cs="Times New Roman" w:eastAsia="Times New Roman" w:hint="default"/>
        </w:rPr>
        <w:t>4</w:t>
      </w:r>
      <w:r>
        <w:rPr/>
        <w:t>．其他</w:t>
      </w:r>
    </w:p>
    <w:p>
      <w:pPr>
        <w:pStyle w:val="BodyText"/>
        <w:spacing w:line="316" w:lineRule="auto" w:before="22"/>
        <w:ind w:left="141" w:right="9722"/>
        <w:jc w:val="left"/>
      </w:pPr>
      <w:r>
        <w:rPr>
          <w:spacing w:val="-7"/>
        </w:rPr>
        <w:t>（四）所有者权益内部结</w:t>
      </w:r>
      <w:r>
        <w:rPr>
          <w:spacing w:val="-85"/>
        </w:rPr>
        <w:t> </w:t>
      </w:r>
      <w:r>
        <w:rPr>
          <w:spacing w:val="-85"/>
        </w:rPr>
      </w:r>
      <w:r>
        <w:rPr/>
        <w:t>转</w:t>
      </w:r>
    </w:p>
    <w:p>
      <w:pPr>
        <w:pStyle w:val="BodyText"/>
        <w:spacing w:line="213" w:lineRule="exact"/>
        <w:ind w:left="141" w:right="0"/>
        <w:jc w:val="left"/>
      </w:pPr>
      <w:r>
        <w:rPr>
          <w:rFonts w:ascii="Times New Roman" w:hAnsi="Times New Roman" w:cs="Times New Roman" w:eastAsia="Times New Roman" w:hint="default"/>
          <w:spacing w:val="1"/>
        </w:rPr>
        <w:t>1</w:t>
      </w:r>
      <w:r>
        <w:rPr>
          <w:spacing w:val="-82"/>
        </w:rPr>
        <w:t>．</w:t>
      </w:r>
      <w:r>
        <w:rPr/>
        <w:t>资本公积转增资</w:t>
      </w:r>
      <w:r>
        <w:rPr>
          <w:spacing w:val="-82"/>
        </w:rPr>
        <w:t>本</w:t>
      </w:r>
      <w:r>
        <w:rPr/>
        <w:t>（或</w:t>
      </w:r>
    </w:p>
    <w:p>
      <w:pPr>
        <w:pStyle w:val="BodyText"/>
        <w:spacing w:line="280" w:lineRule="auto" w:before="63"/>
        <w:ind w:left="141" w:right="9723"/>
        <w:jc w:val="left"/>
      </w:pPr>
      <w:r>
        <w:rPr/>
        <w:t>股本） </w:t>
      </w:r>
      <w:r>
        <w:rPr>
          <w:rFonts w:ascii="Times New Roman" w:hAnsi="Times New Roman" w:cs="Times New Roman" w:eastAsia="Times New Roman" w:hint="default"/>
          <w:spacing w:val="-14"/>
        </w:rPr>
        <w:t>2</w:t>
      </w:r>
      <w:r>
        <w:rPr>
          <w:spacing w:val="-14"/>
        </w:rPr>
        <w:t>．盈余公积转增资本（或</w:t>
      </w:r>
      <w:r>
        <w:rPr>
          <w:spacing w:val="-85"/>
        </w:rPr>
        <w:t> </w:t>
      </w:r>
      <w:r>
        <w:rPr>
          <w:spacing w:val="-85"/>
        </w:rPr>
      </w:r>
      <w:r>
        <w:rPr/>
        <w:t>股本）</w:t>
      </w:r>
    </w:p>
    <w:p>
      <w:pPr>
        <w:pStyle w:val="BodyText"/>
        <w:spacing w:line="247" w:lineRule="exact"/>
        <w:ind w:left="141" w:right="0"/>
        <w:jc w:val="left"/>
      </w:pPr>
      <w:r>
        <w:rPr>
          <w:rFonts w:ascii="Times New Roman" w:hAnsi="Times New Roman" w:cs="Times New Roman" w:eastAsia="Times New Roman" w:hint="default"/>
        </w:rPr>
        <w:t>3</w:t>
      </w:r>
      <w:r>
        <w:rPr/>
        <w:t>．盈余公积弥补亏损</w:t>
      </w:r>
    </w:p>
    <w:p>
      <w:pPr>
        <w:pStyle w:val="BodyText"/>
        <w:spacing w:line="240" w:lineRule="auto" w:before="82"/>
        <w:ind w:left="141" w:right="0"/>
        <w:jc w:val="left"/>
      </w:pPr>
      <w:r>
        <w:rPr>
          <w:rFonts w:ascii="Times New Roman" w:hAnsi="Times New Roman" w:cs="Times New Roman" w:eastAsia="Times New Roman" w:hint="default"/>
        </w:rPr>
        <w:t>4</w:t>
      </w:r>
      <w:r>
        <w:rPr/>
        <w:t>．设定受益计划变动额</w:t>
      </w:r>
    </w:p>
    <w:p>
      <w:pPr>
        <w:pStyle w:val="BodyText"/>
        <w:spacing w:line="240" w:lineRule="auto" w:before="89"/>
        <w:ind w:left="141" w:right="0"/>
        <w:jc w:val="left"/>
      </w:pPr>
      <w:r>
        <w:rPr>
          <w:rFonts w:ascii="Times New Roman" w:hAnsi="Times New Roman" w:cs="Times New Roman" w:eastAsia="Times New Roman" w:hint="default"/>
        </w:rPr>
        <w:t>5</w:t>
      </w:r>
      <w:r>
        <w:rPr/>
        <w:t>．其他</w:t>
      </w:r>
    </w:p>
    <w:p>
      <w:pPr>
        <w:pStyle w:val="BodyText"/>
        <w:spacing w:line="240" w:lineRule="auto" w:before="10"/>
        <w:ind w:left="141" w:right="0"/>
        <w:jc w:val="left"/>
      </w:pPr>
      <w:r>
        <w:rPr/>
        <w:t>（五）专项储备</w:t>
      </w:r>
    </w:p>
    <w:p>
      <w:pPr>
        <w:pStyle w:val="BodyText"/>
        <w:spacing w:line="240" w:lineRule="auto" w:before="105"/>
        <w:ind w:left="141" w:right="0"/>
        <w:jc w:val="left"/>
      </w:pPr>
      <w:r>
        <w:rPr>
          <w:rFonts w:ascii="Times New Roman" w:hAnsi="Times New Roman" w:cs="Times New Roman" w:eastAsia="Times New Roman" w:hint="default"/>
        </w:rPr>
        <w:t>1</w:t>
      </w:r>
      <w:r>
        <w:rPr/>
        <w:t>．本期提取</w:t>
      </w:r>
    </w:p>
    <w:p>
      <w:pPr>
        <w:pStyle w:val="BodyText"/>
        <w:spacing w:line="240" w:lineRule="auto" w:before="89"/>
        <w:ind w:left="141" w:right="0"/>
        <w:jc w:val="left"/>
      </w:pPr>
      <w:r>
        <w:rPr>
          <w:rFonts w:ascii="Times New Roman" w:hAnsi="Times New Roman" w:cs="Times New Roman" w:eastAsia="Times New Roman" w:hint="default"/>
        </w:rPr>
        <w:t>2</w:t>
      </w:r>
      <w:r>
        <w:rPr/>
        <w:t>．本期使用</w:t>
      </w:r>
    </w:p>
    <w:p>
      <w:pPr>
        <w:pStyle w:val="BodyText"/>
        <w:spacing w:line="240" w:lineRule="auto" w:before="91"/>
        <w:ind w:left="141" w:right="0"/>
        <w:jc w:val="left"/>
      </w:pPr>
      <w:r>
        <w:rPr/>
        <w:t>（六）其他</w:t>
      </w:r>
    </w:p>
    <w:p>
      <w:pPr>
        <w:pStyle w:val="BodyText"/>
        <w:tabs>
          <w:tab w:pos="2105" w:val="left" w:leader="none"/>
          <w:tab w:pos="3996" w:val="left" w:leader="none"/>
          <w:tab w:pos="5753" w:val="left" w:leader="none"/>
          <w:tab w:pos="6975" w:val="left" w:leader="none"/>
          <w:tab w:pos="8687" w:val="left" w:leader="none"/>
          <w:tab w:pos="10175" w:val="left" w:leader="none"/>
        </w:tabs>
        <w:spacing w:line="240" w:lineRule="auto" w:before="105"/>
        <w:ind w:left="141" w:right="0"/>
        <w:jc w:val="left"/>
        <w:rPr>
          <w:rFonts w:ascii="Times New Roman" w:hAnsi="Times New Roman" w:cs="Times New Roman" w:eastAsia="Times New Roman" w:hint="default"/>
        </w:rPr>
      </w:pPr>
      <w:r>
        <w:rPr/>
        <w:t>四、本期期末余额</w:t>
        <w:tab/>
      </w:r>
      <w:r>
        <w:rPr>
          <w:rFonts w:ascii="Times New Roman" w:hAnsi="Times New Roman" w:cs="Times New Roman" w:eastAsia="Times New Roman" w:hint="default"/>
          <w:spacing w:val="-1"/>
        </w:rPr>
        <w:t>761,191,294.00</w:t>
        <w:tab/>
        <w:t>29,679,547.28</w:t>
        <w:tab/>
      </w:r>
      <w:r>
        <w:rPr>
          <w:rFonts w:ascii="Times New Roman" w:hAnsi="Times New Roman" w:cs="Times New Roman" w:eastAsia="Times New Roman" w:hint="default"/>
        </w:rPr>
        <w:t>5,202.00</w:t>
        <w:tab/>
      </w:r>
      <w:r>
        <w:rPr>
          <w:rFonts w:ascii="Times New Roman" w:hAnsi="Times New Roman" w:cs="Times New Roman" w:eastAsia="Times New Roman" w:hint="default"/>
          <w:spacing w:val="-1"/>
        </w:rPr>
        <w:t>58,979,225.64</w:t>
        <w:tab/>
      </w:r>
      <w:r>
        <w:rPr>
          <w:rFonts w:ascii="Times New Roman" w:hAnsi="Times New Roman" w:cs="Times New Roman" w:eastAsia="Times New Roman" w:hint="default"/>
          <w:spacing w:val="-1"/>
          <w:position w:val="1"/>
        </w:rPr>
        <w:t>840,656,376.</w:t>
        <w:tab/>
      </w:r>
      <w:r>
        <w:rPr>
          <w:rFonts w:ascii="Times New Roman" w:hAnsi="Times New Roman" w:cs="Times New Roman" w:eastAsia="Times New Roman" w:hint="default"/>
          <w:spacing w:val="-1"/>
        </w:rPr>
        <w:t>1,690,511,645.81</w:t>
      </w:r>
    </w:p>
    <w:p>
      <w:pPr>
        <w:spacing w:after="0" w:line="240" w:lineRule="auto"/>
        <w:jc w:val="left"/>
        <w:rPr>
          <w:rFonts w:ascii="Times New Roman" w:hAnsi="Times New Roman" w:cs="Times New Roman" w:eastAsia="Times New Roman" w:hint="default"/>
        </w:rPr>
        <w:sectPr>
          <w:type w:val="continuous"/>
          <w:pgSz w:w="11910" w:h="16840"/>
          <w:pgMar w:top="1060" w:bottom="1160" w:left="120" w:right="0"/>
        </w:sectPr>
      </w:pPr>
    </w:p>
    <w:p>
      <w:pPr>
        <w:spacing w:line="240" w:lineRule="auto" w:before="2"/>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745" w:footer="980" w:top="1060" w:bottom="1160" w:left="300" w:right="0"/>
        </w:sect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832" w:right="-20"/>
        <w:jc w:val="left"/>
      </w:pPr>
      <w:r>
        <w:rPr/>
        <w:t>本期金额</w:t>
      </w:r>
    </w:p>
    <w:p>
      <w:pPr>
        <w:pStyle w:val="Heading3"/>
        <w:spacing w:line="240" w:lineRule="auto" w:before="36"/>
        <w:ind w:left="832" w:right="-6"/>
        <w:jc w:val="left"/>
        <w:rPr>
          <w:b w:val="0"/>
          <w:bCs w:val="0"/>
        </w:rPr>
      </w:pPr>
      <w:r>
        <w:rPr>
          <w:b w:val="0"/>
          <w:bCs w:val="0"/>
          <w:spacing w:val="-1"/>
        </w:rPr>
        <w:br w:type="column"/>
      </w:r>
      <w:r>
        <w:rPr>
          <w:rFonts w:ascii="Times New Roman" w:hAnsi="Times New Roman" w:cs="Times New Roman" w:eastAsia="Times New Roman" w:hint="default"/>
          <w:spacing w:val="-1"/>
        </w:rPr>
        <w:t>8</w:t>
      </w:r>
      <w:r>
        <w:rPr>
          <w:spacing w:val="-1"/>
        </w:rPr>
        <w:t>、母公司所有者权益变动表</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pStyle w:val="BodyText"/>
        <w:spacing w:line="240" w:lineRule="auto"/>
        <w:ind w:left="832" w:right="0"/>
        <w:jc w:val="left"/>
      </w:pPr>
      <w:r>
        <w:rPr/>
        <w:t>单位：元</w:t>
      </w:r>
    </w:p>
    <w:p>
      <w:pPr>
        <w:spacing w:after="0" w:line="240" w:lineRule="auto"/>
        <w:jc w:val="left"/>
        <w:sectPr>
          <w:type w:val="continuous"/>
          <w:pgSz w:w="11910" w:h="16840"/>
          <w:pgMar w:top="1060" w:bottom="1160" w:left="300" w:right="0"/>
          <w:cols w:num="3" w:equalWidth="0">
            <w:col w:w="1553" w:space="1949"/>
            <w:col w:w="3469" w:space="1949"/>
            <w:col w:w="2690"/>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03"/>
        <w:gridCol w:w="1258"/>
        <w:gridCol w:w="300"/>
        <w:gridCol w:w="300"/>
        <w:gridCol w:w="302"/>
        <w:gridCol w:w="1263"/>
        <w:gridCol w:w="355"/>
        <w:gridCol w:w="538"/>
        <w:gridCol w:w="362"/>
        <w:gridCol w:w="1258"/>
        <w:gridCol w:w="1262"/>
        <w:gridCol w:w="1260"/>
      </w:tblGrid>
      <w:tr>
        <w:trPr>
          <w:trHeight w:val="314" w:hRule="exact"/>
        </w:trPr>
        <w:tc>
          <w:tcPr>
            <w:tcW w:w="2703" w:type="dxa"/>
            <w:vMerge w:val="restart"/>
            <w:tcBorders>
              <w:top w:val="single" w:sz="4" w:space="0" w:color="000000"/>
              <w:left w:val="single" w:sz="4" w:space="0" w:color="000000"/>
              <w:right w:val="single" w:sz="4" w:space="0" w:color="000000"/>
            </w:tcBorders>
            <w:shd w:val="clear" w:color="auto" w:fill="D2D2D2"/>
          </w:tcPr>
          <w:p>
            <w:pPr/>
          </w:p>
        </w:tc>
        <w:tc>
          <w:tcPr>
            <w:tcW w:w="84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6" w:hRule="exact"/>
        </w:trPr>
        <w:tc>
          <w:tcPr>
            <w:tcW w:w="2703" w:type="dxa"/>
            <w:vMerge/>
            <w:tcBorders>
              <w:left w:val="single" w:sz="4" w:space="0" w:color="000000"/>
              <w:right w:val="single" w:sz="4" w:space="0" w:color="000000"/>
            </w:tcBorders>
            <w:shd w:val="clear" w:color="auto" w:fill="D2D2D2"/>
          </w:tcPr>
          <w:p>
            <w:pPr/>
          </w:p>
        </w:tc>
        <w:tc>
          <w:tcPr>
            <w:tcW w:w="1258" w:type="dxa"/>
            <w:vMerge w:val="restart"/>
            <w:tcBorders>
              <w:top w:val="single" w:sz="4" w:space="0" w:color="000000"/>
              <w:left w:val="single" w:sz="4" w:space="0" w:color="000000"/>
              <w:right w:val="single" w:sz="4" w:space="0" w:color="000000"/>
            </w:tcBorders>
            <w:shd w:val="clear" w:color="auto" w:fill="D2D2D2"/>
          </w:tcPr>
          <w:p>
            <w:pPr/>
          </w:p>
        </w:tc>
        <w:tc>
          <w:tcPr>
            <w:tcW w:w="9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7"/>
              <w:ind w:left="268" w:right="83"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263" w:type="dxa"/>
            <w:vMerge w:val="restart"/>
            <w:tcBorders>
              <w:top w:val="single" w:sz="4" w:space="0" w:color="000000"/>
              <w:left w:val="single" w:sz="4" w:space="0" w:color="000000"/>
              <w:right w:val="single" w:sz="4" w:space="0" w:color="000000"/>
            </w:tcBorders>
            <w:shd w:val="clear" w:color="auto" w:fill="D2D2D2"/>
          </w:tcPr>
          <w:p>
            <w:pPr/>
          </w:p>
        </w:tc>
        <w:tc>
          <w:tcPr>
            <w:tcW w:w="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538" w:type="dxa"/>
            <w:vMerge w:val="restart"/>
            <w:tcBorders>
              <w:top w:val="single" w:sz="4" w:space="0" w:color="000000"/>
              <w:left w:val="single" w:sz="4" w:space="0" w:color="000000"/>
              <w:right w:val="single" w:sz="4" w:space="0" w:color="000000"/>
            </w:tcBorders>
            <w:shd w:val="clear" w:color="auto" w:fill="D2D2D2"/>
          </w:tcPr>
          <w:p>
            <w:pPr/>
          </w:p>
        </w:tc>
        <w:tc>
          <w:tcPr>
            <w:tcW w:w="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8" w:type="dxa"/>
            <w:vMerge w:val="restart"/>
            <w:tcBorders>
              <w:top w:val="single" w:sz="4" w:space="0" w:color="000000"/>
              <w:left w:val="single" w:sz="4" w:space="0" w:color="000000"/>
              <w:right w:val="single" w:sz="4" w:space="0" w:color="000000"/>
            </w:tcBorders>
            <w:shd w:val="clear" w:color="auto" w:fill="D2D2D2"/>
          </w:tcPr>
          <w:p>
            <w:pPr/>
          </w:p>
        </w:tc>
        <w:tc>
          <w:tcPr>
            <w:tcW w:w="1262" w:type="dxa"/>
            <w:vMerge w:val="restart"/>
            <w:tcBorders>
              <w:top w:val="single" w:sz="4" w:space="0" w:color="000000"/>
              <w:left w:val="single" w:sz="4" w:space="0" w:color="000000"/>
              <w:right w:val="single" w:sz="4" w:space="0" w:color="000000"/>
            </w:tcBorders>
            <w:shd w:val="clear" w:color="auto" w:fill="D2D2D2"/>
          </w:tcPr>
          <w:p>
            <w:pPr/>
          </w:p>
        </w:tc>
        <w:tc>
          <w:tcPr>
            <w:tcW w:w="1260"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2703" w:type="dxa"/>
            <w:vMerge/>
            <w:tcBorders>
              <w:left w:val="single" w:sz="4" w:space="0" w:color="000000"/>
              <w:bottom w:val="nil" w:sz="6" w:space="0" w:color="auto"/>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902" w:type="dxa"/>
            <w:gridSpan w:val="3"/>
            <w:vMerge/>
            <w:tcBorders>
              <w:left w:val="single" w:sz="4" w:space="0" w:color="000000"/>
              <w:right w:val="single" w:sz="4" w:space="0" w:color="000000"/>
            </w:tcBorders>
            <w:shd w:val="clear" w:color="auto" w:fill="D2D2D2"/>
          </w:tcPr>
          <w:p>
            <w:pPr/>
          </w:p>
        </w:tc>
        <w:tc>
          <w:tcPr>
            <w:tcW w:w="1263" w:type="dxa"/>
            <w:vMerge/>
            <w:tcBorders>
              <w:left w:val="single" w:sz="4" w:space="0" w:color="000000"/>
              <w:right w:val="single" w:sz="4" w:space="0" w:color="000000"/>
            </w:tcBorders>
            <w:shd w:val="clear" w:color="auto" w:fill="D2D2D2"/>
          </w:tcPr>
          <w:p>
            <w:pPr/>
          </w:p>
        </w:tc>
        <w:tc>
          <w:tcPr>
            <w:tcW w:w="355"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83" w:right="0" w:hanging="6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83" w:right="79"/>
              <w:jc w:val="both"/>
              <w:rPr>
                <w:rFonts w:ascii="宋体" w:hAnsi="宋体" w:cs="宋体" w:eastAsia="宋体" w:hint="default"/>
                <w:sz w:val="18"/>
                <w:szCs w:val="18"/>
              </w:rPr>
            </w:pPr>
            <w:r>
              <w:rPr>
                <w:rFonts w:ascii="宋体" w:hAnsi="宋体" w:cs="宋体" w:eastAsia="宋体" w:hint="default"/>
                <w:sz w:val="18"/>
                <w:szCs w:val="18"/>
              </w:rPr>
              <w:t>库 存 股</w:t>
            </w:r>
          </w:p>
        </w:tc>
        <w:tc>
          <w:tcPr>
            <w:tcW w:w="538" w:type="dxa"/>
            <w:vMerge/>
            <w:tcBorders>
              <w:left w:val="single" w:sz="4" w:space="0" w:color="000000"/>
              <w:bottom w:val="nil" w:sz="6" w:space="0" w:color="auto"/>
              <w:right w:val="single" w:sz="4" w:space="0" w:color="000000"/>
            </w:tcBorders>
            <w:shd w:val="clear" w:color="auto" w:fill="D2D2D2"/>
          </w:tcPr>
          <w:p>
            <w:pPr/>
          </w:p>
        </w:tc>
        <w:tc>
          <w:tcPr>
            <w:tcW w:w="362"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ind w:left="86" w:right="84"/>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258" w:type="dxa"/>
            <w:vMerge/>
            <w:tcBorders>
              <w:left w:val="single" w:sz="4" w:space="0" w:color="000000"/>
              <w:right w:val="single" w:sz="4" w:space="0" w:color="000000"/>
            </w:tcBorders>
            <w:shd w:val="clear" w:color="auto" w:fill="D2D2D2"/>
          </w:tcPr>
          <w:p>
            <w:pPr/>
          </w:p>
        </w:tc>
        <w:tc>
          <w:tcPr>
            <w:tcW w:w="1262"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right w:val="single" w:sz="4" w:space="0" w:color="000000"/>
            </w:tcBorders>
            <w:shd w:val="clear" w:color="auto" w:fill="D2D2D2"/>
          </w:tcPr>
          <w:p>
            <w:pPr/>
          </w:p>
        </w:tc>
      </w:tr>
      <w:tr>
        <w:trPr>
          <w:trHeight w:val="98" w:hRule="exact"/>
        </w:trPr>
        <w:tc>
          <w:tcPr>
            <w:tcW w:w="2703"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 w:type="dxa"/>
            <w:vMerge/>
            <w:tcBorders>
              <w:left w:val="single" w:sz="4" w:space="0" w:color="000000"/>
              <w:right w:val="single" w:sz="4" w:space="0" w:color="000000"/>
            </w:tcBorders>
            <w:shd w:val="clear" w:color="auto" w:fill="D2D2D2"/>
          </w:tcPr>
          <w:p>
            <w:pPr/>
          </w:p>
        </w:tc>
        <w:tc>
          <w:tcPr>
            <w:tcW w:w="902" w:type="dxa"/>
            <w:gridSpan w:val="3"/>
            <w:vMerge/>
            <w:tcBorders>
              <w:left w:val="single" w:sz="4" w:space="0" w:color="000000"/>
              <w:right w:val="single" w:sz="4" w:space="0" w:color="000000"/>
            </w:tcBorders>
            <w:shd w:val="clear" w:color="auto" w:fill="D2D2D2"/>
          </w:tcPr>
          <w:p>
            <w:pPr/>
          </w:p>
        </w:tc>
        <w:tc>
          <w:tcPr>
            <w:tcW w:w="1263"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538" w:type="dxa"/>
            <w:vMerge w:val="restart"/>
            <w:tcBorders>
              <w:top w:val="nil" w:sz="6" w:space="0" w:color="auto"/>
              <w:left w:val="single" w:sz="4" w:space="0" w:color="000000"/>
              <w:right w:val="single" w:sz="4" w:space="0" w:color="000000"/>
            </w:tcBorders>
            <w:shd w:val="clear" w:color="auto" w:fill="D2D2D2"/>
          </w:tcPr>
          <w:p>
            <w:pPr>
              <w:pStyle w:val="TableParagraph"/>
              <w:spacing w:line="187" w:lineRule="exact"/>
              <w:ind w:left="84"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84" w:right="83"/>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362"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1262"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r>
      <w:tr>
        <w:trPr>
          <w:trHeight w:val="106" w:hRule="exact"/>
        </w:trPr>
        <w:tc>
          <w:tcPr>
            <w:tcW w:w="2703" w:type="dxa"/>
            <w:vMerge/>
            <w:tcBorders>
              <w:left w:val="single" w:sz="4" w:space="0" w:color="000000"/>
              <w:bottom w:val="nil" w:sz="6" w:space="0" w:color="auto"/>
              <w:right w:val="single" w:sz="4" w:space="0" w:color="000000"/>
            </w:tcBorders>
            <w:shd w:val="clear" w:color="auto" w:fill="D2D2D2"/>
          </w:tcPr>
          <w:p>
            <w:pPr/>
          </w:p>
        </w:tc>
        <w:tc>
          <w:tcPr>
            <w:tcW w:w="1258" w:type="dxa"/>
            <w:vMerge/>
            <w:tcBorders>
              <w:left w:val="single" w:sz="4" w:space="0" w:color="000000"/>
              <w:bottom w:val="nil" w:sz="6" w:space="0" w:color="auto"/>
              <w:right w:val="single" w:sz="4" w:space="0" w:color="000000"/>
            </w:tcBorders>
            <w:shd w:val="clear" w:color="auto" w:fill="D2D2D2"/>
          </w:tcPr>
          <w:p>
            <w:pPr/>
          </w:p>
        </w:tc>
        <w:tc>
          <w:tcPr>
            <w:tcW w:w="902" w:type="dxa"/>
            <w:gridSpan w:val="3"/>
            <w:vMerge/>
            <w:tcBorders>
              <w:left w:val="single" w:sz="4" w:space="0" w:color="000000"/>
              <w:bottom w:val="single" w:sz="4" w:space="0" w:color="000000"/>
              <w:right w:val="single" w:sz="4" w:space="0" w:color="000000"/>
            </w:tcBorders>
            <w:shd w:val="clear" w:color="auto" w:fill="D2D2D2"/>
          </w:tcPr>
          <w:p>
            <w:pPr/>
          </w:p>
        </w:tc>
        <w:tc>
          <w:tcPr>
            <w:tcW w:w="1263" w:type="dxa"/>
            <w:vMerge/>
            <w:tcBorders>
              <w:left w:val="single" w:sz="4" w:space="0" w:color="000000"/>
              <w:bottom w:val="nil" w:sz="6" w:space="0" w:color="auto"/>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538" w:type="dxa"/>
            <w:vMerge/>
            <w:tcBorders>
              <w:left w:val="single" w:sz="4" w:space="0" w:color="000000"/>
              <w:right w:val="single" w:sz="4" w:space="0" w:color="000000"/>
            </w:tcBorders>
            <w:shd w:val="clear" w:color="auto" w:fill="D2D2D2"/>
          </w:tcPr>
          <w:p>
            <w:pPr/>
          </w:p>
        </w:tc>
        <w:tc>
          <w:tcPr>
            <w:tcW w:w="362"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bottom w:val="nil" w:sz="6" w:space="0" w:color="auto"/>
              <w:right w:val="single" w:sz="4" w:space="0" w:color="000000"/>
            </w:tcBorders>
            <w:shd w:val="clear" w:color="auto" w:fill="D2D2D2"/>
          </w:tcPr>
          <w:p>
            <w:pPr/>
          </w:p>
        </w:tc>
        <w:tc>
          <w:tcPr>
            <w:tcW w:w="1262" w:type="dxa"/>
            <w:vMerge/>
            <w:tcBorders>
              <w:left w:val="single" w:sz="4" w:space="0" w:color="000000"/>
              <w:bottom w:val="nil" w:sz="6" w:space="0" w:color="auto"/>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44" w:hRule="exact"/>
        </w:trPr>
        <w:tc>
          <w:tcPr>
            <w:tcW w:w="2703" w:type="dxa"/>
            <w:vMerge w:val="restart"/>
            <w:tcBorders>
              <w:top w:val="nil" w:sz="6" w:space="0" w:color="auto"/>
              <w:left w:val="single" w:sz="4" w:space="0" w:color="000000"/>
              <w:right w:val="single" w:sz="4" w:space="0" w:color="000000"/>
            </w:tcBorders>
            <w:shd w:val="clear" w:color="auto" w:fill="D2D2D2"/>
          </w:tcPr>
          <w:p>
            <w:pPr/>
          </w:p>
        </w:tc>
        <w:tc>
          <w:tcPr>
            <w:tcW w:w="12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00" w:type="dxa"/>
            <w:vMerge w:val="restart"/>
            <w:tcBorders>
              <w:top w:val="single" w:sz="4" w:space="0" w:color="000000"/>
              <w:left w:val="single" w:sz="4" w:space="0" w:color="000000"/>
              <w:right w:val="single" w:sz="4" w:space="0" w:color="000000"/>
            </w:tcBorders>
            <w:shd w:val="clear" w:color="auto" w:fill="D2D2D2"/>
          </w:tcPr>
          <w:p>
            <w:pPr>
              <w:pStyle w:val="TableParagraph"/>
              <w:spacing w:line="176" w:lineRule="exact"/>
              <w:ind w:left="5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57" w:right="50"/>
              <w:jc w:val="left"/>
              <w:rPr>
                <w:rFonts w:ascii="宋体" w:hAnsi="宋体" w:cs="宋体" w:eastAsia="宋体" w:hint="default"/>
                <w:sz w:val="18"/>
                <w:szCs w:val="18"/>
              </w:rPr>
            </w:pPr>
            <w:r>
              <w:rPr>
                <w:rFonts w:ascii="宋体" w:hAnsi="宋体" w:cs="宋体" w:eastAsia="宋体" w:hint="default"/>
                <w:sz w:val="18"/>
                <w:szCs w:val="18"/>
              </w:rPr>
              <w:t>先 股</w:t>
            </w:r>
          </w:p>
        </w:tc>
        <w:tc>
          <w:tcPr>
            <w:tcW w:w="300" w:type="dxa"/>
            <w:vMerge w:val="restart"/>
            <w:tcBorders>
              <w:top w:val="single" w:sz="4" w:space="0" w:color="000000"/>
              <w:left w:val="single" w:sz="4" w:space="0" w:color="000000"/>
              <w:right w:val="single" w:sz="4" w:space="0" w:color="000000"/>
            </w:tcBorders>
            <w:shd w:val="clear" w:color="auto" w:fill="D2D2D2"/>
          </w:tcPr>
          <w:p>
            <w:pPr>
              <w:pStyle w:val="TableParagraph"/>
              <w:spacing w:line="176" w:lineRule="exact"/>
              <w:ind w:left="55"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55" w:right="53"/>
              <w:jc w:val="left"/>
              <w:rPr>
                <w:rFonts w:ascii="宋体" w:hAnsi="宋体" w:cs="宋体" w:eastAsia="宋体" w:hint="default"/>
                <w:sz w:val="18"/>
                <w:szCs w:val="18"/>
              </w:rPr>
            </w:pPr>
            <w:r>
              <w:rPr>
                <w:rFonts w:ascii="宋体" w:hAnsi="宋体" w:cs="宋体" w:eastAsia="宋体" w:hint="default"/>
                <w:sz w:val="18"/>
                <w:szCs w:val="18"/>
              </w:rPr>
              <w:t>续 债</w:t>
            </w:r>
          </w:p>
        </w:tc>
        <w:tc>
          <w:tcPr>
            <w:tcW w:w="30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2"/>
              <w:ind w:left="57" w:right="53"/>
              <w:jc w:val="left"/>
              <w:rPr>
                <w:rFonts w:ascii="宋体" w:hAnsi="宋体" w:cs="宋体" w:eastAsia="宋体" w:hint="default"/>
                <w:sz w:val="18"/>
                <w:szCs w:val="18"/>
              </w:rPr>
            </w:pPr>
            <w:r>
              <w:rPr>
                <w:rFonts w:ascii="宋体" w:hAnsi="宋体" w:cs="宋体" w:eastAsia="宋体" w:hint="default"/>
                <w:sz w:val="18"/>
                <w:szCs w:val="18"/>
              </w:rPr>
              <w:t>其 他</w:t>
            </w:r>
          </w:p>
        </w:tc>
        <w:tc>
          <w:tcPr>
            <w:tcW w:w="12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left="2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55" w:type="dxa"/>
            <w:vMerge/>
            <w:tcBorders>
              <w:left w:val="single" w:sz="4" w:space="0" w:color="000000"/>
              <w:right w:val="single" w:sz="4" w:space="0" w:color="000000"/>
            </w:tcBorders>
            <w:shd w:val="clear" w:color="auto" w:fill="D2D2D2"/>
          </w:tcPr>
          <w:p>
            <w:pPr/>
          </w:p>
        </w:tc>
        <w:tc>
          <w:tcPr>
            <w:tcW w:w="538" w:type="dxa"/>
            <w:vMerge/>
            <w:tcBorders>
              <w:left w:val="single" w:sz="4" w:space="0" w:color="000000"/>
              <w:right w:val="single" w:sz="4" w:space="0" w:color="000000"/>
            </w:tcBorders>
            <w:shd w:val="clear" w:color="auto" w:fill="D2D2D2"/>
          </w:tcPr>
          <w:p>
            <w:pPr/>
          </w:p>
        </w:tc>
        <w:tc>
          <w:tcPr>
            <w:tcW w:w="362" w:type="dxa"/>
            <w:vMerge/>
            <w:tcBorders>
              <w:left w:val="single" w:sz="4" w:space="0" w:color="000000"/>
              <w:right w:val="single" w:sz="4" w:space="0" w:color="000000"/>
            </w:tcBorders>
            <w:shd w:val="clear" w:color="auto" w:fill="D2D2D2"/>
          </w:tcPr>
          <w:p>
            <w:pPr/>
          </w:p>
        </w:tc>
        <w:tc>
          <w:tcPr>
            <w:tcW w:w="12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left="2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left="1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0" w:type="dxa"/>
            <w:vMerge/>
            <w:tcBorders>
              <w:left w:val="single" w:sz="4" w:space="0" w:color="000000"/>
              <w:right w:val="single" w:sz="4" w:space="0" w:color="000000"/>
            </w:tcBorders>
            <w:shd w:val="clear" w:color="auto" w:fill="D2D2D2"/>
          </w:tcPr>
          <w:p>
            <w:pPr/>
          </w:p>
        </w:tc>
      </w:tr>
      <w:tr>
        <w:trPr>
          <w:trHeight w:val="118" w:hRule="exact"/>
        </w:trPr>
        <w:tc>
          <w:tcPr>
            <w:tcW w:w="2703" w:type="dxa"/>
            <w:vMerge/>
            <w:tcBorders>
              <w:left w:val="single" w:sz="4" w:space="0" w:color="000000"/>
              <w:right w:val="single" w:sz="4" w:space="0" w:color="000000"/>
            </w:tcBorders>
            <w:shd w:val="clear" w:color="auto" w:fill="D2D2D2"/>
          </w:tcPr>
          <w:p>
            <w:pPr/>
          </w:p>
        </w:tc>
        <w:tc>
          <w:tcPr>
            <w:tcW w:w="1258" w:type="dxa"/>
            <w:vMerge w:val="restart"/>
            <w:tcBorders>
              <w:top w:val="nil" w:sz="6" w:space="0" w:color="auto"/>
              <w:left w:val="single" w:sz="4" w:space="0" w:color="000000"/>
              <w:right w:val="single" w:sz="4" w:space="0" w:color="000000"/>
            </w:tcBorders>
            <w:shd w:val="clear" w:color="auto" w:fill="D2D2D2"/>
          </w:tcPr>
          <w:p>
            <w:pPr/>
          </w:p>
        </w:tc>
        <w:tc>
          <w:tcPr>
            <w:tcW w:w="300" w:type="dxa"/>
            <w:vMerge/>
            <w:tcBorders>
              <w:left w:val="single" w:sz="4" w:space="0" w:color="000000"/>
              <w:right w:val="single" w:sz="4" w:space="0" w:color="000000"/>
            </w:tcBorders>
            <w:shd w:val="clear" w:color="auto" w:fill="D2D2D2"/>
          </w:tcPr>
          <w:p>
            <w:pPr/>
          </w:p>
        </w:tc>
        <w:tc>
          <w:tcPr>
            <w:tcW w:w="300" w:type="dxa"/>
            <w:vMerge/>
            <w:tcBorders>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263" w:type="dxa"/>
            <w:vMerge w:val="restart"/>
            <w:tcBorders>
              <w:top w:val="nil" w:sz="6" w:space="0" w:color="auto"/>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538" w:type="dxa"/>
            <w:vMerge/>
            <w:tcBorders>
              <w:left w:val="single" w:sz="4" w:space="0" w:color="000000"/>
              <w:right w:val="single" w:sz="4" w:space="0" w:color="000000"/>
            </w:tcBorders>
            <w:shd w:val="clear" w:color="auto" w:fill="D2D2D2"/>
          </w:tcPr>
          <w:p>
            <w:pPr/>
          </w:p>
        </w:tc>
        <w:tc>
          <w:tcPr>
            <w:tcW w:w="362" w:type="dxa"/>
            <w:vMerge/>
            <w:tcBorders>
              <w:left w:val="single" w:sz="4" w:space="0" w:color="000000"/>
              <w:right w:val="single" w:sz="4" w:space="0" w:color="000000"/>
            </w:tcBorders>
            <w:shd w:val="clear" w:color="auto" w:fill="D2D2D2"/>
          </w:tcPr>
          <w:p>
            <w:pPr/>
          </w:p>
        </w:tc>
        <w:tc>
          <w:tcPr>
            <w:tcW w:w="1258" w:type="dxa"/>
            <w:vMerge w:val="restart"/>
            <w:tcBorders>
              <w:top w:val="nil" w:sz="6" w:space="0" w:color="auto"/>
              <w:left w:val="single" w:sz="4" w:space="0" w:color="000000"/>
              <w:right w:val="single" w:sz="4" w:space="0" w:color="000000"/>
            </w:tcBorders>
            <w:shd w:val="clear" w:color="auto" w:fill="D2D2D2"/>
          </w:tcPr>
          <w:p>
            <w:pPr/>
          </w:p>
        </w:tc>
        <w:tc>
          <w:tcPr>
            <w:tcW w:w="1262" w:type="dxa"/>
            <w:vMerge w:val="restart"/>
            <w:tcBorders>
              <w:top w:val="nil" w:sz="6" w:space="0" w:color="auto"/>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r>
      <w:tr>
        <w:trPr>
          <w:trHeight w:val="186" w:hRule="exact"/>
        </w:trPr>
        <w:tc>
          <w:tcPr>
            <w:tcW w:w="2703"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300" w:type="dxa"/>
            <w:vMerge/>
            <w:tcBorders>
              <w:left w:val="single" w:sz="4" w:space="0" w:color="000000"/>
              <w:right w:val="single" w:sz="4" w:space="0" w:color="000000"/>
            </w:tcBorders>
            <w:shd w:val="clear" w:color="auto" w:fill="D2D2D2"/>
          </w:tcPr>
          <w:p>
            <w:pPr/>
          </w:p>
        </w:tc>
        <w:tc>
          <w:tcPr>
            <w:tcW w:w="300" w:type="dxa"/>
            <w:vMerge/>
            <w:tcBorders>
              <w:left w:val="single" w:sz="4" w:space="0" w:color="000000"/>
              <w:right w:val="single" w:sz="4" w:space="0" w:color="000000"/>
            </w:tcBorders>
            <w:shd w:val="clear" w:color="auto" w:fill="D2D2D2"/>
          </w:tcPr>
          <w:p>
            <w:pPr/>
          </w:p>
        </w:tc>
        <w:tc>
          <w:tcPr>
            <w:tcW w:w="302" w:type="dxa"/>
            <w:vMerge/>
            <w:tcBorders>
              <w:left w:val="single" w:sz="4" w:space="0" w:color="000000"/>
              <w:bottom w:val="nil" w:sz="6" w:space="0" w:color="auto"/>
              <w:right w:val="single" w:sz="4" w:space="0" w:color="000000"/>
            </w:tcBorders>
            <w:shd w:val="clear" w:color="auto" w:fill="D2D2D2"/>
          </w:tcPr>
          <w:p>
            <w:pPr/>
          </w:p>
        </w:tc>
        <w:tc>
          <w:tcPr>
            <w:tcW w:w="1263" w:type="dxa"/>
            <w:vMerge/>
            <w:tcBorders>
              <w:left w:val="single" w:sz="4" w:space="0" w:color="000000"/>
              <w:right w:val="single" w:sz="4" w:space="0" w:color="000000"/>
            </w:tcBorders>
            <w:shd w:val="clear" w:color="auto" w:fill="D2D2D2"/>
          </w:tcPr>
          <w:p>
            <w:pPr/>
          </w:p>
        </w:tc>
        <w:tc>
          <w:tcPr>
            <w:tcW w:w="355" w:type="dxa"/>
            <w:vMerge/>
            <w:tcBorders>
              <w:left w:val="single" w:sz="4" w:space="0" w:color="000000"/>
              <w:bottom w:val="single" w:sz="22" w:space="0" w:color="FFFFFF"/>
              <w:right w:val="single" w:sz="4" w:space="0" w:color="000000"/>
            </w:tcBorders>
            <w:shd w:val="clear" w:color="auto" w:fill="D2D2D2"/>
          </w:tcPr>
          <w:p>
            <w:pPr/>
          </w:p>
        </w:tc>
        <w:tc>
          <w:tcPr>
            <w:tcW w:w="538" w:type="dxa"/>
            <w:vMerge/>
            <w:tcBorders>
              <w:left w:val="single" w:sz="4" w:space="0" w:color="000000"/>
              <w:bottom w:val="single" w:sz="22" w:space="0" w:color="FFFFFF"/>
              <w:right w:val="single" w:sz="4" w:space="0" w:color="000000"/>
            </w:tcBorders>
            <w:shd w:val="clear" w:color="auto" w:fill="D2D2D2"/>
          </w:tcPr>
          <w:p>
            <w:pPr/>
          </w:p>
        </w:tc>
        <w:tc>
          <w:tcPr>
            <w:tcW w:w="362" w:type="dxa"/>
            <w:vMerge/>
            <w:tcBorders>
              <w:left w:val="single" w:sz="4" w:space="0" w:color="000000"/>
              <w:bottom w:val="single" w:sz="22" w:space="0" w:color="FFFFFF"/>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1262" w:type="dxa"/>
            <w:vMerge/>
            <w:tcBorders>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r>
      <w:tr>
        <w:trPr>
          <w:trHeight w:val="160" w:hRule="exact"/>
        </w:trPr>
        <w:tc>
          <w:tcPr>
            <w:tcW w:w="2703"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300" w:type="dxa"/>
            <w:vMerge/>
            <w:tcBorders>
              <w:left w:val="single" w:sz="4" w:space="0" w:color="000000"/>
              <w:bottom w:val="single" w:sz="4" w:space="0" w:color="000000"/>
              <w:right w:val="single" w:sz="4" w:space="0" w:color="000000"/>
            </w:tcBorders>
            <w:shd w:val="clear" w:color="auto" w:fill="D2D2D2"/>
          </w:tcPr>
          <w:p>
            <w:pPr/>
          </w:p>
        </w:tc>
        <w:tc>
          <w:tcPr>
            <w:tcW w:w="300" w:type="dxa"/>
            <w:vMerge/>
            <w:tcBorders>
              <w:left w:val="single" w:sz="4" w:space="0" w:color="000000"/>
              <w:bottom w:val="single" w:sz="4" w:space="0" w:color="000000"/>
              <w:right w:val="single" w:sz="4" w:space="0" w:color="000000"/>
            </w:tcBorders>
            <w:shd w:val="clear" w:color="auto" w:fill="D2D2D2"/>
          </w:tcPr>
          <w:p>
            <w:pPr/>
          </w:p>
        </w:tc>
        <w:tc>
          <w:tcPr>
            <w:tcW w:w="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3" w:type="dxa"/>
            <w:vMerge/>
            <w:tcBorders>
              <w:left w:val="single" w:sz="4" w:space="0" w:color="000000"/>
              <w:bottom w:val="single" w:sz="4" w:space="0" w:color="000000"/>
              <w:right w:val="single" w:sz="4" w:space="0" w:color="000000"/>
            </w:tcBorders>
            <w:shd w:val="clear" w:color="auto" w:fill="D2D2D2"/>
          </w:tcPr>
          <w:p>
            <w:pPr/>
          </w:p>
        </w:tc>
        <w:tc>
          <w:tcPr>
            <w:tcW w:w="355" w:type="dxa"/>
            <w:tcBorders>
              <w:top w:val="single" w:sz="22" w:space="0" w:color="FFFFFF"/>
              <w:left w:val="single" w:sz="4" w:space="0" w:color="000000"/>
              <w:bottom w:val="single" w:sz="4" w:space="0" w:color="000000"/>
              <w:right w:val="single" w:sz="4" w:space="0" w:color="000000"/>
            </w:tcBorders>
            <w:shd w:val="clear" w:color="auto" w:fill="D2D2D2"/>
          </w:tcPr>
          <w:p>
            <w:pPr/>
          </w:p>
        </w:tc>
        <w:tc>
          <w:tcPr>
            <w:tcW w:w="538" w:type="dxa"/>
            <w:tcBorders>
              <w:top w:val="single" w:sz="22" w:space="0" w:color="FFFFFF"/>
              <w:left w:val="single" w:sz="4" w:space="0" w:color="000000"/>
              <w:bottom w:val="single" w:sz="4" w:space="0" w:color="000000"/>
              <w:right w:val="single" w:sz="4" w:space="0" w:color="000000"/>
            </w:tcBorders>
            <w:shd w:val="clear" w:color="auto" w:fill="D2D2D2"/>
          </w:tcPr>
          <w:p>
            <w:pPr/>
          </w:p>
        </w:tc>
        <w:tc>
          <w:tcPr>
            <w:tcW w:w="362" w:type="dxa"/>
            <w:tcBorders>
              <w:top w:val="single" w:sz="22" w:space="0" w:color="FFFFFF"/>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1262"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72" w:right="0"/>
              <w:jc w:val="center"/>
              <w:rPr>
                <w:rFonts w:ascii="Times New Roman" w:hAnsi="Times New Roman" w:cs="Times New Roman" w:eastAsia="Times New Roman" w:hint="default"/>
                <w:sz w:val="18"/>
                <w:szCs w:val="18"/>
              </w:rPr>
            </w:pPr>
            <w:r>
              <w:rPr>
                <w:rFonts w:ascii="Times New Roman"/>
                <w:sz w:val="18"/>
              </w:rPr>
              <w:t>761,191,294.00</w:t>
            </w:r>
          </w:p>
        </w:tc>
        <w:tc>
          <w:tcPr>
            <w:tcW w:w="300" w:type="dxa"/>
            <w:tcBorders>
              <w:top w:val="single" w:sz="18" w:space="0" w:color="D2D2D2"/>
              <w:left w:val="single" w:sz="4" w:space="0" w:color="000000"/>
              <w:bottom w:val="single" w:sz="4" w:space="0" w:color="000000"/>
              <w:right w:val="single" w:sz="4" w:space="0" w:color="000000"/>
            </w:tcBorders>
          </w:tcPr>
          <w:p>
            <w:pPr/>
          </w:p>
        </w:tc>
        <w:tc>
          <w:tcPr>
            <w:tcW w:w="300" w:type="dxa"/>
            <w:tcBorders>
              <w:top w:val="single" w:sz="18" w:space="0" w:color="D2D2D2"/>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355" w:type="dxa"/>
            <w:tcBorders>
              <w:top w:val="single" w:sz="51" w:space="0" w:color="D2D2D2"/>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51" w:space="0" w:color="D2D2D2"/>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58,979,225.64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385,238,095.09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1,235,088,162.0</w:t>
            </w: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8" w:type="dxa"/>
            <w:tcBorders>
              <w:top w:val="single" w:sz="4" w:space="0" w:color="000000"/>
              <w:left w:val="single" w:sz="9" w:space="0" w:color="D2D2D2"/>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8" w:type="dxa"/>
            <w:tcBorders>
              <w:top w:val="single" w:sz="4" w:space="0" w:color="000000"/>
              <w:left w:val="single" w:sz="9" w:space="0" w:color="D2D2D2"/>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8" w:right="0"/>
              <w:jc w:val="center"/>
              <w:rPr>
                <w:rFonts w:ascii="Times New Roman" w:hAnsi="Times New Roman" w:cs="Times New Roman" w:eastAsia="Times New Roman" w:hint="default"/>
                <w:sz w:val="18"/>
                <w:szCs w:val="18"/>
              </w:rPr>
            </w:pPr>
            <w:r>
              <w:rPr>
                <w:rFonts w:ascii="Times New Roman"/>
                <w:sz w:val="18"/>
              </w:rPr>
              <w:t>761,191,294.00</w:t>
            </w: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58,979,225.64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385,238,095.09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1,235,088,162.0</w:t>
            </w:r>
          </w:p>
        </w:tc>
      </w:tr>
      <w:tr>
        <w:trPr>
          <w:trHeight w:val="569"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1,512,877.75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2,198,041.74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3,710,919.49</w:t>
            </w: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15,128,777.45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15,128,777.45</w:t>
            </w: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1,512,877.75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-12,930,735.71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pacing w:val="-1"/>
                <w:sz w:val="18"/>
              </w:rPr>
              <w:t>-11,417,857.96</w:t>
            </w: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1,512,877.75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-1,512,877.75</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-11,417,857.96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-11,417,857.96</w:t>
            </w: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8" w:right="0"/>
              <w:jc w:val="center"/>
              <w:rPr>
                <w:rFonts w:ascii="Times New Roman" w:hAnsi="Times New Roman" w:cs="Times New Roman" w:eastAsia="Times New Roman" w:hint="default"/>
                <w:sz w:val="18"/>
                <w:szCs w:val="18"/>
              </w:rPr>
            </w:pPr>
            <w:r>
              <w:rPr>
                <w:rFonts w:ascii="Times New Roman"/>
                <w:sz w:val="18"/>
              </w:rPr>
              <w:t>761,191,294.00</w:t>
            </w:r>
          </w:p>
        </w:tc>
        <w:tc>
          <w:tcPr>
            <w:tcW w:w="30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3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60,492,103.39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387,436,136.83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1,238,799,081.5</w:t>
            </w:r>
          </w:p>
        </w:tc>
      </w:tr>
    </w:tbl>
    <w:p>
      <w:pPr>
        <w:pStyle w:val="BodyText"/>
        <w:tabs>
          <w:tab w:pos="4167" w:val="left" w:leader="none"/>
          <w:tab w:pos="8399" w:val="left" w:leader="none"/>
        </w:tabs>
        <w:spacing w:line="240" w:lineRule="auto" w:before="49"/>
        <w:ind w:left="832" w:right="1142"/>
        <w:jc w:val="left"/>
      </w:pPr>
      <w:r>
        <w:rPr/>
        <w:t>法定代表人：谭骅</w:t>
        <w:tab/>
      </w:r>
      <w:r>
        <w:rPr>
          <w:spacing w:val="-1"/>
        </w:rPr>
        <w:t>主管会计工作负责人：陈国军</w:t>
        <w:tab/>
      </w:r>
      <w:r>
        <w:rPr/>
        <w:t>会计机构负责人：陈国军</w:t>
      </w:r>
    </w:p>
    <w:p>
      <w:pPr>
        <w:spacing w:after="0" w:line="240" w:lineRule="auto"/>
        <w:jc w:val="left"/>
        <w:sectPr>
          <w:type w:val="continuous"/>
          <w:pgSz w:w="11910" w:h="16840"/>
          <w:pgMar w:top="1060" w:bottom="1160" w:left="300" w:right="0"/>
        </w:sectPr>
      </w:pPr>
    </w:p>
    <w:p>
      <w:pPr>
        <w:spacing w:line="240" w:lineRule="auto" w:before="10"/>
        <w:rPr>
          <w:rFonts w:ascii="宋体" w:hAnsi="宋体" w:cs="宋体" w:eastAsia="宋体" w:hint="default"/>
          <w:sz w:val="22"/>
          <w:szCs w:val="22"/>
        </w:rPr>
      </w:pPr>
    </w:p>
    <w:p>
      <w:pPr>
        <w:pStyle w:val="BodyText"/>
        <w:spacing w:line="234" w:lineRule="exact" w:before="44"/>
        <w:ind w:left="832" w:right="1142"/>
        <w:jc w:val="left"/>
      </w:pPr>
      <w:r>
        <w:rPr/>
        <w:t>上期金额</w:t>
      </w:r>
    </w:p>
    <w:p>
      <w:pPr>
        <w:pStyle w:val="BodyText"/>
        <w:spacing w:line="234" w:lineRule="exact"/>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696"/>
        <w:gridCol w:w="1258"/>
        <w:gridCol w:w="305"/>
        <w:gridCol w:w="235"/>
        <w:gridCol w:w="360"/>
        <w:gridCol w:w="1203"/>
        <w:gridCol w:w="418"/>
        <w:gridCol w:w="540"/>
        <w:gridCol w:w="362"/>
        <w:gridCol w:w="1261"/>
        <w:gridCol w:w="1260"/>
        <w:gridCol w:w="1316"/>
      </w:tblGrid>
      <w:tr>
        <w:trPr>
          <w:trHeight w:val="314" w:hRule="exact"/>
        </w:trPr>
        <w:tc>
          <w:tcPr>
            <w:tcW w:w="2696" w:type="dxa"/>
            <w:vMerge w:val="restart"/>
            <w:tcBorders>
              <w:top w:val="single" w:sz="4" w:space="0" w:color="000000"/>
              <w:left w:val="single" w:sz="4" w:space="0" w:color="000000"/>
              <w:right w:val="single" w:sz="4" w:space="0" w:color="000000"/>
            </w:tcBorders>
            <w:shd w:val="clear" w:color="auto" w:fill="D2D2D2"/>
          </w:tcPr>
          <w:p>
            <w:pPr/>
          </w:p>
        </w:tc>
        <w:tc>
          <w:tcPr>
            <w:tcW w:w="851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3" w:hRule="exact"/>
        </w:trPr>
        <w:tc>
          <w:tcPr>
            <w:tcW w:w="2696" w:type="dxa"/>
            <w:vMerge/>
            <w:tcBorders>
              <w:left w:val="single" w:sz="4" w:space="0" w:color="000000"/>
              <w:right w:val="single" w:sz="4" w:space="0" w:color="000000"/>
            </w:tcBorders>
            <w:shd w:val="clear" w:color="auto" w:fill="D2D2D2"/>
          </w:tcPr>
          <w:p>
            <w:pPr/>
          </w:p>
        </w:tc>
        <w:tc>
          <w:tcPr>
            <w:tcW w:w="1258" w:type="dxa"/>
            <w:vMerge w:val="restart"/>
            <w:tcBorders>
              <w:top w:val="single" w:sz="4" w:space="0" w:color="000000"/>
              <w:left w:val="single" w:sz="4" w:space="0" w:color="000000"/>
              <w:right w:val="single" w:sz="4" w:space="0" w:color="000000"/>
            </w:tcBorders>
            <w:shd w:val="clear" w:color="auto" w:fill="D2D2D2"/>
          </w:tcPr>
          <w:p>
            <w:pPr/>
          </w:p>
        </w:tc>
        <w:tc>
          <w:tcPr>
            <w:tcW w:w="9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7"/>
              <w:ind w:left="263" w:right="84"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203" w:type="dxa"/>
            <w:vMerge w:val="restart"/>
            <w:tcBorders>
              <w:top w:val="single" w:sz="4" w:space="0" w:color="000000"/>
              <w:left w:val="single" w:sz="4" w:space="0" w:color="000000"/>
              <w:right w:val="single" w:sz="4" w:space="0" w:color="000000"/>
            </w:tcBorders>
            <w:shd w:val="clear" w:color="auto" w:fill="D2D2D2"/>
          </w:tcPr>
          <w:p>
            <w:pPr/>
          </w:p>
        </w:tc>
        <w:tc>
          <w:tcPr>
            <w:tcW w:w="418" w:type="dxa"/>
            <w:vMerge w:val="restart"/>
            <w:tcBorders>
              <w:top w:val="single" w:sz="4" w:space="0" w:color="000000"/>
              <w:left w:val="single" w:sz="4" w:space="0" w:color="000000"/>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
        </w:tc>
        <w:tc>
          <w:tcPr>
            <w:tcW w:w="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
        </w:tc>
        <w:tc>
          <w:tcPr>
            <w:tcW w:w="1260"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900" w:type="dxa"/>
            <w:gridSpan w:val="3"/>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362"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ind w:left="86" w:right="84"/>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261"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5"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 w:type="dxa"/>
            <w:vMerge/>
            <w:tcBorders>
              <w:left w:val="single" w:sz="4" w:space="0" w:color="000000"/>
              <w:bottom w:val="nil" w:sz="6" w:space="0" w:color="auto"/>
              <w:right w:val="single" w:sz="4" w:space="0" w:color="000000"/>
            </w:tcBorders>
            <w:shd w:val="clear" w:color="auto" w:fill="D2D2D2"/>
          </w:tcPr>
          <w:p>
            <w:pPr/>
          </w:p>
        </w:tc>
        <w:tc>
          <w:tcPr>
            <w:tcW w:w="900" w:type="dxa"/>
            <w:gridSpan w:val="3"/>
            <w:vMerge/>
            <w:tcBorders>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nil" w:sz="6" w:space="0" w:color="auto"/>
              <w:right w:val="single" w:sz="4" w:space="0" w:color="000000"/>
            </w:tcBorders>
            <w:shd w:val="clear" w:color="auto" w:fill="D2D2D2"/>
          </w:tcPr>
          <w:p>
            <w:pPr/>
          </w:p>
        </w:tc>
        <w:tc>
          <w:tcPr>
            <w:tcW w:w="418" w:type="dxa"/>
            <w:vMerge w:val="restart"/>
            <w:tcBorders>
              <w:top w:val="nil" w:sz="6" w:space="0" w:color="auto"/>
              <w:left w:val="single" w:sz="4" w:space="0" w:color="000000"/>
              <w:right w:val="single" w:sz="4" w:space="0" w:color="000000"/>
            </w:tcBorders>
            <w:shd w:val="clear" w:color="auto" w:fill="D2D2D2"/>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3"/>
              <w:ind w:left="112" w:right="23" w:hanging="89"/>
              <w:jc w:val="left"/>
              <w:rPr>
                <w:rFonts w:ascii="宋体" w:hAnsi="宋体" w:cs="宋体" w:eastAsia="宋体" w:hint="default"/>
                <w:sz w:val="18"/>
                <w:szCs w:val="18"/>
              </w:rPr>
            </w:pPr>
            <w:r>
              <w:rPr>
                <w:rFonts w:ascii="宋体" w:hAnsi="宋体" w:cs="宋体" w:eastAsia="宋体" w:hint="default"/>
                <w:sz w:val="18"/>
                <w:szCs w:val="18"/>
              </w:rPr>
              <w:t>库存 股</w:t>
            </w:r>
          </w:p>
        </w:tc>
        <w:tc>
          <w:tcPr>
            <w:tcW w:w="540" w:type="dxa"/>
            <w:vMerge w:val="restart"/>
            <w:tcBorders>
              <w:top w:val="nil" w:sz="6" w:space="0" w:color="auto"/>
              <w:left w:val="single" w:sz="4" w:space="0" w:color="000000"/>
              <w:right w:val="single" w:sz="4" w:space="0" w:color="000000"/>
            </w:tcBorders>
            <w:shd w:val="clear" w:color="auto" w:fill="D2D2D2"/>
          </w:tcPr>
          <w:p>
            <w:pPr>
              <w:pStyle w:val="TableParagraph"/>
              <w:spacing w:line="187" w:lineRule="exact"/>
              <w:ind w:left="8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86" w:right="83"/>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362"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44" w:hRule="exact"/>
        </w:trPr>
        <w:tc>
          <w:tcPr>
            <w:tcW w:w="2696" w:type="dxa"/>
            <w:vMerge w:val="restart"/>
            <w:tcBorders>
              <w:top w:val="nil" w:sz="6" w:space="0" w:color="auto"/>
              <w:left w:val="single" w:sz="4" w:space="0" w:color="000000"/>
              <w:right w:val="single" w:sz="4" w:space="0" w:color="000000"/>
            </w:tcBorders>
            <w:shd w:val="clear" w:color="auto" w:fill="D2D2D2"/>
          </w:tcPr>
          <w:p>
            <w:pPr/>
          </w:p>
        </w:tc>
        <w:tc>
          <w:tcPr>
            <w:tcW w:w="12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05" w:type="dxa"/>
            <w:vMerge w:val="restart"/>
            <w:tcBorders>
              <w:top w:val="single" w:sz="4" w:space="0" w:color="000000"/>
              <w:left w:val="single" w:sz="4" w:space="0" w:color="000000"/>
              <w:right w:val="single" w:sz="4" w:space="0" w:color="000000"/>
            </w:tcBorders>
            <w:shd w:val="clear" w:color="auto" w:fill="D2D2D2"/>
          </w:tcPr>
          <w:p>
            <w:pPr>
              <w:pStyle w:val="TableParagraph"/>
              <w:spacing w:line="175" w:lineRule="exact"/>
              <w:ind w:left="5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57" w:right="55"/>
              <w:jc w:val="left"/>
              <w:rPr>
                <w:rFonts w:ascii="宋体" w:hAnsi="宋体" w:cs="宋体" w:eastAsia="宋体" w:hint="default"/>
                <w:sz w:val="18"/>
                <w:szCs w:val="18"/>
              </w:rPr>
            </w:pPr>
            <w:r>
              <w:rPr>
                <w:rFonts w:ascii="宋体" w:hAnsi="宋体" w:cs="宋体" w:eastAsia="宋体" w:hint="default"/>
                <w:sz w:val="18"/>
                <w:szCs w:val="18"/>
              </w:rPr>
              <w:t>先 股</w:t>
            </w: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175" w:lineRule="exact"/>
              <w:ind w:left="23"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23" w:right="19"/>
              <w:jc w:val="left"/>
              <w:rPr>
                <w:rFonts w:ascii="宋体" w:hAnsi="宋体" w:cs="宋体" w:eastAsia="宋体" w:hint="default"/>
                <w:sz w:val="18"/>
                <w:szCs w:val="18"/>
              </w:rPr>
            </w:pPr>
            <w:r>
              <w:rPr>
                <w:rFonts w:ascii="宋体" w:hAnsi="宋体" w:cs="宋体" w:eastAsia="宋体" w:hint="default"/>
                <w:sz w:val="18"/>
                <w:szCs w:val="18"/>
              </w:rPr>
              <w:t>续 债</w:t>
            </w:r>
          </w:p>
        </w:tc>
        <w:tc>
          <w:tcPr>
            <w:tcW w:w="36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2"/>
              <w:ind w:left="83" w:right="84"/>
              <w:jc w:val="left"/>
              <w:rPr>
                <w:rFonts w:ascii="宋体" w:hAnsi="宋体" w:cs="宋体" w:eastAsia="宋体" w:hint="default"/>
                <w:sz w:val="18"/>
                <w:szCs w:val="18"/>
              </w:rPr>
            </w:pPr>
            <w:r>
              <w:rPr>
                <w:rFonts w:ascii="宋体" w:hAnsi="宋体" w:cs="宋体" w:eastAsia="宋体" w:hint="default"/>
                <w:sz w:val="18"/>
                <w:szCs w:val="18"/>
              </w:rPr>
              <w:t>其 他</w:t>
            </w:r>
          </w:p>
        </w:tc>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6" w:lineRule="exact"/>
              <w:ind w:left="23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18" w:type="dxa"/>
            <w:vMerge/>
            <w:tcBorders>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362" w:type="dxa"/>
            <w:vMerge/>
            <w:tcBorders>
              <w:left w:val="single" w:sz="4" w:space="0" w:color="000000"/>
              <w:right w:val="single" w:sz="4" w:space="0" w:color="000000"/>
            </w:tcBorders>
            <w:shd w:val="clear" w:color="auto" w:fill="D2D2D2"/>
          </w:tcPr>
          <w:p>
            <w:pPr/>
          </w:p>
        </w:tc>
        <w:tc>
          <w:tcPr>
            <w:tcW w:w="1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6" w:lineRule="exact"/>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6" w:lineRule="exact"/>
              <w:ind w:left="1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6" w:lineRule="exact"/>
              <w:ind w:right="21"/>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76" w:hRule="exact"/>
        </w:trPr>
        <w:tc>
          <w:tcPr>
            <w:tcW w:w="2696" w:type="dxa"/>
            <w:vMerge/>
            <w:tcBorders>
              <w:left w:val="single" w:sz="4" w:space="0" w:color="000000"/>
              <w:right w:val="single" w:sz="4" w:space="0" w:color="000000"/>
            </w:tcBorders>
            <w:shd w:val="clear" w:color="auto" w:fill="D2D2D2"/>
          </w:tcPr>
          <w:p>
            <w:pPr/>
          </w:p>
        </w:tc>
        <w:tc>
          <w:tcPr>
            <w:tcW w:w="1258" w:type="dxa"/>
            <w:vMerge w:val="restart"/>
            <w:tcBorders>
              <w:top w:val="nil" w:sz="6" w:space="0" w:color="auto"/>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360" w:type="dxa"/>
            <w:vMerge/>
            <w:tcBorders>
              <w:left w:val="single" w:sz="4" w:space="0" w:color="000000"/>
              <w:bottom w:val="nil" w:sz="6" w:space="0" w:color="auto"/>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
        </w:tc>
        <w:tc>
          <w:tcPr>
            <w:tcW w:w="418"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362" w:type="dxa"/>
            <w:vMerge/>
            <w:tcBorders>
              <w:left w:val="single" w:sz="4" w:space="0" w:color="000000"/>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94"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305"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2"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left="66" w:right="0"/>
              <w:jc w:val="center"/>
              <w:rPr>
                <w:rFonts w:ascii="Times New Roman" w:hAnsi="Times New Roman" w:cs="Times New Roman" w:eastAsia="Times New Roman" w:hint="default"/>
                <w:sz w:val="18"/>
                <w:szCs w:val="18"/>
              </w:rPr>
            </w:pPr>
            <w:r>
              <w:rPr>
                <w:rFonts w:ascii="Times New Roman"/>
                <w:sz w:val="18"/>
              </w:rPr>
              <w:t>761,191,294.00</w:t>
            </w:r>
          </w:p>
        </w:tc>
        <w:tc>
          <w:tcPr>
            <w:tcW w:w="305" w:type="dxa"/>
            <w:tcBorders>
              <w:top w:val="single" w:sz="17" w:space="0" w:color="D2D2D2"/>
              <w:left w:val="single" w:sz="4" w:space="0" w:color="000000"/>
              <w:bottom w:val="single" w:sz="4" w:space="0" w:color="000000"/>
              <w:right w:val="single" w:sz="4" w:space="0" w:color="000000"/>
            </w:tcBorders>
          </w:tcPr>
          <w:p>
            <w:pPr/>
          </w:p>
        </w:tc>
        <w:tc>
          <w:tcPr>
            <w:tcW w:w="235" w:type="dxa"/>
            <w:tcBorders>
              <w:top w:val="single" w:sz="17" w:space="0" w:color="D2D2D2"/>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29,679,547.28</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50" w:space="0" w:color="D2D2D2"/>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51,822,053.01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320,823,541.39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1,163,516,435.68</w:t>
            </w: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3" w:right="0"/>
              <w:jc w:val="center"/>
              <w:rPr>
                <w:rFonts w:ascii="Times New Roman" w:hAnsi="Times New Roman" w:cs="Times New Roman" w:eastAsia="Times New Roman" w:hint="default"/>
                <w:sz w:val="18"/>
                <w:szCs w:val="18"/>
              </w:rPr>
            </w:pPr>
            <w:r>
              <w:rPr>
                <w:rFonts w:ascii="Times New Roman"/>
                <w:sz w:val="18"/>
              </w:rPr>
              <w:t>761,191,294.00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29,679,547.28</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51,822,053.01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320,823,541.39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1,163,516,435.68</w:t>
            </w:r>
          </w:p>
        </w:tc>
      </w:tr>
      <w:tr>
        <w:trPr>
          <w:trHeight w:val="567"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64,414,553.70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71,571,726.33</w:t>
            </w: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71,571,726.33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71,571,726.33</w:t>
            </w: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-7,157,172.63</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-7,157,172.63</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3" w:right="0"/>
              <w:jc w:val="center"/>
              <w:rPr>
                <w:rFonts w:ascii="Times New Roman" w:hAnsi="Times New Roman" w:cs="Times New Roman" w:eastAsia="Times New Roman" w:hint="default"/>
                <w:sz w:val="18"/>
                <w:szCs w:val="18"/>
              </w:rPr>
            </w:pPr>
            <w:r>
              <w:rPr>
                <w:rFonts w:ascii="Times New Roman"/>
                <w:sz w:val="18"/>
              </w:rPr>
              <w:t>761,191,294.00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29,679,547.28</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58,979,225.64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385,238,095.09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1,235,088,162.01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30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1</w:t>
      </w:r>
      <w:r>
        <w:rPr/>
        <w:t>、公司概况</w:t>
      </w:r>
    </w:p>
    <w:p>
      <w:pPr>
        <w:pStyle w:val="BodyText"/>
        <w:spacing w:line="300" w:lineRule="auto" w:before="63"/>
        <w:ind w:right="1134" w:firstLine="360"/>
        <w:jc w:val="both"/>
      </w:pPr>
      <w:r>
        <w:rPr>
          <w:spacing w:val="-1"/>
        </w:rPr>
        <w:t>广州御银科技股份有限公司（以下简称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）前身广州御银科技有限责任公司由杨文江、增城市御银实业</w:t>
      </w:r>
      <w:r>
        <w:rPr/>
        <w:t> 有限公司共同出资组建，注册资本人民币</w:t>
      </w:r>
      <w:r>
        <w:rPr>
          <w:rFonts w:ascii="Times New Roman" w:hAnsi="Times New Roman" w:cs="Times New Roman" w:eastAsia="Times New Roman" w:hint="default"/>
        </w:rPr>
        <w:t>15,000,000.00</w:t>
      </w:r>
      <w:r>
        <w:rPr/>
        <w:t>元，于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日取得广州市工商行政管理局核发的企业法人营 业执照（注册号为：</w:t>
      </w:r>
      <w:r>
        <w:rPr>
          <w:rFonts w:ascii="Times New Roman" w:hAnsi="Times New Roman" w:cs="Times New Roman" w:eastAsia="Times New Roman" w:hint="default"/>
        </w:rPr>
        <w:t>4401011108228</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日工商变更登记，注册号变更为</w:t>
      </w:r>
      <w:r>
        <w:rPr>
          <w:rFonts w:ascii="Times New Roman" w:hAnsi="Times New Roman" w:cs="Times New Roman" w:eastAsia="Times New Roman" w:hint="default"/>
        </w:rPr>
        <w:t>440101000034373</w:t>
      </w:r>
      <w:r>
        <w:rPr/>
        <w:t>。</w:t>
      </w:r>
    </w:p>
    <w:p>
      <w:pPr>
        <w:pStyle w:val="BodyText"/>
        <w:spacing w:line="240" w:lineRule="auto" w:before="13"/>
        <w:ind w:left="513" w:right="0"/>
        <w:jc w:val="left"/>
      </w:pPr>
      <w:r>
        <w:rPr/>
        <w:t>公司经广州市经济委员会穗经</w:t>
      </w:r>
      <w:r>
        <w:rPr>
          <w:rFonts w:ascii="Times New Roman" w:hAnsi="Times New Roman" w:cs="Times New Roman" w:eastAsia="Times New Roman" w:hint="default"/>
        </w:rPr>
        <w:t>[2003]88</w:t>
      </w:r>
      <w:r>
        <w:rPr/>
        <w:t>号《关于同意设立广州御银科技股份有限公司的批复》批准，以公司截至</w:t>
      </w:r>
      <w:r>
        <w:rPr>
          <w:rFonts w:ascii="Times New Roman" w:hAnsi="Times New Roman" w:cs="Times New Roman" w:eastAsia="Times New Roman" w:hint="default"/>
        </w:rPr>
        <w:t>2003</w:t>
      </w:r>
      <w:r>
        <w:rPr/>
        <w:t>年</w:t>
      </w:r>
    </w:p>
    <w:p>
      <w:pPr>
        <w:pStyle w:val="BodyText"/>
        <w:spacing w:line="240" w:lineRule="auto" w:before="63"/>
        <w:ind w:right="0"/>
        <w:jc w:val="left"/>
      </w:pP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日经审计净资产</w:t>
      </w:r>
      <w:r>
        <w:rPr>
          <w:rFonts w:ascii="Times New Roman" w:hAnsi="Times New Roman" w:cs="Times New Roman" w:eastAsia="Times New Roman" w:hint="default"/>
        </w:rPr>
        <w:t>30,200,000.00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比例折股，整体变更为股份公司。改制后，公司的股本总额为</w:t>
      </w:r>
      <w:r>
        <w:rPr>
          <w:rFonts w:ascii="Times New Roman" w:hAnsi="Times New Roman" w:cs="Times New Roman" w:eastAsia="Times New Roman" w:hint="default"/>
        </w:rPr>
        <w:t>30,200,000.00</w:t>
      </w:r>
      <w:r>
        <w:rPr/>
        <w:t>元。</w:t>
      </w:r>
    </w:p>
    <w:p>
      <w:pPr>
        <w:pStyle w:val="BodyText"/>
        <w:spacing w:line="300" w:lineRule="auto" w:before="63"/>
        <w:ind w:right="1133"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日，发行人召开</w:t>
      </w:r>
      <w:r>
        <w:rPr>
          <w:rFonts w:ascii="Times New Roman" w:hAnsi="Times New Roman" w:cs="Times New Roman" w:eastAsia="Times New Roman" w:hint="default"/>
        </w:rPr>
        <w:t>2005</w:t>
      </w:r>
      <w:r>
        <w:rPr/>
        <w:t>年度股东大会，审议通过了</w:t>
      </w:r>
      <w:r>
        <w:rPr>
          <w:rFonts w:ascii="Times New Roman" w:hAnsi="Times New Roman" w:cs="Times New Roman" w:eastAsia="Times New Roman" w:hint="default"/>
        </w:rPr>
        <w:t>2005</w:t>
      </w:r>
      <w:r>
        <w:rPr/>
        <w:t>年度利润分配方案，决定以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日股份公司 总股本</w:t>
      </w:r>
      <w:r>
        <w:rPr>
          <w:rFonts w:ascii="Times New Roman" w:hAnsi="Times New Roman" w:cs="Times New Roman" w:eastAsia="Times New Roman" w:hint="default"/>
        </w:rPr>
        <w:t>30,200,000.00</w:t>
      </w:r>
      <w:r>
        <w:rPr/>
        <w:t>股为基数，向全体股东每</w:t>
      </w:r>
      <w:r>
        <w:rPr>
          <w:rFonts w:ascii="Times New Roman" w:hAnsi="Times New Roman" w:cs="Times New Roman" w:eastAsia="Times New Roman" w:hint="default"/>
        </w:rPr>
        <w:t>10</w:t>
      </w:r>
      <w:r>
        <w:rPr/>
        <w:t>股送股票红利</w:t>
      </w:r>
      <w:r>
        <w:rPr>
          <w:rFonts w:ascii="Times New Roman" w:hAnsi="Times New Roman" w:cs="Times New Roman" w:eastAsia="Times New Roman" w:hint="default"/>
        </w:rPr>
        <w:t>6.56</w:t>
      </w:r>
      <w:r>
        <w:rPr/>
        <w:t>股，共向股东派送股票股利</w:t>
      </w:r>
      <w:r>
        <w:rPr>
          <w:rFonts w:ascii="Times New Roman" w:hAnsi="Times New Roman" w:cs="Times New Roman" w:eastAsia="Times New Roman" w:hint="default"/>
        </w:rPr>
        <w:t>19,811,200.00</w:t>
      </w:r>
      <w:r>
        <w:rPr/>
        <w:t>股，本次利润分 配完成后，公司的股本总额为</w:t>
      </w:r>
      <w:r>
        <w:rPr>
          <w:rFonts w:ascii="Times New Roman" w:hAnsi="Times New Roman" w:cs="Times New Roman" w:eastAsia="Times New Roman" w:hint="default"/>
        </w:rPr>
        <w:t>50,011,200.00</w:t>
      </w:r>
      <w:r>
        <w:rPr/>
        <w:t>元。</w:t>
      </w:r>
    </w:p>
    <w:p>
      <w:pPr>
        <w:pStyle w:val="BodyText"/>
        <w:spacing w:line="300" w:lineRule="auto" w:before="13"/>
        <w:ind w:right="1131"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日，发行人召开</w:t>
      </w:r>
      <w:r>
        <w:rPr>
          <w:rFonts w:ascii="Times New Roman" w:hAnsi="Times New Roman" w:cs="Times New Roman" w:eastAsia="Times New Roman" w:hint="default"/>
        </w:rPr>
        <w:t>2006</w:t>
      </w:r>
      <w:r>
        <w:rPr/>
        <w:t>年第二次临时股东大会，审议通过了《关于增资扩股议案》，同意公司以每股</w:t>
      </w:r>
      <w:r>
        <w:rPr>
          <w:rFonts w:ascii="Times New Roman" w:hAnsi="Times New Roman" w:cs="Times New Roman" w:eastAsia="Times New Roman" w:hint="default"/>
        </w:rPr>
        <w:t>2.88</w:t>
      </w:r>
      <w:r>
        <w:rPr>
          <w:rFonts w:ascii="Times New Roman" w:hAnsi="Times New Roman" w:cs="Times New Roman" w:eastAsia="Times New Roman" w:hint="default"/>
          <w:spacing w:val="6"/>
        </w:rPr>
        <w:t> </w:t>
      </w:r>
      <w:r>
        <w:rPr/>
        <w:t>元 的发行价格，增发</w:t>
      </w:r>
      <w:r>
        <w:rPr>
          <w:rFonts w:ascii="Times New Roman" w:hAnsi="Times New Roman" w:cs="Times New Roman" w:eastAsia="Times New Roman" w:hint="default"/>
        </w:rPr>
        <w:t>5,556,800.00</w:t>
      </w:r>
      <w:r>
        <w:rPr/>
        <w:t>股新股。本次增资扩股后股本总额为</w:t>
      </w:r>
      <w:r>
        <w:rPr>
          <w:rFonts w:ascii="Times New Roman" w:hAnsi="Times New Roman" w:cs="Times New Roman" w:eastAsia="Times New Roman" w:hint="default"/>
        </w:rPr>
        <w:t>55,568,000.00</w:t>
      </w:r>
      <w:r>
        <w:rPr/>
        <w:t>元。</w:t>
      </w:r>
    </w:p>
    <w:p>
      <w:pPr>
        <w:pStyle w:val="BodyText"/>
        <w:spacing w:line="300" w:lineRule="auto" w:before="13"/>
        <w:ind w:right="1186"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日，经中国证券监督管理委员会以证监发行字</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350</w:t>
      </w:r>
      <w:r>
        <w:rPr/>
        <w:t>文核准，同意公司向社会公众公开发行人民币 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19,000,000.00</w:t>
      </w:r>
      <w:r>
        <w:rPr/>
        <w:t>股，本公司于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日向社会公众投资者定价发行</w:t>
      </w:r>
      <w:r>
        <w:rPr>
          <w:rFonts w:ascii="Times New Roman" w:hAnsi="Times New Roman" w:cs="Times New Roman" w:eastAsia="Times New Roman" w:hint="default"/>
        </w:rPr>
        <w:t>19,000,000.00</w:t>
      </w:r>
      <w:r>
        <w:rPr/>
        <w:t>股，并于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月在 深圳证券交易所上市。经此发行，公司的股本总额为</w:t>
      </w:r>
      <w:r>
        <w:rPr>
          <w:rFonts w:ascii="Times New Roman" w:hAnsi="Times New Roman" w:cs="Times New Roman" w:eastAsia="Times New Roman" w:hint="default"/>
        </w:rPr>
        <w:t>74,568,000.00</w:t>
      </w:r>
      <w:r>
        <w:rPr/>
        <w:t>元。</w:t>
      </w:r>
    </w:p>
    <w:p>
      <w:pPr>
        <w:pStyle w:val="BodyText"/>
        <w:spacing w:line="240" w:lineRule="auto" w:before="1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日，公司股东大会决议通过资本公积转增股本方案，以</w:t>
      </w:r>
      <w:r>
        <w:rPr>
          <w:rFonts w:ascii="Times New Roman" w:hAnsi="Times New Roman" w:cs="Times New Roman" w:eastAsia="Times New Roman" w:hint="default"/>
        </w:rPr>
        <w:t>2007</w:t>
      </w:r>
      <w:r>
        <w:rPr/>
        <w:t>年末公司总股本</w:t>
      </w:r>
      <w:r>
        <w:rPr>
          <w:rFonts w:ascii="Times New Roman" w:hAnsi="Times New Roman" w:cs="Times New Roman" w:eastAsia="Times New Roman" w:hint="default"/>
        </w:rPr>
        <w:t>74,568,000.00</w:t>
      </w:r>
      <w:r>
        <w:rPr/>
        <w:t>股为基数，每</w:t>
      </w:r>
      <w:r>
        <w:rPr>
          <w:rFonts w:ascii="Times New Roman" w:hAnsi="Times New Roman" w:cs="Times New Roman" w:eastAsia="Times New Roman" w:hint="default"/>
        </w:rPr>
        <w:t>10</w:t>
      </w:r>
    </w:p>
    <w:p>
      <w:pPr>
        <w:pStyle w:val="BodyText"/>
        <w:spacing w:line="300" w:lineRule="auto" w:before="63"/>
        <w:ind w:left="513" w:right="0" w:hanging="361"/>
        <w:jc w:val="left"/>
      </w:pPr>
      <w:r>
        <w:rPr/>
        <w:t>股转增</w:t>
      </w:r>
      <w:r>
        <w:rPr>
          <w:rFonts w:ascii="Times New Roman" w:hAnsi="Times New Roman" w:cs="Times New Roman" w:eastAsia="Times New Roman" w:hint="default"/>
        </w:rPr>
        <w:t>10</w:t>
      </w:r>
      <w:r>
        <w:rPr/>
        <w:t>股。本次转增股本后，公司的股本总额为</w:t>
      </w:r>
      <w:r>
        <w:rPr>
          <w:rFonts w:ascii="Times New Roman" w:hAnsi="Times New Roman" w:cs="Times New Roman" w:eastAsia="Times New Roman" w:hint="default"/>
        </w:rPr>
        <w:t>149,136,000.00</w:t>
      </w:r>
      <w:r>
        <w:rPr/>
        <w:t>元。 </w:t>
      </w:r>
      <w:r>
        <w:rPr>
          <w:spacing w:val="-1"/>
        </w:rPr>
        <w:t>经公司</w:t>
      </w:r>
      <w:r>
        <w:rPr>
          <w:rFonts w:ascii="Times New Roman" w:hAnsi="Times New Roman" w:cs="Times New Roman" w:eastAsia="Times New Roman" w:hint="default"/>
          <w:spacing w:val="-1"/>
        </w:rPr>
        <w:t>2008</w:t>
      </w:r>
      <w:r>
        <w:rPr>
          <w:spacing w:val="-1"/>
        </w:rPr>
        <w:t>年度股东大会审议通过，以</w:t>
      </w:r>
      <w:r>
        <w:rPr>
          <w:rFonts w:ascii="Times New Roman" w:hAnsi="Times New Roman" w:cs="Times New Roman" w:eastAsia="Times New Roman" w:hint="default"/>
          <w:spacing w:val="-1"/>
        </w:rPr>
        <w:t>2008</w:t>
      </w:r>
      <w:r>
        <w:rPr>
          <w:spacing w:val="-1"/>
        </w:rPr>
        <w:t>年年末总股本</w:t>
      </w:r>
      <w:r>
        <w:rPr>
          <w:rFonts w:ascii="Times New Roman" w:hAnsi="Times New Roman" w:cs="Times New Roman" w:eastAsia="Times New Roman" w:hint="default"/>
          <w:spacing w:val="-1"/>
        </w:rPr>
        <w:t>149,136,000.00</w:t>
      </w:r>
      <w:r>
        <w:rPr>
          <w:spacing w:val="-1"/>
        </w:rPr>
        <w:t>股为基数向全体股东按每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股的比例转</w:t>
      </w:r>
    </w:p>
    <w:p>
      <w:pPr>
        <w:pStyle w:val="BodyText"/>
        <w:spacing w:line="240" w:lineRule="auto" w:before="13"/>
        <w:ind w:right="1133"/>
        <w:jc w:val="left"/>
      </w:pPr>
      <w:r>
        <w:rPr/>
        <w:t>增股本，送转完成后公司总股本增至</w:t>
      </w:r>
      <w:r>
        <w:rPr>
          <w:rFonts w:ascii="Times New Roman" w:hAnsi="Times New Roman" w:cs="Times New Roman" w:eastAsia="Times New Roman" w:hint="default"/>
        </w:rPr>
        <w:t>223,704,000.00</w:t>
      </w:r>
      <w:r>
        <w:rPr>
          <w:rFonts w:ascii="Times New Roman" w:hAnsi="Times New Roman" w:cs="Times New Roman" w:eastAsia="Times New Roman" w:hint="default"/>
          <w:spacing w:val="27"/>
        </w:rPr>
        <w:t> </w:t>
      </w:r>
      <w:r>
        <w:rPr/>
        <w:t>股。资本公积金转增股本的方案已于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日实施。</w:t>
      </w:r>
    </w:p>
    <w:p>
      <w:pPr>
        <w:pStyle w:val="BodyText"/>
        <w:spacing w:line="300" w:lineRule="auto" w:before="63"/>
        <w:ind w:right="1126"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日，经中国证券监督管理委员会证监许可</w:t>
      </w:r>
      <w:r>
        <w:rPr>
          <w:rFonts w:ascii="Times New Roman" w:hAnsi="Times New Roman" w:cs="Times New Roman" w:eastAsia="Times New Roman" w:hint="default"/>
          <w:spacing w:val="-1"/>
        </w:rPr>
        <w:t>[2009]962</w:t>
      </w:r>
      <w:r>
        <w:rPr>
          <w:spacing w:val="-1"/>
        </w:rPr>
        <w:t>号文核准，公司于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日以非公开发行股票的</w:t>
      </w:r>
      <w:r>
        <w:rPr/>
        <w:t> 方式向</w:t>
      </w:r>
      <w:r>
        <w:rPr>
          <w:rFonts w:ascii="Times New Roman" w:hAnsi="Times New Roman" w:cs="Times New Roman" w:eastAsia="Times New Roman" w:hint="default"/>
        </w:rPr>
        <w:t>7</w:t>
      </w:r>
      <w:r>
        <w:rPr/>
        <w:t>家特定投资者发行了</w:t>
      </w:r>
      <w:r>
        <w:rPr>
          <w:rFonts w:ascii="Times New Roman" w:hAnsi="Times New Roman" w:cs="Times New Roman" w:eastAsia="Times New Roman" w:hint="default"/>
        </w:rPr>
        <w:t>41,242,500.00</w:t>
      </w:r>
      <w:r>
        <w:rPr/>
        <w:t>股人民币普通股（</w:t>
      </w:r>
      <w:r>
        <w:rPr>
          <w:rFonts w:ascii="Times New Roman" w:hAnsi="Times New Roman" w:cs="Times New Roman" w:eastAsia="Times New Roman" w:hint="default"/>
        </w:rPr>
        <w:t>A</w:t>
      </w:r>
      <w:r>
        <w:rPr/>
        <w:t>股），发行价为人民币</w:t>
      </w:r>
      <w:r>
        <w:rPr>
          <w:rFonts w:ascii="Times New Roman" w:hAnsi="Times New Roman" w:cs="Times New Roman" w:eastAsia="Times New Roman" w:hint="default"/>
        </w:rPr>
        <w:t>12.00</w:t>
      </w:r>
      <w:r>
        <w:rPr/>
        <w:t>元</w:t>
      </w:r>
      <w:r>
        <w:rPr>
          <w:rFonts w:ascii="Times New Roman" w:hAnsi="Times New Roman" w:cs="Times New Roman" w:eastAsia="Times New Roman" w:hint="default"/>
        </w:rPr>
        <w:t>/</w:t>
      </w:r>
      <w:r>
        <w:rPr/>
        <w:t>股。经深圳证券交易所同意， 公司非公开发行的股票于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日在深圳证券交易所挂牌上市。非公开发行后公司总股本增至</w:t>
      </w:r>
      <w:r>
        <w:rPr>
          <w:rFonts w:ascii="Times New Roman" w:hAnsi="Times New Roman" w:cs="Times New Roman" w:eastAsia="Times New Roman" w:hint="default"/>
        </w:rPr>
        <w:t>264,946,500.00</w:t>
      </w:r>
      <w:r>
        <w:rPr/>
        <w:t>股。</w:t>
      </w:r>
    </w:p>
    <w:p>
      <w:pPr>
        <w:pStyle w:val="BodyText"/>
        <w:spacing w:line="300" w:lineRule="auto" w:before="13"/>
        <w:ind w:right="1133" w:firstLine="360"/>
        <w:jc w:val="both"/>
      </w:pPr>
      <w:r>
        <w:rPr/>
        <w:t>经公司</w:t>
      </w:r>
      <w:r>
        <w:rPr>
          <w:rFonts w:ascii="Times New Roman" w:hAnsi="Times New Roman" w:cs="Times New Roman" w:eastAsia="Times New Roman" w:hint="default"/>
        </w:rPr>
        <w:t>2010</w:t>
      </w:r>
      <w:r>
        <w:rPr/>
        <w:t>年度股东大会审议通过，以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264,946,500.00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3</w:t>
      </w:r>
      <w:r>
        <w:rPr>
          <w:spacing w:val="-1"/>
        </w:rPr>
        <w:t>股的比例转增股本，送转完成后，公司总股本增至</w:t>
      </w:r>
      <w:r>
        <w:rPr>
          <w:rFonts w:ascii="Times New Roman" w:hAnsi="Times New Roman" w:cs="Times New Roman" w:eastAsia="Times New Roman" w:hint="default"/>
          <w:spacing w:val="-1"/>
        </w:rPr>
        <w:t>344,430,450.00</w:t>
      </w:r>
      <w:r>
        <w:rPr>
          <w:spacing w:val="-1"/>
        </w:rPr>
        <w:t>股。资本公积金转增股本的方案已于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日实</w:t>
      </w:r>
      <w:r>
        <w:rPr>
          <w:spacing w:val="-76"/>
        </w:rPr>
        <w:t> </w:t>
      </w:r>
      <w:r>
        <w:rPr/>
        <w:t>施。</w:t>
      </w:r>
    </w:p>
    <w:p>
      <w:pPr>
        <w:pStyle w:val="BodyText"/>
        <w:spacing w:line="300" w:lineRule="auto" w:before="31"/>
        <w:ind w:right="1133" w:firstLine="360"/>
        <w:jc w:val="both"/>
      </w:pPr>
      <w:r>
        <w:rPr/>
        <w:t>经公司</w:t>
      </w:r>
      <w:r>
        <w:rPr>
          <w:rFonts w:ascii="Times New Roman" w:hAnsi="Times New Roman" w:cs="Times New Roman" w:eastAsia="Times New Roman" w:hint="default"/>
        </w:rPr>
        <w:t>2011</w:t>
      </w:r>
      <w:r>
        <w:rPr/>
        <w:t>年度股东大会审议通过，以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7</w:t>
      </w:r>
      <w:r>
        <w:rPr>
          <w:spacing w:val="-1"/>
        </w:rPr>
        <w:t>股的比例转增股本，送转完成后，公司总股本增至</w:t>
      </w:r>
      <w:r>
        <w:rPr>
          <w:rFonts w:ascii="Times New Roman" w:hAnsi="Times New Roman" w:cs="Times New Roman" w:eastAsia="Times New Roman" w:hint="default"/>
          <w:spacing w:val="-1"/>
        </w:rPr>
        <w:t>585,531,765.00</w:t>
      </w:r>
      <w:r>
        <w:rPr>
          <w:spacing w:val="-1"/>
        </w:rPr>
        <w:t>股。资本公积金转增股本的方案已于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日实</w:t>
      </w:r>
      <w:r>
        <w:rPr>
          <w:spacing w:val="-76"/>
        </w:rPr>
        <w:t> </w:t>
      </w:r>
      <w:r>
        <w:rPr/>
        <w:t>施。</w:t>
      </w:r>
    </w:p>
    <w:p>
      <w:pPr>
        <w:pStyle w:val="BodyText"/>
        <w:spacing w:line="300" w:lineRule="auto" w:before="31"/>
        <w:ind w:right="1179" w:firstLine="360"/>
        <w:jc w:val="both"/>
      </w:pPr>
      <w:r>
        <w:rPr/>
        <w:t>经公司</w:t>
      </w:r>
      <w:r>
        <w:rPr>
          <w:rFonts w:ascii="Times New Roman" w:hAnsi="Times New Roman" w:cs="Times New Roman" w:eastAsia="Times New Roman" w:hint="default"/>
        </w:rPr>
        <w:t>2012</w:t>
      </w:r>
      <w:r>
        <w:rPr/>
        <w:t>年度股东大会审议通过，以</w:t>
      </w:r>
      <w:r>
        <w:rPr>
          <w:rFonts w:ascii="Times New Roman" w:hAnsi="Times New Roman" w:cs="Times New Roman" w:eastAsia="Times New Roman" w:hint="default"/>
        </w:rPr>
        <w:t>2012</w:t>
      </w:r>
      <w:r>
        <w:rPr/>
        <w:t>年年末总股本</w:t>
      </w:r>
      <w:r>
        <w:rPr>
          <w:rFonts w:ascii="Times New Roman" w:hAnsi="Times New Roman" w:cs="Times New Roman" w:eastAsia="Times New Roman" w:hint="default"/>
        </w:rPr>
        <w:t>585,531,765.00</w:t>
      </w:r>
      <w:r>
        <w:rPr/>
        <w:t>股为基数，向全体股东以资本公积金按每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3</w:t>
      </w:r>
      <w:r>
        <w:rPr/>
        <w:t>股的比例转增股本，送转完成后，公司总股本增至</w:t>
      </w:r>
      <w:r>
        <w:rPr>
          <w:rFonts w:ascii="Times New Roman" w:hAnsi="Times New Roman" w:cs="Times New Roman" w:eastAsia="Times New Roman" w:hint="default"/>
        </w:rPr>
        <w:t>761,191,294.00</w:t>
      </w:r>
      <w:r>
        <w:rPr/>
        <w:t>股。资本公积金转增股本的方案已于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 实施。</w:t>
      </w:r>
    </w:p>
    <w:p>
      <w:pPr>
        <w:pStyle w:val="BodyText"/>
        <w:spacing w:line="309" w:lineRule="auto" w:before="72"/>
        <w:ind w:right="1129" w:firstLine="288"/>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日止，本公司累计发行股本总数</w:t>
      </w:r>
      <w:r>
        <w:rPr>
          <w:rFonts w:ascii="Times New Roman" w:hAnsi="Times New Roman" w:cs="Times New Roman" w:eastAsia="Times New Roman" w:hint="default"/>
          <w:spacing w:val="-1"/>
        </w:rPr>
        <w:t>76,119.1294</w:t>
      </w:r>
      <w:r>
        <w:rPr>
          <w:spacing w:val="-1"/>
        </w:rPr>
        <w:t>万股，注册资本为</w:t>
      </w:r>
      <w:r>
        <w:rPr>
          <w:rFonts w:ascii="Times New Roman" w:hAnsi="Times New Roman" w:cs="Times New Roman" w:eastAsia="Times New Roman" w:hint="default"/>
          <w:spacing w:val="-1"/>
        </w:rPr>
        <w:t>76,119.1294</w:t>
      </w:r>
      <w:r>
        <w:rPr>
          <w:spacing w:val="-1"/>
        </w:rPr>
        <w:t>万元，注册地：广州市天河</w:t>
      </w:r>
      <w:r>
        <w:rPr/>
        <w:t> </w:t>
      </w:r>
      <w:r>
        <w:rPr>
          <w:spacing w:val="-2"/>
        </w:rPr>
        <w:t>区高唐路</w:t>
      </w:r>
      <w:r>
        <w:rPr>
          <w:rFonts w:ascii="Times New Roman" w:hAnsi="Times New Roman" w:cs="Times New Roman" w:eastAsia="Times New Roman" w:hint="default"/>
          <w:spacing w:val="-2"/>
        </w:rPr>
        <w:t>234</w:t>
      </w:r>
      <w:r>
        <w:rPr>
          <w:spacing w:val="-2"/>
        </w:rPr>
        <w:t>号</w:t>
      </w:r>
      <w:r>
        <w:rPr>
          <w:rFonts w:ascii="Times New Roman" w:hAnsi="Times New Roman" w:cs="Times New Roman" w:eastAsia="Times New Roman" w:hint="default"/>
          <w:spacing w:val="-2"/>
        </w:rPr>
        <w:t>202</w:t>
      </w:r>
      <w:r>
        <w:rPr>
          <w:spacing w:val="-2"/>
        </w:rPr>
        <w:t>房。本公司主要经营活动为：自动售货机、售票机、柜员机及零配件的批发；自动售货机、售票机、柜员</w:t>
      </w:r>
      <w:r>
        <w:rPr>
          <w:spacing w:val="-70"/>
        </w:rPr>
        <w:t> </w:t>
      </w:r>
      <w:r>
        <w:rPr>
          <w:spacing w:val="-70"/>
        </w:rPr>
      </w:r>
      <w:r>
        <w:rPr>
          <w:spacing w:val="-2"/>
        </w:rPr>
        <w:t>机及零配件的零售；信息系统集成服务；集成电路设计；密钥管理类设备和系统制造；安全系统监控服务；安全技术防范产</w:t>
      </w:r>
      <w:r>
        <w:rPr>
          <w:spacing w:val="-67"/>
        </w:rPr>
        <w:t> </w:t>
      </w:r>
      <w:r>
        <w:rPr>
          <w:spacing w:val="-67"/>
        </w:rPr>
      </w:r>
      <w:r>
        <w:rPr>
          <w:spacing w:val="-2"/>
        </w:rPr>
        <w:t>品制造；安全技术防范系统设计、施工、维修；安全技术防范产品批发；安全技术防范产品零售；安全智能卡类设备和系统</w:t>
      </w:r>
      <w:r>
        <w:rPr>
          <w:spacing w:val="-70"/>
        </w:rPr>
        <w:t> </w:t>
      </w:r>
      <w:r>
        <w:rPr>
          <w:spacing w:val="-70"/>
        </w:rPr>
      </w:r>
      <w:r>
        <w:rPr>
          <w:spacing w:val="-2"/>
        </w:rPr>
        <w:t>制造；受金融企业委托提供非金融业务服务；电子、通信与自动控制技术研究、开发；计算器及货币专用设备制造；计算机</w:t>
      </w:r>
      <w:r>
        <w:rPr>
          <w:spacing w:val="-68"/>
        </w:rPr>
        <w:t> </w:t>
      </w:r>
      <w:r>
        <w:rPr>
          <w:spacing w:val="-68"/>
        </w:rPr>
      </w:r>
      <w:r>
        <w:rPr>
          <w:spacing w:val="-2"/>
        </w:rPr>
        <w:t>技术开发、技术服务；计算机应用电子设备制造；计算机信息安全设备制造；信息电子技术服务；软件开发；软件批发；软</w:t>
      </w:r>
      <w:r>
        <w:rPr>
          <w:spacing w:val="-73"/>
        </w:rPr>
        <w:t> </w:t>
      </w:r>
      <w:r>
        <w:rPr>
          <w:spacing w:val="-73"/>
        </w:rPr>
      </w:r>
      <w:r>
        <w:rPr>
          <w:spacing w:val="-2"/>
        </w:rPr>
        <w:t>件零售；软件服务；软件测试服务；电子产品批发；电子产品零售；电子设备工程安装服务；电子产品设计服务；机械设备</w:t>
      </w:r>
      <w:r>
        <w:rPr>
          <w:spacing w:val="-71"/>
        </w:rPr>
        <w:t> </w:t>
      </w:r>
      <w:r>
        <w:rPr>
          <w:spacing w:val="-71"/>
        </w:rPr>
      </w:r>
      <w:r>
        <w:rPr>
          <w:spacing w:val="-1"/>
        </w:rPr>
        <w:t>租赁；工程技术咨询服务；技术进出口；货物进出口</w:t>
      </w:r>
      <w:r>
        <w:rPr>
          <w:rFonts w:ascii="Times New Roman" w:hAnsi="Times New Roman" w:cs="Times New Roman" w:eastAsia="Times New Roman" w:hint="default"/>
          <w:spacing w:val="-1"/>
        </w:rPr>
        <w:t>(</w:t>
      </w:r>
      <w:r>
        <w:rPr>
          <w:spacing w:val="-1"/>
        </w:rPr>
        <w:t>专营专控商品除外</w:t>
      </w:r>
      <w:r>
        <w:rPr>
          <w:rFonts w:ascii="Times New Roman" w:hAnsi="Times New Roman" w:cs="Times New Roman" w:eastAsia="Times New Roman" w:hint="default"/>
          <w:spacing w:val="-1"/>
        </w:rPr>
        <w:t>)</w:t>
      </w:r>
      <w:r>
        <w:rPr>
          <w:spacing w:val="-1"/>
        </w:rPr>
        <w:t>；自有房地产经营活动；房地产开发经营；房地产</w:t>
      </w:r>
      <w:r>
        <w:rPr>
          <w:spacing w:val="-57"/>
        </w:rPr>
        <w:t> </w:t>
      </w:r>
      <w:r>
        <w:rPr>
          <w:spacing w:val="-57"/>
        </w:rPr>
      </w:r>
      <w:r>
        <w:rPr/>
        <w:t>咨询服务；担保服务</w:t>
      </w:r>
      <w:r>
        <w:rPr>
          <w:rFonts w:ascii="Times New Roman" w:hAnsi="Times New Roman" w:cs="Times New Roman" w:eastAsia="Times New Roman" w:hint="default"/>
        </w:rPr>
        <w:t>(</w:t>
      </w:r>
      <w:r>
        <w:rPr/>
        <w:t>融资性担保除外</w:t>
      </w:r>
      <w:r>
        <w:rPr>
          <w:rFonts w:ascii="Times New Roman" w:hAnsi="Times New Roman" w:cs="Times New Roman" w:eastAsia="Times New Roman" w:hint="default"/>
        </w:rPr>
        <w:t>)</w:t>
      </w:r>
      <w:r>
        <w:rPr/>
        <w:t>；物业管理；投资咨询服务；代驾服务；场地租赁</w:t>
      </w:r>
      <w:r>
        <w:rPr>
          <w:rFonts w:ascii="Times New Roman" w:hAnsi="Times New Roman" w:cs="Times New Roman" w:eastAsia="Times New Roman" w:hint="default"/>
        </w:rPr>
        <w:t>(</w:t>
      </w:r>
      <w:r>
        <w:rPr/>
        <w:t>不含仓储</w:t>
      </w:r>
      <w:r>
        <w:rPr>
          <w:rFonts w:ascii="Times New Roman" w:hAnsi="Times New Roman" w:cs="Times New Roman" w:eastAsia="Times New Roman" w:hint="default"/>
        </w:rPr>
        <w:t>)</w:t>
      </w:r>
      <w:r>
        <w:rPr/>
        <w:t>；企业自有资金投资；</w:t>
      </w:r>
      <w:r>
        <w:rPr>
          <w:spacing w:val="-58"/>
        </w:rPr>
        <w:t> </w:t>
      </w:r>
      <w:r>
        <w:rPr>
          <w:spacing w:val="-58"/>
        </w:rPr>
      </w:r>
      <w:r>
        <w:rPr>
          <w:spacing w:val="-1"/>
        </w:rPr>
        <w:t>投资管理服务；资产管理</w:t>
      </w:r>
      <w:r>
        <w:rPr>
          <w:rFonts w:ascii="Times New Roman" w:hAnsi="Times New Roman" w:cs="Times New Roman" w:eastAsia="Times New Roman" w:hint="default"/>
          <w:spacing w:val="-1"/>
        </w:rPr>
        <w:t>(</w:t>
      </w:r>
      <w:r>
        <w:rPr>
          <w:spacing w:val="-1"/>
        </w:rPr>
        <w:t>不含许可审批项目</w:t>
      </w:r>
      <w:r>
        <w:rPr>
          <w:rFonts w:ascii="Times New Roman" w:hAnsi="Times New Roman" w:cs="Times New Roman" w:eastAsia="Times New Roman" w:hint="default"/>
          <w:spacing w:val="-1"/>
        </w:rPr>
        <w:t>)</w:t>
      </w:r>
      <w:r>
        <w:rPr>
          <w:spacing w:val="-1"/>
        </w:rPr>
        <w:t>；汽车租赁；房屋租赁；房地产中介服务；汽车援救服务；融资租赁服务。本</w:t>
      </w:r>
      <w:r>
        <w:rPr>
          <w:spacing w:val="-64"/>
        </w:rPr>
        <w:t> </w:t>
      </w:r>
      <w:r>
        <w:rPr>
          <w:spacing w:val="-64"/>
        </w:rPr>
      </w:r>
      <w:r>
        <w:rPr/>
        <w:t>公司的实际控制人为杨文江。</w:t>
      </w:r>
    </w:p>
    <w:p>
      <w:pPr>
        <w:pStyle w:val="BodyText"/>
        <w:spacing w:line="240" w:lineRule="auto" w:before="65"/>
        <w:ind w:left="441" w:right="1133"/>
        <w:jc w:val="left"/>
      </w:pPr>
      <w:r>
        <w:rPr/>
        <w:t>本财务报表业经公司全体董事（董事会）于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合并财务报表范围</w:t>
      </w:r>
      <w:r>
        <w:rPr>
          <w:b w:val="0"/>
          <w:bCs w:val="0"/>
        </w:rPr>
      </w:r>
    </w:p>
    <w:p>
      <w:pPr>
        <w:pStyle w:val="BodyText"/>
        <w:spacing w:line="240" w:lineRule="auto" w:before="42"/>
        <w:ind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2"/>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9074"/>
      </w:tblGrid>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r>
    </w:tbl>
    <w:p>
      <w:pPr>
        <w:pStyle w:val="BodyText"/>
        <w:spacing w:line="240" w:lineRule="auto" w:before="8"/>
        <w:ind w:right="1133"/>
        <w:jc w:val="left"/>
      </w:pPr>
      <w:r>
        <w:rPr/>
        <w:t>本期合并财务报表范围及其变化情况详见本财务报告</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公司自报告期末起</w:t>
      </w:r>
      <w:r>
        <w:rPr>
          <w:rFonts w:ascii="Times New Roman" w:hAnsi="Times New Roman" w:cs="Times New Roman" w:eastAsia="Times New Roman" w:hint="default"/>
        </w:rPr>
        <w:t>12</w:t>
      </w:r>
      <w:r>
        <w:rPr/>
        <w:t>个月内不存在影响持续经营能力的重大因素。</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8234"/>
        <w:jc w:val="left"/>
      </w:pPr>
      <w:r>
        <w:rPr/>
        <w:t>房地产业 具体会计政策和会计估计提示：</w:t>
      </w:r>
    </w:p>
    <w:p>
      <w:pPr>
        <w:pStyle w:val="BodyText"/>
        <w:spacing w:line="300" w:lineRule="auto" w:before="27"/>
        <w:ind w:right="1148" w:firstLine="360"/>
        <w:jc w:val="both"/>
      </w:pPr>
      <w:r>
        <w:rPr/>
        <w:t>以下披露内容已涵盖了本公司根据实际生产经营特点制定的具体会计政策和会计估计。详见本财务报告</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应收票 据及应收账款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15</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22</w:t>
      </w:r>
      <w:r>
        <w:rPr/>
        <w:t>预计负债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w:t>
      </w:r>
      <w:r>
        <w:rPr/>
        <w:t>。</w:t>
      </w:r>
    </w:p>
    <w:p>
      <w:pPr>
        <w:spacing w:after="0" w:line="30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本公司营业周期为</w:t>
      </w:r>
      <w:r>
        <w:rPr>
          <w:rFonts w:ascii="Times New Roman" w:hAnsi="Times New Roman" w:cs="Times New Roman" w:eastAsia="Times New Roman" w:hint="default"/>
        </w:rPr>
        <w:t>12</w:t>
      </w:r>
      <w:r>
        <w:rPr/>
        <w:t>个月。</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2" w:firstLine="360"/>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9"/>
        <w:ind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1129"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合并范围</w:t>
      </w:r>
      <w:r>
        <w:rPr>
          <w:w w:val="99"/>
        </w:rPr>
        <w:t> </w:t>
      </w:r>
      <w:r>
        <w:rPr>
          <w:spacing w:val="-2"/>
        </w:rPr>
        <w:t>本公司合并财务报表的合并范围以控制为基础确定，所有子公司（包括本公司所控制的被投资方可分割的部分）均纳入</w:t>
      </w:r>
    </w:p>
    <w:p>
      <w:pPr>
        <w:pStyle w:val="BodyText"/>
        <w:spacing w:line="240" w:lineRule="auto" w:before="31"/>
        <w:ind w:right="1133"/>
        <w:jc w:val="left"/>
      </w:pPr>
      <w:r>
        <w:rPr/>
        <w:t>合并财务报表。</w:t>
      </w:r>
    </w:p>
    <w:p>
      <w:pPr>
        <w:pStyle w:val="BodyText"/>
        <w:spacing w:line="300" w:lineRule="auto" w:before="76"/>
        <w:ind w:left="513" w:right="1129"/>
        <w:jc w:val="left"/>
      </w:pPr>
      <w:r>
        <w:rPr>
          <w:rFonts w:ascii="Times New Roman" w:hAnsi="Times New Roman" w:cs="Times New Roman" w:eastAsia="Times New Roman" w:hint="default"/>
        </w:rPr>
        <w:t>(2)</w:t>
      </w:r>
      <w:r>
        <w:rPr/>
        <w:t>合并程序</w:t>
      </w:r>
      <w:r>
        <w:rPr>
          <w:w w:val="99"/>
        </w:rPr>
        <w:t> </w:t>
      </w:r>
      <w:r>
        <w:rPr>
          <w:spacing w:val="-2"/>
        </w:rPr>
        <w:t>本公司以自身和各子公司的财务报表为基础，根据其他有关资料，编制合并财务报表。本公司编制合并财务报表，将整</w:t>
      </w:r>
    </w:p>
    <w:p>
      <w:pPr>
        <w:pStyle w:val="BodyText"/>
        <w:spacing w:line="316" w:lineRule="auto" w:before="31"/>
        <w:ind w:right="1129"/>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9"/>
        <w:ind w:right="1034"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4"/>
        </w:rPr>
        <w:t> </w:t>
      </w:r>
      <w:r>
        <w:rPr>
          <w:spacing w:val="-64"/>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9"/>
        <w:jc w:val="left"/>
      </w:pPr>
      <w:r>
        <w:rPr/>
        <w:t>①增加子公司或业务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7"/>
        <w:ind w:right="1129"/>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513" w:right="1133"/>
        <w:jc w:val="left"/>
      </w:pPr>
      <w:r>
        <w:rPr/>
        <w:t>②处置子公司或业务</w:t>
      </w:r>
    </w:p>
    <w:p>
      <w:pPr>
        <w:pStyle w:val="BodyText"/>
        <w:spacing w:line="300" w:lineRule="auto" w:before="76"/>
        <w:ind w:left="513" w:right="1133"/>
        <w:jc w:val="left"/>
      </w:pPr>
      <w:r>
        <w:rPr>
          <w:rFonts w:ascii="Times New Roman" w:hAnsi="Times New Roman" w:cs="Times New Roman" w:eastAsia="Times New Roman" w:hint="default"/>
        </w:rPr>
        <w:t>a.</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513" w:right="1129"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9" w:lineRule="auto" w:before="19"/>
        <w:ind w:left="513" w:right="1129"/>
        <w:jc w:val="left"/>
      </w:pPr>
      <w:r>
        <w:rPr/>
        <w:t>因其他投资方对子公司增资而导致本公司持股比例下降从而丧失控制权的，按照上述原则进行会计处理。 </w:t>
      </w: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24"/>
        <w:ind w:left="513" w:right="355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9"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7"/>
        <w:ind w:left="513" w:right="1129"/>
        <w:jc w:val="left"/>
      </w:pPr>
      <w:r>
        <w:rPr/>
        <w:t>③购买子公司少数股权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1129"/>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16" w:lineRule="auto" w:before="19"/>
        <w:ind w:left="513" w:right="1213"/>
        <w:jc w:val="left"/>
      </w:pPr>
      <w:r>
        <w:rPr/>
        <w:t>④不丧失控制权的情况下部分处置对子公司的股权投资 在不丧失控制权的情况下因部分处置对子公司的长期股权投资而取得的处置价款与处置长期股权投资相对应享有子公</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司自购买日或合并日开始持续计算的净资产份额之间的差额，调整合并资产负债表中的资本公积中的股本溢价，资本公积中</w:t>
      </w:r>
      <w:r>
        <w:rPr>
          <w:spacing w:val="-63"/>
        </w:rPr>
        <w:t> </w:t>
      </w:r>
      <w:r>
        <w:rPr>
          <w:spacing w:val="-63"/>
        </w:rPr>
      </w:r>
      <w:r>
        <w:rPr/>
        <w:t>的股本溢价不足冲减的，调整留存收益。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391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9" w:lineRule="auto" w:before="31"/>
        <w:ind w:right="1129"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7"/>
        <w:ind w:left="513" w:right="1133"/>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1129"/>
        <w:jc w:val="left"/>
      </w:pPr>
      <w:r>
        <w:rPr>
          <w:spacing w:val="-2"/>
        </w:rPr>
        <w:t>目采用发生时的即期汇率折算。利润表中的收入和费用项目，采用交易发生日的即期汇率（或：采用按照系统合理的方法确</w:t>
      </w:r>
      <w:r>
        <w:rPr>
          <w:spacing w:val="-64"/>
        </w:rPr>
        <w:t> </w:t>
      </w:r>
      <w:r>
        <w:rPr>
          <w:spacing w:val="-64"/>
        </w:rPr>
      </w:r>
      <w:r>
        <w:rPr/>
        <w:t>定的、与交易发生日即期汇率近似的汇率。提示：若采用此种方法，应明示何种方法何种口径）折算。</w:t>
      </w:r>
    </w:p>
    <w:p>
      <w:pPr>
        <w:pStyle w:val="BodyText"/>
        <w:spacing w:line="240" w:lineRule="auto" w:before="19"/>
        <w:ind w:left="513" w:right="1133"/>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金融工具包括金融资产、金融负债和权益工具。</w:t>
      </w:r>
    </w:p>
    <w:p>
      <w:pPr>
        <w:pStyle w:val="BodyText"/>
        <w:spacing w:line="340" w:lineRule="auto" w:before="76"/>
        <w:ind w:left="441" w:right="1133" w:firstLine="72"/>
        <w:jc w:val="left"/>
      </w:pPr>
      <w:r>
        <w:rPr/>
        <w:t>（</w:t>
      </w:r>
      <w:r>
        <w:rPr>
          <w:rFonts w:ascii="Times New Roman" w:hAnsi="Times New Roman" w:cs="Times New Roman" w:eastAsia="Times New Roman" w:hint="default"/>
        </w:rPr>
        <w:t>1</w:t>
      </w:r>
      <w:r>
        <w:rPr/>
        <w:t>）金融工具的分类 </w:t>
      </w:r>
      <w:r>
        <w:rPr>
          <w:spacing w:val="-1"/>
        </w:rPr>
        <w:t>金融资产和金融负债于初始确认时分类为：以公允价值计量且其变动计入当期损益的金融资产或金融负债，包括交易性</w:t>
      </w:r>
    </w:p>
    <w:p>
      <w:pPr>
        <w:pStyle w:val="BodyText"/>
        <w:spacing w:line="316" w:lineRule="auto"/>
        <w:ind w:right="1129"/>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59"/>
        <w:ind w:left="513" w:right="1133"/>
        <w:jc w:val="left"/>
      </w:pPr>
      <w:r>
        <w:rPr/>
        <w:t>（</w:t>
      </w:r>
      <w:r>
        <w:rPr>
          <w:rFonts w:ascii="Times New Roman" w:hAnsi="Times New Roman" w:cs="Times New Roman" w:eastAsia="Times New Roman" w:hint="default"/>
        </w:rPr>
        <w:t>2</w:t>
      </w:r>
      <w:r>
        <w:rPr/>
        <w:t>）金融工具的确认依据和计量方法</w:t>
      </w:r>
    </w:p>
    <w:p>
      <w:pPr>
        <w:pStyle w:val="BodyText"/>
        <w:spacing w:line="360" w:lineRule="auto" w:before="63"/>
        <w:ind w:left="441" w:right="1133" w:firstLine="72"/>
        <w:jc w:val="left"/>
      </w:pPr>
      <w:r>
        <w:rPr/>
        <w:t>①以公允价值计量且其变动计入当期损益的金融资产（金融负债） </w:t>
      </w:r>
      <w:r>
        <w:rPr>
          <w:spacing w:val="-1"/>
        </w:rPr>
        <w:t>取得时以公允价值（扣除已宣告但尚未发放的现金股利或已到付息期但尚未领取的债券利息）作为初始确认金额，相关</w:t>
      </w:r>
    </w:p>
    <w:p>
      <w:pPr>
        <w:pStyle w:val="BodyText"/>
        <w:spacing w:line="222" w:lineRule="exact"/>
        <w:ind w:right="1133"/>
        <w:jc w:val="left"/>
      </w:pPr>
      <w:r>
        <w:rPr/>
        <w:t>的交易费用计入当期损益。</w:t>
      </w:r>
    </w:p>
    <w:p>
      <w:pPr>
        <w:pStyle w:val="BodyText"/>
        <w:spacing w:line="360" w:lineRule="auto" w:before="115"/>
        <w:ind w:right="3194"/>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60" w:lineRule="auto" w:before="27"/>
        <w:ind w:right="1133" w:firstLine="360"/>
        <w:jc w:val="left"/>
      </w:pPr>
      <w:r>
        <w:rPr/>
        <w:t>②持有至到期投资 取得时按公允价值（扣除已到付息期但尚未领取的债券利息）和相关交易费用之和作为初始确认金额。</w:t>
      </w:r>
    </w:p>
    <w:p>
      <w:pPr>
        <w:pStyle w:val="BodyText"/>
        <w:spacing w:line="319" w:lineRule="auto" w:before="25"/>
        <w:ind w:right="1129"/>
        <w:jc w:val="left"/>
      </w:pPr>
      <w:r>
        <w:rPr>
          <w:spacing w:val="-2"/>
        </w:rPr>
        <w:t>持有期间按照摊余成本和实际利率计算确认利息收入，计入投资收益。实际利率在取得时确定，在该预期存续期间或适用的</w:t>
      </w:r>
      <w:r>
        <w:rPr>
          <w:spacing w:val="-63"/>
        </w:rPr>
        <w:t> </w:t>
      </w:r>
      <w:r>
        <w:rPr>
          <w:spacing w:val="-63"/>
        </w:rPr>
      </w:r>
      <w:r>
        <w:rPr/>
        <w:t>更短期间内保持不变。</w:t>
      </w:r>
    </w:p>
    <w:p>
      <w:pPr>
        <w:pStyle w:val="BodyText"/>
        <w:spacing w:line="240" w:lineRule="auto" w:before="58"/>
        <w:ind w:right="1133"/>
        <w:jc w:val="left"/>
      </w:pPr>
      <w:r>
        <w:rPr/>
        <w:t>处置时，将所取得价款与该投资账面价值之间的差额计入投资收益。</w:t>
      </w:r>
    </w:p>
    <w:p>
      <w:pPr>
        <w:pStyle w:val="BodyText"/>
        <w:spacing w:line="338" w:lineRule="auto" w:before="115"/>
        <w:ind w:right="1034" w:firstLine="360"/>
        <w:jc w:val="left"/>
      </w:pPr>
      <w:r>
        <w:rPr/>
        <w:t>③应收款项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p>
    <w:p>
      <w:pPr>
        <w:pStyle w:val="BodyText"/>
        <w:spacing w:line="360" w:lineRule="auto" w:before="2"/>
        <w:ind w:right="4454"/>
        <w:jc w:val="left"/>
      </w:pPr>
      <w:r>
        <w:rPr/>
        <w:t>确认。 收回或处置时，将取得的价款与该应收款项账面价值之间的差额计入当期损益。</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38" w:lineRule="auto" w:before="44"/>
        <w:ind w:right="1129" w:firstLine="360"/>
        <w:jc w:val="left"/>
      </w:pPr>
      <w:r>
        <w:rPr/>
        <w:t>④可供出售金融资产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w:t>
      </w:r>
    </w:p>
    <w:p>
      <w:pPr>
        <w:pStyle w:val="BodyText"/>
        <w:spacing w:line="316" w:lineRule="auto" w:before="41"/>
        <w:ind w:right="1131"/>
        <w:jc w:val="both"/>
      </w:pPr>
      <w:r>
        <w:rPr>
          <w:spacing w:val="-2"/>
        </w:rPr>
        <w:t>持有期间将取得的利息或现金股利确认为投资收益。期末以公允价值计量且将公允价值变动计入其他综合收益。但是，在活</w:t>
      </w:r>
      <w:r>
        <w:rPr>
          <w:spacing w:val="-64"/>
        </w:rPr>
        <w:t> </w:t>
      </w:r>
      <w:r>
        <w:rPr>
          <w:spacing w:val="-64"/>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p>
    <w:p>
      <w:pPr>
        <w:pStyle w:val="BodyText"/>
        <w:spacing w:line="316" w:lineRule="auto" w:before="59"/>
        <w:ind w:right="1129"/>
        <w:jc w:val="left"/>
      </w:pPr>
      <w:r>
        <w:rPr>
          <w:spacing w:val="-2"/>
        </w:rPr>
        <w:t>处置时，将取得的价款与该金融资产账面价值之间的差额，计入投资损益；同时，将原直接计入其他综合收益的公允价值变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动累计额对应处置部分的金额转出，计入当期损益。</w:t>
      </w:r>
    </w:p>
    <w:p>
      <w:pPr>
        <w:pStyle w:val="BodyText"/>
        <w:spacing w:line="316" w:lineRule="auto" w:before="59"/>
        <w:ind w:left="513" w:right="3733"/>
        <w:jc w:val="left"/>
      </w:pPr>
      <w:r>
        <w:rPr/>
        <w:t>⑤其他金融负债 按其公允价值和相关交易费用之和作为初始确认金额。采用摊余成本进行后续计量。</w:t>
      </w:r>
    </w:p>
    <w:p>
      <w:pPr>
        <w:pStyle w:val="BodyText"/>
        <w:spacing w:line="300" w:lineRule="auto" w:before="19"/>
        <w:ind w:left="513" w:right="1129"/>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9" w:lineRule="auto" w:before="31"/>
        <w:ind w:left="513" w:right="1129"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7"/>
        <w:ind w:right="1133"/>
        <w:jc w:val="left"/>
      </w:pPr>
      <w:r>
        <w:rPr/>
        <w:t>融资产整体转移和部分转移。金融资产整体转移满足终止确认条件的，将下列两项金额的差额计入当期损益：</w:t>
      </w:r>
    </w:p>
    <w:p>
      <w:pPr>
        <w:pStyle w:val="BodyText"/>
        <w:spacing w:line="240" w:lineRule="auto" w:before="76"/>
        <w:ind w:left="513" w:right="1133"/>
        <w:jc w:val="left"/>
      </w:pPr>
      <w:r>
        <w:rPr/>
        <w:t>①所转移金融资产的账面价值；</w:t>
      </w:r>
    </w:p>
    <w:p>
      <w:pPr>
        <w:pStyle w:val="BodyText"/>
        <w:spacing w:line="316" w:lineRule="auto" w:before="76"/>
        <w:ind w:right="1129" w:firstLine="360"/>
        <w:jc w:val="left"/>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103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1133"/>
        <w:jc w:val="left"/>
      </w:pPr>
      <w:r>
        <w:rPr/>
        <w:t>①终止确认部分的账面价值；</w:t>
      </w:r>
    </w:p>
    <w:p>
      <w:pPr>
        <w:pStyle w:val="BodyText"/>
        <w:spacing w:line="316" w:lineRule="auto" w:before="76"/>
        <w:ind w:right="1129" w:firstLine="360"/>
        <w:jc w:val="left"/>
      </w:pPr>
      <w:r>
        <w:rPr>
          <w:spacing w:val="-2"/>
        </w:rPr>
        <w:t>②终止确认部分的对价，与原直接计入所有者权益的公允价值变动累计额中对应终止确认部分的金额（涉及转移的金融</w:t>
      </w:r>
      <w:r>
        <w:rPr/>
        <w:t> 资产为可供出售金融资产的情形）之和。</w:t>
      </w:r>
    </w:p>
    <w:p>
      <w:pPr>
        <w:pStyle w:val="BodyText"/>
        <w:spacing w:line="240" w:lineRule="auto" w:before="19"/>
        <w:ind w:left="513" w:right="1133"/>
        <w:jc w:val="left"/>
      </w:pPr>
      <w:r>
        <w:rPr/>
        <w:t>金融资产转移不满足终止确认条件的，继续确认该金融资产，所收到的对价确认为一项金融负债。</w:t>
      </w:r>
    </w:p>
    <w:p>
      <w:pPr>
        <w:pStyle w:val="BodyText"/>
        <w:spacing w:line="324" w:lineRule="auto" w:before="77"/>
        <w:ind w:right="0" w:firstLine="360"/>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金融负债的现时义务全部或部分已经解除的，则终止确认该金融负债或其一部分；本公司若与债权人签定协议，以承担新金</w:t>
      </w:r>
      <w:r>
        <w:rPr>
          <w:spacing w:val="-62"/>
        </w:rPr>
        <w:t> </w:t>
      </w:r>
      <w:r>
        <w:rPr>
          <w:spacing w:val="-62"/>
        </w:rPr>
      </w:r>
      <w:r>
        <w:rPr>
          <w:spacing w:val="-2"/>
        </w:rPr>
        <w:t>融负债方式替换现存金融负债，且新金融负债与现存金融负债的合同条款实质上不同的，则终止确认现存金融负债，并同时</w:t>
      </w:r>
      <w:r>
        <w:rPr>
          <w:spacing w:val="-63"/>
        </w:rPr>
        <w:t> </w:t>
      </w:r>
      <w:r>
        <w:rPr>
          <w:spacing w:val="-63"/>
        </w:rPr>
      </w:r>
      <w:r>
        <w:rPr/>
        <w:t>确认新金融负债。</w:t>
      </w:r>
    </w:p>
    <w:p>
      <w:pPr>
        <w:pStyle w:val="BodyText"/>
        <w:spacing w:line="338" w:lineRule="auto" w:before="54"/>
        <w:ind w:right="1034"/>
        <w:jc w:val="left"/>
      </w:pP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w:t>
      </w:r>
    </w:p>
    <w:p>
      <w:pPr>
        <w:pStyle w:val="BodyText"/>
        <w:spacing w:line="338" w:lineRule="auto" w:before="2"/>
        <w:ind w:right="1129"/>
        <w:jc w:val="left"/>
      </w:pPr>
      <w:r>
        <w:rPr/>
        <w:t>之间的差额，计入当期损益。 </w:t>
      </w:r>
      <w:r>
        <w:rPr>
          <w:spacing w:val="-2"/>
        </w:rPr>
        <w:t>本公司若回购部分金融负债的，在回购日按照继续确认部分与终止确认部分的相对公允价值，将该金融负债整体的账面价值</w:t>
      </w:r>
      <w:r>
        <w:rPr>
          <w:spacing w:val="-63"/>
        </w:rPr>
        <w:t> </w:t>
      </w:r>
      <w:r>
        <w:rPr>
          <w:spacing w:val="-63"/>
        </w:rPr>
      </w:r>
      <w:r>
        <w:rPr>
          <w:spacing w:val="-2"/>
        </w:rPr>
        <w:t>进行分配。分配给终止确认部分的账面价值与支付的对价（包括转出的非现金资产或承担的新金融负债）之间的差额，计入</w:t>
      </w:r>
    </w:p>
    <w:p>
      <w:pPr>
        <w:pStyle w:val="BodyText"/>
        <w:spacing w:line="240" w:lineRule="auto" w:before="2"/>
        <w:ind w:right="1133"/>
        <w:jc w:val="left"/>
      </w:pPr>
      <w:r>
        <w:rPr/>
        <w:t>当期损益。</w:t>
      </w:r>
    </w:p>
    <w:p>
      <w:pPr>
        <w:pStyle w:val="BodyText"/>
        <w:spacing w:line="324" w:lineRule="auto" w:before="117"/>
        <w:ind w:right="1129" w:firstLine="360"/>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3"/>
        </w:rPr>
        <w:t> </w:t>
      </w:r>
      <w:r>
        <w:rPr>
          <w:spacing w:val="-63"/>
        </w:rPr>
      </w:r>
      <w:r>
        <w:rPr/>
        <w:t>法取得或取得不切实可行的情况下，才使用不可观察输入值。</w:t>
      </w:r>
    </w:p>
    <w:p>
      <w:pPr>
        <w:pStyle w:val="BodyText"/>
        <w:spacing w:line="340" w:lineRule="auto" w:before="52"/>
        <w:ind w:left="513" w:right="1129"/>
        <w:jc w:val="left"/>
      </w:pPr>
      <w:r>
        <w:rPr/>
        <w:t>（</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1"/>
        <w:ind w:right="1133"/>
        <w:jc w:val="left"/>
      </w:pPr>
      <w:r>
        <w:rPr/>
        <w:t>有客观证据表明某项金融资产发生减值的，计提减值准备。</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1129"/>
        <w:jc w:val="left"/>
      </w:pPr>
      <w:r>
        <w:rPr/>
        <w:t>①可供出售金融资产的减值准备： </w:t>
      </w:r>
      <w:r>
        <w:rPr>
          <w:spacing w:val="-2"/>
        </w:rPr>
        <w:t>期末如果可供出售金融资产的公允价值发生严重下降，或在综合考虑各种相关因素后，预期这种下降趋势属于非暂时性</w:t>
      </w:r>
    </w:p>
    <w:p>
      <w:pPr>
        <w:pStyle w:val="BodyText"/>
        <w:spacing w:line="222" w:lineRule="exact"/>
        <w:ind w:right="1133"/>
        <w:jc w:val="left"/>
      </w:pPr>
      <w:r>
        <w:rPr/>
        <w:t>的，就认定其已发生减值，将原直接计入所有者权益的公允价值下降形成的累计损失一并转出，确认减值损失。</w:t>
      </w:r>
    </w:p>
    <w:p>
      <w:pPr>
        <w:pStyle w:val="BodyText"/>
        <w:spacing w:line="316" w:lineRule="auto" w:before="115"/>
        <w:ind w:right="1129"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BodyText"/>
        <w:spacing w:line="240" w:lineRule="auto" w:before="59"/>
        <w:ind w:left="513" w:right="1133"/>
        <w:jc w:val="left"/>
      </w:pPr>
      <w:r>
        <w:rPr/>
        <w:t>可供出售权益工具投资发生的减值损失，不通过损益转回。</w:t>
      </w:r>
    </w:p>
    <w:p>
      <w:pPr>
        <w:pStyle w:val="BodyText"/>
        <w:spacing w:line="316" w:lineRule="auto" w:before="117"/>
        <w:ind w:left="513" w:right="4813"/>
        <w:jc w:val="left"/>
      </w:pPr>
      <w:r>
        <w:rPr/>
        <w:t>②持有至到期投资的减值准备： 持有至到期投资减值损失的计量比照应收款项减值损失计量方法处理。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、应收票据及应收账款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80"/>
        <w:gridCol w:w="5761"/>
      </w:tblGrid>
      <w:tr>
        <w:trPr>
          <w:trHeight w:val="713" w:hRule="exact"/>
        </w:trPr>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8"/>
              <w:jc w:val="left"/>
              <w:rPr>
                <w:rFonts w:ascii="宋体" w:hAnsi="宋体" w:cs="宋体" w:eastAsia="宋体" w:hint="default"/>
                <w:sz w:val="18"/>
                <w:szCs w:val="18"/>
              </w:rPr>
            </w:pPr>
            <w:r>
              <w:rPr>
                <w:rFonts w:ascii="宋体" w:hAnsi="宋体" w:cs="宋体" w:eastAsia="宋体" w:hint="default"/>
                <w:sz w:val="18"/>
                <w:szCs w:val="18"/>
              </w:rPr>
              <w:t>单项应收款占应收款项余额的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以上或应收款项前五名为单项金额重 大的应收款项。</w:t>
            </w:r>
          </w:p>
        </w:tc>
      </w:tr>
      <w:tr>
        <w:trPr>
          <w:trHeight w:val="1027" w:hRule="exact"/>
        </w:trPr>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单独进行减值测试，如有客观证据表明其已发生减值，按预计未来现金流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量现值低于其账面价值的差额计提坏账准备，计入当期损益。单独测试未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发生减值的应收款项，将其归入相应组合计提坏账准备。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8"/>
        <w:ind w:right="1133"/>
        <w:jc w:val="left"/>
      </w:pPr>
      <w:r>
        <w:rPr/>
        <w:t>组合中，采用账龄分析法计提坏账准备的：</w:t>
      </w:r>
    </w:p>
    <w:p>
      <w:pPr>
        <w:pStyle w:val="BodyText"/>
        <w:spacing w:line="240" w:lineRule="auto" w:before="76"/>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w:t>
            </w:r>
          </w:p>
        </w:tc>
      </w:tr>
    </w:tbl>
    <w:p>
      <w:pPr>
        <w:pStyle w:val="BodyText"/>
        <w:spacing w:line="240" w:lineRule="auto" w:before="49"/>
        <w:ind w:right="1133"/>
        <w:jc w:val="left"/>
      </w:pPr>
      <w:r>
        <w:rPr/>
        <w:t>组合中，采用余额百分比法计提坏账准备的：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组合中，采用其他方法计提坏账准备的：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40"/>
        <w:gridCol w:w="6330"/>
      </w:tblGrid>
      <w:tr>
        <w:trPr>
          <w:trHeight w:val="71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pacing w:val="-1"/>
                <w:sz w:val="18"/>
                <w:szCs w:val="18"/>
              </w:rPr>
              <w:t>对单项金额虽不重大，但已有客观证据表明其发生了减值的应收款项，按账龄分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析法计提的坏账准备不能反映实际情况</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本公司单独进行减值测试，结合现时情况分析法确定坏账准备计提的比例</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0"/>
        <w:jc w:val="both"/>
      </w:pPr>
      <w:r>
        <w:rPr/>
        <w:t>房地产业</w:t>
      </w:r>
    </w:p>
    <w:p>
      <w:pPr>
        <w:pStyle w:val="BodyText"/>
        <w:spacing w:line="309" w:lineRule="auto" w:before="115"/>
        <w:ind w:left="513" w:right="3733"/>
        <w:jc w:val="left"/>
      </w:pPr>
      <w:r>
        <w:rPr>
          <w:rFonts w:ascii="Times New Roman" w:hAnsi="Times New Roman" w:cs="Times New Roman" w:eastAsia="Times New Roman" w:hint="default"/>
        </w:rPr>
        <w:t>(1)</w:t>
      </w:r>
      <w:r>
        <w:rPr/>
        <w:t>存货的分类</w:t>
      </w:r>
      <w:r>
        <w:rPr>
          <w:w w:val="99"/>
        </w:rPr>
        <w:t> </w:t>
      </w:r>
      <w:r>
        <w:rPr/>
        <w:t>存货分类为：原材料、周转材料、库存商品、在产品、发出商品、委托加工物资等。</w:t>
      </w:r>
      <w:r>
        <w:rPr>
          <w:w w:val="99"/>
        </w:rPr>
        <w:t> </w:t>
      </w:r>
      <w:r>
        <w:rPr>
          <w:rFonts w:ascii="Times New Roman" w:hAnsi="Times New Roman" w:cs="Times New Roman" w:eastAsia="Times New Roman" w:hint="default"/>
        </w:rPr>
        <w:t>(2)</w:t>
      </w:r>
      <w:r>
        <w:rPr/>
        <w:t>发出存货的计价方法</w:t>
      </w:r>
    </w:p>
    <w:p>
      <w:pPr>
        <w:pStyle w:val="BodyText"/>
        <w:spacing w:line="240" w:lineRule="auto" w:before="5"/>
        <w:ind w:left="513" w:right="1133"/>
        <w:jc w:val="left"/>
      </w:pPr>
      <w:r>
        <w:rPr/>
        <w:t>存货发出时按加权平均法计价。</w:t>
      </w:r>
    </w:p>
    <w:p>
      <w:pPr>
        <w:pStyle w:val="BodyText"/>
        <w:spacing w:line="340" w:lineRule="auto" w:before="76"/>
        <w:ind w:left="441" w:right="1133" w:firstLine="72"/>
        <w:jc w:val="left"/>
      </w:pPr>
      <w:r>
        <w:rPr>
          <w:rFonts w:ascii="Times New Roman" w:hAnsi="Times New Roman" w:cs="Times New Roman" w:eastAsia="Times New Roman" w:hint="default"/>
        </w:rPr>
        <w:t>(3)</w:t>
      </w:r>
      <w:r>
        <w:rPr/>
        <w:t>不同类别存货可变现净值的确定依据</w:t>
      </w:r>
      <w:r>
        <w:rPr>
          <w:w w:val="99"/>
        </w:rPr>
        <w:t> </w:t>
      </w:r>
      <w:r>
        <w:rPr>
          <w:spacing w:val="-1"/>
        </w:rPr>
        <w:t>产成品、库存商品和用于出售的材料等直接用于出售的商品存货，在正常生产经营过程中，以该存货的估计售价减去估</w:t>
      </w:r>
    </w:p>
    <w:p>
      <w:pPr>
        <w:pStyle w:val="BodyText"/>
        <w:spacing w:line="316" w:lineRule="auto" w:before="1"/>
        <w:ind w:right="1130"/>
        <w:jc w:val="both"/>
      </w:pPr>
      <w:r>
        <w:rPr>
          <w:spacing w:val="-2"/>
        </w:rPr>
        <w:t>计的销售费用和相关税费后的金额，确定其可变现净值；需要经过加工的材料存货，在正常生产经营过程中，以所生产的产</w:t>
      </w:r>
      <w:r>
        <w:rPr>
          <w:spacing w:val="-63"/>
        </w:rPr>
        <w:t> </w:t>
      </w:r>
      <w:r>
        <w:rPr>
          <w:spacing w:val="-63"/>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59"/>
        <w:ind w:right="1129" w:firstLine="288"/>
        <w:jc w:val="both"/>
      </w:pPr>
      <w:r>
        <w:rPr>
          <w:spacing w:val="-1"/>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2"/>
        </w:rPr>
        <w:t> </w:t>
      </w:r>
      <w:r>
        <w:rPr>
          <w:spacing w:val="-62"/>
        </w:rPr>
      </w:r>
      <w:r>
        <w:rPr/>
        <w:t>货跌价准备。</w:t>
      </w:r>
    </w:p>
    <w:p>
      <w:pPr>
        <w:pStyle w:val="BodyText"/>
        <w:spacing w:line="360" w:lineRule="auto" w:before="57"/>
        <w:ind w:left="513" w:right="1934" w:hanging="361"/>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236" w:lineRule="exact"/>
        <w:ind w:left="513" w:right="1133"/>
        <w:jc w:val="left"/>
      </w:pPr>
      <w:r>
        <w:rPr>
          <w:rFonts w:ascii="Times New Roman" w:hAnsi="Times New Roman" w:cs="Times New Roman" w:eastAsia="Times New Roman" w:hint="default"/>
        </w:rPr>
        <w:t>(4)</w:t>
      </w:r>
      <w:r>
        <w:rPr/>
        <w:t>存货的盘存制度</w:t>
      </w:r>
    </w:p>
    <w:p>
      <w:pPr>
        <w:pStyle w:val="BodyText"/>
        <w:spacing w:line="240" w:lineRule="auto" w:before="63"/>
        <w:ind w:left="513" w:right="1133"/>
        <w:jc w:val="left"/>
      </w:pPr>
      <w:r>
        <w:rPr/>
        <w:t>采用永续盘存制。</w:t>
      </w:r>
    </w:p>
    <w:p>
      <w:pPr>
        <w:pStyle w:val="BodyText"/>
        <w:spacing w:line="240" w:lineRule="auto" w:before="76"/>
        <w:ind w:left="513" w:right="1133"/>
        <w:jc w:val="left"/>
      </w:pPr>
      <w:r>
        <w:rPr>
          <w:rFonts w:ascii="Times New Roman" w:hAnsi="Times New Roman" w:cs="Times New Roman" w:eastAsia="Times New Roman" w:hint="default"/>
        </w:rPr>
        <w:t>(5)</w:t>
      </w:r>
      <w:r>
        <w:rPr/>
        <w:t>低值易耗品和包装物的摊销方法</w:t>
      </w:r>
    </w:p>
    <w:p>
      <w:pPr>
        <w:pStyle w:val="BodyText"/>
        <w:spacing w:line="240" w:lineRule="auto" w:before="63"/>
        <w:ind w:left="513" w:right="1133"/>
        <w:jc w:val="left"/>
      </w:pPr>
      <w:r>
        <w:rPr/>
        <w:t>①低值易耗品采用一次转销法；</w:t>
      </w:r>
    </w:p>
    <w:p>
      <w:pPr>
        <w:pStyle w:val="BodyText"/>
        <w:spacing w:line="240" w:lineRule="auto" w:before="76"/>
        <w:ind w:left="513" w:right="1133"/>
        <w:jc w:val="left"/>
      </w:pPr>
      <w:r>
        <w:rPr/>
        <w:t>②包装物采用一次转销法。</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本公司将同时满足下列条件的非流动资产或处置组划分为持有待售类别：</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29"/>
        <w:jc w:val="left"/>
      </w:pPr>
      <w:r>
        <w:rPr/>
        <w:t>（</w:t>
      </w: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58"/>
        <w:ind w:right="113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57"/>
        <w:ind w:left="513" w:right="1133"/>
        <w:jc w:val="left"/>
      </w:pPr>
      <w:r>
        <w:rPr/>
        <w:t>（</w:t>
      </w:r>
      <w:r>
        <w:rPr>
          <w:rFonts w:ascii="Times New Roman" w:hAnsi="Times New Roman" w:cs="Times New Roman" w:eastAsia="Times New Roman" w:hint="default"/>
        </w:rPr>
        <w:t>2</w:t>
      </w:r>
      <w:r>
        <w:rPr/>
        <w:t>）初始投资成本的确定</w:t>
      </w:r>
    </w:p>
    <w:p>
      <w:pPr>
        <w:pStyle w:val="BodyText"/>
        <w:spacing w:line="360" w:lineRule="auto" w:before="63"/>
        <w:ind w:left="513" w:right="1129"/>
        <w:jc w:val="left"/>
      </w:pPr>
      <w:r>
        <w:rPr/>
        <w:t>①企业合并形成的长期股权投资 </w:t>
      </w:r>
      <w:r>
        <w:rPr>
          <w:spacing w:val="-2"/>
        </w:rPr>
        <w:t>同一控制下的企业合并：公司以支付现金、转让非现金资产或承担债务方式以及以发行权益性证券作为合并对价的，在</w:t>
      </w:r>
    </w:p>
    <w:p>
      <w:pPr>
        <w:pStyle w:val="BodyText"/>
        <w:spacing w:line="222" w:lineRule="exact"/>
        <w:ind w:right="0"/>
        <w:jc w:val="left"/>
      </w:pPr>
      <w:r>
        <w:rPr/>
        <w:t>合并日按照取得被合并方所有者权益在最终控制方合并财务报表中的账面价值的份额作为长期股权投资的初始投资成本</w:t>
      </w:r>
      <w:r>
        <w:rPr>
          <w:spacing w:val="-82"/>
        </w:rPr>
        <w:t>。</w:t>
      </w:r>
      <w:r>
        <w:rPr/>
        <w:t>因</w:t>
      </w:r>
    </w:p>
    <w:p>
      <w:pPr>
        <w:pStyle w:val="BodyText"/>
        <w:spacing w:line="316" w:lineRule="auto" w:before="76"/>
        <w:ind w:right="0"/>
        <w:jc w:val="left"/>
      </w:pPr>
      <w:r>
        <w:rPr>
          <w:spacing w:val="-2"/>
        </w:rPr>
        <w:t>追加投资等原因能够对同一控制下的被投资单位实施控制的，在合并日根据合并后应享有被合并方净资产在最终控制方合并</w:t>
      </w:r>
      <w:r>
        <w:rPr>
          <w:spacing w:val="-63"/>
        </w:rPr>
        <w:t> </w:t>
      </w:r>
      <w:r>
        <w:rPr>
          <w:spacing w:val="-63"/>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9" w:lineRule="auto" w:before="59"/>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55"/>
        <w:ind w:left="513" w:right="3733"/>
        <w:jc w:val="left"/>
      </w:pPr>
      <w:r>
        <w:rPr/>
        <w:t>②其他方式取得的长期股权投资 以支付现金方式取得的长期股权投资，按照实际支付的购买价款作为初始投资成本。</w:t>
      </w:r>
    </w:p>
    <w:p>
      <w:pPr>
        <w:pStyle w:val="BodyText"/>
        <w:spacing w:line="360" w:lineRule="auto" w:before="59"/>
        <w:ind w:left="441" w:right="1133" w:hanging="289"/>
        <w:jc w:val="left"/>
      </w:pPr>
      <w:r>
        <w:rPr/>
        <w:t>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在非货币性资产交换具备商业实质和换入资产或换出资产的公允价值能够可靠计量的前提下，非货币性资产交换换入的</w:t>
      </w:r>
    </w:p>
    <w:p>
      <w:pPr>
        <w:pStyle w:val="BodyText"/>
        <w:spacing w:line="222" w:lineRule="exact"/>
        <w:ind w:right="0"/>
        <w:jc w:val="left"/>
      </w:pPr>
      <w:r>
        <w:rPr/>
        <w:t>长期股权投资以换出资产的公允价值和应支付的相关税费确定其初始投资成本</w:t>
      </w:r>
      <w:r>
        <w:rPr>
          <w:spacing w:val="-82"/>
        </w:rPr>
        <w:t>，</w:t>
      </w:r>
      <w:r>
        <w:rPr/>
        <w:t>除非有确凿证据表明换入资产的公允价值更</w:t>
      </w:r>
    </w:p>
    <w:p>
      <w:pPr>
        <w:pStyle w:val="BodyText"/>
        <w:spacing w:line="316" w:lineRule="auto" w:before="76"/>
        <w:ind w:right="1129"/>
        <w:jc w:val="left"/>
      </w:pP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57"/>
        <w:ind w:left="513" w:right="1133"/>
        <w:jc w:val="left"/>
      </w:pPr>
      <w:r>
        <w:rPr/>
        <w:t>通过债务重组取得的长期股权投资，其初始投资成本按照公允价值为基础确定。</w:t>
      </w:r>
    </w:p>
    <w:p>
      <w:pPr>
        <w:pStyle w:val="BodyText"/>
        <w:spacing w:line="240" w:lineRule="auto" w:before="117"/>
        <w:ind w:left="513" w:right="1133"/>
        <w:jc w:val="left"/>
      </w:pPr>
      <w:r>
        <w:rPr/>
        <w:t>（</w:t>
      </w:r>
      <w:r>
        <w:rPr>
          <w:rFonts w:ascii="Times New Roman" w:hAnsi="Times New Roman" w:cs="Times New Roman" w:eastAsia="Times New Roman" w:hint="default"/>
        </w:rPr>
        <w:t>3</w:t>
      </w:r>
      <w:r>
        <w:rPr/>
        <w:t>）后续计量及损益确认方法</w:t>
      </w:r>
    </w:p>
    <w:p>
      <w:pPr>
        <w:pStyle w:val="BodyText"/>
        <w:spacing w:line="316" w:lineRule="auto" w:before="63"/>
        <w:ind w:left="513" w:right="1129"/>
        <w:jc w:val="left"/>
      </w:pPr>
      <w:r>
        <w:rPr/>
        <w:t>①成本法核算的长期股权投资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right="1133"/>
        <w:jc w:val="left"/>
      </w:pPr>
      <w:r>
        <w:rPr/>
        <w:t>金股利或利润外，公司按照享有被投资单位宣告发放的现金股利或利润确认当期投资收益。</w:t>
      </w:r>
    </w:p>
    <w:p>
      <w:pPr>
        <w:pStyle w:val="BodyText"/>
        <w:spacing w:line="360" w:lineRule="auto" w:before="76"/>
        <w:ind w:left="513" w:right="1129"/>
        <w:jc w:val="left"/>
      </w:pPr>
      <w:r>
        <w:rPr/>
        <w:t>②权益法核算的长期股权投资 </w:t>
      </w:r>
      <w:r>
        <w:rPr>
          <w:spacing w:val="-2"/>
        </w:rPr>
        <w:t>对联营企业和合营企业的长期股权投资，采用权益法核算。初始投资成本大于投资时应享有被投资单位可辨认净资产公</w:t>
      </w:r>
    </w:p>
    <w:p>
      <w:pPr>
        <w:pStyle w:val="BodyText"/>
        <w:spacing w:line="222" w:lineRule="exact"/>
        <w:ind w:right="0"/>
        <w:jc w:val="left"/>
      </w:pPr>
      <w:r>
        <w:rPr/>
        <w:t>允价值份额的差额，不调整长期股权投资的初始投资成本；初始投资成本小于投资时应享有被投资单位可辨认净资产公允价</w:t>
      </w:r>
    </w:p>
    <w:p>
      <w:pPr>
        <w:pStyle w:val="BodyText"/>
        <w:spacing w:line="357" w:lineRule="auto" w:before="76"/>
        <w:ind w:left="513" w:right="1129" w:hanging="361"/>
        <w:jc w:val="left"/>
      </w:pPr>
      <w:r>
        <w:rPr/>
        <w:t>值份额的差额，计入当期损益。 </w:t>
      </w:r>
      <w:r>
        <w:rPr>
          <w:spacing w:val="-2"/>
        </w:rPr>
        <w:t>公司按照应享有或应分担的被投资单位实现的净损益和其他综合收益的份额，分别确认投资收益和其他综合收益，同时</w:t>
      </w:r>
    </w:p>
    <w:p>
      <w:pPr>
        <w:pStyle w:val="BodyText"/>
        <w:spacing w:line="224" w:lineRule="exact"/>
        <w:ind w:right="0"/>
        <w:jc w:val="left"/>
      </w:pPr>
      <w:r>
        <w:rPr/>
        <w:t>调整长期股权投资的账面价值；按照被投资单位宣告分派的利润或现金股利计算应享有的部分，相应减少长期股权投资的账</w:t>
      </w:r>
    </w:p>
    <w:p>
      <w:pPr>
        <w:pStyle w:val="BodyText"/>
        <w:spacing w:line="316" w:lineRule="auto" w:before="76"/>
        <w:ind w:right="1129"/>
        <w:jc w:val="left"/>
      </w:pP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60"/>
        <w:ind w:right="1130"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59"/>
        <w:ind w:right="113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spacing w:val="-2"/>
        </w:rPr>
        <w:t>企业之间发生投出或出售资产的交易，该资产构成业务的，按照本财务报告</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同一控制下和非同一控制下企业合并的会</w:t>
      </w:r>
      <w:r>
        <w:rPr>
          <w:spacing w:val="-51"/>
        </w:rPr>
        <w:t> </w:t>
      </w:r>
      <w:r>
        <w:rPr/>
        <w:t>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240" w:lineRule="auto" w:before="41"/>
        <w:ind w:left="441" w:right="0"/>
        <w:jc w:val="left"/>
      </w:pPr>
      <w:r>
        <w:rPr/>
        <w:t>在公司确认应分担被投资单位发生的亏损时，按照以下顺序进行处理：首先，冲减长期股权投资的账面价值。其次，长</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58"/>
        <w:ind w:left="513" w:right="4633"/>
        <w:jc w:val="left"/>
      </w:pPr>
      <w:r>
        <w:rPr/>
        <w:t>③长期股权投资的处置 处置长期股权投资，其账面价值与实际取得价款的差额，计入当期损益。</w:t>
      </w:r>
    </w:p>
    <w:p>
      <w:pPr>
        <w:pStyle w:val="BodyText"/>
        <w:spacing w:line="316" w:lineRule="auto" w:before="59"/>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9" w:lineRule="auto" w:before="59"/>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3"/>
        </w:rPr>
        <w:t> </w:t>
      </w:r>
      <w:r>
        <w:rPr>
          <w:spacing w:val="-63"/>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58"/>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57"/>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9"/>
        <w:ind w:right="1132"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360"/>
        <w:jc w:val="both"/>
      </w:pPr>
      <w:r>
        <w:rPr>
          <w:spacing w:val="-2"/>
        </w:rPr>
        <w:t>固定资产指为生产商品、提供劳务、出租或经营管理而持有，并且使用寿命超过一个会计年度的有形资产。固定资产在</w:t>
      </w:r>
      <w:r>
        <w:rPr/>
        <w:t> 同时满足下列条件时予以确认：①与该固定资产有关的经济利益很可能流入企业；②该固定资产的成本能够可靠地计量。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7"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2.375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7"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7"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8"/>
              <w:jc w:val="righ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柜员机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7"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11.875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7"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8"/>
        <w:ind w:right="1129"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13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8" w:firstLine="360"/>
        <w:jc w:val="both"/>
      </w:pPr>
      <w:r>
        <w:rPr>
          <w:spacing w:val="-2"/>
        </w:rPr>
        <w:t>公司与租赁方所签订的租赁协议条款中规定了下列条件之一的，确认为融资租入资产：①租赁期满后租赁资产的所有权</w:t>
      </w:r>
      <w:r>
        <w:rPr/>
        <w:t> </w:t>
      </w:r>
      <w:r>
        <w:rPr>
          <w:spacing w:val="-2"/>
        </w:rPr>
        <w:t>归属于本公司；②公司具有购买资产的选择权，购买价款远低于行使选择权时该资产的公允价值；③租赁期占所租赁资产使</w:t>
      </w:r>
      <w:r>
        <w:rPr>
          <w:spacing w:val="-61"/>
        </w:rPr>
        <w:t> </w:t>
      </w:r>
      <w:r>
        <w:rPr>
          <w:spacing w:val="-61"/>
        </w:rPr>
      </w:r>
      <w:r>
        <w:rPr>
          <w:spacing w:val="-2"/>
        </w:rPr>
        <w:t>用寿命的大部分；④租赁开始日的最低租赁付款额现值，与该资产的公允价值不存在较大的差异。公司在承租开始日，将租</w:t>
      </w:r>
      <w:r>
        <w:rPr>
          <w:spacing w:val="-64"/>
        </w:rPr>
        <w:t> </w:t>
      </w:r>
      <w:r>
        <w:rPr>
          <w:spacing w:val="-64"/>
        </w:rPr>
      </w:r>
      <w:r>
        <w:rPr>
          <w:spacing w:val="-2"/>
        </w:rPr>
        <w:t>赁资产公允价值与最低租赁付款额现值两者中较低者作为租入资产的入账价值，将最低租赁付款额作为长期应付款的入账价</w:t>
      </w:r>
      <w:r>
        <w:rPr>
          <w:spacing w:val="-64"/>
        </w:rPr>
        <w:t> </w:t>
      </w:r>
      <w:r>
        <w:rPr>
          <w:spacing w:val="-64"/>
        </w:rPr>
      </w:r>
      <w:r>
        <w:rPr/>
        <w:t>值，其差额作为未确认的融资费。</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33"/>
        <w:jc w:val="left"/>
      </w:pPr>
      <w:r>
        <w:rPr/>
        <w:t>房地产业</w:t>
      </w:r>
    </w:p>
    <w:p>
      <w:pPr>
        <w:pStyle w:val="BodyText"/>
        <w:spacing w:line="316" w:lineRule="auto" w:before="117"/>
        <w:ind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2653"/>
        <w:jc w:val="left"/>
      </w:pPr>
      <w:r>
        <w:rPr/>
        <w:t>（</w:t>
      </w: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w:t>
      </w:r>
    </w:p>
    <w:p>
      <w:pPr>
        <w:pStyle w:val="BodyText"/>
        <w:spacing w:line="316" w:lineRule="auto" w:before="72"/>
        <w:ind w:right="1129"/>
        <w:jc w:val="left"/>
      </w:pP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费用，在发生时根据其发生额确认为费用，计入当期损益。</w:t>
      </w:r>
    </w:p>
    <w:p>
      <w:pPr>
        <w:pStyle w:val="BodyText"/>
        <w:spacing w:line="316" w:lineRule="auto" w:before="60"/>
        <w:ind w:right="1129"/>
        <w:jc w:val="left"/>
      </w:pP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57"/>
        <w:ind w:right="1133"/>
        <w:jc w:val="left"/>
      </w:pPr>
      <w:r>
        <w:rPr/>
        <w:t>借款费用同时满足下列条件时开始资本化：</w:t>
      </w:r>
    </w:p>
    <w:p>
      <w:pPr>
        <w:pStyle w:val="BodyText"/>
        <w:spacing w:line="316" w:lineRule="auto" w:before="117"/>
        <w:ind w:right="1132" w:firstLine="360"/>
        <w:jc w:val="both"/>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1133"/>
        <w:jc w:val="left"/>
      </w:pPr>
      <w:r>
        <w:rPr/>
        <w:t>②借款费用已经发生；</w:t>
      </w:r>
    </w:p>
    <w:p>
      <w:pPr>
        <w:pStyle w:val="BodyText"/>
        <w:spacing w:line="240" w:lineRule="auto" w:before="76"/>
        <w:ind w:left="513" w:right="1133"/>
        <w:jc w:val="left"/>
      </w:pPr>
      <w:r>
        <w:rPr/>
        <w:t>③为使资产达到预定可使用或者可销售状态所必要的购建或者生产活动已经开始。</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55" w:lineRule="auto" w:before="44"/>
        <w:ind w:left="513" w:right="1129"/>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26" w:lineRule="exact"/>
        <w:ind w:right="1133"/>
        <w:jc w:val="left"/>
      </w:pPr>
      <w:r>
        <w:rPr/>
        <w:t>款费用资本化。</w:t>
      </w:r>
    </w:p>
    <w:p>
      <w:pPr>
        <w:pStyle w:val="BodyText"/>
        <w:spacing w:line="340" w:lineRule="auto" w:before="115"/>
        <w:ind w:left="513" w:right="0"/>
        <w:jc w:val="left"/>
      </w:pPr>
      <w:r>
        <w:rPr/>
        <w:t>（</w:t>
      </w: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215" w:lineRule="exact"/>
        <w:ind w:right="0"/>
        <w:jc w:val="left"/>
      </w:pPr>
      <w:r>
        <w:rPr/>
        <w:t>该项中断如是所购建或生产的符合资本化条件的资产达到预定可使用状态或者可销售状态必要的程序</w:t>
      </w:r>
      <w:r>
        <w:rPr>
          <w:spacing w:val="-82"/>
        </w:rPr>
        <w:t>，</w:t>
      </w:r>
      <w:r>
        <w:rPr/>
        <w:t>则借款费用继续资本</w:t>
      </w:r>
    </w:p>
    <w:p>
      <w:pPr>
        <w:pStyle w:val="BodyText"/>
        <w:spacing w:line="240" w:lineRule="auto" w:before="76"/>
        <w:ind w:right="1133"/>
        <w:jc w:val="left"/>
      </w:pPr>
      <w:r>
        <w:rPr/>
        <w:t>化。在中断期间发生的借款费用确认为当期损益，直至资产的购建或者生产活动重新开始后借款费用继续资本化。</w:t>
      </w:r>
    </w:p>
    <w:p>
      <w:pPr>
        <w:pStyle w:val="BodyText"/>
        <w:spacing w:line="340" w:lineRule="auto" w:before="117"/>
        <w:ind w:left="513" w:right="1129"/>
        <w:jc w:val="left"/>
      </w:pPr>
      <w:r>
        <w:rPr/>
        <w:t>（</w:t>
      </w: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60" w:lineRule="auto"/>
        <w:ind w:left="513" w:right="1129"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222" w:lineRule="exact"/>
        <w:ind w:right="0"/>
        <w:jc w:val="left"/>
      </w:pPr>
      <w:r>
        <w:rPr/>
        <w:t>均数乘以所占用一般借款的资本化率，计算确定一般借款应予资本化的借款费用金额。资本化率根据一般借款加权平均利率</w:t>
      </w:r>
    </w:p>
    <w:p>
      <w:pPr>
        <w:pStyle w:val="BodyText"/>
        <w:spacing w:line="240" w:lineRule="auto" w:before="76"/>
        <w:ind w:right="1133"/>
        <w:jc w:val="left"/>
      </w:pPr>
      <w:r>
        <w:rPr/>
        <w:t>计算确定。</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①无形资产的计价方法</w:t>
      </w:r>
    </w:p>
    <w:p>
      <w:pPr>
        <w:pStyle w:val="BodyText"/>
        <w:spacing w:line="340" w:lineRule="auto" w:before="76"/>
        <w:ind w:left="513" w:right="1129"/>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57" w:lineRule="auto" w:before="1"/>
        <w:ind w:left="513" w:right="1129"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224" w:lineRule="exact"/>
        <w:ind w:right="1133"/>
        <w:jc w:val="left"/>
      </w:pPr>
      <w:r>
        <w:rPr/>
        <w:t>与该用以抵债的无形资产公允价值之间的差额，计入当期损益。</w:t>
      </w:r>
    </w:p>
    <w:p>
      <w:pPr>
        <w:pStyle w:val="BodyText"/>
        <w:spacing w:line="316" w:lineRule="auto" w:before="117"/>
        <w:ind w:right="1132"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59"/>
        <w:ind w:left="513" w:right="7153"/>
        <w:jc w:val="left"/>
      </w:pPr>
      <w:r>
        <w:rPr>
          <w:rFonts w:ascii="Times New Roman" w:hAnsi="Times New Roman" w:cs="Times New Roman" w:eastAsia="Times New Roman" w:hint="default"/>
        </w:rPr>
        <w:t>b.</w:t>
      </w:r>
      <w:r>
        <w:rPr/>
        <w:t>后续计量 在取得无形资产时分析判断其使用寿命。</w:t>
      </w:r>
    </w:p>
    <w:p>
      <w:pPr>
        <w:pStyle w:val="BodyText"/>
        <w:spacing w:line="316" w:lineRule="auto" w:before="31"/>
        <w:ind w:right="113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1133"/>
        <w:jc w:val="left"/>
      </w:pPr>
      <w:r>
        <w:rPr/>
        <w:t>②使用寿命有限的无形资产的使用寿命估计情况：</w:t>
      </w:r>
    </w:p>
    <w:p>
      <w:pPr>
        <w:spacing w:line="240" w:lineRule="auto" w:before="2"/>
        <w:rPr>
          <w:rFonts w:ascii="宋体" w:hAnsi="宋体" w:cs="宋体" w:eastAsia="宋体" w:hint="default"/>
          <w:sz w:val="6"/>
          <w:szCs w:val="6"/>
        </w:rPr>
      </w:pPr>
    </w:p>
    <w:tbl>
      <w:tblPr>
        <w:tblW w:w="0" w:type="auto"/>
        <w:jc w:val="left"/>
        <w:tblInd w:w="753" w:type="dxa"/>
        <w:tblLayout w:type="fixed"/>
        <w:tblCellMar>
          <w:top w:w="0" w:type="dxa"/>
          <w:left w:w="0" w:type="dxa"/>
          <w:bottom w:w="0" w:type="dxa"/>
          <w:right w:w="0" w:type="dxa"/>
        </w:tblCellMar>
        <w:tblLook w:val="01E0"/>
      </w:tblPr>
      <w:tblGrid>
        <w:gridCol w:w="2396"/>
        <w:gridCol w:w="2398"/>
        <w:gridCol w:w="3020"/>
      </w:tblGrid>
      <w:tr>
        <w:trPr>
          <w:trHeight w:val="334" w:hRule="exact"/>
        </w:trPr>
        <w:tc>
          <w:tcPr>
            <w:tcW w:w="2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36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36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注册商标及专利</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行业情况及企业历史经验</w:t>
            </w:r>
          </w:p>
        </w:tc>
      </w:tr>
    </w:tbl>
    <w:p>
      <w:pPr>
        <w:pStyle w:val="BodyText"/>
        <w:spacing w:line="316" w:lineRule="auto" w:before="8"/>
        <w:ind w:left="513" w:right="4453"/>
        <w:jc w:val="left"/>
      </w:pPr>
      <w:r>
        <w:rPr/>
        <w:t>每年度终了，对使用寿命有限的无形资产的使用寿命及摊销方法进行复核。 经复核，本年期末无形资产的使用寿命及摊销方法与以前估计未有不同。</w:t>
      </w:r>
    </w:p>
    <w:p>
      <w:pPr>
        <w:pStyle w:val="BodyText"/>
        <w:spacing w:line="240" w:lineRule="auto" w:before="18"/>
        <w:ind w:left="513" w:right="1133"/>
        <w:jc w:val="left"/>
      </w:pPr>
      <w:r>
        <w:rPr/>
        <w:t>③使用寿命不确定的无形资产的判断依据以及对其使用寿命进行复核的程序</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4633"/>
        <w:jc w:val="left"/>
      </w:pPr>
      <w:r>
        <w:rPr/>
        <w:t>每期末，对使用寿命有限的无形资产的使用寿命及摊销方法进行复核。 经复核，本年期末无形资产的使用寿命及摊销方法与以前估计未有不同。</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653"/>
        <w:jc w:val="left"/>
      </w:pPr>
      <w:r>
        <w:rPr/>
        <w:t>①划分研究阶段和开发阶段的具体标准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1129"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12" w:lineRule="auto" w:before="19"/>
        <w:ind w:left="513" w:right="4453"/>
        <w:jc w:val="left"/>
      </w:pPr>
      <w:r>
        <w:rPr/>
        <w:t>②开发阶段支出资本化的具体条件 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
        <w:ind w:right="1133" w:firstLine="360"/>
        <w:jc w:val="left"/>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无形资产产生经济利益的方式，包括能够证明运用该无形资产生产的产品存在市场或无形资产自身存在市场，无形资</w:t>
      </w:r>
      <w:r>
        <w:rPr/>
        <w:t> 产将在内部使用的，能够证明其有用性；</w:t>
      </w:r>
    </w:p>
    <w:p>
      <w:pPr>
        <w:pStyle w:val="BodyText"/>
        <w:spacing w:line="300" w:lineRule="auto" w:before="31"/>
        <w:ind w:left="513" w:right="1753"/>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2"/>
        </w:rPr>
        <w:t> </w:t>
      </w:r>
      <w:r>
        <w:rPr>
          <w:spacing w:val="-62"/>
        </w:rPr>
      </w:r>
      <w:r>
        <w:rPr/>
        <w:t>定资产组的可收回金额。资产组是能够独立产生现金流入的最小资产组合。</w:t>
      </w:r>
    </w:p>
    <w:p>
      <w:pPr>
        <w:pStyle w:val="BodyText"/>
        <w:spacing w:line="316" w:lineRule="auto" w:before="17"/>
        <w:ind w:left="513" w:right="103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103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r>
        <w:rPr/>
        <w:t> 上述资产减值损失一经确认，在以后会计期间不予转回。</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长期待摊费用为已经发生但应由本期和以后各期负担的分摊期限在一年以上的各项费用。</w:t>
      </w:r>
    </w:p>
    <w:p>
      <w:pPr>
        <w:pStyle w:val="BodyText"/>
        <w:spacing w:line="309" w:lineRule="auto" w:before="76"/>
        <w:ind w:left="513" w:right="7693"/>
        <w:jc w:val="left"/>
      </w:pPr>
      <w:r>
        <w:rPr>
          <w:rFonts w:ascii="Times New Roman" w:hAnsi="Times New Roman" w:cs="Times New Roman" w:eastAsia="Times New Roman" w:hint="default"/>
        </w:rPr>
        <w:t>(1)</w:t>
      </w:r>
      <w:r>
        <w:rPr/>
        <w:t>摊销方法</w:t>
      </w:r>
      <w:r>
        <w:rPr>
          <w:w w:val="99"/>
        </w:rPr>
        <w:t> </w:t>
      </w:r>
      <w:r>
        <w:rPr/>
        <w:t>长期待摊费用在受益期内平均摊销</w:t>
      </w:r>
      <w:r>
        <w:rPr>
          <w:w w:val="99"/>
        </w:rPr>
        <w:t> </w:t>
      </w:r>
      <w:r>
        <w:rPr>
          <w:rFonts w:ascii="Times New Roman" w:hAnsi="Times New Roman" w:cs="Times New Roman" w:eastAsia="Times New Roman" w:hint="default"/>
        </w:rPr>
        <w:t>(2)</w:t>
      </w:r>
      <w:r>
        <w:rPr/>
        <w:t>摊销年限</w:t>
      </w:r>
    </w:p>
    <w:p>
      <w:pPr>
        <w:pStyle w:val="BodyText"/>
        <w:spacing w:line="240" w:lineRule="auto" w:before="5"/>
        <w:ind w:left="513" w:right="1133"/>
        <w:jc w:val="left"/>
      </w:pPr>
      <w:r>
        <w:rPr/>
        <w:t>长期待摊费用的摊销方法为在预计的使用年限内采用直线法进行摊销。</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9"/>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463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129"/>
        <w:jc w:val="left"/>
      </w:pPr>
      <w:r>
        <w:rPr/>
        <w:t>①设定提存计划 </w:t>
      </w:r>
      <w:r>
        <w:rPr>
          <w:spacing w:val="-2"/>
        </w:rPr>
        <w:t>本公司按当地政府的相关规定为职工缴纳基本养老保险和失业保险，在职工为本公司提供服务的会计期间，按以当地规</w:t>
      </w:r>
    </w:p>
    <w:p>
      <w:pPr>
        <w:pStyle w:val="BodyText"/>
        <w:spacing w:line="220" w:lineRule="exact"/>
        <w:ind w:right="1133"/>
        <w:jc w:val="left"/>
      </w:pPr>
      <w:r>
        <w:rPr/>
        <w:t>定的缴纳基数和比例计算应缴纳金额，确认为负债，并计入当期损益或相关资产成本。</w:t>
      </w:r>
    </w:p>
    <w:p>
      <w:pPr>
        <w:pStyle w:val="BodyText"/>
        <w:spacing w:line="300" w:lineRule="auto" w:before="117"/>
        <w:ind w:right="1044" w:firstLine="360"/>
        <w:jc w:val="both"/>
      </w:pPr>
      <w:r>
        <w:rPr/>
        <w:t>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 </w:t>
      </w:r>
      <w:r>
        <w:rPr>
          <w:spacing w:val="-1"/>
        </w:rPr>
        <w:t>计划。本公司按职工工资总额的一定比例向当地社会保险机构缴费</w:t>
      </w:r>
      <w:r>
        <w:rPr>
          <w:rFonts w:ascii="Times New Roman" w:hAnsi="Times New Roman" w:cs="Times New Roman" w:eastAsia="Times New Roman" w:hint="default"/>
          <w:spacing w:val="-1"/>
        </w:rPr>
        <w:t>/</w:t>
      </w:r>
      <w:r>
        <w:rPr>
          <w:spacing w:val="-1"/>
        </w:rPr>
        <w:t>年金计划缴费，相应支出计入当期损益或相关资产成本。</w:t>
      </w:r>
    </w:p>
    <w:p>
      <w:pPr>
        <w:pStyle w:val="BodyText"/>
        <w:spacing w:line="360" w:lineRule="auto" w:before="53"/>
        <w:ind w:left="513" w:right="1129"/>
        <w:jc w:val="left"/>
      </w:pPr>
      <w:r>
        <w:rPr/>
        <w:t>②设定受益计划 </w:t>
      </w:r>
      <w:r>
        <w:rPr>
          <w:spacing w:val="-2"/>
        </w:rPr>
        <w:t>本公司根据预期累计福利单位法确定的公式将设定受益计划产生的福利义务归属于职工提供服务的期间，并计入当期损</w:t>
      </w:r>
    </w:p>
    <w:p>
      <w:pPr>
        <w:pStyle w:val="BodyText"/>
        <w:spacing w:line="220" w:lineRule="exact"/>
        <w:ind w:right="1133"/>
        <w:jc w:val="left"/>
      </w:pPr>
      <w:r>
        <w:rPr/>
        <w:t>益或相关资产成本。</w:t>
      </w:r>
    </w:p>
    <w:p>
      <w:pPr>
        <w:pStyle w:val="BodyText"/>
        <w:spacing w:line="316" w:lineRule="auto" w:before="117"/>
        <w:ind w:right="1051" w:firstLine="360"/>
        <w:jc w:val="both"/>
      </w:pPr>
      <w:r>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BodyText"/>
        <w:spacing w:line="316" w:lineRule="auto" w:before="59"/>
        <w:ind w:right="1131" w:firstLine="360"/>
        <w:jc w:val="both"/>
      </w:pPr>
      <w:r>
        <w:rPr>
          <w:spacing w:val="-2"/>
        </w:rPr>
        <w:t>所有设定受益计划义务，包括预期在职工提供服务的年度报告期间结束后的十二个月内支付的义务，根据资产负债表日</w:t>
      </w:r>
      <w:r>
        <w:rPr/>
        <w:t> 与设定受益计划义务期限和币种相匹配的国债或活跃市场上的高质量公司债券的市场收益率予以折现。</w:t>
      </w:r>
    </w:p>
    <w:p>
      <w:pPr>
        <w:pStyle w:val="BodyText"/>
        <w:spacing w:line="319" w:lineRule="auto" w:before="57"/>
        <w:ind w:right="1132" w:firstLine="360"/>
        <w:jc w:val="both"/>
      </w:pPr>
      <w:r>
        <w:rPr>
          <w:spacing w:val="-2"/>
        </w:rPr>
        <w:t>设定受益计划产生的服务成本和设定受益计划净负债或净资产的利息净额计入当期损益或相关资产成本；重新计量设定</w:t>
      </w:r>
      <w:r>
        <w:rPr/>
        <w:t> </w:t>
      </w: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360" w:lineRule="auto" w:before="58"/>
        <w:ind w:left="513" w:right="1393"/>
        <w:jc w:val="left"/>
      </w:pPr>
      <w:r>
        <w:rPr/>
        <w:t>在设定受益计划结算时，按在结算日确定的设定受益计划义务现值和结算价格两者的差额，确认结算利得或损失。 详见本财务报告</w:t>
      </w:r>
      <w:r>
        <w:rPr>
          <w:rFonts w:ascii="Times New Roman" w:hAnsi="Times New Roman" w:cs="Times New Roman" w:eastAsia="Times New Roman" w:hint="default"/>
        </w:rPr>
        <w:t>“</w:t>
      </w:r>
      <w:r>
        <w:rPr/>
        <w:t>七、</w:t>
      </w:r>
      <w:r>
        <w:rPr>
          <w:rFonts w:ascii="Times New Roman" w:hAnsi="Times New Roman" w:cs="Times New Roman" w:eastAsia="Times New Roman" w:hint="default"/>
        </w:rPr>
        <w:t>23</w:t>
      </w:r>
      <w:r>
        <w:rPr/>
        <w:t>应付职工薪酬</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1573"/>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1"/>
        <w:ind w:left="513" w:right="1133"/>
        <w:jc w:val="left"/>
      </w:pPr>
      <w:r>
        <w:rPr/>
        <w:t>①该义务是本公司承担的现时义务；</w:t>
      </w:r>
    </w:p>
    <w:p>
      <w:pPr>
        <w:pStyle w:val="BodyText"/>
        <w:spacing w:line="240" w:lineRule="auto" w:before="76"/>
        <w:ind w:left="513" w:right="1133"/>
        <w:jc w:val="left"/>
      </w:pPr>
      <w:r>
        <w:rPr/>
        <w:t>②履行该义务很可能导致经济利益流出本公司；</w:t>
      </w:r>
    </w:p>
    <w:p>
      <w:pPr>
        <w:pStyle w:val="BodyText"/>
        <w:spacing w:line="240" w:lineRule="auto" w:before="76"/>
        <w:ind w:left="513" w:right="1133"/>
        <w:jc w:val="left"/>
      </w:pPr>
      <w:r>
        <w:rPr/>
        <w:t>③该义务的金额能够可靠地计量。</w:t>
      </w:r>
    </w:p>
    <w:p>
      <w:pPr>
        <w:pStyle w:val="BodyText"/>
        <w:spacing w:line="300" w:lineRule="auto" w:before="76"/>
        <w:ind w:left="513" w:right="1129"/>
        <w:jc w:val="left"/>
      </w:pPr>
      <w:r>
        <w:rPr/>
        <w:t>（</w:t>
      </w:r>
      <w:r>
        <w:rPr>
          <w:rFonts w:ascii="Times New Roman" w:hAnsi="Times New Roman" w:cs="Times New Roman" w:eastAsia="Times New Roman" w:hint="default"/>
        </w:rPr>
        <w:t>2</w:t>
      </w:r>
      <w:r>
        <w:rPr/>
        <w:t>）各类预计负债的计量方法 </w:t>
      </w:r>
      <w:r>
        <w:rPr>
          <w:spacing w:val="-2"/>
        </w:rPr>
        <w:t>为了与收入、成本确认期间相配比，按一定的标准将销售机器的保修期间、融资租赁机器的租赁期间所发生的维护费用</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在收入确认期间确认为预计负债，具体计算方法如下：</w:t>
      </w:r>
    </w:p>
    <w:p>
      <w:pPr>
        <w:pStyle w:val="BodyText"/>
        <w:spacing w:line="240" w:lineRule="auto" w:before="77"/>
        <w:ind w:left="513" w:right="1133"/>
        <w:jc w:val="left"/>
      </w:pPr>
      <w:r>
        <w:rPr/>
        <w:t>①按历史数据确定预计维护费用每月单台标准；</w:t>
      </w:r>
    </w:p>
    <w:p>
      <w:pPr>
        <w:pStyle w:val="BodyText"/>
        <w:spacing w:line="316" w:lineRule="auto" w:before="76"/>
        <w:ind w:right="1051" w:firstLine="360"/>
        <w:jc w:val="both"/>
      </w:pPr>
      <w:r>
        <w:rPr/>
        <w:t>②按合同确定销售机器保修总月份数、融资租赁机维护总月份数。考虑到新机上线前期实际不发生或少量发生维护费， 在按合同确定维护总月份数时，每台机统一扣减</w:t>
      </w:r>
      <w:r>
        <w:rPr>
          <w:rFonts w:ascii="Times New Roman" w:hAnsi="Times New Roman" w:cs="Times New Roman" w:eastAsia="Times New Roman" w:hint="default"/>
        </w:rPr>
        <w:t>6</w:t>
      </w:r>
      <w:r>
        <w:rPr/>
        <w:t>个月；</w:t>
      </w:r>
    </w:p>
    <w:p>
      <w:pPr>
        <w:pStyle w:val="BodyText"/>
        <w:spacing w:line="235" w:lineRule="exact"/>
        <w:ind w:left="513" w:right="1133"/>
        <w:jc w:val="left"/>
      </w:pPr>
      <w:r>
        <w:rPr/>
        <w:t>③按销售机器数量、保修总月份数、每月单台维护标准确认保修期间销售机器的维护费用，同时确认预计负债；</w:t>
      </w:r>
    </w:p>
    <w:p>
      <w:pPr>
        <w:pStyle w:val="BodyText"/>
        <w:spacing w:line="316" w:lineRule="auto" w:before="76"/>
        <w:ind w:left="513" w:right="1033"/>
        <w:jc w:val="left"/>
      </w:pPr>
      <w:r>
        <w:rPr/>
        <w:t>④按融资租赁机器数量、租赁总月份数、每月单台维护标准确认租赁期间融资租赁机的维护费用，同时确认预计负债。 详见本财务报告</w:t>
      </w:r>
      <w:r>
        <w:rPr>
          <w:rFonts w:ascii="Times New Roman" w:hAnsi="Times New Roman" w:cs="Times New Roman" w:eastAsia="Times New Roman" w:hint="default"/>
        </w:rPr>
        <w:t>“</w:t>
      </w:r>
      <w:r>
        <w:rPr/>
        <w:t>七、</w:t>
      </w:r>
      <w:r>
        <w:rPr>
          <w:rFonts w:ascii="Times New Roman" w:hAnsi="Times New Roman" w:cs="Times New Roman" w:eastAsia="Times New Roman" w:hint="default"/>
        </w:rPr>
        <w:t>29</w:t>
      </w:r>
      <w:r>
        <w:rPr/>
        <w:t>预计负债</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0" w:firstLine="360"/>
        <w:jc w:val="both"/>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340" w:lineRule="auto" w:before="31"/>
        <w:ind w:left="513" w:right="1129"/>
        <w:jc w:val="left"/>
      </w:pPr>
      <w:r>
        <w:rPr>
          <w:rFonts w:ascii="Times New Roman" w:hAnsi="Times New Roman" w:cs="Times New Roman" w:eastAsia="Times New Roman" w:hint="default"/>
        </w:rPr>
        <w:t>(1)</w:t>
      </w:r>
      <w:r>
        <w:rPr/>
        <w:t>以权益结算的股份支付及权益工具</w:t>
      </w:r>
      <w:r>
        <w:rPr>
          <w:w w:val="99"/>
        </w:rPr>
        <w:t> </w:t>
      </w:r>
      <w:r>
        <w:rPr>
          <w:spacing w:val="-2"/>
        </w:rPr>
        <w:t>以权益结算的股份支付换取职工提供服务的，以授予职工权益工具的公允价值计量。授予后立即可行权的，在授予日按</w:t>
      </w:r>
    </w:p>
    <w:p>
      <w:pPr>
        <w:pStyle w:val="BodyText"/>
        <w:spacing w:line="316" w:lineRule="auto"/>
        <w:ind w:right="1131"/>
        <w:jc w:val="both"/>
      </w:pPr>
      <w:r>
        <w:rPr>
          <w:spacing w:val="-2"/>
        </w:rPr>
        <w:t>照公允价值计入相关成本或费用，相应增加资本公积；完成等待期内的服务或达到规定业绩条件才可行权的，在等待期内每</w:t>
      </w:r>
      <w:r>
        <w:rPr>
          <w:spacing w:val="-64"/>
        </w:rPr>
        <w:t> </w:t>
      </w:r>
      <w:r>
        <w:rPr>
          <w:spacing w:val="-64"/>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出最佳估计，以此为基础，按照授予日的公允价值，将当期取得的服务计入相关成本或费用，相应增加资本公积。在授权日</w:t>
      </w:r>
      <w:r>
        <w:rPr>
          <w:spacing w:val="-67"/>
        </w:rPr>
        <w:t> </w:t>
      </w:r>
      <w:r>
        <w:rPr>
          <w:spacing w:val="-67"/>
        </w:rPr>
      </w:r>
      <w:r>
        <w:rPr/>
        <w:t>采用</w:t>
      </w:r>
      <w:r>
        <w:rPr>
          <w:rFonts w:ascii="Times New Roman" w:hAnsi="Times New Roman" w:cs="Times New Roman" w:eastAsia="Times New Roman" w:hint="default"/>
        </w:rPr>
        <w:t>Black-Scholes</w:t>
      </w:r>
      <w:r>
        <w:rPr/>
        <w:t>模型确定股票期权的公允价值权。</w:t>
      </w:r>
    </w:p>
    <w:p>
      <w:pPr>
        <w:pStyle w:val="BodyText"/>
        <w:spacing w:line="316" w:lineRule="auto" w:before="40"/>
        <w:ind w:right="1130" w:firstLine="360"/>
        <w:jc w:val="both"/>
      </w:pPr>
      <w:r>
        <w:rPr>
          <w:spacing w:val="-2"/>
        </w:rPr>
        <w:t>在满足业绩条件和服务期限条件的期间，应确认以权益结算的股份支付的成本或费用，并相应增加资本公积。可行权日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pStyle w:val="BodyText"/>
        <w:spacing w:line="316" w:lineRule="auto" w:before="59"/>
        <w:ind w:right="1132" w:firstLine="36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9" w:lineRule="auto" w:before="57"/>
        <w:ind w:right="1130" w:firstLine="360"/>
        <w:jc w:val="both"/>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58"/>
        <w:ind w:right="1130"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3"/>
        </w:rPr>
        <w:t> </w:t>
      </w:r>
      <w:r>
        <w:rPr>
          <w:spacing w:val="-63"/>
        </w:rPr>
      </w:r>
      <w:r>
        <w:rPr/>
        <w:t>益工具授予日认定所授予的新权益工具是用于替代被取消的权益工具的，则以与处理原权益工具条款和条件修改相同的方</w:t>
      </w:r>
      <w:r>
        <w:rPr>
          <w:spacing w:val="-11"/>
        </w:rPr>
        <w:t> </w:t>
      </w:r>
      <w:r>
        <w:rPr>
          <w:spacing w:val="-11"/>
        </w:rPr>
      </w:r>
      <w:r>
        <w:rPr/>
        <w:t>式，对所授予的替代权益工具进行处理。</w:t>
      </w:r>
    </w:p>
    <w:p>
      <w:pPr>
        <w:pStyle w:val="BodyText"/>
        <w:spacing w:line="340" w:lineRule="auto" w:before="59"/>
        <w:ind w:left="513" w:right="1129"/>
        <w:jc w:val="left"/>
      </w:pPr>
      <w:r>
        <w:rPr>
          <w:rFonts w:ascii="Times New Roman" w:hAnsi="Times New Roman" w:cs="Times New Roman" w:eastAsia="Times New Roman" w:hint="default"/>
        </w:rPr>
        <w:t>(2)</w:t>
      </w:r>
      <w:r>
        <w:rPr/>
        <w:t>以现金结算的股份支付及权益工具</w:t>
      </w:r>
      <w:r>
        <w:rPr>
          <w:w w:val="99"/>
        </w:rPr>
        <w:t> </w:t>
      </w:r>
      <w:r>
        <w:rPr>
          <w:spacing w:val="-2"/>
        </w:rPr>
        <w:t>以现金结算的股份支付，按照本公司承担的以股份或其他权益工具为基础计算确定的负债的公允价值计量。授予后立即</w:t>
      </w:r>
    </w:p>
    <w:p>
      <w:pPr>
        <w:pStyle w:val="BodyText"/>
        <w:spacing w:line="316" w:lineRule="auto"/>
        <w:ind w:right="0"/>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3"/>
        </w:rPr>
        <w:t> </w:t>
      </w:r>
      <w:r>
        <w:rPr>
          <w:spacing w:val="-43"/>
        </w:rPr>
      </w:r>
      <w:r>
        <w:rPr/>
        <w:t>增加相应负债。在相关负债结算前的每个资产负债表日以及结算日，对负债的公允价值重新计量，其变动计入当期损益。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33"/>
        <w:jc w:val="left"/>
      </w:pPr>
      <w:r>
        <w:rPr/>
        <w:t>房地产业</w:t>
      </w:r>
    </w:p>
    <w:p>
      <w:pPr>
        <w:pStyle w:val="BodyText"/>
        <w:spacing w:line="240" w:lineRule="auto" w:before="117"/>
        <w:ind w:left="513" w:right="1133"/>
        <w:jc w:val="left"/>
      </w:pPr>
      <w:r>
        <w:rPr/>
        <w:t>（</w:t>
      </w:r>
      <w:r>
        <w:rPr>
          <w:rFonts w:ascii="Times New Roman" w:hAnsi="Times New Roman" w:cs="Times New Roman" w:eastAsia="Times New Roman" w:hint="default"/>
        </w:rPr>
        <w:t>1</w:t>
      </w:r>
      <w:r>
        <w:rPr/>
        <w:t>）销售商品收入</w:t>
      </w:r>
    </w:p>
    <w:p>
      <w:pPr>
        <w:pStyle w:val="BodyText"/>
        <w:spacing w:line="240" w:lineRule="auto" w:before="63"/>
        <w:ind w:left="513" w:right="1133"/>
        <w:jc w:val="left"/>
      </w:pPr>
      <w:r>
        <w:rPr/>
        <w:t>①销售商品收入确认的一般原则</w:t>
      </w:r>
    </w:p>
    <w:p>
      <w:pPr>
        <w:pStyle w:val="BodyText"/>
        <w:spacing w:line="240" w:lineRule="auto" w:before="76"/>
        <w:ind w:left="513" w:right="1133"/>
        <w:jc w:val="left"/>
      </w:pPr>
      <w:r>
        <w:rPr>
          <w:rFonts w:ascii="Times New Roman" w:hAnsi="Times New Roman" w:cs="Times New Roman" w:eastAsia="Times New Roman" w:hint="default"/>
        </w:rPr>
        <w:t>a.</w:t>
      </w:r>
      <w:r>
        <w:rPr/>
        <w:t>本公司已将商品所有权上的主要风险和报酬转移给购货方；</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2878"/>
        <w:jc w:val="left"/>
      </w:pPr>
      <w:r>
        <w:rPr>
          <w:rFonts w:ascii="Times New Roman" w:hAnsi="Times New Roman" w:cs="Times New Roman" w:eastAsia="Times New Roman" w:hint="default"/>
        </w:rPr>
        <w:t>b.</w:t>
      </w:r>
      <w:r>
        <w:rPr/>
        <w:t>本公司既没有保留通常与所有权相联系的继续管理权，也没有对已售出的商品实施有效控制； </w:t>
      </w:r>
      <w:r>
        <w:rPr>
          <w:rFonts w:ascii="Times New Roman" w:hAnsi="Times New Roman" w:cs="Times New Roman" w:eastAsia="Times New Roman" w:hint="default"/>
        </w:rPr>
        <w:t>c.</w:t>
      </w:r>
      <w:r>
        <w:rPr/>
        <w:t>收入的金额能够可靠地计量；</w:t>
      </w:r>
    </w:p>
    <w:p>
      <w:pPr>
        <w:pStyle w:val="BodyText"/>
        <w:spacing w:line="300" w:lineRule="auto" w:before="13"/>
        <w:ind w:left="513" w:right="6308"/>
        <w:jc w:val="left"/>
      </w:pPr>
      <w:r>
        <w:rPr>
          <w:rFonts w:ascii="Times New Roman" w:hAnsi="Times New Roman" w:cs="Times New Roman" w:eastAsia="Times New Roman" w:hint="default"/>
        </w:rPr>
        <w:t>d.</w:t>
      </w:r>
      <w:r>
        <w:rPr/>
        <w:t>相关的经济利益很可能流入本公司； </w:t>
      </w:r>
      <w:r>
        <w:rPr>
          <w:rFonts w:ascii="Times New Roman" w:hAnsi="Times New Roman" w:cs="Times New Roman" w:eastAsia="Times New Roman" w:hint="default"/>
        </w:rPr>
        <w:t>e.</w:t>
      </w:r>
      <w:r>
        <w:rPr/>
        <w:t>相关的、已发生或将发生的成本能够可靠地计量。</w:t>
      </w:r>
    </w:p>
    <w:p>
      <w:pPr>
        <w:pStyle w:val="BodyText"/>
        <w:spacing w:line="309" w:lineRule="auto" w:before="13"/>
        <w:ind w:left="513" w:right="5038"/>
        <w:jc w:val="left"/>
      </w:pPr>
      <w:r>
        <w:rPr/>
        <w:t>②销售商品收入确认时间的具体判断标准 </w:t>
      </w:r>
      <w:r>
        <w:rPr>
          <w:rFonts w:ascii="Times New Roman" w:hAnsi="Times New Roman" w:cs="Times New Roman" w:eastAsia="Times New Roman" w:hint="default"/>
        </w:rPr>
        <w:t>a.</w:t>
      </w:r>
      <w:r>
        <w:rPr/>
        <w:t>合同经双方签字盖章确认，已经生效； </w:t>
      </w:r>
      <w:r>
        <w:rPr>
          <w:rFonts w:ascii="Times New Roman" w:hAnsi="Times New Roman" w:cs="Times New Roman" w:eastAsia="Times New Roman" w:hint="default"/>
        </w:rPr>
        <w:t>b.</w:t>
      </w:r>
      <w:r>
        <w:rPr/>
        <w:t>设备已经发出，且通过物流公司或公司销售部确认客户已经收到；</w:t>
      </w:r>
    </w:p>
    <w:p>
      <w:pPr>
        <w:pStyle w:val="BodyText"/>
        <w:spacing w:line="300" w:lineRule="auto" w:before="5"/>
        <w:ind w:left="513" w:right="1033"/>
        <w:jc w:val="left"/>
      </w:pPr>
      <w:r>
        <w:rPr>
          <w:rFonts w:ascii="Times New Roman" w:hAnsi="Times New Roman" w:cs="Times New Roman" w:eastAsia="Times New Roman" w:hint="default"/>
        </w:rPr>
        <w:t>c.</w:t>
      </w:r>
      <w:r>
        <w:rPr/>
        <w:t>设备按合同要求已经安装调试完毕；或经公司销售部确认设备已安装调试完毕，客户已经验收。 </w:t>
      </w: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31"/>
        <w:ind w:left="513" w:right="1133"/>
        <w:jc w:val="left"/>
      </w:pPr>
      <w:r>
        <w:rPr/>
        <w:t>①利息收入金额：按照他人使用本企业货币资金的时间和实际利率计算确定。</w:t>
      </w:r>
    </w:p>
    <w:p>
      <w:pPr>
        <w:pStyle w:val="BodyText"/>
        <w:spacing w:line="240" w:lineRule="auto" w:before="76"/>
        <w:ind w:left="513" w:right="1133"/>
        <w:jc w:val="left"/>
      </w:pPr>
      <w:r>
        <w:rPr/>
        <w:t>②使用费收入金额：按照有关合同或协议约定的收费时间和方法计算确定。</w:t>
      </w:r>
    </w:p>
    <w:p>
      <w:pPr>
        <w:pStyle w:val="BodyText"/>
        <w:spacing w:line="240" w:lineRule="auto" w:before="76"/>
        <w:ind w:left="513" w:right="1133"/>
        <w:jc w:val="left"/>
      </w:pPr>
      <w:r>
        <w:rPr/>
        <w:t>③</w:t>
      </w:r>
      <w:r>
        <w:rPr>
          <w:rFonts w:ascii="Times New Roman" w:hAnsi="Times New Roman" w:cs="Times New Roman" w:eastAsia="Times New Roman" w:hint="default"/>
        </w:rPr>
        <w:t>ATM</w:t>
      </w:r>
      <w:r>
        <w:rPr/>
        <w:t>服务收入：收入的金额能够可靠地计量；相关的经济利益很可能流入企业时确认收入。</w:t>
      </w:r>
    </w:p>
    <w:p>
      <w:pPr>
        <w:pStyle w:val="BodyText"/>
        <w:spacing w:line="316" w:lineRule="auto" w:before="63"/>
        <w:ind w:left="513" w:right="6613"/>
        <w:jc w:val="left"/>
      </w:pPr>
      <w:r>
        <w:rPr/>
        <w:t>④租赁资产收入： 在租赁开始日将租赁分为融资租赁和经营租赁。</w:t>
      </w:r>
    </w:p>
    <w:p>
      <w:pPr>
        <w:pStyle w:val="BodyText"/>
        <w:spacing w:line="316" w:lineRule="auto" w:before="19"/>
        <w:ind w:left="513" w:right="1213"/>
        <w:jc w:val="left"/>
      </w:pPr>
      <w:r>
        <w:rPr/>
        <w:t>融资租赁，是指实质上转移了与资产所有权有关的全部风险和报酬的租赁。其所有权最终可能转移，也可能不转移。 符合下列一项或数项标准的，认定为融资租赁：</w:t>
      </w:r>
    </w:p>
    <w:p>
      <w:pPr>
        <w:pStyle w:val="BodyText"/>
        <w:spacing w:line="300" w:lineRule="auto" w:before="19"/>
        <w:ind w:left="513" w:right="1131"/>
        <w:jc w:val="left"/>
      </w:pPr>
      <w:r>
        <w:rPr>
          <w:rFonts w:ascii="Times New Roman" w:hAnsi="Times New Roman" w:cs="Times New Roman" w:eastAsia="Times New Roman" w:hint="default"/>
        </w:rPr>
        <w:t>a.</w:t>
      </w:r>
      <w:r>
        <w:rPr/>
        <w:t>在租赁期届满时，租赁资产的所有权转移给承租人； </w:t>
      </w:r>
      <w:r>
        <w:rPr>
          <w:rFonts w:ascii="Times New Roman" w:hAnsi="Times New Roman" w:cs="Times New Roman" w:eastAsia="Times New Roman" w:hint="default"/>
          <w:spacing w:val="-1"/>
        </w:rPr>
        <w:t>b.</w:t>
      </w:r>
      <w:r>
        <w:rPr>
          <w:spacing w:val="-1"/>
        </w:rPr>
        <w:t>承租人有购买租赁资产的选择权，所订立的购买价款预计将远低于行使选择权时租赁资产的公允价值，因而在租赁开</w:t>
      </w:r>
    </w:p>
    <w:p>
      <w:pPr>
        <w:pStyle w:val="BodyText"/>
        <w:spacing w:line="240" w:lineRule="auto" w:before="13"/>
        <w:ind w:right="1133"/>
        <w:jc w:val="left"/>
      </w:pPr>
      <w:r>
        <w:rPr/>
        <w:t>始日就可以合理确定承租人将会行使这种选择权；</w:t>
      </w:r>
    </w:p>
    <w:p>
      <w:pPr>
        <w:pStyle w:val="BodyText"/>
        <w:spacing w:line="300" w:lineRule="auto" w:before="76"/>
        <w:ind w:left="513" w:right="1131"/>
        <w:jc w:val="left"/>
      </w:pPr>
      <w:r>
        <w:rPr>
          <w:rFonts w:ascii="Times New Roman" w:hAnsi="Times New Roman" w:cs="Times New Roman" w:eastAsia="Times New Roman" w:hint="default"/>
        </w:rPr>
        <w:t>c.</w:t>
      </w:r>
      <w:r>
        <w:rPr/>
        <w:t>即使资产的所有权不转移，但租赁期占租赁资产使用寿命的大部分； </w:t>
      </w:r>
      <w:r>
        <w:rPr>
          <w:rFonts w:ascii="Times New Roman" w:hAnsi="Times New Roman" w:cs="Times New Roman" w:eastAsia="Times New Roman" w:hint="default"/>
          <w:spacing w:val="-1"/>
        </w:rPr>
        <w:t>d.</w:t>
      </w:r>
      <w:r>
        <w:rPr>
          <w:spacing w:val="-1"/>
        </w:rPr>
        <w:t>承租人在租赁开始日的最低租赁付款额现值，几乎相当于租赁开始日租赁资产公允价值；出租人在租赁开始日的最低</w:t>
      </w:r>
    </w:p>
    <w:p>
      <w:pPr>
        <w:pStyle w:val="BodyText"/>
        <w:spacing w:line="312" w:lineRule="auto" w:before="13"/>
        <w:ind w:left="513" w:right="4508" w:hanging="361"/>
        <w:jc w:val="left"/>
      </w:pPr>
      <w:r>
        <w:rPr/>
        <w:t>租赁收款额现值，几乎相当于租赁开始日租赁资产公允价值； </w:t>
      </w:r>
      <w:r>
        <w:rPr>
          <w:rFonts w:ascii="Times New Roman" w:hAnsi="Times New Roman" w:cs="Times New Roman" w:eastAsia="Times New Roman" w:hint="default"/>
        </w:rPr>
        <w:t>e.</w:t>
      </w:r>
      <w:r>
        <w:rPr/>
        <w:t>租赁资产性质特殊，如果不作较大改造，只有承租人才能使用。 公司内含利率的计算公式如下： 公司内含利率</w:t>
      </w:r>
      <w:r>
        <w:rPr>
          <w:rFonts w:ascii="Times New Roman" w:hAnsi="Times New Roman" w:cs="Times New Roman" w:eastAsia="Times New Roman" w:hint="default"/>
        </w:rPr>
        <w:t>=</w:t>
      </w:r>
      <w:r>
        <w:rPr/>
        <w:t>金融机构中长期贷款基准利率</w:t>
      </w:r>
      <w:r>
        <w:rPr>
          <w:rFonts w:ascii="Times New Roman" w:hAnsi="Times New Roman" w:cs="Times New Roman" w:eastAsia="Times New Roman" w:hint="default"/>
        </w:rPr>
        <w:t>+</w:t>
      </w:r>
      <w:r>
        <w:rPr/>
        <w:t>居民消费价格指数</w:t>
      </w:r>
      <w:r>
        <w:rPr>
          <w:rFonts w:ascii="Times New Roman" w:hAnsi="Times New Roman" w:cs="Times New Roman" w:eastAsia="Times New Roman" w:hint="default"/>
        </w:rPr>
        <w:t>+</w:t>
      </w:r>
      <w:r>
        <w:rPr/>
        <w:t>其他因素 未实现融资收益在租赁期内各个期间按实际利率法分配。 或有租金在实际发生时确认为当期收入。</w:t>
      </w:r>
    </w:p>
    <w:p>
      <w:pPr>
        <w:pStyle w:val="BodyText"/>
        <w:spacing w:line="240" w:lineRule="auto" w:before="22"/>
        <w:ind w:left="513" w:right="1133"/>
        <w:jc w:val="left"/>
      </w:pPr>
      <w:r>
        <w:rPr/>
        <w:t>经营租赁是指除融资租赁以外的其他租赁，经营租赁的租金在租赁期内的各个期间按直线法确认为收入。</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12"/>
        <w:rPr>
          <w:rFonts w:ascii="宋体" w:hAnsi="宋体" w:cs="宋体" w:eastAsia="宋体" w:hint="default"/>
          <w:b/>
          <w:bCs/>
          <w:sz w:val="22"/>
          <w:szCs w:val="22"/>
        </w:rPr>
      </w:pPr>
    </w:p>
    <w:p>
      <w:pPr>
        <w:pStyle w:val="BodyText"/>
        <w:spacing w:line="300" w:lineRule="auto" w:before="44"/>
        <w:ind w:left="513" w:right="1129"/>
        <w:jc w:val="left"/>
      </w:pPr>
      <w:r>
        <w:rPr/>
        <w:t>（</w:t>
      </w:r>
      <w:r>
        <w:rPr>
          <w:rFonts w:ascii="Times New Roman" w:hAnsi="Times New Roman" w:cs="Times New Roman" w:eastAsia="Times New Roman" w:hint="default"/>
        </w:rPr>
        <w:t>1</w:t>
      </w:r>
      <w:r>
        <w:rPr/>
        <w:t>）类型 </w:t>
      </w:r>
      <w:r>
        <w:rPr>
          <w:spacing w:val="-2"/>
        </w:rPr>
        <w:t>政府补助，是本公司从政府无偿取得的货币性资产与非货币性资产。分为与资产相关的政府补助和与收益相关的政府补</w:t>
      </w:r>
    </w:p>
    <w:p>
      <w:pPr>
        <w:pStyle w:val="BodyText"/>
        <w:spacing w:line="240" w:lineRule="auto" w:before="31"/>
        <w:ind w:right="1133"/>
        <w:jc w:val="left"/>
      </w:pPr>
      <w:r>
        <w:rPr/>
        <w:t>助。</w:t>
      </w:r>
    </w:p>
    <w:p>
      <w:pPr>
        <w:pStyle w:val="BodyText"/>
        <w:spacing w:line="240" w:lineRule="auto" w:before="76"/>
        <w:ind w:left="513" w:right="0"/>
        <w:jc w:val="left"/>
      </w:pPr>
      <w:r>
        <w:rPr>
          <w:spacing w:val="-4"/>
        </w:rPr>
        <w:t>与资产相关的政府补助，是指本公司取得的、用于购建或以其他方式形成长期资产的政府补助。与收益相关的政府补助，</w:t>
      </w:r>
    </w:p>
    <w:p>
      <w:pPr>
        <w:pStyle w:val="BodyText"/>
        <w:spacing w:line="319" w:lineRule="auto" w:before="74"/>
        <w:ind w:left="513" w:right="1129" w:hanging="361"/>
        <w:jc w:val="left"/>
      </w:pPr>
      <w:r>
        <w:rPr/>
        <w:t>是指除与资产相关的政府补助之外的政府补助。 本公司将政府补助划分为与资产相关的具体标准为：企业取得的，用于购建或以其他方式形成长期资产的政府补助； 本公司将政府补助划分为与收益相关的具体标准为：除与资产相关的政府补助之外的政府补助； </w:t>
      </w:r>
      <w:r>
        <w:rPr>
          <w:spacing w:val="-2"/>
        </w:rPr>
        <w:t>对于政府文件未明确规定补助对象的，本公司将该政府补助划分为与资产相关或与收益相关的判断依据为：是否用于购</w:t>
      </w:r>
    </w:p>
    <w:p>
      <w:pPr>
        <w:pStyle w:val="BodyText"/>
        <w:spacing w:line="240" w:lineRule="auto" w:before="17"/>
        <w:ind w:right="1133"/>
        <w:jc w:val="left"/>
      </w:pPr>
      <w:r>
        <w:rPr/>
        <w:t>建或以其他方式形成长期资产。</w:t>
      </w:r>
    </w:p>
    <w:p>
      <w:pPr>
        <w:pStyle w:val="BodyText"/>
        <w:spacing w:line="240" w:lineRule="auto" w:before="76"/>
        <w:ind w:left="513" w:right="1133"/>
        <w:jc w:val="left"/>
      </w:pPr>
      <w:r>
        <w:rPr/>
        <w:t>（</w:t>
      </w:r>
      <w:r>
        <w:rPr>
          <w:rFonts w:ascii="Times New Roman" w:hAnsi="Times New Roman" w:cs="Times New Roman" w:eastAsia="Times New Roman" w:hint="default"/>
        </w:rPr>
        <w:t>2</w:t>
      </w:r>
      <w:r>
        <w:rPr/>
        <w:t>）确认时点</w:t>
      </w:r>
    </w:p>
    <w:p>
      <w:pPr>
        <w:pStyle w:val="BodyText"/>
        <w:spacing w:line="300" w:lineRule="auto" w:before="63"/>
        <w:ind w:right="1154" w:firstLine="360"/>
        <w:jc w:val="left"/>
      </w:pPr>
      <w:r>
        <w:rPr/>
        <w:t>①软件产品增值税退税：在销售自行开发生产的软件产品后，根据其软件销售增值税实际税负超过</w:t>
      </w:r>
      <w:r>
        <w:rPr>
          <w:rFonts w:ascii="Times New Roman" w:hAnsi="Times New Roman" w:cs="Times New Roman" w:eastAsia="Times New Roman" w:hint="default"/>
        </w:rPr>
        <w:t>3%</w:t>
      </w:r>
      <w:r>
        <w:rPr/>
        <w:t>的部分计算应收 退税款；</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②除软件产品增值税退税以外的政府补助：企业实际取得政府补助款项作为确认时点。</w:t>
      </w:r>
    </w:p>
    <w:p>
      <w:pPr>
        <w:pStyle w:val="BodyText"/>
        <w:spacing w:line="300" w:lineRule="auto" w:before="77"/>
        <w:ind w:left="513" w:right="1129"/>
        <w:jc w:val="left"/>
      </w:pPr>
      <w:r>
        <w:rPr/>
        <w:t>（</w:t>
      </w:r>
      <w:r>
        <w:rPr>
          <w:rFonts w:ascii="Times New Roman" w:hAnsi="Times New Roman" w:cs="Times New Roman" w:eastAsia="Times New Roman" w:hint="default"/>
        </w:rPr>
        <w:t>3</w:t>
      </w:r>
      <w:r>
        <w:rPr/>
        <w:t>）会计处理 </w:t>
      </w:r>
      <w:r>
        <w:rPr>
          <w:spacing w:val="-2"/>
        </w:rPr>
        <w:t>与资产相关的政府补助，冲减相关资产账面价值或确认为递延收益。确认为递延收益的，在相关资产使用寿命内按照合</w:t>
      </w:r>
    </w:p>
    <w:p>
      <w:pPr>
        <w:pStyle w:val="BodyText"/>
        <w:spacing w:line="316" w:lineRule="auto" w:before="31"/>
        <w:ind w:left="513" w:right="0" w:hanging="361"/>
        <w:jc w:val="left"/>
      </w:pPr>
      <w:r>
        <w:rPr>
          <w:spacing w:val="-7"/>
        </w:rPr>
        <w:t>理、系统的方法分期计入当期损益（与本公司日常活动相关的，计入其他收益；与本公司日常活动无关的，计入营业外收入）；</w:t>
      </w:r>
      <w:r>
        <w:rPr>
          <w:spacing w:val="-49"/>
        </w:rPr>
        <w:t> </w:t>
      </w:r>
      <w:r>
        <w:rPr>
          <w:spacing w:val="-49"/>
        </w:rPr>
      </w:r>
      <w:r>
        <w:rPr>
          <w:spacing w:val="-2"/>
        </w:rPr>
        <w:t>与收益相关的政府补助，用于补偿本公司以后期间的相关成本费用或损失的，确认为递延收益，并在确认相关成本费用</w:t>
      </w:r>
    </w:p>
    <w:p>
      <w:pPr>
        <w:pStyle w:val="BodyText"/>
        <w:spacing w:line="316" w:lineRule="auto" w:before="19"/>
        <w:ind w:right="0"/>
        <w:jc w:val="left"/>
      </w:pPr>
      <w:r>
        <w:rPr>
          <w:spacing w:val="-2"/>
        </w:rPr>
        <w:t>或损失的期间，计入当期损益（与本公司日常活动相关的，计入其他收益；与本公司日常活动无关的，计入营业外收入）或</w:t>
      </w:r>
      <w:r>
        <w:rPr>
          <w:spacing w:val="-70"/>
        </w:rPr>
        <w:t> </w:t>
      </w:r>
      <w:r>
        <w:rPr>
          <w:spacing w:val="-70"/>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pStyle w:val="BodyText"/>
        <w:spacing w:line="240" w:lineRule="auto" w:before="19"/>
        <w:ind w:left="513" w:right="1133"/>
        <w:jc w:val="left"/>
      </w:pPr>
      <w:r>
        <w:rPr/>
        <w:t>本公司取得的政策性优惠贷款贴息，区分以下两种情况，分别进行会计处理：</w:t>
      </w:r>
    </w:p>
    <w:p>
      <w:pPr>
        <w:pStyle w:val="BodyText"/>
        <w:spacing w:line="316" w:lineRule="auto" w:before="76"/>
        <w:ind w:right="1129" w:firstLine="360"/>
        <w:jc w:val="left"/>
      </w:pPr>
      <w:r>
        <w:rPr>
          <w:spacing w:val="-2"/>
        </w:rPr>
        <w:t>①财政将贴息资金拨付给贷款银行，由贷款银行以政策性优惠利率向本公司提供贷款的，本公司以实际收到的借款金额</w:t>
      </w:r>
      <w:r>
        <w:rPr/>
        <w:t> 作为借款的入账价值，按照借款本金和该政策性优惠利率计算相关借款费用。</w:t>
      </w:r>
    </w:p>
    <w:p>
      <w:pPr>
        <w:pStyle w:val="BodyText"/>
        <w:spacing w:line="240" w:lineRule="auto" w:before="19"/>
        <w:ind w:left="513" w:right="1133"/>
        <w:jc w:val="left"/>
      </w:pPr>
      <w:r>
        <w:rPr/>
        <w:t>②财政将贴息资金直接拨付给本公司的，本公司将对应的贴息冲减相关借款费用。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3"/>
        </w:rPr>
        <w:t> </w:t>
      </w:r>
      <w:r>
        <w:rPr>
          <w:spacing w:val="-63"/>
        </w:rPr>
      </w:r>
      <w:r>
        <w:rPr/>
        <w:t>限，确认相应的递延所得税资产。</w:t>
      </w:r>
    </w:p>
    <w:p>
      <w:pPr>
        <w:pStyle w:val="BodyText"/>
        <w:spacing w:line="316" w:lineRule="auto" w:before="19"/>
        <w:ind w:left="513" w:right="1129"/>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1129"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3" w:right="1129"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9" w:lineRule="auto" w:before="19"/>
        <w:ind w:right="1133"/>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①公司租入资产所支付的租赁费，在不扣除免租期的整个租赁期内，按直线法进行分摊，计入当期费用。公司支付的与</w:t>
      </w:r>
      <w:r>
        <w:rPr/>
        <w:t> 租赁交易相关的初始直接费用，计入当期费用。</w:t>
      </w:r>
    </w:p>
    <w:p>
      <w:pPr>
        <w:pStyle w:val="BodyText"/>
        <w:spacing w:line="316" w:lineRule="auto" w:before="19"/>
        <w:ind w:right="1129"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9" w:lineRule="auto" w:before="19"/>
        <w:ind w:right="1133" w:firstLine="360"/>
        <w:jc w:val="both"/>
      </w:pPr>
      <w:r>
        <w:rPr>
          <w:spacing w:val="-2"/>
        </w:rPr>
        <w:t>②公司出租资产所收取的租赁费，在不扣除免租期的整个租赁期内，按直线法进行分摊，确认为租赁相关收入。公司支</w:t>
      </w:r>
      <w:r>
        <w:rPr/>
        <w:t>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pStyle w:val="BodyText"/>
        <w:spacing w:line="316" w:lineRule="auto" w:before="17"/>
        <w:ind w:right="1129"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①融资租入资产：公司在承租开始日，将租赁资产公允价值与最低租赁付款额现值两者中较低者作为租入资产的入账价</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472" w:right="714"/>
        <w:jc w:val="left"/>
      </w:pPr>
      <w:r>
        <w:rPr>
          <w:spacing w:val="-2"/>
        </w:rPr>
        <w:t>值，将最低租赁付款额作为长期应付款的入账价值，其差额作为未确认的融资费用。公司采用实际利率法对未确认的融资费</w:t>
      </w:r>
      <w:r>
        <w:rPr>
          <w:spacing w:val="-63"/>
        </w:rPr>
        <w:t> </w:t>
      </w:r>
      <w:r>
        <w:rPr>
          <w:spacing w:val="-63"/>
        </w:rPr>
      </w:r>
      <w:r>
        <w:rPr/>
        <w:t>用，在资产租赁期间内摊销，计入财务费用。公司发生的初始直接费用，计入租入资产价值。</w:t>
      </w:r>
    </w:p>
    <w:p>
      <w:pPr>
        <w:pStyle w:val="BodyText"/>
        <w:spacing w:line="316" w:lineRule="auto" w:before="17"/>
        <w:ind w:left="472" w:right="714"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10"/>
        <w:rPr>
          <w:rFonts w:ascii="宋体" w:hAnsi="宋体" w:cs="宋体" w:eastAsia="宋体" w:hint="default"/>
          <w:sz w:val="22"/>
          <w:szCs w:val="22"/>
        </w:rPr>
      </w:pPr>
    </w:p>
    <w:p>
      <w:pPr>
        <w:pStyle w:val="Heading3"/>
        <w:spacing w:line="240" w:lineRule="auto"/>
        <w:ind w:left="472" w:right="714"/>
        <w:jc w:val="left"/>
        <w:rPr>
          <w:b w:val="0"/>
          <w:bCs w:val="0"/>
        </w:rPr>
      </w:pPr>
      <w:r>
        <w:rPr>
          <w:rFonts w:ascii="Times New Roman" w:hAnsi="Times New Roman" w:cs="Times New Roman" w:eastAsia="Times New Roman" w:hint="default"/>
        </w:rPr>
        <w:t>28</w:t>
      </w:r>
      <w:r>
        <w:rPr/>
        <w:t>、 终止经营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2" w:right="714" w:firstLine="360"/>
        <w:jc w:val="left"/>
      </w:pPr>
      <w:r>
        <w:rPr>
          <w:spacing w:val="-2"/>
        </w:rPr>
        <w:t>终止经营是满足下列条件之一的、能够单独区分的组成部分，且该组成部分已被本公司处置或被本公司划归为持有待售</w:t>
      </w:r>
      <w:r>
        <w:rPr/>
        <w:t> 类别：</w:t>
      </w:r>
    </w:p>
    <w:p>
      <w:pPr>
        <w:pStyle w:val="BodyText"/>
        <w:spacing w:line="240" w:lineRule="auto" w:before="19"/>
        <w:ind w:left="833" w:right="714"/>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833" w:right="714"/>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left="833" w:right="714"/>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3"/>
        <w:rPr>
          <w:rFonts w:ascii="宋体" w:hAnsi="宋体" w:cs="宋体" w:eastAsia="宋体" w:hint="default"/>
          <w:sz w:val="26"/>
          <w:szCs w:val="26"/>
        </w:rPr>
      </w:pPr>
    </w:p>
    <w:p>
      <w:pPr>
        <w:pStyle w:val="Heading3"/>
        <w:spacing w:line="240" w:lineRule="auto"/>
        <w:ind w:left="472" w:right="714"/>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72" w:right="71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814"/>
        <w:jc w:val="right"/>
      </w:pPr>
      <w:r>
        <w:rPr/>
        <w:pict>
          <v:shape style="position:absolute;margin-left:203.783005pt;margin-top:66.131706pt;width:171.8pt;height:15.6pt;mso-position-horizontal-relative:page;mso-position-vertical-relative:paragraph;z-index:-771328" type="#_x0000_t202" filled="false" stroked="false">
            <v:textbox inset="0,0,0,0">
              <w:txbxContent>
                <w:p>
                  <w:pPr>
                    <w:pStyle w:val="BodyText"/>
                    <w:spacing w:line="205" w:lineRule="exact"/>
                    <w:ind w:left="0" w:right="0"/>
                    <w:jc w:val="left"/>
                  </w:pPr>
                  <w:r>
                    <w:rPr/>
                    <w:t>比较数据相应调整。</w:t>
                  </w:r>
                </w:p>
              </w:txbxContent>
            </v:textbox>
            <w10:wrap type="none"/>
          </v:shape>
        </w:pict>
      </w:r>
      <w:r>
        <w:rPr/>
        <w:pict>
          <v:shape style="position:absolute;margin-left:38.400002pt;margin-top:-36.488304pt;width:513.85pt;height:185.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1"/>
                    <w:gridCol w:w="1880"/>
                    <w:gridCol w:w="3521"/>
                  </w:tblGrid>
                  <w:tr>
                    <w:trPr>
                      <w:trHeight w:val="403"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1"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 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 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 </w:t>
                        </w:r>
                        <w:r>
                          <w:rPr>
                            <w:rFonts w:ascii="宋体" w:hAnsi="宋体" w:cs="宋体" w:eastAsia="宋体" w:hint="default"/>
                            <w:spacing w:val="-3"/>
                            <w:sz w:val="18"/>
                            <w:szCs w:val="18"/>
                          </w:rPr>
                          <w:t>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w:t>
                        </w:r>
                        <w:r>
                          <w:rPr>
                            <w:rFonts w:ascii="宋体" w:hAnsi="宋体" w:cs="宋体" w:eastAsia="宋体" w:hint="default"/>
                            <w:spacing w:val="-78"/>
                            <w:sz w:val="18"/>
                            <w:szCs w:val="18"/>
                          </w:rPr>
                          <w:t> </w:t>
                        </w:r>
                        <w:r>
                          <w:rPr>
                            <w:rFonts w:ascii="宋体" w:hAnsi="宋体" w:cs="宋体" w:eastAsia="宋体" w:hint="default"/>
                            <w:sz w:val="18"/>
                            <w:szCs w:val="18"/>
                          </w:rPr>
                          <w:t>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 </w:t>
                        </w:r>
                        <w:r>
                          <w:rPr>
                            <w:rFonts w:ascii="宋体" w:hAnsi="宋体" w:cs="宋体" w:eastAsia="宋体" w:hint="default"/>
                            <w:spacing w:val="-3"/>
                            <w:sz w:val="18"/>
                            <w:szCs w:val="18"/>
                          </w:rPr>
                          <w:t>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5"/>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年第六届董事会第 三次会议会议审议通过 公司《关于会计政策变 更的议案》</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98,821,593.67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3"/>
                          <w:ind w:left="23" w:right="120"/>
                          <w:jc w:val="both"/>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169,690,788.64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 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29,738,269.62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49,165,911.84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tc>
                  </w:tr>
                  <w:tr>
                    <w:trPr>
                      <w:trHeight w:val="1339"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5"/>
                          <w:jc w:val="both"/>
                          <w:rPr>
                            <w:rFonts w:ascii="宋体" w:hAnsi="宋体" w:cs="宋体" w:eastAsia="宋体" w:hint="default"/>
                            <w:sz w:val="18"/>
                            <w:szCs w:val="18"/>
                          </w:rPr>
                        </w:pP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 </w:t>
                        </w:r>
                        <w:r>
                          <w:rPr>
                            <w:rFonts w:ascii="宋体" w:hAnsi="宋体" w:cs="宋体" w:eastAsia="宋体" w:hint="default"/>
                            <w:spacing w:val="-2"/>
                            <w:sz w:val="18"/>
                            <w:szCs w:val="18"/>
                          </w:rPr>
                          <w:t>用重分类至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单独列示；在利润表中财务费用项下新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年第六届董事会第 三次会议会议审议通过 公司《关于会计政策变 更的议案》</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32,706,830.69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38,921,187.46</w:t>
                        </w:r>
                        <w:r>
                          <w:rPr>
                            <w:rFonts w:ascii="Times New Roman" w:hAnsi="Times New Roman" w:cs="Times New Roman" w:eastAsia="Times New Roman" w:hint="default"/>
                            <w:spacing w:val="8"/>
                            <w:sz w:val="18"/>
                            <w:szCs w:val="18"/>
                          </w:rPr>
                          <w:t> </w:t>
                        </w:r>
                        <w:r>
                          <w:rPr>
                            <w:rFonts w:ascii="宋体" w:hAnsi="宋体" w:cs="宋体" w:eastAsia="宋体" w:hint="default"/>
                            <w:spacing w:val="-9"/>
                            <w:w w:val="100"/>
                            <w:sz w:val="18"/>
                            <w:szCs w:val="18"/>
                          </w:rPr>
                          <w:t>元，重分类至</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研发费</w:t>
                        </w:r>
                        <w:r>
                          <w:rPr>
                            <w:rFonts w:ascii="宋体" w:hAnsi="宋体" w:cs="宋体" w:eastAsia="宋体" w:hint="default"/>
                            <w:sz w:val="18"/>
                            <w:szCs w:val="18"/>
                          </w:rPr>
                          <w:t> 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312" w:lineRule="exact"/>
        <w:ind w:left="498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93.55pt;height:15.6pt;mso-position-horizontal-relative:char;mso-position-vertical-relative:line" coordorigin="0,0" coordsize="1871,312">
            <v:group style="position:absolute;left:0;top:0;width:1871;height:312" coordorigin="0,0" coordsize="1871,312">
              <v:shape style="position:absolute;left:0;top:0;width:1871;height:312" coordorigin="0,0" coordsize="1871,312" path="m0,312l1870,312,1870,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0" w:lineRule="auto" w:before="44"/>
        <w:ind w:left="833" w:right="714"/>
        <w:jc w:val="left"/>
      </w:pPr>
      <w:r>
        <w:rPr/>
        <w:t>执行《财政部关于修订印发</w:t>
      </w:r>
      <w:r>
        <w:rPr>
          <w:rFonts w:ascii="Times New Roman" w:hAnsi="Times New Roman" w:cs="Times New Roman" w:eastAsia="Times New Roman" w:hint="default"/>
        </w:rPr>
        <w:t>2018</w:t>
      </w:r>
      <w:r>
        <w:rPr/>
        <w:t>年度一般企业财务报表格式的通知》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w:t>
      </w:r>
    </w:p>
    <w:p>
      <w:pPr>
        <w:pStyle w:val="BodyText"/>
        <w:spacing w:line="240" w:lineRule="auto" w:before="13"/>
        <w:ind w:left="472" w:right="714"/>
        <w:jc w:val="left"/>
      </w:pPr>
      <w:r>
        <w:rPr/>
        <w:t>对一般企业财务报表格式进行了修订。本公司执行上述规定的主要影响如上。</w:t>
      </w:r>
    </w:p>
    <w:p>
      <w:pPr>
        <w:spacing w:line="240" w:lineRule="auto" w:before="0"/>
        <w:rPr>
          <w:rFonts w:ascii="宋体" w:hAnsi="宋体" w:cs="宋体" w:eastAsia="宋体" w:hint="default"/>
          <w:sz w:val="18"/>
          <w:szCs w:val="18"/>
        </w:rPr>
      </w:pPr>
    </w:p>
    <w:p>
      <w:pPr>
        <w:pStyle w:val="Heading3"/>
        <w:spacing w:line="240" w:lineRule="auto" w:before="120"/>
        <w:ind w:left="472" w:right="71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72" w:right="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472" w:right="714"/>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72" w:right="71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1799"/>
        <w:gridCol w:w="5041"/>
        <w:gridCol w:w="2718"/>
      </w:tblGrid>
      <w:tr>
        <w:trPr>
          <w:trHeight w:val="401"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5" w:footer="980" w:top="1060" w:bottom="1160" w:left="66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799"/>
        <w:gridCol w:w="5041"/>
        <w:gridCol w:w="2729"/>
      </w:tblGrid>
      <w:tr>
        <w:trPr>
          <w:trHeight w:val="713"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*1</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 </w:t>
            </w:r>
            <w:r>
              <w:rPr>
                <w:rFonts w:ascii="宋体" w:hAnsi="宋体" w:cs="宋体" w:eastAsia="宋体" w:hint="default"/>
                <w:spacing w:val="-3"/>
                <w:sz w:val="18"/>
                <w:szCs w:val="18"/>
              </w:rPr>
              <w:t>额，在扣除当期允许抵扣的进项税额后，差额部分为应交增值税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按实际缴纳的营业税、增值税及消费税计缴</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广州御新软件有限公司</w:t>
            </w:r>
            <w:r>
              <w:rPr>
                <w:rFonts w:ascii="Times New Roman" w:hAnsi="Times New Roman" w:cs="Times New Roman" w:eastAsia="Times New Roman" w:hint="default"/>
                <w:sz w:val="18"/>
                <w:szCs w:val="18"/>
              </w:rPr>
              <w:t>*3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广州御银自动柜员机技术有限公司</w:t>
            </w:r>
            <w:r>
              <w:rPr>
                <w:rFonts w:ascii="Times New Roman" w:hAnsi="Times New Roman" w:cs="Times New Roman" w:eastAsia="Times New Roman" w:hint="default"/>
                <w:sz w:val="18"/>
                <w:szCs w:val="18"/>
              </w:rPr>
              <w:t>*4</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广州御银自动柜员机科技有限公司</w:t>
            </w:r>
            <w:r>
              <w:rPr>
                <w:rFonts w:ascii="Times New Roman" w:hAnsi="Times New Roman" w:cs="Times New Roman" w:eastAsia="Times New Roman" w:hint="default"/>
                <w:sz w:val="18"/>
                <w:szCs w:val="18"/>
              </w:rPr>
              <w:t>*5</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24" w:firstLine="360"/>
        <w:jc w:val="left"/>
      </w:pPr>
      <w:r>
        <w:rPr>
          <w:rFonts w:ascii="Times New Roman" w:hAnsi="Times New Roman" w:cs="Times New Roman" w:eastAsia="Times New Roman" w:hint="default"/>
        </w:rPr>
        <w:t>*1</w:t>
      </w:r>
      <w:r>
        <w:rPr/>
        <w:t>：根据财税【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t>号《财政部、国家税务总局关于嵌入式软件增值税政策的通知》、财税【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号《财政 </w:t>
      </w:r>
      <w:r>
        <w:rPr>
          <w:spacing w:val="-2"/>
        </w:rPr>
        <w:t>部、国家税务总局关于软件产品增值税政策的通知》的有关规定：增值税一般纳税人随同计算机网络、计算机硬件和机器设</w:t>
      </w:r>
      <w:r>
        <w:rPr>
          <w:spacing w:val="-65"/>
        </w:rPr>
        <w:t> </w:t>
      </w:r>
      <w:r>
        <w:rPr>
          <w:spacing w:val="-65"/>
        </w:rPr>
      </w:r>
      <w:r>
        <w:rPr>
          <w:spacing w:val="-2"/>
        </w:rPr>
        <w:t>备等一并销售其自行开发生产的嵌入式软件，如果能够按照《财政部、国家税务总局关于贯彻落实〈中共中央、国务院关于</w:t>
      </w:r>
      <w:r>
        <w:rPr>
          <w:spacing w:val="-67"/>
        </w:rPr>
        <w:t> </w:t>
      </w:r>
      <w:r>
        <w:rPr>
          <w:spacing w:val="-67"/>
        </w:rPr>
      </w:r>
      <w:r>
        <w:rPr/>
        <w:t>加强技术创新，发展高科技，实现产业化的决定〉有关税收问题的通知》（财税字【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 分别核算嵌入式软件与计算机硬件、机器设备等的销售额，可以享受软件产品增值税优惠政策。公司符合财税【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号之规定，嵌入式软件销售收入享受增值税即征即退优惠政策。</w:t>
      </w:r>
    </w:p>
    <w:p>
      <w:pPr>
        <w:pStyle w:val="BodyText"/>
        <w:spacing w:line="300" w:lineRule="auto" w:before="7"/>
        <w:ind w:right="1131" w:firstLine="360"/>
        <w:jc w:val="both"/>
      </w:pPr>
      <w:r>
        <w:rPr>
          <w:spacing w:val="-1"/>
        </w:rPr>
        <w:t>本公司按所属地国税机关要求，自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日起对</w:t>
      </w:r>
      <w:r>
        <w:rPr>
          <w:rFonts w:ascii="Times New Roman" w:hAnsi="Times New Roman" w:cs="Times New Roman" w:eastAsia="Times New Roman" w:hint="default"/>
          <w:spacing w:val="-1"/>
        </w:rPr>
        <w:t>ATM</w:t>
      </w:r>
      <w:r>
        <w:rPr>
          <w:spacing w:val="-1"/>
        </w:rPr>
        <w:t>融资租赁和合作经营手续费收入实行增值税申报和缴纳，并</w:t>
      </w:r>
      <w:r>
        <w:rPr/>
        <w:t> </w:t>
      </w:r>
      <w:r>
        <w:rPr>
          <w:spacing w:val="-1"/>
        </w:rPr>
        <w:t>按照有关规定，对提供有形动产租赁服务收入和合作经营手续费收入采用</w:t>
      </w:r>
      <w:r>
        <w:rPr>
          <w:rFonts w:ascii="Times New Roman" w:hAnsi="Times New Roman" w:cs="Times New Roman" w:eastAsia="Times New Roman" w:hint="default"/>
          <w:spacing w:val="-1"/>
        </w:rPr>
        <w:t>17%</w:t>
      </w:r>
      <w:r>
        <w:rPr>
          <w:spacing w:val="-1"/>
        </w:rPr>
        <w:t>税率；根据《财政部税务总局关于调整增值税</w:t>
      </w:r>
      <w:r>
        <w:rPr>
          <w:spacing w:val="-88"/>
        </w:rPr>
        <w:t> </w:t>
      </w:r>
      <w:r>
        <w:rPr>
          <w:spacing w:val="-88"/>
        </w:rPr>
      </w:r>
      <w:r>
        <w:rPr/>
        <w:t>税率的通知》（财税</w:t>
      </w:r>
      <w:r>
        <w:rPr>
          <w:rFonts w:ascii="Times New Roman" w:hAnsi="Times New Roman" w:cs="Times New Roman" w:eastAsia="Times New Roman" w:hint="default"/>
        </w:rPr>
        <w:t>[2018]32</w:t>
      </w:r>
      <w:r>
        <w:rPr/>
        <w:t>号）纳税人发生增值税应税销售行为或者进口货物，原适用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29" w:hanging="361"/>
        <w:jc w:val="left"/>
      </w:pPr>
      <w:r>
        <w:rPr/>
        <w:t>为</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，本通知自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日起执行，该项规定的税率自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日起更改为</w:t>
      </w:r>
      <w:r>
        <w:rPr>
          <w:rFonts w:ascii="Times New Roman" w:hAnsi="Times New Roman" w:cs="Times New Roman" w:eastAsia="Times New Roman" w:hint="default"/>
        </w:rPr>
        <w:t>16%</w:t>
      </w:r>
      <w:r>
        <w:rPr/>
        <w:t>。 </w:t>
      </w:r>
      <w:r>
        <w:rPr>
          <w:spacing w:val="-2"/>
        </w:rPr>
        <w:t>在新旧税制转换期间，本公司依照《财政部国家税务总局关于交通运输业和部分现代服务业营业税改增值税试点若干税</w:t>
      </w:r>
    </w:p>
    <w:p>
      <w:pPr>
        <w:pStyle w:val="BodyText"/>
        <w:spacing w:line="300" w:lineRule="auto" w:before="31"/>
        <w:ind w:right="1131"/>
        <w:jc w:val="both"/>
      </w:pPr>
      <w:r>
        <w:rPr/>
        <w:t>收政策的补充通知》（财税【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53</w:t>
      </w:r>
      <w:r>
        <w:rPr/>
        <w:t>号）</w:t>
      </w:r>
      <w:r>
        <w:rPr>
          <w:rFonts w:ascii="Times New Roman" w:hAnsi="Times New Roman" w:cs="Times New Roman" w:eastAsia="Times New Roman" w:hint="default"/>
        </w:rPr>
        <w:t>“</w:t>
      </w:r>
      <w:r>
        <w:rPr/>
        <w:t>第四点、试点纳税人中的一般纳税人，以试点实施之前购进或者自制的有形动 </w:t>
      </w:r>
      <w:r>
        <w:rPr>
          <w:spacing w:val="-2"/>
        </w:rPr>
        <w:t>产为标的物提供的经营租赁服务，试点期间可以选择使用简易计税方法计算缴纳增值税。</w:t>
      </w:r>
      <w:r>
        <w:rPr>
          <w:rFonts w:ascii="Times New Roman" w:hAnsi="Times New Roman" w:cs="Times New Roman" w:eastAsia="Times New Roman" w:hint="default"/>
          <w:spacing w:val="-2"/>
        </w:rPr>
        <w:t>”</w:t>
      </w:r>
      <w:r>
        <w:rPr>
          <w:spacing w:val="-2"/>
        </w:rPr>
        <w:t>的规定，对于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日前发</w:t>
      </w:r>
      <w:r>
        <w:rPr>
          <w:spacing w:val="-48"/>
        </w:rPr>
        <w:t> </w:t>
      </w:r>
      <w:r>
        <w:rPr>
          <w:spacing w:val="-48"/>
        </w:rPr>
      </w:r>
      <w:r>
        <w:rPr/>
        <w:t>出的融资机和合作机（发机时已做进项税额转出）所产生的租金收入和手续费收入选择使用</w:t>
      </w:r>
      <w:r>
        <w:rPr>
          <w:rFonts w:ascii="Times New Roman" w:hAnsi="Times New Roman" w:cs="Times New Roman" w:eastAsia="Times New Roman" w:hint="default"/>
        </w:rPr>
        <w:t>3%</w:t>
      </w:r>
      <w:r>
        <w:rPr/>
        <w:t>的简易征收率计算并缴纳增 值税。本年度按</w:t>
      </w:r>
      <w:r>
        <w:rPr>
          <w:rFonts w:ascii="Times New Roman" w:hAnsi="Times New Roman" w:cs="Times New Roman" w:eastAsia="Times New Roman" w:hint="default"/>
        </w:rPr>
        <w:t>3%</w:t>
      </w:r>
      <w:r>
        <w:rPr/>
        <w:t>简易征收率计算并缴纳增值税的租金收入和手续费收入为</w:t>
      </w:r>
      <w:r>
        <w:rPr>
          <w:rFonts w:ascii="Times New Roman" w:hAnsi="Times New Roman" w:cs="Times New Roman" w:eastAsia="Times New Roman" w:hint="default"/>
        </w:rPr>
        <w:t>27,793,970.94</w:t>
      </w:r>
      <w:r>
        <w:rPr/>
        <w:t>元。</w:t>
      </w:r>
    </w:p>
    <w:p>
      <w:pPr>
        <w:pStyle w:val="BodyText"/>
        <w:spacing w:line="300" w:lineRule="auto" w:before="13"/>
        <w:ind w:right="1127" w:firstLine="360"/>
        <w:jc w:val="both"/>
      </w:pPr>
      <w:r>
        <w:rPr>
          <w:spacing w:val="-5"/>
        </w:rPr>
        <w:t>依据国家税务总局关于发布《纳税人提供不动产经营租赁服务增值税征收管理暂行办法》的公告（国家税务总局公告</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spacing w:val="-1"/>
        </w:rPr>
        <w:t>年第</w:t>
      </w:r>
      <w:r>
        <w:rPr>
          <w:rFonts w:ascii="Times New Roman" w:hAnsi="Times New Roman" w:cs="Times New Roman" w:eastAsia="Times New Roman" w:hint="default"/>
          <w:spacing w:val="-1"/>
        </w:rPr>
        <w:t>16</w:t>
      </w:r>
      <w:r>
        <w:rPr>
          <w:spacing w:val="-1"/>
        </w:rPr>
        <w:t>号），一般纳税人出租其</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日前取得的不动产，可以选择适用简易计税方法，按照</w:t>
      </w:r>
      <w:r>
        <w:rPr>
          <w:rFonts w:ascii="Times New Roman" w:hAnsi="Times New Roman" w:cs="Times New Roman" w:eastAsia="Times New Roman" w:hint="default"/>
          <w:spacing w:val="-1"/>
        </w:rPr>
        <w:t>5%</w:t>
      </w:r>
      <w:r>
        <w:rPr>
          <w:spacing w:val="-1"/>
        </w:rPr>
        <w:t>的征收率计算应纳税</w:t>
      </w:r>
      <w:r>
        <w:rPr>
          <w:spacing w:val="-88"/>
        </w:rPr>
        <w:t> </w:t>
      </w:r>
      <w:r>
        <w:rPr/>
        <w:t>额。</w:t>
      </w:r>
    </w:p>
    <w:p>
      <w:pPr>
        <w:pStyle w:val="BodyText"/>
        <w:spacing w:line="300" w:lineRule="auto" w:before="31"/>
        <w:ind w:right="1144" w:firstLine="36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日获得《高新技术企业证书》（证书编号为</w:t>
      </w:r>
      <w:r>
        <w:rPr>
          <w:rFonts w:ascii="Times New Roman" w:hAnsi="Times New Roman" w:cs="Times New Roman" w:eastAsia="Times New Roman" w:hint="default"/>
        </w:rPr>
        <w:t>GR201744010794</w:t>
      </w:r>
      <w:r>
        <w:rPr/>
        <w:t>），有效期为三年。按照《企业 所得税法》等相关法规规定，自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00" w:lineRule="auto" w:before="13"/>
        <w:ind w:right="1107" w:firstLine="360"/>
        <w:jc w:val="both"/>
      </w:pPr>
      <w:r>
        <w:rPr>
          <w:rFonts w:ascii="Times New Roman" w:hAnsi="Times New Roman" w:cs="Times New Roman" w:eastAsia="Times New Roman" w:hint="default"/>
          <w:spacing w:val="-7"/>
          <w:w w:val="99"/>
        </w:rPr>
        <w:t>*3</w:t>
      </w:r>
      <w:r>
        <w:rPr>
          <w:spacing w:val="-7"/>
          <w:w w:val="99"/>
        </w:rPr>
        <w:t>：公司全资子公司广州御新软件有限公司于</w:t>
      </w:r>
      <w:r>
        <w:rPr>
          <w:rFonts w:ascii="Times New Roman" w:hAnsi="Times New Roman" w:cs="Times New Roman" w:eastAsia="Times New Roman" w:hint="default"/>
          <w:spacing w:val="-7"/>
          <w:w w:val="99"/>
        </w:rPr>
        <w:t>2017</w:t>
      </w:r>
      <w:r>
        <w:rPr>
          <w:spacing w:val="-7"/>
          <w:w w:val="99"/>
        </w:rPr>
        <w:t>年</w:t>
      </w:r>
      <w:r>
        <w:rPr>
          <w:rFonts w:ascii="Times New Roman" w:hAnsi="Times New Roman" w:cs="Times New Roman" w:eastAsia="Times New Roman" w:hint="default"/>
          <w:spacing w:val="-7"/>
          <w:w w:val="99"/>
        </w:rPr>
        <w:t>11</w:t>
      </w:r>
      <w:r>
        <w:rPr>
          <w:spacing w:val="-7"/>
          <w:w w:val="99"/>
        </w:rPr>
        <w:t>月</w:t>
      </w:r>
      <w:r>
        <w:rPr>
          <w:rFonts w:ascii="Times New Roman" w:hAnsi="Times New Roman" w:cs="Times New Roman" w:eastAsia="Times New Roman" w:hint="default"/>
          <w:spacing w:val="-7"/>
          <w:w w:val="99"/>
        </w:rPr>
        <w:t>9</w:t>
      </w:r>
      <w:r>
        <w:rPr>
          <w:spacing w:val="-7"/>
          <w:w w:val="99"/>
        </w:rPr>
        <w:t>日获得《高新技术企业证书》（证书编号为</w:t>
      </w:r>
      <w:r>
        <w:rPr>
          <w:rFonts w:ascii="Times New Roman" w:hAnsi="Times New Roman" w:cs="Times New Roman" w:eastAsia="Times New Roman" w:hint="default"/>
          <w:spacing w:val="-7"/>
          <w:w w:val="99"/>
        </w:rPr>
        <w:t>GR201744000761</w:t>
      </w:r>
      <w:r>
        <w:rPr>
          <w:spacing w:val="-7"/>
          <w:w w:val="99"/>
        </w:rPr>
        <w:t>），</w:t>
      </w:r>
      <w:r>
        <w:rPr>
          <w:spacing w:val="-68"/>
        </w:rPr>
        <w:t> </w:t>
      </w:r>
      <w:r>
        <w:rPr>
          <w:spacing w:val="-4"/>
        </w:rPr>
        <w:t>有效期为三年。按照《企业所得税法》等相关法规规定，自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日三年内享受国家高新技术企业</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的所得税税率。</w:t>
      </w:r>
    </w:p>
    <w:p>
      <w:pPr>
        <w:pStyle w:val="BodyText"/>
        <w:spacing w:line="300" w:lineRule="auto" w:before="31"/>
        <w:ind w:right="1144" w:firstLine="360"/>
        <w:jc w:val="left"/>
      </w:pPr>
      <w:r>
        <w:rPr>
          <w:rFonts w:ascii="Times New Roman" w:hAnsi="Times New Roman" w:cs="Times New Roman" w:eastAsia="Times New Roman" w:hint="default"/>
        </w:rPr>
        <w:t>*4</w:t>
      </w:r>
      <w:r>
        <w:rPr/>
        <w:t>：公司全资子公司广州御银自动柜员机技术有限公司于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日获得《高新技术企业证书》（证书编号为 </w:t>
      </w:r>
      <w:r>
        <w:rPr>
          <w:rFonts w:ascii="Times New Roman" w:hAnsi="Times New Roman" w:cs="Times New Roman" w:eastAsia="Times New Roman" w:hint="default"/>
        </w:rPr>
        <w:t>GR201744005887</w:t>
      </w:r>
      <w:r>
        <w:rPr/>
        <w:t>），有效期为三年。按照《企业所得税法》等相关法规规定，自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 受国家高新技术企业</w:t>
      </w:r>
      <w:r>
        <w:rPr>
          <w:rFonts w:ascii="Times New Roman" w:hAnsi="Times New Roman" w:cs="Times New Roman" w:eastAsia="Times New Roman" w:hint="default"/>
        </w:rPr>
        <w:t>15%</w:t>
      </w:r>
      <w:r>
        <w:rPr/>
        <w:t>的所得税税率。</w:t>
      </w:r>
    </w:p>
    <w:p>
      <w:pPr>
        <w:pStyle w:val="BodyText"/>
        <w:spacing w:line="300" w:lineRule="auto" w:before="13"/>
        <w:ind w:right="1144" w:firstLine="360"/>
        <w:jc w:val="left"/>
      </w:pPr>
      <w:r>
        <w:rPr>
          <w:rFonts w:ascii="Times New Roman" w:hAnsi="Times New Roman" w:cs="Times New Roman" w:eastAsia="Times New Roman" w:hint="default"/>
        </w:rPr>
        <w:t>*5</w:t>
      </w:r>
      <w:r>
        <w:rPr/>
        <w:t>：公司全资子公司广州御银自动柜员机科技有限公司于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日获得《高新技术企业证书》（证书编号为 </w:t>
      </w:r>
      <w:r>
        <w:rPr>
          <w:rFonts w:ascii="Times New Roman" w:hAnsi="Times New Roman" w:cs="Times New Roman" w:eastAsia="Times New Roman" w:hint="default"/>
        </w:rPr>
        <w:t>GR201644003558</w:t>
      </w:r>
      <w:r>
        <w:rPr/>
        <w:t>），有效期为三年。按照《企业所得税法》等相关法规规定，自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 受国家高新技术企业</w:t>
      </w:r>
      <w:r>
        <w:rPr>
          <w:rFonts w:ascii="Times New Roman" w:hAnsi="Times New Roman" w:cs="Times New Roman" w:eastAsia="Times New Roman" w:hint="default"/>
        </w:rPr>
        <w:t>15%</w:t>
      </w:r>
      <w:r>
        <w:rPr/>
        <w:t>的所得税税率。</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142,397.73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1,667,609.81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67,337,114.22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160,728,710.86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19,461,849.10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4,764,935.08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86,941,361.05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167,161,255.75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359,765.05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326,506.44</w:t>
            </w:r>
          </w:p>
        </w:tc>
      </w:tr>
    </w:tbl>
    <w:p>
      <w:pPr>
        <w:pStyle w:val="BodyText"/>
        <w:spacing w:line="357" w:lineRule="auto" w:before="49"/>
        <w:ind w:right="2834"/>
        <w:jc w:val="left"/>
      </w:pPr>
      <w:r>
        <w:rPr/>
        <w:t>其他说明 其中因抵押、质押或冻结等对使用有限制，以及放在境外且资金汇回受到限制的货币资金明细如下：</w:t>
      </w:r>
    </w:p>
    <w:tbl>
      <w:tblPr>
        <w:tblW w:w="0" w:type="auto"/>
        <w:jc w:val="left"/>
        <w:tblInd w:w="145" w:type="dxa"/>
        <w:tblLayout w:type="fixed"/>
        <w:tblCellMar>
          <w:top w:w="0" w:type="dxa"/>
          <w:left w:w="0" w:type="dxa"/>
          <w:bottom w:w="0" w:type="dxa"/>
          <w:right w:w="0" w:type="dxa"/>
        </w:tblCellMar>
        <w:tblLook w:val="01E0"/>
      </w:tblPr>
      <w:tblGrid>
        <w:gridCol w:w="3242"/>
        <w:gridCol w:w="3059"/>
        <w:gridCol w:w="3241"/>
      </w:tblGrid>
      <w:tr>
        <w:trPr>
          <w:trHeight w:val="335" w:hRule="exact"/>
        </w:trPr>
        <w:tc>
          <w:tcPr>
            <w:tcW w:w="32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2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59"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2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121.08</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133.79</w:t>
            </w:r>
          </w:p>
        </w:tc>
      </w:tr>
      <w:tr>
        <w:trPr>
          <w:trHeight w:val="427" w:hRule="exact"/>
        </w:trPr>
        <w:tc>
          <w:tcPr>
            <w:tcW w:w="32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059"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32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3059"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32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放在境外且资金汇回受到限制的款项</w:t>
            </w:r>
          </w:p>
        </w:tc>
        <w:tc>
          <w:tcPr>
            <w:tcW w:w="3059"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05" w:type="dxa"/>
        <w:tblLayout w:type="fixed"/>
        <w:tblCellMar>
          <w:top w:w="0" w:type="dxa"/>
          <w:left w:w="0" w:type="dxa"/>
          <w:bottom w:w="0" w:type="dxa"/>
          <w:right w:w="0" w:type="dxa"/>
        </w:tblCellMar>
        <w:tblLook w:val="01E0"/>
      </w:tblPr>
      <w:tblGrid>
        <w:gridCol w:w="3241"/>
        <w:gridCol w:w="3060"/>
        <w:gridCol w:w="3241"/>
      </w:tblGrid>
      <w:tr>
        <w:trPr>
          <w:trHeight w:val="428" w:hRule="exact"/>
        </w:trPr>
        <w:tc>
          <w:tcPr>
            <w:tcW w:w="3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1,029,646.00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2,150,530.00</w:t>
            </w:r>
          </w:p>
        </w:tc>
      </w:tr>
      <w:tr>
        <w:trPr>
          <w:trHeight w:val="427" w:hRule="exact"/>
        </w:trPr>
        <w:tc>
          <w:tcPr>
            <w:tcW w:w="3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60"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1,029,767.08</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2,150,663.79</w:t>
            </w:r>
          </w:p>
        </w:tc>
      </w:tr>
    </w:tbl>
    <w:p>
      <w:pPr>
        <w:spacing w:line="240" w:lineRule="auto" w:before="3"/>
        <w:rPr>
          <w:rFonts w:ascii="宋体" w:hAnsi="宋体" w:cs="宋体" w:eastAsia="宋体" w:hint="default"/>
          <w:sz w:val="19"/>
          <w:szCs w:val="19"/>
        </w:rPr>
      </w:pPr>
    </w:p>
    <w:p>
      <w:pPr>
        <w:pStyle w:val="Heading3"/>
        <w:spacing w:line="240" w:lineRule="auto" w:before="36"/>
        <w:ind w:left="1012"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2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385,842,757.48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316,301,656.72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385,842,757.48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316,301,656.72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385,842,757.48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316,301,656.72</w:t>
            </w:r>
          </w:p>
        </w:tc>
      </w:tr>
    </w:tbl>
    <w:p>
      <w:pPr>
        <w:spacing w:line="240" w:lineRule="auto" w:before="3"/>
        <w:rPr>
          <w:rFonts w:ascii="宋体" w:hAnsi="宋体" w:cs="宋体" w:eastAsia="宋体" w:hint="default"/>
          <w:sz w:val="19"/>
          <w:szCs w:val="19"/>
        </w:rPr>
      </w:pPr>
    </w:p>
    <w:p>
      <w:pPr>
        <w:pStyle w:val="Heading3"/>
        <w:spacing w:line="240" w:lineRule="auto" w:before="36"/>
        <w:ind w:left="1012"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012"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2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98,821,593.67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169,690,788.64</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98,821,593.67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169,690,788.64</w:t>
            </w:r>
          </w:p>
        </w:tc>
      </w:tr>
    </w:tbl>
    <w:p>
      <w:pPr>
        <w:spacing w:line="240" w:lineRule="auto" w:before="3"/>
        <w:rPr>
          <w:rFonts w:ascii="宋体" w:hAnsi="宋体" w:cs="宋体" w:eastAsia="宋体" w:hint="default"/>
          <w:sz w:val="19"/>
          <w:szCs w:val="19"/>
        </w:rPr>
      </w:pPr>
    </w:p>
    <w:p>
      <w:pPr>
        <w:pStyle w:val="Heading3"/>
        <w:spacing w:line="240" w:lineRule="auto" w:before="36"/>
        <w:ind w:left="1012"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012"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418"/>
        <w:gridCol w:w="1271"/>
        <w:gridCol w:w="720"/>
        <w:gridCol w:w="1081"/>
        <w:gridCol w:w="540"/>
        <w:gridCol w:w="1260"/>
        <w:gridCol w:w="1260"/>
        <w:gridCol w:w="720"/>
        <w:gridCol w:w="1261"/>
        <w:gridCol w:w="720"/>
        <w:gridCol w:w="1260"/>
      </w:tblGrid>
      <w:tr>
        <w:trPr>
          <w:trHeight w:val="39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8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vMerge w:val="restart"/>
            <w:tcBorders>
              <w:top w:val="single" w:sz="4" w:space="0" w:color="000000"/>
              <w:left w:val="single" w:sz="4" w:space="0" w:color="000000"/>
              <w:right w:val="single" w:sz="4" w:space="0" w:color="000000"/>
            </w:tcBorders>
            <w:shd w:val="clear" w:color="auto" w:fill="D2D2D2"/>
          </w:tcPr>
          <w:p>
            <w:pPr/>
          </w:p>
        </w:tc>
        <w:tc>
          <w:tcPr>
            <w:tcW w:w="19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91" w:type="dxa"/>
            <w:gridSpan w:val="2"/>
            <w:vMerge/>
            <w:tcBorders>
              <w:left w:val="single" w:sz="4" w:space="0" w:color="000000"/>
              <w:bottom w:val="single" w:sz="4" w:space="0" w:color="000000"/>
              <w:right w:val="single" w:sz="4" w:space="0" w:color="000000"/>
            </w:tcBorders>
            <w:shd w:val="clear" w:color="auto" w:fill="D2D2D2"/>
          </w:tcPr>
          <w:p>
            <w:pPr/>
          </w:p>
        </w:tc>
        <w:tc>
          <w:tcPr>
            <w:tcW w:w="1621" w:type="dxa"/>
            <w:gridSpan w:val="2"/>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980" w:type="dxa"/>
            <w:gridSpan w:val="2"/>
            <w:vMerge/>
            <w:tcBorders>
              <w:left w:val="single" w:sz="4" w:space="0" w:color="000000"/>
              <w:bottom w:val="single" w:sz="4" w:space="0" w:color="000000"/>
              <w:right w:val="single" w:sz="4" w:space="0" w:color="000000"/>
            </w:tcBorders>
            <w:shd w:val="clear" w:color="auto" w:fill="D2D2D2"/>
          </w:tcPr>
          <w:p>
            <w:pPr/>
          </w:p>
        </w:tc>
        <w:tc>
          <w:tcPr>
            <w:tcW w:w="1981" w:type="dxa"/>
            <w:gridSpan w:val="2"/>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0"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18" w:type="dxa"/>
            <w:vMerge/>
            <w:tcBorders>
              <w:left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3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108,067,217.17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9,245,623.50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98,821,593.67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185,689,274.02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15,998,485.38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169,690,788.64</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4"/>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1271" w:type="dxa"/>
            <w:tcBorders>
              <w:top w:val="single" w:sz="4" w:space="0" w:color="000000"/>
              <w:left w:val="single" w:sz="12" w:space="0" w:color="D2D2D2"/>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3,925,900.00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3,925,900.00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108,067,217.17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9,245,623.50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98,821,593.67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189,615,174.02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19,924,385.38</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169,690,788.64</w:t>
            </w:r>
          </w:p>
        </w:tc>
      </w:tr>
    </w:tbl>
    <w:p>
      <w:pPr>
        <w:pStyle w:val="BodyText"/>
        <w:spacing w:line="240" w:lineRule="auto" w:before="49"/>
        <w:ind w:left="1012" w:right="0"/>
        <w:jc w:val="left"/>
      </w:pPr>
      <w:r>
        <w:rPr/>
        <w:t>期末单项金额重大并单项计提坏账准备的应收账款：</w:t>
      </w:r>
    </w:p>
    <w:p>
      <w:pPr>
        <w:spacing w:after="0" w:line="240" w:lineRule="auto"/>
        <w:jc w:val="left"/>
        <w:sectPr>
          <w:pgSz w:w="11910" w:h="16840"/>
          <w:pgMar w:header="745" w:footer="980" w:top="1060" w:bottom="1160" w:left="12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74,536,828.66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3,726,841.43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28,858,968.43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2,885,896.84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3,928,482.13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1,964,241.07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742,937.95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668,644.16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108,067,217.17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9,245,623.50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48" w:lineRule="auto" w:before="49"/>
        <w:ind w:right="1959"/>
        <w:jc w:val="left"/>
      </w:pPr>
      <w:r>
        <w:rPr/>
        <w:t>确定该组合依据的说明： 详见财务报告五、</w:t>
      </w:r>
      <w:r>
        <w:rPr>
          <w:rFonts w:ascii="Times New Roman" w:hAnsi="Times New Roman" w:cs="Times New Roman" w:eastAsia="Times New Roman" w:hint="default"/>
        </w:rPr>
        <w:t>10</w:t>
      </w:r>
      <w:r>
        <w:rPr/>
        <w:t>应收款项坏账准备。 组合中，采用余额百分比法计提坏账准备的应收账款：</w:t>
      </w:r>
    </w:p>
    <w:p>
      <w:pPr>
        <w:pStyle w:val="BodyText"/>
        <w:spacing w:line="350" w:lineRule="auto" w:before="34"/>
        <w:ind w:right="23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9"/>
        <w:ind w:right="-11"/>
        <w:jc w:val="left"/>
      </w:pPr>
      <w:r>
        <w:rPr/>
        <w:t>本期计提坏账准备金额</w:t>
      </w:r>
      <w:r>
        <w:rPr>
          <w:spacing w:val="-48"/>
        </w:rPr>
        <w:t> </w:t>
      </w:r>
      <w:r>
        <w:rPr>
          <w:rFonts w:ascii="Times New Roman" w:hAnsi="Times New Roman" w:cs="Times New Roman" w:eastAsia="Times New Roman" w:hint="default"/>
        </w:rPr>
        <w:t>3,112,745.67</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959"/>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52" w:space="2377"/>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21"/>
        <w:gridCol w:w="5319"/>
      </w:tblGrid>
      <w:tr>
        <w:trPr>
          <w:trHeight w:val="402" w:hRule="exact"/>
        </w:trPr>
        <w:tc>
          <w:tcPr>
            <w:tcW w:w="4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13,791,507.55</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1133"/>
        <w:gridCol w:w="1277"/>
        <w:gridCol w:w="1558"/>
        <w:gridCol w:w="2127"/>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款项是否由关联交易产生</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西安冠林智能科技有限公司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3,925,900.00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董事会审议通过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3,925,900.00</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700"/>
        <w:gridCol w:w="2653"/>
        <w:gridCol w:w="3219"/>
        <w:gridCol w:w="2088"/>
      </w:tblGrid>
      <w:tr>
        <w:trPr>
          <w:trHeight w:val="346" w:hRule="exact"/>
        </w:trPr>
        <w:tc>
          <w:tcPr>
            <w:tcW w:w="170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96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9" w:hRule="exact"/>
        </w:trPr>
        <w:tc>
          <w:tcPr>
            <w:tcW w:w="1700" w:type="dxa"/>
            <w:vMerge/>
            <w:tcBorders>
              <w:left w:val="single" w:sz="6" w:space="0" w:color="000000"/>
              <w:bottom w:val="single" w:sz="6" w:space="0" w:color="000000"/>
              <w:right w:val="single" w:sz="6" w:space="0" w:color="000000"/>
            </w:tcBorders>
            <w:shd w:val="clear" w:color="auto" w:fill="D9D9D9"/>
          </w:tcPr>
          <w:p>
            <w:pPr/>
          </w:p>
        </w:tc>
        <w:tc>
          <w:tcPr>
            <w:tcW w:w="26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10,387,700.31</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9.61</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1,821,340.57</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7,510,438.45</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6.95</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613,935.59</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7,047,539.64</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6.52</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352,376.98</w:t>
            </w:r>
          </w:p>
        </w:tc>
      </w:tr>
      <w:tr>
        <w:trPr>
          <w:trHeight w:val="425"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6,747,927.15</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6.24</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1,055,321.56</w:t>
            </w:r>
          </w:p>
        </w:tc>
      </w:tr>
      <w:tr>
        <w:trPr>
          <w:trHeight w:val="430"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6,220,913.59</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5.76</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311,045.68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700"/>
        <w:gridCol w:w="2653"/>
        <w:gridCol w:w="3219"/>
        <w:gridCol w:w="2088"/>
      </w:tblGrid>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603" w:right="0"/>
              <w:jc w:val="left"/>
              <w:rPr>
                <w:rFonts w:ascii="Times New Roman" w:hAnsi="Times New Roman" w:cs="Times New Roman" w:eastAsia="Times New Roman" w:hint="default"/>
                <w:sz w:val="18"/>
                <w:szCs w:val="18"/>
              </w:rPr>
            </w:pPr>
            <w:r>
              <w:rPr>
                <w:rFonts w:ascii="Times New Roman"/>
                <w:sz w:val="18"/>
              </w:rPr>
              <w:t>37,914,519.14</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35.08</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127" w:right="-1"/>
              <w:jc w:val="left"/>
              <w:rPr>
                <w:rFonts w:ascii="Times New Roman" w:hAnsi="Times New Roman" w:cs="Times New Roman" w:eastAsia="Times New Roman" w:hint="default"/>
                <w:sz w:val="18"/>
                <w:szCs w:val="18"/>
              </w:rPr>
            </w:pPr>
            <w:r>
              <w:rPr>
                <w:rFonts w:ascii="Times New Roman"/>
                <w:sz w:val="18"/>
              </w:rPr>
              <w:t>4,154,020.38</w:t>
            </w:r>
          </w:p>
        </w:tc>
      </w:tr>
    </w:tbl>
    <w:p>
      <w:pPr>
        <w:pStyle w:val="BodyText"/>
        <w:spacing w:line="240" w:lineRule="auto" w:before="49"/>
        <w:ind w:right="1133"/>
        <w:jc w:val="left"/>
      </w:pPr>
      <w:r>
        <w:rPr>
          <w:rFonts w:ascii="Times New Roman" w:hAnsi="Times New Roman" w:cs="Times New Roman" w:eastAsia="Times New Roman" w:hint="default"/>
        </w:rPr>
        <w:t>5)</w:t>
      </w:r>
      <w:r>
        <w:rPr/>
        <w:t>本期无因金融资产转移而终止确认的应收账款</w:t>
      </w:r>
    </w:p>
    <w:p>
      <w:pPr>
        <w:pStyle w:val="BodyText"/>
        <w:spacing w:line="240" w:lineRule="auto" w:before="101"/>
        <w:ind w:right="113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2"/>
        </w:rPr>
        <w:t> </w:t>
      </w:r>
      <w:r>
        <w:rPr/>
        <w:t>本报告期无转移应收账款且继续涉入形成的资产、负债金额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716,866.25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10,683,506.61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128,497.56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845,363.81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10,683,506.61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703"/>
        <w:gridCol w:w="3245"/>
        <w:gridCol w:w="3605"/>
      </w:tblGrid>
      <w:tr>
        <w:trPr>
          <w:trHeight w:val="348" w:hRule="exact"/>
        </w:trPr>
        <w:tc>
          <w:tcPr>
            <w:tcW w:w="27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46"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r>
      <w:tr>
        <w:trPr>
          <w:trHeight w:val="427" w:hRule="exact"/>
        </w:trPr>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238,506.00</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28.21</w:t>
            </w:r>
          </w:p>
        </w:tc>
      </w:tr>
      <w:tr>
        <w:trPr>
          <w:trHeight w:val="427" w:hRule="exact"/>
        </w:trPr>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148,698.18</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17.59</w:t>
            </w:r>
          </w:p>
        </w:tc>
      </w:tr>
      <w:tr>
        <w:trPr>
          <w:trHeight w:val="425" w:hRule="exact"/>
        </w:trPr>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122,307.70</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14.47</w:t>
            </w:r>
          </w:p>
        </w:tc>
      </w:tr>
      <w:tr>
        <w:trPr>
          <w:trHeight w:val="427" w:hRule="exact"/>
        </w:trPr>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114,119.99</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13.50</w:t>
            </w:r>
          </w:p>
        </w:tc>
      </w:tr>
      <w:tr>
        <w:trPr>
          <w:trHeight w:val="427" w:hRule="exact"/>
        </w:trPr>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44,984.84</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5.32</w:t>
            </w:r>
          </w:p>
        </w:tc>
      </w:tr>
      <w:tr>
        <w:trPr>
          <w:trHeight w:val="427" w:hRule="exact"/>
        </w:trPr>
        <w:tc>
          <w:tcPr>
            <w:tcW w:w="27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668,616.71</w:t>
            </w:r>
          </w:p>
        </w:tc>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79.09</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6,866,623.24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14,811,955.75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6,866,623.24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14,811,955.75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1431"/>
        <w:gridCol w:w="1080"/>
        <w:gridCol w:w="720"/>
        <w:gridCol w:w="1078"/>
        <w:gridCol w:w="902"/>
        <w:gridCol w:w="1078"/>
        <w:gridCol w:w="1260"/>
        <w:gridCol w:w="720"/>
        <w:gridCol w:w="1081"/>
        <w:gridCol w:w="900"/>
        <w:gridCol w:w="1260"/>
      </w:tblGrid>
      <w:tr>
        <w:trPr>
          <w:trHeight w:val="402"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4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8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31" w:type="dxa"/>
            <w:vMerge/>
            <w:tcBorders>
              <w:left w:val="single" w:sz="4" w:space="0" w:color="000000"/>
              <w:bottom w:val="nil" w:sz="6" w:space="0" w:color="auto"/>
              <w:right w:val="single" w:sz="4" w:space="0" w:color="000000"/>
            </w:tcBorders>
            <w:shd w:val="clear" w:color="auto" w:fill="D2D2D2"/>
          </w:tcPr>
          <w:p>
            <w:pPr/>
          </w:p>
        </w:tc>
        <w:tc>
          <w:tcPr>
            <w:tcW w:w="1800" w:type="dxa"/>
            <w:gridSpan w:val="2"/>
            <w:vMerge/>
            <w:tcBorders>
              <w:left w:val="single" w:sz="4" w:space="0" w:color="000000"/>
              <w:bottom w:val="single" w:sz="4" w:space="0" w:color="000000"/>
              <w:right w:val="single" w:sz="4" w:space="0" w:color="000000"/>
            </w:tcBorders>
            <w:shd w:val="clear" w:color="auto" w:fill="D2D2D2"/>
          </w:tcPr>
          <w:p>
            <w:pPr/>
          </w:p>
        </w:tc>
        <w:tc>
          <w:tcPr>
            <w:tcW w:w="1981" w:type="dxa"/>
            <w:gridSpan w:val="2"/>
            <w:vMerge/>
            <w:tcBorders>
              <w:left w:val="single" w:sz="4" w:space="0" w:color="000000"/>
              <w:bottom w:val="single" w:sz="4" w:space="0" w:color="000000"/>
              <w:right w:val="single" w:sz="4" w:space="0" w:color="000000"/>
            </w:tcBorders>
            <w:shd w:val="clear" w:color="auto" w:fill="D2D2D2"/>
          </w:tcPr>
          <w:p>
            <w:pPr/>
          </w:p>
        </w:tc>
        <w:tc>
          <w:tcPr>
            <w:tcW w:w="1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0" w:type="dxa"/>
            <w:gridSpan w:val="2"/>
            <w:vMerge/>
            <w:tcBorders>
              <w:left w:val="single" w:sz="4" w:space="0" w:color="000000"/>
              <w:bottom w:val="single" w:sz="4" w:space="0" w:color="000000"/>
              <w:right w:val="single" w:sz="4" w:space="0" w:color="000000"/>
            </w:tcBorders>
            <w:shd w:val="clear" w:color="auto" w:fill="D2D2D2"/>
          </w:tcPr>
          <w:p>
            <w:pPr/>
          </w:p>
        </w:tc>
        <w:tc>
          <w:tcPr>
            <w:tcW w:w="1981" w:type="dxa"/>
            <w:gridSpan w:val="2"/>
            <w:vMerge/>
            <w:tcBorders>
              <w:left w:val="single" w:sz="4" w:space="0" w:color="000000"/>
              <w:bottom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431" w:type="dxa"/>
            <w:vMerge w:val="restart"/>
            <w:tcBorders>
              <w:top w:val="nil" w:sz="6" w:space="0" w:color="auto"/>
              <w:left w:val="single" w:sz="4" w:space="0" w:color="000000"/>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078" w:type="dxa"/>
            <w:vMerge/>
            <w:tcBorders>
              <w:left w:val="single" w:sz="4" w:space="0" w:color="000000"/>
              <w:bottom w:val="nil" w:sz="6" w:space="0" w:color="auto"/>
              <w:right w:val="single" w:sz="4" w:space="0" w:color="000000"/>
            </w:tcBorders>
            <w:shd w:val="clear" w:color="auto" w:fill="D2D2D2"/>
          </w:tcPr>
          <w:p>
            <w:pP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6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c>
          <w:tcPr>
            <w:tcW w:w="1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8,329,783.82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1,463,160.58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17.57%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6,866,623.24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17,430,160.52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2,618,204.77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15.02%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14,811,955.75</w:t>
            </w: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8,329,783.82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1,463,160.58</w:t>
            </w:r>
          </w:p>
        </w:tc>
        <w:tc>
          <w:tcPr>
            <w:tcW w:w="90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6,866,623.24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17,430,160.52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2,618,204.77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14,811,955.75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20" w:right="0"/>
        </w:sectPr>
      </w:pPr>
    </w:p>
    <w:p>
      <w:pPr>
        <w:pStyle w:val="BodyText"/>
        <w:spacing w:line="240" w:lineRule="auto" w:before="49"/>
        <w:ind w:left="1012" w:right="-20"/>
        <w:jc w:val="left"/>
      </w:pPr>
      <w:r>
        <w:rPr/>
        <w:t>期末单项金额重大并单项计提坏账准备的其他应收款：</w:t>
      </w:r>
    </w:p>
    <w:p>
      <w:pPr>
        <w:pStyle w:val="BodyText"/>
        <w:spacing w:line="340" w:lineRule="auto" w:before="115"/>
        <w:ind w:left="101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left="10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994" w:right="1112"/>
        <w:jc w:val="center"/>
      </w:pPr>
      <w:r>
        <w:rPr/>
        <w:t>单位：</w:t>
      </w:r>
      <w:r>
        <w:rPr>
          <w:spacing w:val="1"/>
        </w:rPr>
        <w:t> </w:t>
      </w:r>
      <w:r>
        <w:rPr/>
        <w:t>元</w:t>
      </w:r>
    </w:p>
    <w:p>
      <w:pPr>
        <w:spacing w:after="0" w:line="240" w:lineRule="auto"/>
        <w:jc w:val="center"/>
        <w:sectPr>
          <w:type w:val="continuous"/>
          <w:pgSz w:w="11910" w:h="16840"/>
          <w:pgMar w:top="1060" w:bottom="1160" w:left="120" w:right="0"/>
          <w:cols w:num="2" w:equalWidth="0">
            <w:col w:w="5333" w:space="3496"/>
            <w:col w:w="2961"/>
          </w:cols>
        </w:sectPr>
      </w:pPr>
    </w:p>
    <w:p>
      <w:pPr>
        <w:spacing w:line="240" w:lineRule="auto" w:before="4"/>
        <w:rPr>
          <w:rFonts w:ascii="宋体" w:hAnsi="宋体" w:cs="宋体" w:eastAsia="宋体" w:hint="default"/>
          <w:sz w:val="8"/>
          <w:szCs w:val="8"/>
        </w:rPr>
      </w:pPr>
    </w:p>
    <w:tbl>
      <w:tblPr>
        <w:tblW w:w="0" w:type="auto"/>
        <w:jc w:val="left"/>
        <w:tblInd w:w="102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4,376,440.70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218,822.03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1,500,670.60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150,067.06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423,821.00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211,910.50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980,401.10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882,360.99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7,281,333.40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1,463,160.58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20" w:right="0"/>
        </w:sectPr>
      </w:pPr>
    </w:p>
    <w:p>
      <w:pPr>
        <w:pStyle w:val="BodyText"/>
        <w:spacing w:line="348" w:lineRule="auto" w:before="49"/>
        <w:ind w:left="1012" w:right="-20"/>
        <w:jc w:val="left"/>
      </w:pPr>
      <w:r>
        <w:rPr/>
        <w:t>确定该组合依据的说明： 详见财务报告五、</w:t>
      </w:r>
      <w:r>
        <w:rPr>
          <w:rFonts w:ascii="Times New Roman" w:hAnsi="Times New Roman" w:cs="Times New Roman" w:eastAsia="Times New Roman" w:hint="default"/>
        </w:rPr>
        <w:t>10</w:t>
      </w:r>
      <w:r>
        <w:rPr/>
        <w:t>应收票据及应收账款。 组合中，采用余额百分比法计提坏账准备的其他应收款：</w:t>
      </w:r>
    </w:p>
    <w:p>
      <w:pPr>
        <w:pStyle w:val="BodyText"/>
        <w:spacing w:line="240" w:lineRule="auto" w:before="34"/>
        <w:ind w:left="10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994" w:right="1112"/>
        <w:jc w:val="center"/>
      </w:pPr>
      <w:r>
        <w:rPr/>
        <w:t>单位：</w:t>
      </w:r>
      <w:r>
        <w:rPr>
          <w:spacing w:val="1"/>
        </w:rPr>
        <w:t> </w:t>
      </w:r>
      <w:r>
        <w:rPr/>
        <w:t>元</w:t>
      </w:r>
    </w:p>
    <w:p>
      <w:pPr>
        <w:spacing w:after="0" w:line="240" w:lineRule="auto"/>
        <w:jc w:val="center"/>
        <w:sectPr>
          <w:type w:val="continuous"/>
          <w:pgSz w:w="11910" w:h="16840"/>
          <w:pgMar w:top="1060" w:bottom="1160" w:left="120" w:right="0"/>
          <w:cols w:num="2" w:equalWidth="0">
            <w:col w:w="5513" w:space="3316"/>
            <w:col w:w="2961"/>
          </w:cols>
        </w:sectPr>
      </w:pPr>
    </w:p>
    <w:p>
      <w:pPr>
        <w:spacing w:line="240" w:lineRule="auto" w:before="4"/>
        <w:rPr>
          <w:rFonts w:ascii="宋体" w:hAnsi="宋体" w:cs="宋体" w:eastAsia="宋体" w:hint="default"/>
          <w:sz w:val="8"/>
          <w:szCs w:val="8"/>
        </w:rPr>
      </w:pPr>
    </w:p>
    <w:tbl>
      <w:tblPr>
        <w:tblW w:w="0" w:type="auto"/>
        <w:jc w:val="left"/>
        <w:tblInd w:w="10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1,048,450.42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1,048,450.42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20" w:right="0"/>
        </w:sectPr>
      </w:pPr>
    </w:p>
    <w:p>
      <w:pPr>
        <w:pStyle w:val="BodyText"/>
        <w:spacing w:line="348" w:lineRule="auto" w:before="49"/>
        <w:ind w:left="1012" w:right="2161"/>
        <w:jc w:val="left"/>
      </w:pPr>
      <w:r>
        <w:rPr/>
        <w:t>确定该组合依据的说明： 详见财务报告五、</w:t>
      </w:r>
      <w:r>
        <w:rPr>
          <w:rFonts w:ascii="Times New Roman" w:hAnsi="Times New Roman" w:cs="Times New Roman" w:eastAsia="Times New Roman" w:hint="default"/>
        </w:rPr>
        <w:t>10</w:t>
      </w:r>
      <w:r>
        <w:rPr/>
        <w:t>应收票据及应收账款。 组合中，采用其他方法计提坏账准备的其他应收款：</w:t>
      </w:r>
    </w:p>
    <w:p>
      <w:pPr>
        <w:pStyle w:val="BodyText"/>
        <w:spacing w:line="240" w:lineRule="auto" w:before="36"/>
        <w:ind w:left="1012" w:right="2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012" w:right="216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left="1012" w:right="-12"/>
        <w:jc w:val="left"/>
      </w:pPr>
      <w:r>
        <w:rPr/>
        <w:t>本期计提坏账准备金额</w:t>
      </w:r>
      <w:r>
        <w:rPr>
          <w:rFonts w:ascii="Times New Roman" w:hAnsi="Times New Roman" w:cs="Times New Roman" w:eastAsia="Times New Roman" w:hint="default"/>
        </w:rPr>
        <w:t>-1,069,460.91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left="1012" w:right="2161"/>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994" w:right="1112"/>
        <w:jc w:val="center"/>
      </w:pPr>
      <w:r>
        <w:rPr/>
        <w:t>单位：</w:t>
      </w:r>
      <w:r>
        <w:rPr>
          <w:spacing w:val="1"/>
        </w:rPr>
        <w:t> </w:t>
      </w:r>
      <w:r>
        <w:rPr/>
        <w:t>元</w:t>
      </w:r>
    </w:p>
    <w:p>
      <w:pPr>
        <w:spacing w:after="0" w:line="240" w:lineRule="auto"/>
        <w:jc w:val="center"/>
        <w:sectPr>
          <w:type w:val="continuous"/>
          <w:pgSz w:w="11910" w:h="16840"/>
          <w:pgMar w:top="1060" w:bottom="1160" w:left="120" w:right="0"/>
          <w:cols w:num="2" w:equalWidth="0">
            <w:col w:w="7334" w:space="1495"/>
            <w:col w:w="2961"/>
          </w:cols>
        </w:sectPr>
      </w:pPr>
    </w:p>
    <w:p>
      <w:pPr>
        <w:spacing w:line="240" w:lineRule="auto" w:before="6"/>
        <w:rPr>
          <w:rFonts w:ascii="宋体" w:hAnsi="宋体" w:cs="宋体" w:eastAsia="宋体" w:hint="default"/>
          <w:sz w:val="28"/>
          <w:szCs w:val="28"/>
        </w:rPr>
      </w:pPr>
    </w:p>
    <w:tbl>
      <w:tblPr>
        <w:tblW w:w="0" w:type="auto"/>
        <w:jc w:val="left"/>
        <w:tblInd w:w="6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85,583.28</w:t>
            </w:r>
          </w:p>
        </w:tc>
      </w:tr>
    </w:tbl>
    <w:p>
      <w:pPr>
        <w:pStyle w:val="BodyText"/>
        <w:spacing w:line="240" w:lineRule="auto" w:before="49"/>
        <w:ind w:left="652" w:right="1042"/>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1,048,450.42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823,909.68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873,203.37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820,477.35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4,294,765.83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4,935,980.37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169,938.20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204,306.12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1,943,426.00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10,645,487.00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8,329,783.82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17,430,160.52</w:t>
            </w:r>
          </w:p>
        </w:tc>
      </w:tr>
    </w:tbl>
    <w:p>
      <w:pPr>
        <w:pStyle w:val="BodyText"/>
        <w:spacing w:line="240" w:lineRule="auto" w:before="49"/>
        <w:ind w:left="652" w:right="104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80"/>
        <w:gridCol w:w="1440"/>
        <w:gridCol w:w="1081"/>
        <w:gridCol w:w="2340"/>
        <w:gridCol w:w="3061"/>
        <w:gridCol w:w="1620"/>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占其他应收款期末余额合计数的比例</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1,048,450.42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849,422.50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42,471.13</w:t>
            </w:r>
          </w:p>
        </w:tc>
      </w:tr>
      <w:tr>
        <w:trPr>
          <w:trHeight w:val="71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453,617.40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年以内为</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56,186.40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25,490.19</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391,541.26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19,577.06</w:t>
            </w:r>
          </w:p>
        </w:tc>
      </w:tr>
      <w:tr>
        <w:trPr>
          <w:trHeight w:val="40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305,195.01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15,259.75</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3,048,226.59</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102,798.13</w:t>
            </w:r>
          </w:p>
        </w:tc>
      </w:tr>
    </w:tbl>
    <w:p>
      <w:pPr>
        <w:pStyle w:val="BodyText"/>
        <w:spacing w:line="240" w:lineRule="auto" w:before="49"/>
        <w:ind w:left="652" w:right="1042"/>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96"/>
        <w:gridCol w:w="2285"/>
        <w:gridCol w:w="2160"/>
        <w:gridCol w:w="1620"/>
        <w:gridCol w:w="2701"/>
      </w:tblGrid>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3" w:right="0"/>
              <w:jc w:val="left"/>
              <w:rPr>
                <w:rFonts w:ascii="Times New Roman" w:hAnsi="Times New Roman" w:cs="Times New Roman" w:eastAsia="Times New Roman" w:hint="default"/>
                <w:sz w:val="18"/>
                <w:szCs w:val="18"/>
              </w:rPr>
            </w:pPr>
            <w:r>
              <w:rPr>
                <w:rFonts w:ascii="Times New Roman"/>
                <w:sz w:val="18"/>
              </w:rPr>
              <w:t>1,048,450.42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652" w:right="1042"/>
        <w:jc w:val="left"/>
      </w:pPr>
      <w:r>
        <w:rPr>
          <w:rFonts w:ascii="Times New Roman" w:hAnsi="Times New Roman" w:cs="Times New Roman" w:eastAsia="Times New Roman" w:hint="default"/>
        </w:rPr>
        <w:t>7)</w:t>
      </w:r>
      <w:r>
        <w:rPr/>
        <w:t>本期无因金融资产转移而终止确认的其他应收款</w:t>
      </w:r>
    </w:p>
    <w:p>
      <w:pPr>
        <w:pStyle w:val="BodyText"/>
        <w:spacing w:line="240" w:lineRule="auto" w:before="101"/>
        <w:ind w:left="652" w:right="1042"/>
        <w:jc w:val="left"/>
      </w:pPr>
      <w:r>
        <w:rPr>
          <w:rFonts w:ascii="Times New Roman" w:hAnsi="Times New Roman" w:cs="Times New Roman" w:eastAsia="Times New Roman" w:hint="default"/>
        </w:rPr>
        <w:t>8)</w:t>
      </w:r>
      <w:r>
        <w:rPr/>
        <w:t>本期无转移其他应收款且继续涉入形成的资产、负债金额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left="652" w:right="1042"/>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480" w:right="0"/>
        </w:sectPr>
      </w:pPr>
    </w:p>
    <w:p>
      <w:pPr>
        <w:pStyle w:val="BodyText"/>
        <w:spacing w:line="316" w:lineRule="auto" w:before="44"/>
        <w:ind w:left="652" w:right="4301"/>
        <w:jc w:val="left"/>
      </w:pPr>
      <w:r>
        <w:rPr/>
        <w:t>公司是否需要遵守房地产行业的披露要求 是</w:t>
      </w:r>
    </w:p>
    <w:p>
      <w:pPr>
        <w:pStyle w:val="Heading3"/>
        <w:spacing w:line="289" w:lineRule="exact"/>
        <w:ind w:left="652" w:right="4301"/>
        <w:jc w:val="left"/>
        <w:rPr>
          <w:b w:val="0"/>
          <w:bCs w:val="0"/>
        </w:rPr>
      </w:pPr>
      <w:r>
        <w:rPr/>
        <w:t>（</w:t>
      </w:r>
      <w:r>
        <w:rPr>
          <w:rFonts w:ascii="Times New Roman" w:hAnsi="Times New Roman" w:cs="Times New Roman" w:eastAsia="Times New Roman" w:hint="default"/>
        </w:rPr>
        <w:t>1</w:t>
      </w:r>
      <w:r>
        <w:rPr/>
        <w:t>）存货分类</w:t>
      </w:r>
      <w:r>
        <w:rPr>
          <w:b w:val="0"/>
          <w:bCs w:val="0"/>
        </w:rPr>
      </w:r>
    </w:p>
    <w:p>
      <w:pPr>
        <w:pStyle w:val="BodyText"/>
        <w:spacing w:line="338" w:lineRule="auto" w:before="82"/>
        <w:ind w:left="652"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ind w:left="652" w:right="0"/>
        <w:jc w:val="left"/>
      </w:pPr>
      <w:r>
        <w:rPr/>
        <w:t>单位：</w:t>
      </w:r>
      <w:r>
        <w:rPr>
          <w:spacing w:val="1"/>
        </w:rPr>
        <w:t> </w:t>
      </w:r>
      <w:r>
        <w:rPr/>
        <w:t>元</w:t>
      </w:r>
    </w:p>
    <w:p>
      <w:pPr>
        <w:spacing w:after="0" w:line="240" w:lineRule="auto"/>
        <w:jc w:val="left"/>
        <w:sectPr>
          <w:type w:val="continuous"/>
          <w:pgSz w:w="11910" w:h="16840"/>
          <w:pgMar w:top="1060" w:bottom="1160" w:left="480" w:right="0"/>
          <w:cols w:num="2" w:equalWidth="0">
            <w:col w:w="8214" w:space="615"/>
            <w:col w:w="2601"/>
          </w:cols>
        </w:sectPr>
      </w:pPr>
    </w:p>
    <w:p>
      <w:pPr>
        <w:spacing w:line="240" w:lineRule="auto" w:before="4"/>
        <w:rPr>
          <w:rFonts w:ascii="宋体" w:hAnsi="宋体" w:cs="宋体" w:eastAsia="宋体" w:hint="default"/>
          <w:sz w:val="8"/>
          <w:szCs w:val="8"/>
        </w:rPr>
      </w:pPr>
    </w:p>
    <w:tbl>
      <w:tblPr>
        <w:tblW w:w="0" w:type="auto"/>
        <w:jc w:val="left"/>
        <w:tblInd w:w="649" w:type="dxa"/>
        <w:tblLayout w:type="fixed"/>
        <w:tblCellMar>
          <w:top w:w="0" w:type="dxa"/>
          <w:left w:w="0" w:type="dxa"/>
          <w:bottom w:w="0" w:type="dxa"/>
          <w:right w:w="0" w:type="dxa"/>
        </w:tblCellMar>
        <w:tblLook w:val="01E0"/>
      </w:tblPr>
      <w:tblGrid>
        <w:gridCol w:w="1367"/>
        <w:gridCol w:w="4103"/>
        <w:gridCol w:w="4091"/>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4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44,839,145.41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11,558,160.32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33,280,985.09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72,282,477.54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8,612,078.26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63,670,399.28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289,562.71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78,103.24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211,459.47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353,449.93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2,175.84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351,274.09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2,664,212.41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29,656.97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2,634,555.44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1,447,308.85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5,983.06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1,441,325.79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6,230,833.92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603,461.59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5,627,372.33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8,038,082.25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8,038,082.25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92,170.36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92,170.36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1,321,979.33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1,321,979.33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2,500,250.38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2,500,250.38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2,957,354.30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2,957,354.30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22,119,259.04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22,119,259.04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69,621,608.71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69,621,608.71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78,735,434.23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12,269,382.12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66,466,052.11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156,022,260.91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8,620,237.16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147,402,023.75</w:t>
            </w:r>
          </w:p>
        </w:tc>
      </w:tr>
    </w:tbl>
    <w:p>
      <w:pPr>
        <w:pStyle w:val="BodyText"/>
        <w:spacing w:line="338" w:lineRule="auto" w:before="4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57"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68"/>
        <w:gridCol w:w="1001"/>
        <w:gridCol w:w="1201"/>
        <w:gridCol w:w="1063"/>
        <w:gridCol w:w="1332"/>
        <w:gridCol w:w="1469"/>
        <w:gridCol w:w="1198"/>
        <w:gridCol w:w="10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8,612,078.26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7,954,786.18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5,008,704.12</w:t>
            </w:r>
          </w:p>
        </w:tc>
        <w:tc>
          <w:tcPr>
            <w:tcW w:w="14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11,558,160.32</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2,175.84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76,350.99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423.59</w:t>
            </w:r>
          </w:p>
        </w:tc>
        <w:tc>
          <w:tcPr>
            <w:tcW w:w="14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78,103.24</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5,983.06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27,926.95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4,253.04</w:t>
            </w:r>
          </w:p>
        </w:tc>
        <w:tc>
          <w:tcPr>
            <w:tcW w:w="14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29,656.97</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603,461.59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603,461.59</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8,620,237.16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8,662,525.71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5,013,380.75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12,269,382.12</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）本期无存货期末余额中利息资本化率的情况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）本期无期末建造合同形成的已完工未结算资产情况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13,796,260.89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34,953,392.39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13,796,260.89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34,953,392.39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82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3,055,922.11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435,170.54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647,897.38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3,241,928.62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11,034,530.77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412,641.82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天国债回购（</w:t>
            </w:r>
            <w:r>
              <w:rPr>
                <w:rFonts w:ascii="Times New Roman" w:hAnsi="Times New Roman" w:cs="Times New Roman" w:eastAsia="Times New Roman" w:hint="default"/>
                <w:sz w:val="18"/>
                <w:szCs w:val="18"/>
              </w:rPr>
              <w:t>GC003</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14,738,350.26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43,689,740.98</w:t>
            </w:r>
          </w:p>
        </w:tc>
      </w:tr>
    </w:tbl>
    <w:p>
      <w:pPr>
        <w:spacing w:line="240" w:lineRule="auto" w:before="8"/>
        <w:rPr>
          <w:rFonts w:ascii="宋体" w:hAnsi="宋体" w:cs="宋体" w:eastAsia="宋体" w:hint="default"/>
          <w:sz w:val="14"/>
          <w:szCs w:val="14"/>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832" w:right="114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84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402,791,000.00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402,791,000.00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402,791,000.00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402,791,000.00</w:t>
            </w:r>
          </w:p>
        </w:tc>
      </w:tr>
    </w:tbl>
    <w:p>
      <w:pPr>
        <w:spacing w:line="240" w:lineRule="auto" w:before="8"/>
        <w:rPr>
          <w:rFonts w:ascii="宋体" w:hAnsi="宋体" w:cs="宋体" w:eastAsia="宋体" w:hint="default"/>
          <w:sz w:val="14"/>
          <w:szCs w:val="14"/>
        </w:rPr>
      </w:pPr>
    </w:p>
    <w:p>
      <w:pPr>
        <w:pStyle w:val="Heading3"/>
        <w:spacing w:line="240" w:lineRule="auto" w:before="36"/>
        <w:ind w:left="832" w:right="1142"/>
        <w:jc w:val="left"/>
        <w:rPr>
          <w:b w:val="0"/>
          <w:bCs w:val="0"/>
        </w:rPr>
      </w:pPr>
      <w:r>
        <w:rPr/>
        <w:t>（</w:t>
      </w:r>
      <w:r>
        <w:rPr>
          <w:rFonts w:ascii="Times New Roman" w:hAnsi="Times New Roman" w:cs="Times New Roman" w:eastAsia="Times New Roman" w:hint="default"/>
        </w:rPr>
        <w:t>2</w:t>
      </w:r>
      <w:r>
        <w:rPr/>
        <w:t>）期末无按公允价值计量的可供出售金融资产</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832" w:right="1142"/>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08"/>
        <w:gridCol w:w="1258"/>
        <w:gridCol w:w="809"/>
        <w:gridCol w:w="811"/>
        <w:gridCol w:w="1275"/>
        <w:gridCol w:w="502"/>
        <w:gridCol w:w="852"/>
        <w:gridCol w:w="878"/>
        <w:gridCol w:w="519"/>
        <w:gridCol w:w="1058"/>
        <w:gridCol w:w="1212"/>
      </w:tblGrid>
      <w:tr>
        <w:trPr>
          <w:trHeight w:val="401" w:hRule="exact"/>
        </w:trPr>
        <w:tc>
          <w:tcPr>
            <w:tcW w:w="1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74" w:right="72"/>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03" w:hRule="exact"/>
        </w:trPr>
        <w:tc>
          <w:tcPr>
            <w:tcW w:w="1808" w:type="dxa"/>
            <w:vMerge/>
            <w:tcBorders>
              <w:left w:val="single" w:sz="4" w:space="0" w:color="000000"/>
              <w:bottom w:val="single" w:sz="4" w:space="0" w:color="000000"/>
              <w:right w:val="single" w:sz="4" w:space="0" w:color="000000"/>
            </w:tcBorders>
            <w:shd w:val="clear" w:color="auto" w:fill="D2D2D2"/>
          </w:tcPr>
          <w:p>
            <w:pP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期初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期末</w:t>
            </w:r>
          </w:p>
        </w:tc>
        <w:tc>
          <w:tcPr>
            <w:tcW w:w="1058"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上海博科资讯股份有 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8,791,000.00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8,791,000.00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广州花都稠州村镇银 行股份有限公司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前海股交投资控股</w:t>
            </w:r>
            <w:r>
              <w:rPr>
                <w:rFonts w:ascii="Times New Roman" w:hAnsi="Times New Roman" w:cs="Times New Roman" w:eastAsia="Times New Roman" w:hint="default"/>
                <w:sz w:val="18"/>
                <w:szCs w:val="18"/>
              </w:rPr>
              <w:t>(</w:t>
            </w:r>
            <w:r>
              <w:rPr>
                <w:rFonts w:ascii="宋体" w:hAnsi="宋体" w:cs="宋体" w:eastAsia="宋体" w:hint="default"/>
                <w:sz w:val="18"/>
                <w:szCs w:val="18"/>
              </w:rPr>
              <w:t>深 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189,000,000.00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189,000,000.00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佛山海晟金融租赁股 份有限公司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402,791,000.00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r>
    </w:tbl>
    <w:p>
      <w:pPr>
        <w:spacing w:line="240" w:lineRule="auto" w:before="8"/>
        <w:rPr>
          <w:rFonts w:ascii="宋体" w:hAnsi="宋体" w:cs="宋体" w:eastAsia="宋体" w:hint="default"/>
          <w:sz w:val="14"/>
          <w:szCs w:val="14"/>
        </w:rPr>
      </w:pPr>
    </w:p>
    <w:p>
      <w:pPr>
        <w:pStyle w:val="Heading3"/>
        <w:spacing w:line="240" w:lineRule="auto" w:before="36"/>
        <w:ind w:left="832" w:right="1142"/>
        <w:jc w:val="left"/>
        <w:rPr>
          <w:b w:val="0"/>
          <w:bCs w:val="0"/>
        </w:rPr>
      </w:pPr>
      <w:r>
        <w:rPr/>
        <w:t>（</w:t>
      </w:r>
      <w:r>
        <w:rPr>
          <w:rFonts w:ascii="Times New Roman" w:hAnsi="Times New Roman" w:cs="Times New Roman" w:eastAsia="Times New Roman" w:hint="default"/>
        </w:rPr>
        <w:t>4</w:t>
      </w:r>
      <w:r>
        <w:rPr/>
        <w:t>）报告期内无可供出售金融资产减值的变动情况</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832" w:right="1125"/>
        <w:jc w:val="left"/>
        <w:rPr>
          <w:b w:val="0"/>
          <w:bCs w:val="0"/>
        </w:rPr>
      </w:pPr>
      <w:r>
        <w:rPr/>
        <w:t>（</w:t>
      </w:r>
      <w:r>
        <w:rPr>
          <w:rFonts w:ascii="Times New Roman" w:hAnsi="Times New Roman" w:cs="Times New Roman" w:eastAsia="Times New Roman" w:hint="default"/>
        </w:rPr>
        <w:t>5</w:t>
      </w:r>
      <w:r>
        <w:rPr/>
        <w:t>）本报告期无可供出售权益工具期末公允价值严重下跌或非暂时性下跌但未计提减值准备的相关说明</w:t>
      </w:r>
      <w:r>
        <w:rPr>
          <w:b w:val="0"/>
          <w:bCs w:val="0"/>
        </w:rPr>
      </w:r>
    </w:p>
    <w:p>
      <w:pPr>
        <w:spacing w:after="0" w:line="240" w:lineRule="auto"/>
        <w:jc w:val="left"/>
        <w:sectPr>
          <w:pgSz w:w="11910" w:h="16840"/>
          <w:pgMar w:header="745" w:footer="980" w:top="1060" w:bottom="1160" w:left="300" w:right="0"/>
        </w:sectPr>
      </w:pPr>
    </w:p>
    <w:p>
      <w:pPr>
        <w:spacing w:line="240" w:lineRule="auto" w:before="10"/>
        <w:rPr>
          <w:rFonts w:ascii="宋体" w:hAnsi="宋体" w:cs="宋体" w:eastAsia="宋体" w:hint="default"/>
          <w:b/>
          <w:bCs/>
          <w:sz w:val="24"/>
          <w:szCs w:val="24"/>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32" w:right="1142"/>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1932"/>
        <w:gridCol w:w="1166"/>
        <w:gridCol w:w="1167"/>
        <w:gridCol w:w="1166"/>
        <w:gridCol w:w="1169"/>
        <w:gridCol w:w="1166"/>
        <w:gridCol w:w="1167"/>
        <w:gridCol w:w="1164"/>
      </w:tblGrid>
      <w:tr>
        <w:trPr>
          <w:trHeight w:val="206" w:hRule="exact"/>
        </w:trPr>
        <w:tc>
          <w:tcPr>
            <w:tcW w:w="1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93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12,568,086.47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8,461,865.97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4,106,220.50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23,989,403.16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8,156,002.76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15,833,400.40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5,420,376.86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5,420,376.86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9,928,347.91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9,928,347.91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12,568,086.47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8,461,865.97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4,106,220.50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23,989,403.16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8,156,002.76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15,833,400.40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832" w:right="1142"/>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5"/>
          <w:szCs w:val="25"/>
        </w:rPr>
      </w:pPr>
    </w:p>
    <w:tbl>
      <w:tblPr>
        <w:tblW w:w="0" w:type="auto"/>
        <w:jc w:val="left"/>
        <w:tblInd w:w="825" w:type="dxa"/>
        <w:tblLayout w:type="fixed"/>
        <w:tblCellMar>
          <w:top w:w="0" w:type="dxa"/>
          <w:left w:w="0" w:type="dxa"/>
          <w:bottom w:w="0" w:type="dxa"/>
          <w:right w:w="0" w:type="dxa"/>
        </w:tblCellMar>
        <w:tblLook w:val="01E0"/>
      </w:tblPr>
      <w:tblGrid>
        <w:gridCol w:w="1440"/>
        <w:gridCol w:w="2341"/>
        <w:gridCol w:w="2340"/>
        <w:gridCol w:w="2341"/>
      </w:tblGrid>
      <w:tr>
        <w:trPr>
          <w:trHeight w:val="410" w:hRule="exact"/>
        </w:trPr>
        <w:tc>
          <w:tcPr>
            <w:tcW w:w="14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623"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23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23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与终止确认相关的损失</w:t>
            </w:r>
          </w:p>
        </w:tc>
      </w:tr>
      <w:tr>
        <w:trPr>
          <w:trHeight w:val="444"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5" w:right="0"/>
              <w:jc w:val="center"/>
              <w:rPr>
                <w:rFonts w:ascii="宋体" w:hAnsi="宋体" w:cs="宋体" w:eastAsia="宋体" w:hint="default"/>
                <w:sz w:val="18"/>
                <w:szCs w:val="18"/>
              </w:rPr>
            </w:pPr>
            <w:r>
              <w:rPr>
                <w:rFonts w:ascii="宋体" w:hAnsi="宋体" w:cs="宋体" w:eastAsia="宋体" w:hint="default"/>
                <w:sz w:val="18"/>
                <w:szCs w:val="18"/>
              </w:rPr>
              <w:t>汽车租赁项目</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91" w:right="0"/>
              <w:jc w:val="left"/>
              <w:rPr>
                <w:rFonts w:ascii="Times New Roman" w:hAnsi="Times New Roman" w:cs="Times New Roman" w:eastAsia="Times New Roman" w:hint="default"/>
                <w:sz w:val="18"/>
                <w:szCs w:val="18"/>
              </w:rPr>
            </w:pPr>
            <w:r>
              <w:rPr>
                <w:rFonts w:ascii="Times New Roman"/>
                <w:sz w:val="18"/>
              </w:rPr>
              <w:t>4,505,381.44</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协议解除</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1,919,204.17</w:t>
            </w:r>
          </w:p>
        </w:tc>
      </w:tr>
      <w:tr>
        <w:trPr>
          <w:trHeight w:val="427" w:hRule="exact"/>
        </w:trPr>
        <w:tc>
          <w:tcPr>
            <w:tcW w:w="14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91" w:right="0"/>
              <w:jc w:val="left"/>
              <w:rPr>
                <w:rFonts w:ascii="Times New Roman" w:hAnsi="Times New Roman" w:cs="Times New Roman" w:eastAsia="Times New Roman" w:hint="default"/>
                <w:sz w:val="18"/>
                <w:szCs w:val="18"/>
              </w:rPr>
            </w:pPr>
            <w:r>
              <w:rPr>
                <w:rFonts w:ascii="Times New Roman"/>
                <w:sz w:val="18"/>
              </w:rPr>
              <w:t>4,505,381.44</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1,919,204.17</w:t>
            </w:r>
          </w:p>
        </w:tc>
      </w:tr>
    </w:tbl>
    <w:p>
      <w:pPr>
        <w:spacing w:line="240" w:lineRule="auto" w:before="3"/>
        <w:rPr>
          <w:rFonts w:ascii="宋体" w:hAnsi="宋体" w:cs="宋体" w:eastAsia="宋体" w:hint="default"/>
          <w:b/>
          <w:bCs/>
          <w:sz w:val="19"/>
          <w:szCs w:val="19"/>
        </w:rPr>
      </w:pPr>
    </w:p>
    <w:p>
      <w:pPr>
        <w:pStyle w:val="Heading3"/>
        <w:spacing w:line="240" w:lineRule="auto" w:before="36"/>
        <w:ind w:left="832" w:right="1142"/>
        <w:jc w:val="left"/>
        <w:rPr>
          <w:b w:val="0"/>
          <w:bCs w:val="0"/>
        </w:rPr>
      </w:pPr>
      <w:r>
        <w:rPr/>
        <w:t>（</w:t>
      </w:r>
      <w:r>
        <w:rPr>
          <w:rFonts w:ascii="Times New Roman" w:hAnsi="Times New Roman" w:cs="Times New Roman" w:eastAsia="Times New Roman" w:hint="default"/>
        </w:rPr>
        <w:t>3</w:t>
      </w:r>
      <w:r>
        <w:rPr/>
        <w:t>）本期无转移长期应收款且继续涉入形成的资产、负债金额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line="360" w:lineRule="auto" w:before="0"/>
        <w:ind w:left="832" w:right="9134" w:firstLine="0"/>
        <w:jc w:val="left"/>
        <w:rPr>
          <w:rFonts w:ascii="宋体" w:hAnsi="宋体" w:cs="宋体" w:eastAsia="宋体" w:hint="default"/>
          <w:sz w:val="18"/>
          <w:szCs w:val="18"/>
        </w:rPr>
      </w:pPr>
      <w:r>
        <w:rPr>
          <w:rFonts w:ascii="宋体" w:hAnsi="宋体" w:cs="宋体" w:eastAsia="宋体" w:hint="default"/>
          <w:b/>
          <w:bCs/>
          <w:sz w:val="18"/>
          <w:szCs w:val="18"/>
        </w:rPr>
        <w:t>其他说明</w:t>
      </w:r>
      <w:r>
        <w:rPr>
          <w:rFonts w:ascii="宋体" w:hAnsi="宋体" w:cs="宋体" w:eastAsia="宋体" w:hint="default"/>
          <w:b/>
          <w:bCs/>
          <w:w w:val="99"/>
          <w:sz w:val="18"/>
          <w:szCs w:val="18"/>
        </w:rPr>
        <w:t> </w:t>
      </w:r>
      <w:r>
        <w:rPr>
          <w:rFonts w:ascii="宋体" w:hAnsi="宋体" w:cs="宋体" w:eastAsia="宋体" w:hint="default"/>
          <w:sz w:val="18"/>
          <w:szCs w:val="18"/>
        </w:rPr>
        <w:t>长期应收款减值准备</w:t>
      </w:r>
    </w:p>
    <w:tbl>
      <w:tblPr>
        <w:tblW w:w="0" w:type="auto"/>
        <w:jc w:val="left"/>
        <w:tblInd w:w="815" w:type="dxa"/>
        <w:tblLayout w:type="fixed"/>
        <w:tblCellMar>
          <w:top w:w="0" w:type="dxa"/>
          <w:left w:w="0" w:type="dxa"/>
          <w:bottom w:w="0" w:type="dxa"/>
          <w:right w:w="0" w:type="dxa"/>
        </w:tblCellMar>
        <w:tblLook w:val="01E0"/>
      </w:tblPr>
      <w:tblGrid>
        <w:gridCol w:w="2350"/>
        <w:gridCol w:w="1801"/>
        <w:gridCol w:w="2024"/>
        <w:gridCol w:w="2477"/>
      </w:tblGrid>
      <w:tr>
        <w:trPr>
          <w:trHeight w:val="734" w:hRule="exact"/>
        </w:trPr>
        <w:tc>
          <w:tcPr>
            <w:tcW w:w="23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39"/>
              <w:ind w:left="535" w:right="77" w:hanging="452"/>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个月预期信用 损失准备</w:t>
            </w:r>
          </w:p>
        </w:tc>
        <w:tc>
          <w:tcPr>
            <w:tcW w:w="20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9"/>
              <w:ind w:left="14" w:right="12"/>
              <w:jc w:val="left"/>
              <w:rPr>
                <w:rFonts w:ascii="宋体" w:hAnsi="宋体" w:cs="宋体" w:eastAsia="宋体" w:hint="default"/>
                <w:sz w:val="18"/>
                <w:szCs w:val="18"/>
              </w:rPr>
            </w:pPr>
            <w:r>
              <w:rPr>
                <w:rFonts w:ascii="宋体" w:hAnsi="宋体" w:cs="宋体" w:eastAsia="宋体" w:hint="default"/>
                <w:sz w:val="18"/>
                <w:szCs w:val="18"/>
              </w:rPr>
              <w:t>整个存续期预期信用损失 准备（未发生信用减值）</w:t>
            </w:r>
          </w:p>
        </w:tc>
        <w:tc>
          <w:tcPr>
            <w:tcW w:w="24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整个存续期预期信用损失准备</w:t>
            </w:r>
          </w:p>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42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1" w:type="dxa"/>
            <w:tcBorders>
              <w:top w:val="single" w:sz="6" w:space="0" w:color="000000"/>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pacing w:val="-1"/>
                <w:sz w:val="18"/>
              </w:rPr>
              <w:t>8,156,002.76</w:t>
            </w:r>
          </w:p>
        </w:tc>
      </w:tr>
      <w:tr>
        <w:trPr>
          <w:trHeight w:val="42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01" w:type="dxa"/>
            <w:tcBorders>
              <w:top w:val="single" w:sz="6" w:space="0" w:color="000000"/>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pacing w:val="-1"/>
                <w:sz w:val="18"/>
              </w:rPr>
              <w:t>1,516,496.76</w:t>
            </w:r>
          </w:p>
        </w:tc>
      </w:tr>
      <w:tr>
        <w:trPr>
          <w:trHeight w:val="42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801" w:type="dxa"/>
            <w:tcBorders>
              <w:top w:val="single" w:sz="6" w:space="0" w:color="000000"/>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801" w:type="dxa"/>
            <w:tcBorders>
              <w:top w:val="single" w:sz="6" w:space="0" w:color="000000"/>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801" w:type="dxa"/>
            <w:tcBorders>
              <w:top w:val="single" w:sz="6" w:space="0" w:color="000000"/>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pacing w:val="-1"/>
                <w:sz w:val="18"/>
              </w:rPr>
              <w:t>1,210,633.55</w:t>
            </w:r>
          </w:p>
        </w:tc>
      </w:tr>
      <w:tr>
        <w:trPr>
          <w:trHeight w:val="42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本期其他变动</w:t>
            </w:r>
          </w:p>
        </w:tc>
        <w:tc>
          <w:tcPr>
            <w:tcW w:w="1801" w:type="dxa"/>
            <w:tcBorders>
              <w:top w:val="single" w:sz="6" w:space="0" w:color="000000"/>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1" w:type="dxa"/>
            <w:tcBorders>
              <w:top w:val="single" w:sz="6" w:space="0" w:color="000000"/>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8,461,865.97</w:t>
            </w:r>
          </w:p>
        </w:tc>
      </w:tr>
    </w:tbl>
    <w:p>
      <w:pPr>
        <w:spacing w:line="240" w:lineRule="auto" w:before="1"/>
        <w:rPr>
          <w:rFonts w:ascii="宋体" w:hAnsi="宋体" w:cs="宋体" w:eastAsia="宋体" w:hint="default"/>
          <w:sz w:val="18"/>
          <w:szCs w:val="18"/>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99"/>
        <w:gridCol w:w="898"/>
        <w:gridCol w:w="540"/>
        <w:gridCol w:w="538"/>
        <w:gridCol w:w="1260"/>
        <w:gridCol w:w="1078"/>
        <w:gridCol w:w="718"/>
        <w:gridCol w:w="1258"/>
        <w:gridCol w:w="721"/>
        <w:gridCol w:w="372"/>
        <w:gridCol w:w="418"/>
        <w:gridCol w:w="790"/>
      </w:tblGrid>
      <w:tr>
        <w:trPr>
          <w:trHeight w:val="402" w:hRule="exact"/>
        </w:trPr>
        <w:tc>
          <w:tcPr>
            <w:tcW w:w="1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4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8" w:right="2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4"/>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4" w:right="8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5" w:right="84"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4" w:right="82"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2" w:right="83"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1"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418"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30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800"/>
        <w:gridCol w:w="898"/>
        <w:gridCol w:w="540"/>
        <w:gridCol w:w="538"/>
        <w:gridCol w:w="1260"/>
        <w:gridCol w:w="1078"/>
        <w:gridCol w:w="900"/>
        <w:gridCol w:w="1075"/>
        <w:gridCol w:w="721"/>
        <w:gridCol w:w="372"/>
        <w:gridCol w:w="418"/>
        <w:gridCol w:w="790"/>
      </w:tblGrid>
      <w:tr>
        <w:trPr>
          <w:trHeight w:val="402" w:hRule="exact"/>
        </w:trPr>
        <w:tc>
          <w:tcPr>
            <w:tcW w:w="1038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38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广州青创孵化科技企 业孵化器有限公司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108,678.37</w:t>
            </w:r>
          </w:p>
        </w:tc>
        <w:tc>
          <w:tcPr>
            <w:tcW w:w="54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-108,678.37</w:t>
            </w:r>
          </w:p>
        </w:tc>
        <w:tc>
          <w:tcPr>
            <w:tcW w:w="10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108,678.37</w:t>
            </w:r>
          </w:p>
        </w:tc>
        <w:tc>
          <w:tcPr>
            <w:tcW w:w="54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-108,678.37</w:t>
            </w:r>
          </w:p>
        </w:tc>
        <w:tc>
          <w:tcPr>
            <w:tcW w:w="10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108,678.37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0.00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-108,678.37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0.00</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80" w:top="1060" w:bottom="1160" w:left="300" w:right="0"/>
        </w:sectPr>
      </w:pPr>
    </w:p>
    <w:p>
      <w:pPr>
        <w:pStyle w:val="Heading3"/>
        <w:spacing w:line="240" w:lineRule="auto" w:before="36"/>
        <w:ind w:left="832" w:right="0"/>
        <w:jc w:val="left"/>
        <w:rPr>
          <w:b w:val="0"/>
          <w:bCs w:val="0"/>
        </w:rPr>
      </w:pPr>
      <w:r>
        <w:rPr>
          <w:spacing w:val="-1"/>
        </w:rPr>
        <w:t>（</w:t>
      </w:r>
      <w:r>
        <w:rPr>
          <w:rFonts w:ascii="Times New Roman" w:hAnsi="Times New Roman" w:cs="Times New Roman" w:eastAsia="Times New Roman" w:hint="default"/>
          <w:spacing w:val="-1"/>
        </w:rPr>
        <w:t>1</w:t>
      </w:r>
      <w:r>
        <w:rPr>
          <w:spacing w:val="-1"/>
        </w:rPr>
        <w:t>）采用成本计量模式的投资性房地产</w:t>
      </w:r>
      <w:r>
        <w:rPr>
          <w:b w:val="0"/>
          <w:bCs w:val="0"/>
          <w:spacing w:val="-1"/>
        </w:rPr>
      </w:r>
    </w:p>
    <w:p>
      <w:pPr>
        <w:pStyle w:val="BodyText"/>
        <w:spacing w:line="240" w:lineRule="auto" w:before="44"/>
        <w:ind w:left="8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spacing w:line="240" w:lineRule="auto"/>
        <w:ind w:left="832" w:right="0"/>
        <w:jc w:val="left"/>
      </w:pPr>
      <w:r>
        <w:rPr/>
        <w:t>单位：</w:t>
      </w:r>
      <w:r>
        <w:rPr>
          <w:spacing w:val="1"/>
        </w:rPr>
        <w:t> </w:t>
      </w:r>
      <w:r>
        <w:rPr/>
        <w:t>元</w:t>
      </w:r>
    </w:p>
    <w:p>
      <w:pPr>
        <w:spacing w:after="0" w:line="240" w:lineRule="auto"/>
        <w:jc w:val="left"/>
        <w:sectPr>
          <w:type w:val="continuous"/>
          <w:pgSz w:w="11910" w:h="16840"/>
          <w:pgMar w:top="1060" w:bottom="1160" w:left="300" w:right="0"/>
          <w:cols w:num="2" w:equalWidth="0">
            <w:col w:w="4525" w:space="4304"/>
            <w:col w:w="2781"/>
          </w:cols>
        </w:sectPr>
      </w:pPr>
    </w:p>
    <w:p>
      <w:pPr>
        <w:spacing w:line="240" w:lineRule="auto" w:before="2"/>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2678"/>
        <w:gridCol w:w="1773"/>
        <w:gridCol w:w="1764"/>
        <w:gridCol w:w="1762"/>
        <w:gridCol w:w="1764"/>
      </w:tblGrid>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386,192,325.83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386,192,325.83</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在建工程转入</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386,192,325.83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386,192,325.83</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9,728,435.03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9,728,435.03</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9,479,858.59</w:t>
            </w: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9,479,858.59</w:t>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9,479,858.59</w:t>
            </w: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9,479,858.59</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19,208,293.62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19,208,293.62</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30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99"/>
        <w:gridCol w:w="1762"/>
        <w:gridCol w:w="1764"/>
        <w:gridCol w:w="1762"/>
        <w:gridCol w:w="1764"/>
      </w:tblGrid>
      <w:tr>
        <w:trPr>
          <w:trHeight w:val="401"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3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366,984,032.21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366,984,032.21</w:t>
            </w:r>
          </w:p>
        </w:tc>
      </w:tr>
      <w:tr>
        <w:trPr>
          <w:trHeight w:val="403"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376,463,890.80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376,463,890.80</w:t>
            </w:r>
          </w:p>
        </w:tc>
      </w:tr>
    </w:tbl>
    <w:p>
      <w:pPr>
        <w:spacing w:line="240" w:lineRule="auto" w:before="2"/>
        <w:rPr>
          <w:rFonts w:ascii="宋体" w:hAnsi="宋体" w:cs="宋体" w:eastAsia="宋体" w:hint="default"/>
          <w:sz w:val="26"/>
          <w:szCs w:val="26"/>
        </w:rPr>
      </w:pPr>
    </w:p>
    <w:p>
      <w:pPr>
        <w:pStyle w:val="Heading3"/>
        <w:spacing w:line="240" w:lineRule="auto" w:before="36"/>
        <w:ind w:left="292" w:right="3196"/>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pStyle w:val="BodyText"/>
        <w:spacing w:line="240" w:lineRule="auto" w:before="44"/>
        <w:ind w:left="292" w:right="31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63"/>
        <w:ind w:left="292" w:right="3196"/>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公司是否存在当期新增以公允价值计量的投资性房地产</w:t>
      </w:r>
    </w:p>
    <w:p>
      <w:pPr>
        <w:pStyle w:val="BodyText"/>
        <w:spacing w:line="240" w:lineRule="auto" w:before="32"/>
        <w:ind w:left="292" w:right="31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left="292" w:right="3196"/>
        <w:jc w:val="left"/>
        <w:rPr>
          <w:b w:val="0"/>
          <w:bCs w:val="0"/>
        </w:rPr>
      </w:pPr>
      <w:r>
        <w:rPr/>
        <w:t>（</w:t>
      </w:r>
      <w:r>
        <w:rPr>
          <w:rFonts w:ascii="Times New Roman" w:hAnsi="Times New Roman" w:cs="Times New Roman" w:eastAsia="Times New Roman" w:hint="default"/>
        </w:rPr>
        <w:t>3</w:t>
      </w:r>
      <w:r>
        <w:rPr/>
        <w:t>）本期无未办妥产权证书的投资性房地产情况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92" w:right="3196"/>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216,046,561.38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257,282,918.88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216,046,561.38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257,282,918.88</w:t>
            </w:r>
          </w:p>
        </w:tc>
      </w:tr>
    </w:tbl>
    <w:p>
      <w:pPr>
        <w:spacing w:line="240" w:lineRule="auto" w:before="3"/>
        <w:rPr>
          <w:rFonts w:ascii="宋体" w:hAnsi="宋体" w:cs="宋体" w:eastAsia="宋体" w:hint="default"/>
          <w:sz w:val="19"/>
          <w:szCs w:val="19"/>
        </w:rPr>
      </w:pPr>
    </w:p>
    <w:p>
      <w:pPr>
        <w:pStyle w:val="Heading3"/>
        <w:spacing w:line="240" w:lineRule="auto" w:before="36"/>
        <w:ind w:left="292" w:right="319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946"/>
        <w:gridCol w:w="1237"/>
        <w:gridCol w:w="1236"/>
        <w:gridCol w:w="1239"/>
        <w:gridCol w:w="1236"/>
        <w:gridCol w:w="1237"/>
        <w:gridCol w:w="1440"/>
      </w:tblGrid>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pacing w:val="-8"/>
                <w:sz w:val="18"/>
              </w:rPr>
              <w:t>ATM</w:t>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37"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40"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213,462,940.41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22,230,224.63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274,144,190.23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22,517,077.31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4,611,536.65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536,965,969.23</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108,589.24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370,929.13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266,137.93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603,519.55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1,349,175.85</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108,589.24</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266,137.93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603,519.55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978,246.72</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370,929.13</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370,929.13</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4,368.93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121,259,584.75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2,766,577.59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414,345.59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124,444,876.86</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4,368.93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121,259,584.75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2,766,577.59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414,345.59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124,444,876.86</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213,462,940.41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22,334,444.94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153,255,534.61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20,016,637.65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4,800,710.61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413,870,268.22</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21,202,544.61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14,331,770.93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208,861,865.74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16,198,517.87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3,826,010.03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264,420,709.18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84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1946"/>
        <w:gridCol w:w="1237"/>
        <w:gridCol w:w="1236"/>
        <w:gridCol w:w="1239"/>
        <w:gridCol w:w="1236"/>
        <w:gridCol w:w="1237"/>
        <w:gridCol w:w="1440"/>
      </w:tblGrid>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4,679,076.36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1,316,295.54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11,744,842.91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1,780,361.17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1,070,620.10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20,591,196.08</w:t>
            </w:r>
          </w:p>
        </w:tc>
      </w:tr>
      <w:tr>
        <w:trPr>
          <w:trHeight w:val="404"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4,679,076.36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1,316,295.54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11,744,842.91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1,780,361.17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1,070,620.10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20,591,196.08</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1,105.68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102,071,639.02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1,450,921.92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384,709.54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103,908,376.16</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1,105.68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102,071,639.02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1,450,921.92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384,709.54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103,908,376.16</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25,881,620.97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15,646,960.79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118,535,069.63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16,527,957.12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4,511,920.59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181,103,529.10</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15,262,341.17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15,262,341.17</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7,842,144.83</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7,842,144.83</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7,842,144.83</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7,842,144.83</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6,384,308.26</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6,384,308.26</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6,384,308.26</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6,384,308.26</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16,720,177.74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16,720,177.74</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187,581,319.44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6,687,484.15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18,000,287.24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3,488,680.53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288,790.02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216,046,561.38</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192,260,395.80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7,898,453.70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50,019,983.32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6,318,559.44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785,526.62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257,282,918.88</w:t>
            </w:r>
          </w:p>
        </w:tc>
      </w:tr>
    </w:tbl>
    <w:p>
      <w:pPr>
        <w:pStyle w:val="Heading3"/>
        <w:spacing w:line="278" w:lineRule="exact"/>
        <w:ind w:right="1133"/>
        <w:jc w:val="left"/>
        <w:rPr>
          <w:b w:val="0"/>
          <w:bCs w:val="0"/>
        </w:rPr>
      </w:pPr>
      <w:r>
        <w:rPr/>
        <w:t>（</w:t>
      </w:r>
      <w:r>
        <w:rPr>
          <w:rFonts w:ascii="Times New Roman" w:hAnsi="Times New Roman" w:cs="Times New Roman" w:eastAsia="Times New Roman" w:hint="default"/>
        </w:rPr>
        <w:t>2</w:t>
      </w:r>
      <w:r>
        <w:rPr/>
        <w:t>）本期无暂时闲置的固定资产情况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）本期无通过融资租赁租入的固定资产情况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97,193.30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8"/>
                <w:sz w:val="18"/>
              </w:rPr>
              <w:t>ATM</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1,681,403.72</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1,778,597.02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丽来花园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U9-11</w:t>
            </w:r>
            <w:r>
              <w:rPr>
                <w:rFonts w:ascii="Times New Roman" w:hAnsi="Times New Roman" w:cs="Times New Roman" w:eastAsia="Times New Roman"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19,322,486.43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手续办理中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丽来花园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U10-05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19,322,486.43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手续办理中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38,644,972.86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832" w:right="1142"/>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84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1,265,901.52</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4,819,582.60</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1,265,901.52</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4,819,582.60</w:t>
            </w:r>
          </w:p>
        </w:tc>
      </w:tr>
    </w:tbl>
    <w:p>
      <w:pPr>
        <w:spacing w:line="240" w:lineRule="auto" w:before="3"/>
        <w:rPr>
          <w:rFonts w:ascii="宋体" w:hAnsi="宋体" w:cs="宋体" w:eastAsia="宋体" w:hint="default"/>
          <w:sz w:val="19"/>
          <w:szCs w:val="19"/>
        </w:rPr>
      </w:pPr>
    </w:p>
    <w:p>
      <w:pPr>
        <w:pStyle w:val="Heading3"/>
        <w:spacing w:line="240" w:lineRule="auto" w:before="36"/>
        <w:ind w:left="832" w:right="114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799" w:type="dxa"/>
        <w:tblLayout w:type="fixed"/>
        <w:tblCellMar>
          <w:top w:w="0" w:type="dxa"/>
          <w:left w:w="0" w:type="dxa"/>
          <w:bottom w:w="0" w:type="dxa"/>
          <w:right w:w="0" w:type="dxa"/>
        </w:tblCellMar>
        <w:tblLook w:val="01E0"/>
      </w:tblPr>
      <w:tblGrid>
        <w:gridCol w:w="2240"/>
        <w:gridCol w:w="1239"/>
        <w:gridCol w:w="1238"/>
        <w:gridCol w:w="1239"/>
        <w:gridCol w:w="1238"/>
        <w:gridCol w:w="1237"/>
        <w:gridCol w:w="1238"/>
      </w:tblGrid>
      <w:tr>
        <w:trPr>
          <w:trHeight w:val="403" w:hRule="exact"/>
        </w:trPr>
        <w:tc>
          <w:tcPr>
            <w:tcW w:w="22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240" w:type="dxa"/>
            <w:vMerge/>
            <w:tcBorders>
              <w:left w:val="single" w:sz="4" w:space="0" w:color="000000"/>
              <w:bottom w:val="single" w:sz="4" w:space="0" w:color="000000"/>
              <w:right w:val="single" w:sz="4" w:space="0" w:color="000000"/>
            </w:tcBorders>
            <w:shd w:val="clear" w:color="auto" w:fill="D2D2D2"/>
          </w:tcPr>
          <w:p>
            <w:pP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w:t>
            </w:r>
            <w:r>
              <w:rPr>
                <w:rFonts w:ascii="Times New Roman" w:hAnsi="Times New Roman" w:cs="Times New Roman" w:eastAsia="Times New Roman" w:hint="default"/>
                <w:sz w:val="18"/>
                <w:szCs w:val="18"/>
              </w:rPr>
              <w:t>/</w:t>
            </w:r>
            <w:r>
              <w:rPr>
                <w:rFonts w:ascii="宋体" w:hAnsi="宋体" w:cs="宋体" w:eastAsia="宋体" w:hint="default"/>
                <w:sz w:val="18"/>
                <w:szCs w:val="18"/>
              </w:rPr>
              <w:t>调试的自产</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ATM</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108,283.24</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108,283.24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4,819,582.60</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4,819,582.60</w:t>
            </w:r>
          </w:p>
        </w:tc>
      </w:tr>
      <w:tr>
        <w:trPr>
          <w:trHeight w:val="40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御银金融电子高新科技园</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1,157,618.28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1,157,618.28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1,265,901.52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1,265,901.52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4,819,582.60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4,819,582.60</w:t>
            </w:r>
          </w:p>
        </w:tc>
      </w:tr>
    </w:tbl>
    <w:p>
      <w:pPr>
        <w:spacing w:line="240" w:lineRule="auto" w:before="3"/>
        <w:rPr>
          <w:rFonts w:ascii="宋体" w:hAnsi="宋体" w:cs="宋体" w:eastAsia="宋体" w:hint="default"/>
          <w:sz w:val="19"/>
          <w:szCs w:val="19"/>
        </w:rPr>
      </w:pPr>
    </w:p>
    <w:p>
      <w:pPr>
        <w:pStyle w:val="Heading3"/>
        <w:spacing w:line="240" w:lineRule="auto" w:before="36"/>
        <w:ind w:left="832" w:right="114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60"/>
        <w:gridCol w:w="1260"/>
        <w:gridCol w:w="502"/>
        <w:gridCol w:w="1035"/>
        <w:gridCol w:w="725"/>
        <w:gridCol w:w="638"/>
        <w:gridCol w:w="1001"/>
        <w:gridCol w:w="883"/>
        <w:gridCol w:w="583"/>
        <w:gridCol w:w="682"/>
        <w:gridCol w:w="847"/>
        <w:gridCol w:w="845"/>
        <w:gridCol w:w="540"/>
      </w:tblGrid>
      <w:tr>
        <w:trPr>
          <w:trHeight w:val="133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22" w:right="62" w:hanging="361"/>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07"/>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7" w:right="55"/>
              <w:jc w:val="left"/>
              <w:rPr>
                <w:rFonts w:ascii="宋体" w:hAnsi="宋体" w:cs="宋体" w:eastAsia="宋体" w:hint="default"/>
                <w:sz w:val="18"/>
                <w:szCs w:val="18"/>
              </w:rPr>
            </w:pPr>
            <w:r>
              <w:rPr>
                <w:rFonts w:ascii="宋体" w:hAnsi="宋体" w:cs="宋体" w:eastAsia="宋体" w:hint="default"/>
                <w:sz w:val="18"/>
                <w:szCs w:val="18"/>
              </w:rPr>
              <w:t>本期利息 资本化率</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2"/>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御银金融电子 高新科技园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323,655,000.00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1,157,618.28</w:t>
            </w:r>
          </w:p>
        </w:tc>
        <w:tc>
          <w:tcPr>
            <w:tcW w:w="72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1,157,618.28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0.36%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0.36%</w:t>
            </w:r>
          </w:p>
        </w:tc>
        <w:tc>
          <w:tcPr>
            <w:tcW w:w="68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323,655,000.00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1,157,618.28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1,157,618.28</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9" w:right="0"/>
              <w:jc w:val="lef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832" w:right="1142"/>
        <w:jc w:val="left"/>
        <w:rPr>
          <w:b w:val="0"/>
          <w:bCs w:val="0"/>
        </w:rPr>
      </w:pPr>
      <w:r>
        <w:rPr/>
        <w:t>（</w:t>
      </w:r>
      <w:r>
        <w:rPr>
          <w:rFonts w:ascii="Times New Roman" w:hAnsi="Times New Roman" w:cs="Times New Roman" w:eastAsia="Times New Roman" w:hint="default"/>
        </w:rPr>
        <w:t>3</w:t>
      </w:r>
      <w:r>
        <w:rPr/>
        <w:t>）本期无计提在建工程减值准备情况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832" w:right="1142"/>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32" w:right="114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1704"/>
        <w:gridCol w:w="1378"/>
        <w:gridCol w:w="1368"/>
        <w:gridCol w:w="1366"/>
        <w:gridCol w:w="1368"/>
        <w:gridCol w:w="1369"/>
        <w:gridCol w:w="1366"/>
      </w:tblGrid>
      <w:tr>
        <w:trPr>
          <w:trHeight w:val="401"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软件系统</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高尔夫球会籍</w:t>
            </w:r>
          </w:p>
        </w:tc>
        <w:tc>
          <w:tcPr>
            <w:tcW w:w="1366"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60,824,708.58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40,706,185.01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4,766,000.00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106,296,893.59</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284,482.77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284,482.77</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284,482.77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284,482.77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30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27"/>
        <w:gridCol w:w="1366"/>
        <w:gridCol w:w="1368"/>
        <w:gridCol w:w="1366"/>
        <w:gridCol w:w="1368"/>
        <w:gridCol w:w="1369"/>
        <w:gridCol w:w="1366"/>
      </w:tblGrid>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60,824,708.58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40,990,667.78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106,581,376.36</w:t>
            </w: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5,539,378.76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21,203,765.32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26,743,144.08</w:t>
            </w: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1,232,796.60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3,917,046.55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5,149,843.15</w:t>
            </w: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1,232,796.60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3,917,046.55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5,149,843.15</w:t>
            </w: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6,772,175.36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25,120,811.87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31,892,987.23</w:t>
            </w: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1,447,698.11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1,447,698.11</w:t>
            </w: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9,957,677.14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9,957,677.14</w:t>
            </w: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9,957,677.14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9,957,677.14</w:t>
            </w: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9,957,677.14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1,447,698.11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11,405,375.25</w:t>
            </w:r>
          </w:p>
        </w:tc>
      </w:tr>
      <w:tr>
        <w:trPr>
          <w:trHeight w:val="404"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54,052,533.22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5,912,178.77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3,318,301.89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63,283,013.88</w:t>
            </w:r>
          </w:p>
        </w:tc>
      </w:tr>
      <w:tr>
        <w:trPr>
          <w:trHeight w:val="403" w:hRule="exact"/>
        </w:trPr>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55,285,329.82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19,502,419.69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3,318,301.89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78,106,051.40</w:t>
            </w:r>
          </w:p>
        </w:tc>
      </w:tr>
    </w:tbl>
    <w:p>
      <w:pPr>
        <w:pStyle w:val="BodyText"/>
        <w:spacing w:line="240" w:lineRule="auto" w:before="49"/>
        <w:ind w:left="472" w:right="714"/>
        <w:jc w:val="left"/>
      </w:pPr>
      <w:r>
        <w:rPr/>
        <w:t>本期末通过公司内部研发形成的无形资产占无形资产余额的比例</w:t>
      </w:r>
      <w:r>
        <w:rPr>
          <w:spacing w:val="-42"/>
        </w:rPr>
        <w:t> </w:t>
      </w:r>
      <w:r>
        <w:rPr>
          <w:rFonts w:ascii="Times New Roman" w:hAnsi="Times New Roman" w:cs="Times New Roman" w:eastAsia="Times New Roman" w:hint="default"/>
        </w:rPr>
        <w:t>35.00%</w:t>
      </w:r>
      <w:r>
        <w:rPr/>
        <w:t>。</w:t>
      </w:r>
    </w:p>
    <w:p>
      <w:pPr>
        <w:pStyle w:val="Heading3"/>
        <w:spacing w:line="600" w:lineRule="atLeast" w:before="30"/>
        <w:ind w:left="472" w:right="5714"/>
        <w:jc w:val="left"/>
        <w:rPr>
          <w:b w:val="0"/>
          <w:bCs w:val="0"/>
        </w:rPr>
      </w:pPr>
      <w:r>
        <w:rPr>
          <w:spacing w:val="-1"/>
        </w:rPr>
        <w:t>（</w:t>
      </w:r>
      <w:r>
        <w:rPr>
          <w:rFonts w:ascii="Times New Roman" w:hAnsi="Times New Roman" w:cs="Times New Roman" w:eastAsia="Times New Roman" w:hint="default"/>
          <w:spacing w:val="-1"/>
        </w:rPr>
        <w:t>2</w:t>
      </w:r>
      <w:r>
        <w:rPr>
          <w:spacing w:val="-1"/>
        </w:rPr>
        <w:t>）本期无未办妥产权证书的土地使用权情况</w:t>
      </w:r>
      <w:r>
        <w:rPr>
          <w:spacing w:val="-85"/>
        </w:rPr>
        <w:t> </w:t>
      </w:r>
      <w:r>
        <w:rPr>
          <w:spacing w:val="-85"/>
        </w:rPr>
      </w:r>
      <w:r>
        <w:rPr/>
        <w:t>其他说明：</w:t>
      </w:r>
      <w:r>
        <w:rPr>
          <w:b w:val="0"/>
          <w:bCs w:val="0"/>
        </w:rPr>
      </w:r>
    </w:p>
    <w:p>
      <w:pPr>
        <w:pStyle w:val="BodyText"/>
        <w:spacing w:line="300" w:lineRule="auto" w:before="58"/>
        <w:ind w:left="472" w:right="1040" w:firstLine="360"/>
        <w:jc w:val="left"/>
      </w:pPr>
      <w:r>
        <w:rPr>
          <w:spacing w:val="-2"/>
        </w:rPr>
        <w:t>土地使用权包括科学城土地使用权、高唐土地使用权以及开发区永和</w:t>
      </w:r>
      <w:r>
        <w:rPr>
          <w:rFonts w:ascii="Times New Roman" w:hAnsi="Times New Roman" w:cs="Times New Roman" w:eastAsia="Times New Roman" w:hint="default"/>
          <w:spacing w:val="-2"/>
        </w:rPr>
        <w:t>YH-I7-8</w:t>
      </w:r>
      <w:r>
        <w:rPr>
          <w:spacing w:val="-2"/>
        </w:rPr>
        <w:t>土地使用权：（</w:t>
      </w:r>
      <w:r>
        <w:rPr>
          <w:rFonts w:ascii="Times New Roman" w:hAnsi="Times New Roman" w:cs="Times New Roman" w:eastAsia="Times New Roman" w:hint="default"/>
          <w:spacing w:val="-2"/>
        </w:rPr>
        <w:t>1</w:t>
      </w:r>
      <w:r>
        <w:rPr>
          <w:spacing w:val="-2"/>
        </w:rPr>
        <w:t>）科学城土地使用权的权</w:t>
      </w:r>
      <w:r>
        <w:rPr>
          <w:w w:val="99"/>
        </w:rPr>
        <w:t> </w:t>
      </w:r>
      <w:r>
        <w:rPr>
          <w:spacing w:val="-3"/>
        </w:rPr>
        <w:t>证号为穗府国用（</w:t>
      </w:r>
      <w:r>
        <w:rPr>
          <w:rFonts w:ascii="Times New Roman" w:hAnsi="Times New Roman" w:cs="Times New Roman" w:eastAsia="Times New Roman" w:hint="default"/>
          <w:spacing w:val="-3"/>
        </w:rPr>
        <w:t>2011</w:t>
      </w:r>
      <w:r>
        <w:rPr>
          <w:spacing w:val="-3"/>
        </w:rPr>
        <w:t>）第</w:t>
      </w:r>
      <w:r>
        <w:rPr>
          <w:rFonts w:ascii="Times New Roman" w:hAnsi="Times New Roman" w:cs="Times New Roman" w:eastAsia="Times New Roman" w:hint="default"/>
          <w:spacing w:val="-3"/>
        </w:rPr>
        <w:t>05000060</w:t>
      </w:r>
      <w:r>
        <w:rPr>
          <w:spacing w:val="-3"/>
        </w:rPr>
        <w:t>号，使用权面积为</w:t>
      </w:r>
      <w:r>
        <w:rPr>
          <w:rFonts w:ascii="Times New Roman" w:hAnsi="Times New Roman" w:cs="Times New Roman" w:eastAsia="Times New Roman" w:hint="default"/>
          <w:spacing w:val="-3"/>
        </w:rPr>
        <w:t>15,000.00</w:t>
      </w:r>
      <w:r>
        <w:rPr>
          <w:spacing w:val="-3"/>
        </w:rPr>
        <w:t>平方米，为工矿仓储用地，使用年限至</w:t>
      </w:r>
      <w:r>
        <w:rPr>
          <w:rFonts w:ascii="Times New Roman" w:hAnsi="Times New Roman" w:cs="Times New Roman" w:eastAsia="Times New Roman" w:hint="default"/>
          <w:spacing w:val="-3"/>
        </w:rPr>
        <w:t>2060</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24</w:t>
      </w:r>
      <w:r>
        <w:rPr>
          <w:spacing w:val="-3"/>
        </w:rPr>
        <w:t>日终止，</w:t>
      </w:r>
      <w:r>
        <w:rPr>
          <w:spacing w:val="-65"/>
        </w:rPr>
        <w:t> </w:t>
      </w:r>
      <w:r>
        <w:rPr/>
        <w:t>该土地使用权以出让方式取得；（</w:t>
      </w:r>
      <w:r>
        <w:rPr>
          <w:rFonts w:ascii="Times New Roman" w:hAnsi="Times New Roman" w:cs="Times New Roman" w:eastAsia="Times New Roman" w:hint="default"/>
        </w:rPr>
        <w:t>2</w:t>
      </w:r>
      <w:r>
        <w:rPr/>
        <w:t>）高唐土地使用权的权证号为穗府国用（</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01100110</w:t>
      </w:r>
      <w:r>
        <w:rPr/>
        <w:t>号，使用权面积为</w:t>
      </w:r>
      <w:r>
        <w:rPr>
          <w:rFonts w:ascii="Times New Roman" w:hAnsi="Times New Roman" w:cs="Times New Roman" w:eastAsia="Times New Roman" w:hint="default"/>
        </w:rPr>
        <w:t>14,693.00</w:t>
      </w:r>
      <w:r>
        <w:rPr>
          <w:rFonts w:ascii="Times New Roman" w:hAnsi="Times New Roman" w:cs="Times New Roman" w:eastAsia="Times New Roman" w:hint="default"/>
          <w:w w:val="99"/>
        </w:rPr>
        <w:t> </w:t>
      </w:r>
      <w:r>
        <w:rPr>
          <w:spacing w:val="-2"/>
        </w:rPr>
        <w:t>平方米，用途为科教用地，该土地使用权以出让方式取得，土地出让使用年限自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日起计算，居民份额用地</w:t>
      </w:r>
      <w:r>
        <w:rPr>
          <w:rFonts w:ascii="Times New Roman" w:hAnsi="Times New Roman" w:cs="Times New Roman" w:eastAsia="Times New Roman" w:hint="default"/>
          <w:spacing w:val="-2"/>
        </w:rPr>
        <w:t>70</w:t>
      </w:r>
      <w:r>
        <w:rPr>
          <w:spacing w:val="-2"/>
        </w:rPr>
        <w:t>年，</w:t>
      </w:r>
      <w:r>
        <w:rPr>
          <w:spacing w:val="-62"/>
        </w:rPr>
        <w:t> </w:t>
      </w:r>
      <w:r>
        <w:rPr>
          <w:spacing w:val="-2"/>
        </w:rPr>
        <w:t>商业、旅游、娱乐份额用地</w:t>
      </w:r>
      <w:r>
        <w:rPr>
          <w:rFonts w:ascii="Times New Roman" w:hAnsi="Times New Roman" w:cs="Times New Roman" w:eastAsia="Times New Roman" w:hint="default"/>
          <w:spacing w:val="-2"/>
        </w:rPr>
        <w:t>40</w:t>
      </w:r>
      <w:r>
        <w:rPr>
          <w:spacing w:val="-2"/>
        </w:rPr>
        <w:t>年，其他用地</w:t>
      </w:r>
      <w:r>
        <w:rPr>
          <w:rFonts w:ascii="Times New Roman" w:hAnsi="Times New Roman" w:cs="Times New Roman" w:eastAsia="Times New Roman" w:hint="default"/>
          <w:spacing w:val="-2"/>
        </w:rPr>
        <w:t>50</w:t>
      </w:r>
      <w:r>
        <w:rPr>
          <w:spacing w:val="-2"/>
        </w:rPr>
        <w:t>年，土地属于其他用地按</w:t>
      </w:r>
      <w:r>
        <w:rPr>
          <w:rFonts w:ascii="Times New Roman" w:hAnsi="Times New Roman" w:cs="Times New Roman" w:eastAsia="Times New Roman" w:hint="default"/>
          <w:spacing w:val="-2"/>
        </w:rPr>
        <w:t>50</w:t>
      </w:r>
      <w:r>
        <w:rPr>
          <w:spacing w:val="-2"/>
        </w:rPr>
        <w:t>年摊销；（</w:t>
      </w:r>
      <w:r>
        <w:rPr>
          <w:rFonts w:ascii="Times New Roman" w:hAnsi="Times New Roman" w:cs="Times New Roman" w:eastAsia="Times New Roman" w:hint="default"/>
          <w:spacing w:val="-2"/>
        </w:rPr>
        <w:t>3</w:t>
      </w:r>
      <w:r>
        <w:rPr>
          <w:spacing w:val="-2"/>
        </w:rPr>
        <w:t>）开发区永和</w:t>
      </w:r>
      <w:r>
        <w:rPr>
          <w:rFonts w:ascii="Times New Roman" w:hAnsi="Times New Roman" w:cs="Times New Roman" w:eastAsia="Times New Roman" w:hint="default"/>
          <w:spacing w:val="-2"/>
        </w:rPr>
        <w:t>YH-I7-8</w:t>
      </w:r>
      <w:r>
        <w:rPr>
          <w:spacing w:val="-2"/>
        </w:rPr>
        <w:t>土地使用权证为</w:t>
      </w:r>
      <w:r>
        <w:rPr>
          <w:spacing w:val="-47"/>
        </w:rPr>
        <w:t> </w:t>
      </w:r>
      <w:r>
        <w:rPr>
          <w:spacing w:val="-47"/>
        </w:rPr>
      </w:r>
      <w:r>
        <w:rPr>
          <w:spacing w:val="-3"/>
        </w:rPr>
        <w:t>粤（</w:t>
      </w:r>
      <w:r>
        <w:rPr>
          <w:rFonts w:ascii="Times New Roman" w:hAnsi="Times New Roman" w:cs="Times New Roman" w:eastAsia="Times New Roman" w:hint="default"/>
          <w:spacing w:val="-3"/>
        </w:rPr>
        <w:t>2018</w:t>
      </w:r>
      <w:r>
        <w:rPr>
          <w:spacing w:val="-3"/>
        </w:rPr>
        <w:t>）广州市不动产权第</w:t>
      </w:r>
      <w:r>
        <w:rPr>
          <w:rFonts w:ascii="Times New Roman" w:hAnsi="Times New Roman" w:cs="Times New Roman" w:eastAsia="Times New Roman" w:hint="default"/>
          <w:spacing w:val="-3"/>
        </w:rPr>
        <w:t>0686122</w:t>
      </w:r>
      <w:r>
        <w:rPr>
          <w:spacing w:val="-3"/>
        </w:rPr>
        <w:t>号，面积为</w:t>
      </w:r>
      <w:r>
        <w:rPr>
          <w:rFonts w:ascii="Times New Roman" w:hAnsi="Times New Roman" w:cs="Times New Roman" w:eastAsia="Times New Roman" w:hint="default"/>
          <w:spacing w:val="-3"/>
        </w:rPr>
        <w:t>16,696.00</w:t>
      </w:r>
      <w:r>
        <w:rPr>
          <w:spacing w:val="-3"/>
        </w:rPr>
        <w:t>平方米，为工业用地，土地出让年限</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日起算，至</w:t>
      </w:r>
      <w:r>
        <w:rPr>
          <w:rFonts w:ascii="Times New Roman" w:hAnsi="Times New Roman" w:cs="Times New Roman" w:eastAsia="Times New Roman" w:hint="default"/>
          <w:spacing w:val="-3"/>
        </w:rPr>
        <w:t>2067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日终止，该土地使用权以出让方式取得。</w:t>
      </w:r>
    </w:p>
    <w:p>
      <w:pPr>
        <w:spacing w:after="0" w:line="300" w:lineRule="auto"/>
        <w:jc w:val="left"/>
        <w:sectPr>
          <w:pgSz w:w="11910" w:h="16840"/>
          <w:pgMar w:header="745" w:footer="980" w:top="1060" w:bottom="1160" w:left="66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674,646.99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168,661.76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505,985.23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工厂装修费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298,501.04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298,501.04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办公室装修工程</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2,281,553.40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304,207.12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1,977,346.28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空调安装工程</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567,193.28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9,453.22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557,740.06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973,148.03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2,848,746.68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780,823.14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3,041,071.57</w:t>
            </w:r>
          </w:p>
        </w:tc>
      </w:tr>
    </w:tbl>
    <w:p>
      <w:pPr>
        <w:spacing w:line="240" w:lineRule="auto" w:before="8"/>
        <w:rPr>
          <w:rFonts w:ascii="宋体" w:hAnsi="宋体" w:cs="宋体" w:eastAsia="宋体" w:hint="default"/>
          <w:sz w:val="14"/>
          <w:szCs w:val="14"/>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59,599,409.45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10,908,900.89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56,028,869.35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9,125,790.72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42,974,579.90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6,446,186.98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54,198,214.95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7,586,042.36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交易性金融资产（公允 价值与账面价值差异）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6,309,947.61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1,540,946.51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17,860,600.00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2,679,090.00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30,559,200.00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4,583,880.00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126,744,536.96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21,575,124.38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140,786,284.30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21,295,713.08</w:t>
            </w:r>
          </w:p>
        </w:tc>
      </w:tr>
    </w:tbl>
    <w:p>
      <w:pPr>
        <w:spacing w:line="240" w:lineRule="auto" w:before="8"/>
        <w:rPr>
          <w:rFonts w:ascii="宋体" w:hAnsi="宋体" w:cs="宋体" w:eastAsia="宋体" w:hint="default"/>
          <w:sz w:val="14"/>
          <w:szCs w:val="1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718"/>
        <w:gridCol w:w="1719"/>
        <w:gridCol w:w="1719"/>
        <w:gridCol w:w="1721"/>
      </w:tblGrid>
      <w:tr>
        <w:trPr>
          <w:trHeight w:val="401"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期损益的金融资产公允价值变动</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23,621,022.04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3,596,451.63</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23,621,022.04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3,596,451.63</w:t>
            </w:r>
          </w:p>
        </w:tc>
      </w:tr>
    </w:tbl>
    <w:p>
      <w:pPr>
        <w:spacing w:line="240" w:lineRule="auto" w:before="9"/>
        <w:rPr>
          <w:rFonts w:ascii="宋体" w:hAnsi="宋体" w:cs="宋体" w:eastAsia="宋体" w:hint="default"/>
          <w:sz w:val="14"/>
          <w:szCs w:val="1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5"/>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21,575,124.38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21,295,713.08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3,596,451.63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汽车牌照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质押并保证借款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bl>
    <w:p>
      <w:pPr>
        <w:pStyle w:val="BodyText"/>
        <w:spacing w:line="240" w:lineRule="auto" w:before="49"/>
        <w:ind w:left="0" w:right="8097"/>
        <w:jc w:val="center"/>
      </w:pPr>
      <w:r>
        <w:rPr/>
        <w:t>短期借款分类的说明：</w:t>
      </w:r>
    </w:p>
    <w:p>
      <w:pPr>
        <w:pStyle w:val="BodyText"/>
        <w:spacing w:line="300" w:lineRule="auto" w:before="115"/>
        <w:ind w:right="1136" w:firstLine="360"/>
        <w:jc w:val="both"/>
      </w:pPr>
      <w:r>
        <w:rPr/>
        <w:t>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日，公司与中国工商银行股份有限公司广州工业大道支行签订了编号为工业支行</w:t>
      </w:r>
      <w:r>
        <w:rPr>
          <w:rFonts w:ascii="Times New Roman" w:hAnsi="Times New Roman" w:cs="Times New Roman" w:eastAsia="Times New Roman" w:hint="default"/>
        </w:rPr>
        <w:t>2018</w:t>
      </w:r>
      <w:r>
        <w:rPr/>
        <w:t>年流借字第</w:t>
      </w:r>
      <w:r>
        <w:rPr>
          <w:rFonts w:ascii="Times New Roman" w:hAnsi="Times New Roman" w:cs="Times New Roman" w:eastAsia="Times New Roman" w:hint="default"/>
        </w:rPr>
        <w:t>014</w:t>
      </w:r>
      <w:r>
        <w:rPr/>
        <w:t>号流 动资金借款合同，本合同项下的借款金额为</w:t>
      </w:r>
      <w:r>
        <w:rPr>
          <w:rFonts w:ascii="Times New Roman" w:hAnsi="Times New Roman" w:cs="Times New Roman" w:eastAsia="Times New Roman" w:hint="default"/>
        </w:rPr>
        <w:t>9,900,000.00</w:t>
      </w:r>
      <w:r>
        <w:rPr/>
        <w:t>元，借款期限自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日止，杨文江、子公司 广州御新软件有限公司为其提供保证担保，所对应的最高额担保合同编号分别为工业支行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号、工业支 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号，期限分别为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p>
      <w:pPr>
        <w:pStyle w:val="BodyText"/>
        <w:spacing w:line="300" w:lineRule="auto" w:before="13"/>
        <w:ind w:right="1128" w:firstLine="360"/>
        <w:jc w:val="both"/>
      </w:pPr>
      <w:r>
        <w:rPr>
          <w:spacing w:val="-2"/>
        </w:rPr>
        <w:t>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2018</w:t>
      </w:r>
      <w:r>
        <w:rPr>
          <w:spacing w:val="-2"/>
        </w:rPr>
        <w:t>年流借字第</w:t>
      </w:r>
      <w:r>
        <w:rPr>
          <w:rFonts w:ascii="Times New Roman" w:hAnsi="Times New Roman" w:cs="Times New Roman" w:eastAsia="Times New Roman" w:hint="default"/>
          <w:spacing w:val="-2"/>
        </w:rPr>
        <w:t>023</w:t>
      </w:r>
      <w:r>
        <w:rPr>
          <w:spacing w:val="-2"/>
        </w:rPr>
        <w:t>号流</w:t>
      </w:r>
      <w:r>
        <w:rPr/>
        <w:t> 动资金借款合同，本合同项下的借款金额为</w:t>
      </w:r>
      <w:r>
        <w:rPr>
          <w:rFonts w:ascii="Times New Roman" w:hAnsi="Times New Roman" w:cs="Times New Roman" w:eastAsia="Times New Roman" w:hint="default"/>
        </w:rPr>
        <w:t>9,900,000.00</w:t>
      </w:r>
      <w:r>
        <w:rPr/>
        <w:t>元，借款期限自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日止，杨文江、子公 司广州御新软件有限公司为其提供保证担保，所对应的最高额担保合同编号分别为工业支行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 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号，期限分别为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p>
      <w:pPr>
        <w:pStyle w:val="BodyText"/>
        <w:spacing w:line="300" w:lineRule="auto" w:before="13"/>
        <w:ind w:right="1128" w:firstLine="360"/>
        <w:jc w:val="both"/>
      </w:pPr>
      <w:r>
        <w:rPr>
          <w:spacing w:val="-2"/>
        </w:rPr>
        <w:t>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2018</w:t>
      </w:r>
      <w:r>
        <w:rPr>
          <w:spacing w:val="-2"/>
        </w:rPr>
        <w:t>年流借字第</w:t>
      </w:r>
      <w:r>
        <w:rPr>
          <w:rFonts w:ascii="Times New Roman" w:hAnsi="Times New Roman" w:cs="Times New Roman" w:eastAsia="Times New Roman" w:hint="default"/>
          <w:spacing w:val="-2"/>
        </w:rPr>
        <w:t>029</w:t>
      </w:r>
      <w:r>
        <w:rPr>
          <w:spacing w:val="-2"/>
        </w:rPr>
        <w:t>号流</w:t>
      </w:r>
      <w:r>
        <w:rPr/>
        <w:t> </w:t>
      </w:r>
      <w:r>
        <w:rPr>
          <w:spacing w:val="-1"/>
        </w:rPr>
        <w:t>动资金借款合同，本合同项下的借款金额为</w:t>
      </w:r>
      <w:r>
        <w:rPr>
          <w:rFonts w:ascii="Times New Roman" w:hAnsi="Times New Roman" w:cs="Times New Roman" w:eastAsia="Times New Roman" w:hint="default"/>
          <w:spacing w:val="-1"/>
        </w:rPr>
        <w:t>9,900,000.00</w:t>
      </w:r>
      <w:r>
        <w:rPr>
          <w:spacing w:val="-1"/>
        </w:rPr>
        <w:t>元，借款期限自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日止，杨文江、子公司</w:t>
      </w:r>
      <w:r>
        <w:rPr>
          <w:spacing w:val="-71"/>
        </w:rPr>
        <w:t> </w:t>
      </w:r>
      <w:r>
        <w:rPr>
          <w:spacing w:val="-71"/>
        </w:rPr>
      </w:r>
      <w:r>
        <w:rPr/>
        <w:t>广州御新软件有限公司为其提供保证担保，所对应的最高额担保合同编号分别为工业支行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号、工业支 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号，期限分别为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）本期无已逾期未偿还的短期借款情况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、应付票据及应付账款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29,738,269.62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49,165,911.84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29,738,269.62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49,165,911.84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652" w:right="104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20,585,399.55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40,440,937.80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3,617,265.93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7,602,366.11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4,832,946.34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1,121,607.93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29,738,269.62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49,165,911.84</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t>（</w:t>
      </w:r>
      <w:r>
        <w:rPr>
          <w:rFonts w:ascii="Times New Roman" w:hAnsi="Times New Roman" w:cs="Times New Roman" w:eastAsia="Times New Roman" w:hint="default"/>
        </w:rPr>
        <w:t>2</w:t>
      </w:r>
      <w:r>
        <w:rPr/>
        <w:t>）本期无账龄超过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8,063,673.44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71,986,109.00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11,524,570.74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8,562,219.38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1,773,947.40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324,500.82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422,607.07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161,016.03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21,784,798.65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81,033,845.23</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t>（</w:t>
      </w:r>
      <w:r>
        <w:rPr>
          <w:rFonts w:ascii="Times New Roman" w:hAnsi="Times New Roman" w:cs="Times New Roman" w:eastAsia="Times New Roman" w:hint="default"/>
        </w:rPr>
        <w:t>2</w:t>
      </w:r>
      <w:r>
        <w:rPr/>
        <w:t>）本期无账龄超过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429"/>
        <w:gridCol w:w="1928"/>
        <w:gridCol w:w="1916"/>
        <w:gridCol w:w="1913"/>
        <w:gridCol w:w="1915"/>
      </w:tblGrid>
      <w:tr>
        <w:trPr>
          <w:trHeight w:val="403"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8,038,783.27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105,575,562.44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107,067,189.61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6,547,156.10</w:t>
            </w:r>
          </w:p>
        </w:tc>
      </w:tr>
      <w:tr>
        <w:trPr>
          <w:trHeight w:val="403"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434,703.16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6,593,814.12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6,706,436.02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322,081.26</w:t>
            </w:r>
          </w:p>
        </w:tc>
      </w:tr>
      <w:tr>
        <w:trPr>
          <w:trHeight w:val="401"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1,686,789.41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1,353,914.41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332,875.00</w:t>
            </w:r>
          </w:p>
        </w:tc>
      </w:tr>
      <w:tr>
        <w:trPr>
          <w:trHeight w:val="403"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8,473,486.43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113,856,165.97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115,127,540.04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7,202,112.36</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0" w:header="745" w:top="1060" w:bottom="1160" w:left="480" w:right="0"/>
        </w:sectPr>
      </w:pPr>
    </w:p>
    <w:p>
      <w:pPr>
        <w:spacing w:line="240" w:lineRule="auto" w:before="10"/>
        <w:rPr>
          <w:rFonts w:ascii="宋体" w:hAnsi="宋体" w:cs="宋体" w:eastAsia="宋体" w:hint="default"/>
          <w:sz w:val="24"/>
          <w:szCs w:val="24"/>
        </w:rPr>
      </w:pPr>
    </w:p>
    <w:p>
      <w:pPr>
        <w:pStyle w:val="Heading3"/>
        <w:spacing w:line="240" w:lineRule="auto" w:before="36"/>
        <w:ind w:left="452"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246"/>
        <w:gridCol w:w="1953"/>
        <w:gridCol w:w="1940"/>
        <w:gridCol w:w="1940"/>
        <w:gridCol w:w="1939"/>
      </w:tblGrid>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7,860,537.08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98,592,135.68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100,095,288.62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6,357,384.14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2,032,488.38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2,032,488.38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177,179.19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3,282,310.04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3,288,954.76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170,534.47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150,497.45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2,813,400.87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2,813,952.84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149,945.48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8,592.84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99,545.50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103,775.35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4,362.99</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18,088.90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319,423.29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321,806.61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15,705.58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重大疾病医疗补助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49,940.38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49,419.96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520.42</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1,067.00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790,773.50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790,210.50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1,630.00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877,854.84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860,247.35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17,607.49</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8,038,783.27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105,575,562.44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107,067,189.61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6,547,156.10</w:t>
            </w:r>
          </w:p>
        </w:tc>
      </w:tr>
    </w:tbl>
    <w:p>
      <w:pPr>
        <w:spacing w:line="240" w:lineRule="auto" w:before="3"/>
        <w:rPr>
          <w:rFonts w:ascii="宋体" w:hAnsi="宋体" w:cs="宋体" w:eastAsia="宋体" w:hint="default"/>
          <w:sz w:val="19"/>
          <w:szCs w:val="19"/>
        </w:rPr>
      </w:pPr>
    </w:p>
    <w:p>
      <w:pPr>
        <w:pStyle w:val="Heading3"/>
        <w:spacing w:line="240" w:lineRule="auto" w:before="36"/>
        <w:ind w:left="452"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411,987.15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6,318,151.99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6,421,798.06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308,341.08</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275,662.13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284,637.96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13,740.18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434,703.16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6,593,814.12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6,706,436.02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322,081.26</w:t>
            </w:r>
          </w:p>
        </w:tc>
      </w:tr>
    </w:tbl>
    <w:p>
      <w:pPr>
        <w:spacing w:line="240" w:lineRule="auto" w:before="3"/>
        <w:rPr>
          <w:rFonts w:ascii="宋体" w:hAnsi="宋体" w:cs="宋体" w:eastAsia="宋体" w:hint="default"/>
          <w:sz w:val="19"/>
          <w:szCs w:val="19"/>
        </w:rPr>
      </w:pPr>
    </w:p>
    <w:p>
      <w:pPr>
        <w:pStyle w:val="Heading3"/>
        <w:spacing w:line="240" w:lineRule="auto" w:before="36"/>
        <w:ind w:left="452"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4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18,695,260.40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118,775.15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151,613.04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126,349.07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1,420,576.17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8,159.44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23,629.35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1,012,227.29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142,164.00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357,425.50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21,453,045.25</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80" w:header="745" w:top="1060" w:bottom="1160" w:left="6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26,709,178.42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35,892,071.14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26,709,178.42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35,892,071.14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960,851.74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1,075,478.39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13,965,769.71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22,663,660.62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4,933,858.34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5,116,473.55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2,712,211.26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3,447,508.84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4,136,487.37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3,588,949.74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26,709,178.42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35,892,071.14</w:t>
            </w:r>
          </w:p>
        </w:tc>
      </w:tr>
    </w:tbl>
    <w:p>
      <w:pPr>
        <w:pStyle w:val="BodyText"/>
        <w:spacing w:line="240" w:lineRule="auto" w:before="49"/>
        <w:ind w:right="1133"/>
        <w:jc w:val="left"/>
      </w:pPr>
      <w:r>
        <w:rPr>
          <w:rFonts w:ascii="Times New Roman" w:hAnsi="Times New Roman" w:cs="Times New Roman" w:eastAsia="Times New Roman" w:hint="default"/>
        </w:rPr>
        <w:t>2)</w:t>
      </w:r>
      <w:r>
        <w:rPr/>
        <w:t>本期无账龄超过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w:t>
            </w: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7,154,150.07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11,683,046.82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7,154,150.07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11,683,046.82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保证并抵押借款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513" w:right="1133"/>
        <w:jc w:val="left"/>
      </w:pPr>
      <w:r>
        <w:rPr/>
        <w:t>长期借款分类的说明：</w:t>
      </w:r>
    </w:p>
    <w:p>
      <w:pPr>
        <w:pStyle w:val="BodyText"/>
        <w:spacing w:line="300" w:lineRule="auto" w:before="115"/>
        <w:ind w:right="1128"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2018</w:t>
      </w:r>
      <w:r>
        <w:rPr>
          <w:spacing w:val="-2"/>
        </w:rPr>
        <w:t>年项借字第</w:t>
      </w:r>
      <w:r>
        <w:rPr>
          <w:rFonts w:ascii="Times New Roman" w:hAnsi="Times New Roman" w:cs="Times New Roman" w:eastAsia="Times New Roman" w:hint="default"/>
          <w:spacing w:val="-2"/>
        </w:rPr>
        <w:t>001</w:t>
      </w:r>
      <w:r>
        <w:rPr>
          <w:spacing w:val="-2"/>
        </w:rPr>
        <w:t>号固定</w:t>
      </w:r>
      <w:r>
        <w:rPr/>
        <w:t> </w:t>
      </w:r>
      <w:r>
        <w:rPr>
          <w:spacing w:val="-1"/>
        </w:rPr>
        <w:t>资产支持融资借款合同，在该合同项下本期借款合计</w:t>
      </w:r>
      <w:r>
        <w:rPr>
          <w:rFonts w:ascii="Times New Roman" w:hAnsi="Times New Roman" w:cs="Times New Roman" w:eastAsia="Times New Roman" w:hint="default"/>
          <w:spacing w:val="-1"/>
        </w:rPr>
        <w:t>30,000,000.00</w:t>
      </w:r>
      <w:r>
        <w:rPr>
          <w:spacing w:val="-1"/>
        </w:rPr>
        <w:t>元，该借款根据还款计划进行还款，还款计划如下：</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月每月</w:t>
      </w:r>
      <w:r>
        <w:rPr>
          <w:rFonts w:ascii="Times New Roman" w:hAnsi="Times New Roman" w:cs="Times New Roman" w:eastAsia="Times New Roman" w:hint="default"/>
        </w:rPr>
        <w:t>20</w:t>
      </w:r>
      <w:r>
        <w:rPr/>
        <w:t>日还款</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2033</w:t>
      </w:r>
      <w:r>
        <w:rPr/>
        <w:t>年</w:t>
      </w:r>
      <w:r>
        <w:rPr>
          <w:rFonts w:ascii="Times New Roman" w:hAnsi="Times New Roman" w:cs="Times New Roman" w:eastAsia="Times New Roman" w:hint="default"/>
        </w:rPr>
        <w:t>6</w:t>
      </w:r>
      <w:r>
        <w:rPr/>
        <w:t>月每月</w:t>
      </w:r>
      <w:r>
        <w:rPr>
          <w:rFonts w:ascii="Times New Roman" w:hAnsi="Times New Roman" w:cs="Times New Roman" w:eastAsia="Times New Roman" w:hint="default"/>
        </w:rPr>
        <w:t>20</w:t>
      </w:r>
      <w:r>
        <w:rPr/>
        <w:t>日还款</w:t>
      </w:r>
      <w:r>
        <w:rPr>
          <w:rFonts w:ascii="Times New Roman" w:hAnsi="Times New Roman" w:cs="Times New Roman" w:eastAsia="Times New Roman" w:hint="default"/>
        </w:rPr>
        <w:t>15</w:t>
      </w:r>
      <w:r>
        <w:rPr/>
        <w:t>万元；</w:t>
      </w:r>
      <w:r>
        <w:rPr>
          <w:rFonts w:ascii="Times New Roman" w:hAnsi="Times New Roman" w:cs="Times New Roman" w:eastAsia="Times New Roman" w:hint="default"/>
        </w:rPr>
        <w:t>2033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日还款</w:t>
      </w:r>
      <w:r>
        <w:rPr>
          <w:rFonts w:ascii="Times New Roman" w:hAnsi="Times New Roman" w:cs="Times New Roman" w:eastAsia="Times New Roman" w:hint="default"/>
        </w:rPr>
        <w:t>150</w:t>
      </w:r>
      <w:r>
        <w:rPr/>
        <w:t>万元。</w:t>
      </w:r>
    </w:p>
    <w:p>
      <w:pPr>
        <w:pStyle w:val="BodyText"/>
        <w:spacing w:line="300" w:lineRule="auto" w:before="13"/>
        <w:ind w:right="1126" w:firstLine="360"/>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日，该项合同下的借款余额为</w:t>
      </w:r>
      <w:r>
        <w:rPr>
          <w:rFonts w:ascii="Times New Roman" w:hAnsi="Times New Roman" w:cs="Times New Roman" w:eastAsia="Times New Roman" w:hint="default"/>
          <w:spacing w:val="-1"/>
        </w:rPr>
        <w:t>29,200,000.00</w:t>
      </w:r>
      <w:r>
        <w:rPr>
          <w:spacing w:val="-1"/>
        </w:rPr>
        <w:t>元，其中</w:t>
      </w:r>
      <w:r>
        <w:rPr>
          <w:rFonts w:ascii="Times New Roman" w:hAnsi="Times New Roman" w:cs="Times New Roman" w:eastAsia="Times New Roman" w:hint="default"/>
          <w:spacing w:val="-1"/>
        </w:rPr>
        <w:t>26,800,000.00</w:t>
      </w:r>
      <w:r>
        <w:rPr>
          <w:spacing w:val="-1"/>
        </w:rPr>
        <w:t>元为长期借款，</w:t>
      </w:r>
      <w:r>
        <w:rPr>
          <w:rFonts w:ascii="Times New Roman" w:hAnsi="Times New Roman" w:cs="Times New Roman" w:eastAsia="Times New Roman" w:hint="default"/>
          <w:spacing w:val="-1"/>
        </w:rPr>
        <w:t>2,400,000.00</w:t>
      </w:r>
      <w:r>
        <w:rPr>
          <w:spacing w:val="-1"/>
        </w:rPr>
        <w:t>元为一</w:t>
      </w:r>
      <w:r>
        <w:rPr/>
        <w:t> </w:t>
      </w:r>
      <w:r>
        <w:rPr>
          <w:spacing w:val="-2"/>
        </w:rPr>
        <w:t>年内到期的非流动负债。借款期限自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日至</w:t>
      </w:r>
      <w:r>
        <w:rPr>
          <w:rFonts w:ascii="Times New Roman" w:hAnsi="Times New Roman" w:cs="Times New Roman" w:eastAsia="Times New Roman" w:hint="default"/>
          <w:spacing w:val="-2"/>
        </w:rPr>
        <w:t>2033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日止，杨文江为其提供保证担保，对应的最高额担保合同</w:t>
      </w:r>
      <w:r>
        <w:rPr>
          <w:spacing w:val="-55"/>
        </w:rPr>
        <w:t> </w:t>
      </w:r>
      <w:r>
        <w:rPr>
          <w:spacing w:val="-55"/>
        </w:rPr>
      </w:r>
      <w:r>
        <w:rPr/>
        <w:t>编号为工业支行</w:t>
      </w:r>
      <w:r>
        <w:rPr>
          <w:rFonts w:ascii="Times New Roman" w:hAnsi="Times New Roman" w:cs="Times New Roman" w:eastAsia="Times New Roman" w:hint="default"/>
        </w:rPr>
        <w:t>2018</w:t>
      </w:r>
      <w:r>
        <w:rPr/>
        <w:t>年最高保字第</w:t>
      </w:r>
      <w:r>
        <w:rPr>
          <w:rFonts w:ascii="Times New Roman" w:hAnsi="Times New Roman" w:cs="Times New Roman" w:eastAsia="Times New Roman" w:hint="default"/>
        </w:rPr>
        <w:t>098</w:t>
      </w:r>
      <w:r>
        <w:rPr/>
        <w:t>号，期限为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2033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日；另公司以广州市天河区高唐路的部分房 屋建筑物作为抵押担保，对应的最高额抵押合同编号为工业支行</w:t>
      </w:r>
      <w:r>
        <w:rPr>
          <w:rFonts w:ascii="Times New Roman" w:hAnsi="Times New Roman" w:cs="Times New Roman" w:eastAsia="Times New Roman" w:hint="default"/>
        </w:rPr>
        <w:t>2018</w:t>
      </w:r>
      <w:r>
        <w:rPr/>
        <w:t>年最高抵字第</w:t>
      </w:r>
      <w:r>
        <w:rPr>
          <w:rFonts w:ascii="Times New Roman" w:hAnsi="Times New Roman" w:cs="Times New Roman" w:eastAsia="Times New Roman" w:hint="default"/>
        </w:rPr>
        <w:t>084</w:t>
      </w:r>
      <w:r>
        <w:rPr/>
        <w:t>号，期限为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2033</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18</w:t>
      </w:r>
      <w:r>
        <w:rPr/>
        <w:t>日；并且将广州市天河区高唐路</w:t>
      </w:r>
      <w:r>
        <w:rPr>
          <w:rFonts w:ascii="Times New Roman" w:hAnsi="Times New Roman" w:cs="Times New Roman" w:eastAsia="Times New Roman" w:hint="default"/>
        </w:rPr>
        <w:t>234-244</w:t>
      </w:r>
      <w:r>
        <w:rPr/>
        <w:t>号御银科技园应收租金收入进行质押，对应的最高额质押合同编号为工业支行 </w:t>
      </w:r>
      <w:r>
        <w:rPr>
          <w:rFonts w:ascii="Times New Roman" w:hAnsi="Times New Roman" w:cs="Times New Roman" w:eastAsia="Times New Roman" w:hint="default"/>
        </w:rPr>
        <w:t>2018</w:t>
      </w:r>
      <w:r>
        <w:rPr/>
        <w:t>年最高质字第</w:t>
      </w:r>
      <w:r>
        <w:rPr>
          <w:rFonts w:ascii="Times New Roman" w:hAnsi="Times New Roman" w:cs="Times New Roman" w:eastAsia="Times New Roman" w:hint="default"/>
        </w:rPr>
        <w:t>083</w:t>
      </w:r>
      <w:r>
        <w:rPr/>
        <w:t>号，期限为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2033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17,860,600.00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30,559,200.00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17,860,600.00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30,559,200.00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198"/>
        <w:gridCol w:w="1226"/>
        <w:gridCol w:w="1201"/>
        <w:gridCol w:w="1212"/>
        <w:gridCol w:w="1212"/>
        <w:gridCol w:w="1212"/>
        <w:gridCol w:w="1201"/>
        <w:gridCol w:w="1224"/>
      </w:tblGrid>
      <w:tr>
        <w:trPr>
          <w:trHeight w:val="206"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03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38" w:type="dxa"/>
            <w:gridSpan w:val="5"/>
            <w:vMerge/>
            <w:tcBorders>
              <w:left w:val="single" w:sz="4" w:space="0" w:color="000000"/>
              <w:bottom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2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761,191,294.00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761,191,294.00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28,845,003.28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28,845,003.28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834,544.00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834,544.00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29,679,547.28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980"/>
        <w:gridCol w:w="967"/>
        <w:gridCol w:w="1261"/>
        <w:gridCol w:w="1800"/>
        <w:gridCol w:w="720"/>
        <w:gridCol w:w="1553"/>
        <w:gridCol w:w="1150"/>
        <w:gridCol w:w="778"/>
      </w:tblGrid>
      <w:tr>
        <w:trPr>
          <w:trHeight w:val="402" w:hRule="exact"/>
        </w:trPr>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55" w:right="82"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5" w:right="22" w:hanging="152"/>
              <w:jc w:val="left"/>
              <w:rPr>
                <w:rFonts w:ascii="宋体" w:hAnsi="宋体" w:cs="宋体" w:eastAsia="宋体" w:hint="default"/>
                <w:sz w:val="18"/>
                <w:szCs w:val="18"/>
              </w:rPr>
            </w:pPr>
            <w:r>
              <w:rPr>
                <w:rFonts w:ascii="宋体" w:hAnsi="宋体" w:cs="宋体" w:eastAsia="宋体" w:hint="default"/>
                <w:spacing w:val="-6"/>
                <w:sz w:val="18"/>
                <w:szCs w:val="18"/>
              </w:rPr>
              <w:t>减：前期计入其他综合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收益当期转入损益</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6" w:right="19" w:hanging="63"/>
              <w:jc w:val="left"/>
              <w:rPr>
                <w:rFonts w:ascii="宋体" w:hAnsi="宋体" w:cs="宋体" w:eastAsia="宋体" w:hint="default"/>
                <w:sz w:val="18"/>
                <w:szCs w:val="18"/>
              </w:rPr>
            </w:pPr>
            <w:r>
              <w:rPr>
                <w:rFonts w:ascii="宋体" w:hAnsi="宋体" w:cs="宋体" w:eastAsia="宋体" w:hint="default"/>
                <w:spacing w:val="-14"/>
                <w:sz w:val="18"/>
                <w:szCs w:val="18"/>
              </w:rPr>
              <w:t>减：所得</w:t>
            </w:r>
            <w:r>
              <w:rPr>
                <w:rFonts w:ascii="宋体" w:hAnsi="宋体" w:cs="宋体" w:eastAsia="宋体" w:hint="default"/>
                <w:sz w:val="18"/>
                <w:szCs w:val="18"/>
              </w:rPr>
              <w:t> 税费用</w:t>
            </w: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99" w:right="26" w:hanging="269"/>
              <w:jc w:val="left"/>
              <w:rPr>
                <w:rFonts w:ascii="宋体" w:hAnsi="宋体" w:cs="宋体" w:eastAsia="宋体" w:hint="default"/>
                <w:sz w:val="18"/>
                <w:szCs w:val="18"/>
              </w:rPr>
            </w:pPr>
            <w:r>
              <w:rPr>
                <w:rFonts w:ascii="宋体" w:hAnsi="宋体" w:cs="宋体" w:eastAsia="宋体" w:hint="default"/>
                <w:sz w:val="18"/>
                <w:szCs w:val="18"/>
              </w:rPr>
              <w:t>税后归属于少 数股东</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980" w:type="dxa"/>
            <w:vMerge/>
            <w:tcBorders>
              <w:left w:val="single" w:sz="4" w:space="0" w:color="000000"/>
              <w:bottom w:val="nil" w:sz="6" w:space="0" w:color="auto"/>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15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1150" w:type="dxa"/>
            <w:vMerge/>
            <w:tcBorders>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980" w:type="dxa"/>
            <w:vMerge w:val="restart"/>
            <w:tcBorders>
              <w:top w:val="nil" w:sz="6" w:space="0" w:color="auto"/>
              <w:left w:val="single" w:sz="4" w:space="0" w:color="000000"/>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1553"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80" w:type="dxa"/>
            <w:vMerge/>
            <w:tcBorders>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80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二、将重分类进损益的其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他综合收益</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5,202.00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88,148.16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88,148.16</w:t>
            </w:r>
          </w:p>
        </w:tc>
        <w:tc>
          <w:tcPr>
            <w:tcW w:w="11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93,350.16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5,202.00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88,148.16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88,148.16</w:t>
            </w:r>
          </w:p>
        </w:tc>
        <w:tc>
          <w:tcPr>
            <w:tcW w:w="11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93,350.16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5,202.00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88,148.16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88,148.16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93,350.16</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57,656,938.67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1,512,877.75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59,169,816.42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1,322,286.97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58,979,225.64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1,512,877.75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60,492,103.39</w:t>
            </w:r>
          </w:p>
        </w:tc>
      </w:tr>
    </w:tbl>
    <w:p>
      <w:pPr>
        <w:pStyle w:val="BodyText"/>
        <w:spacing w:line="357" w:lineRule="auto" w:before="49"/>
        <w:ind w:left="652" w:right="5384"/>
        <w:jc w:val="left"/>
      </w:pPr>
      <w:r>
        <w:rPr/>
        <w:t>盈余公积说明，包括本期增减变动情况、变动原因说明： 本期增加系根据公司章程，按当年净利润的</w:t>
      </w:r>
      <w:r>
        <w:rPr>
          <w:rFonts w:ascii="Times New Roman" w:hAnsi="Times New Roman" w:cs="Times New Roman" w:eastAsia="Times New Roman" w:hint="default"/>
        </w:rPr>
        <w:t>10%</w:t>
      </w:r>
      <w:r>
        <w:rPr/>
        <w:t>计提法定盈余公积。</w:t>
      </w:r>
    </w:p>
    <w:p>
      <w:pPr>
        <w:spacing w:line="240" w:lineRule="auto" w:before="9"/>
        <w:rPr>
          <w:rFonts w:ascii="宋体" w:hAnsi="宋体" w:cs="宋体" w:eastAsia="宋体" w:hint="default"/>
          <w:sz w:val="18"/>
          <w:szCs w:val="18"/>
        </w:rPr>
      </w:pPr>
    </w:p>
    <w:p>
      <w:pPr>
        <w:pStyle w:val="Heading3"/>
        <w:spacing w:line="240" w:lineRule="auto"/>
        <w:ind w:left="652" w:right="1042"/>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840,656,376.89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834,046,523.64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840,656,376.89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834,046,523.64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-94,817,582.68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1,512,877.75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7,157,172.63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11,417,857.96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732,908,058.50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840,656,376.89</w:t>
            </w:r>
          </w:p>
        </w:tc>
      </w:tr>
    </w:tbl>
    <w:p>
      <w:pPr>
        <w:pStyle w:val="BodyText"/>
        <w:spacing w:line="240" w:lineRule="auto" w:before="49"/>
        <w:ind w:left="652" w:right="1042"/>
        <w:jc w:val="left"/>
      </w:pPr>
      <w:r>
        <w:rPr/>
        <w:t>调整期初未分配利润明细：</w:t>
      </w:r>
    </w:p>
    <w:p>
      <w:pPr>
        <w:pStyle w:val="BodyText"/>
        <w:spacing w:line="240" w:lineRule="auto" w:before="117"/>
        <w:ind w:left="652" w:right="1042"/>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652" w:right="1042"/>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left="652" w:right="1042"/>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652" w:right="1042"/>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652" w:right="1042"/>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left="652" w:right="1042"/>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4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340,506,817.92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253,284,024.60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494,050,725.34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354,293,346.76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53,707,127.90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16,889,756.41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75,663,881.11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39,378,165.72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394,213,945.82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270,173,781.01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569,714,606.45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393,671,512.48</w:t>
            </w:r>
          </w:p>
        </w:tc>
      </w:tr>
    </w:tbl>
    <w:p>
      <w:pPr>
        <w:pStyle w:val="BodyText"/>
        <w:spacing w:line="240" w:lineRule="auto" w:before="49"/>
        <w:ind w:right="1133"/>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1,550,369.43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3,051,373.57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1,106,839.52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2,174,622.95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5,152,777.48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5,041,347.45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161,031.24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164,263.24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44,840.38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83,305.00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262,820.74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951,152.50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8,278,678.79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11,466,064.71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37</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5,624,033.57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7,056,878.95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2,553,023.44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6,194,030.03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410,225.69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1,064,149.21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18,969,621.32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29,013,115.87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3,339,001.08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7,402,008.02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8,968,793.05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9,073,959.60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1,892,159.69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2,377,960.55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3,789,143.73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5,945,816.35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873,198.43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4,724,018.80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1,645,301.74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5,576,352.48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48,064,501.74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78,428,289.86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17,420,866.50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23,926,679.16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300,882.44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215,204.09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1,229,591.22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1,215,936.25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3,918,931.48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3,585,113.43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1,145,539.05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1,350,853.27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5,645,885.59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5,306,617.66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5,874,936.51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6,016,874.13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346,276.54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853,203.46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749,943.93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1,071,535.03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9,633,539.87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10,405,123.09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46,266,393.13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53,947,139.57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22,673,868.08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25,111,291.36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4,698,249.29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4,060,670.42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3,712,984.23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3,466,681.45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1,621,729.09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6,282,544.23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32,706,830.69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38,921,187.46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5,201,129.87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943,078.35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247,407.43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-652,935.50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-456,186.00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140,049.62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3,730,229.05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2,610,606.43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3,559,781.51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14,497,177.26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8,662,525.71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7,079,325.35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7,842,144.83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15,262,341.17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9,957,677.14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983,698.11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30,022,129.19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37,822,541.89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402"/>
        <w:gridCol w:w="1585"/>
        <w:gridCol w:w="1584"/>
      </w:tblGrid>
      <w:tr>
        <w:trPr>
          <w:trHeight w:val="401" w:hRule="exact"/>
        </w:trPr>
        <w:tc>
          <w:tcPr>
            <w:tcW w:w="6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1,048,440.38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4,667,656.76</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天河区财政局补贴收入</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3,511,300.00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年度广东省高新技术企业培育资金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年度总部企业奖励补贴</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年广州市企业研发经费后补助</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2,036,600.00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天河区财政局企业研发后补助专项经费款</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1,920,100.00</w:t>
            </w:r>
          </w:p>
        </w:tc>
      </w:tr>
      <w:tr>
        <w:trPr>
          <w:trHeight w:val="404"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广州市先进制造业企业创新发展专项资金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天河区财政局高新技术产品产值补贴</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1,561,892.00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年度企业研究开发省级财政补助项目资金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年高新技术企业认定通过奖励资金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年度广东省研发费投入后补助资金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年度广东省企业研发费后补助资金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631,500.00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年瞪羚专项扶持资金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年广州市工业和信息发展专项资金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447,100.00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年度广东省研发费投入后补助资金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市企业研发经费投入后补助区级经费</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116,500.00</w:t>
            </w:r>
          </w:p>
        </w:tc>
      </w:tr>
      <w:tr>
        <w:trPr>
          <w:trHeight w:val="404"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年科技发展专项资助</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年市企业研发投入后补助区级经费</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97,800.00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天河区财政局发明专利申请奖励</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广州开发区科技创新和知识产权局专利资助</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w:t>
            </w: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天河区财政局科学技术奖励资金</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6402"/>
        <w:gridCol w:w="1585"/>
        <w:gridCol w:w="1584"/>
      </w:tblGrid>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年度高新技术企业认定通过奖励款</w:t>
            </w:r>
            <w:r>
              <w:rPr>
                <w:rFonts w:ascii="Times New Roman" w:hAnsi="Times New Roman" w:cs="Times New Roman" w:eastAsia="Times New Roman" w:hint="default"/>
                <w:sz w:val="18"/>
                <w:szCs w:val="18"/>
              </w:rPr>
              <w:t>(</w:t>
            </w:r>
            <w:r>
              <w:rPr>
                <w:rFonts w:ascii="宋体" w:hAnsi="宋体" w:cs="宋体" w:eastAsia="宋体" w:hint="default"/>
                <w:sz w:val="18"/>
                <w:szCs w:val="18"/>
              </w:rPr>
              <w:t>第二年）</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年广东省有关专利资助资金</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1,250.00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广州开发区知识产权局（黄埔区知识产权局）计算机软件著作权登记</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广州开发区知识产权局（黄埔区知识产权局）专利资助</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企业研究开发奖励款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246,600.00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开发区知识产权局拨专利资助款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广州开发区科技创新局（黄埔区科技局）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年度高新技术企业认定通过奖励款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2,449,500.00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433,800.00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天河区财政局企业研发后补助专项经费</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高新技术企业资质认定补贴专项经费</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广州市天河区财政局企业贡献奖励款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广州市天河区财政局企业引进奖励款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739,126.98</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广州市天河区财政局软件著作权奖励款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年广州市企业创新能力建设计划项目经费</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3,840,200.00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年广州市企业研发经费投入后补助专项经费</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天河区财政局高新技术产品增值补贴收入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579,145.00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天河区财政局高新技术产品补贴收入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代扣代缴个人所得税手续费退款</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105,362.02</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13,718,624.38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25,149,748.76</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61"/>
        <w:gridCol w:w="1801"/>
        <w:gridCol w:w="2009"/>
      </w:tblGrid>
      <w:tr>
        <w:trPr>
          <w:trHeight w:val="402" w:hRule="exact"/>
        </w:trPr>
        <w:tc>
          <w:tcPr>
            <w:tcW w:w="5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-108,678.37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-291,321.63</w:t>
            </w:r>
          </w:p>
        </w:tc>
      </w:tr>
      <w:tr>
        <w:trPr>
          <w:trHeight w:val="402" w:hRule="exact"/>
        </w:trPr>
        <w:tc>
          <w:tcPr>
            <w:tcW w:w="5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-23,913,549.24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32,522,857.84</w:t>
            </w:r>
          </w:p>
        </w:tc>
      </w:tr>
      <w:tr>
        <w:trPr>
          <w:trHeight w:val="402" w:hRule="exact"/>
        </w:trPr>
        <w:tc>
          <w:tcPr>
            <w:tcW w:w="5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2,232,334.14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584,168.47</w:t>
            </w:r>
          </w:p>
        </w:tc>
      </w:tr>
      <w:tr>
        <w:trPr>
          <w:trHeight w:val="402" w:hRule="exact"/>
        </w:trPr>
        <w:tc>
          <w:tcPr>
            <w:tcW w:w="5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-20,539,893.47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32,815,704.68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0"/>
        <w:gridCol w:w="2340"/>
        <w:gridCol w:w="2178"/>
      </w:tblGrid>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0"/>
        <w:gridCol w:w="2340"/>
        <w:gridCol w:w="2189"/>
      </w:tblGrid>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-29,930,969.65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23,621,022.04</w:t>
            </w:r>
          </w:p>
        </w:tc>
      </w:tr>
      <w:tr>
        <w:trPr>
          <w:trHeight w:val="404"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-29,930,969.65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23,621,022.04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45</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-8,531,296.25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-178,728.93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-8,531,296.25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-178,728.93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34,556.52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34,556.52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433,888.82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1,308,126.36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433,888.82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468,445.34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1,308,126.36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468,445.34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7,743.45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8,761,224.37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7,743.45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短款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161,517.17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161,517.17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材料、旧机报废损失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6,662,400.46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3,441,828.66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6,662,400.46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257,181.25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417,373.60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257,181.25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补缴税金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31,822.79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789,622.69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31,822.79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923,387.43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151,081.50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923,387.43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8,104,052.55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13,828,050.82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8,104,052.55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745,705.63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6,867,306.11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-3,875,862.93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1,100,754.15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-3,130,157.30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7,968,060.26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19"/>
        <w:gridCol w:w="3640"/>
      </w:tblGrid>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6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-97,947,739.98</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6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-14,692,160.99</w:t>
            </w:r>
          </w:p>
        </w:tc>
      </w:tr>
      <w:tr>
        <w:trPr>
          <w:trHeight w:val="403"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6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-1,499,411.61</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6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530,492.10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6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-1,847,619.96</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15,046,013.02</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对期初递延所得税的调整影响</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-667,469.86</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-3,130,157.30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12,670,184.00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20,482,092.00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943,078.35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247,407.43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17,484,850.15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30,620,268.25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31,098,112.50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51,349,767.68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54,675,218.58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84,119,299.99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1,433,908.64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1,624,997.79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17,069,061.54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1,946,160.49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73,178,188.76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87,690,458.27</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80" w:header="745" w:top="1060" w:bottom="116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947"/>
        <w:gridCol w:w="1723"/>
        <w:gridCol w:w="1709"/>
      </w:tblGrid>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-94,817,582.68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30,022,129.19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37,822,541.89</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30,071,054.67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43,347,745.45</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5,149,843.15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5,134,736.36</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780,823.14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699,619.89</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9,916,846.70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8,939,953.30</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-26,813.07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29,930,969.65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-23,621,022.04</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5,201,129.87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20,539,893.47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-32,815,704.68</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-279,411.30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-110,656.46</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-3,596,451.63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1,211,410.61</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77,286,826.68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114,265,900.88</w:t>
            </w:r>
          </w:p>
        </w:tc>
      </w:tr>
      <w:tr>
        <w:trPr>
          <w:trHeight w:val="404"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123,458,727.56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84,249,857.59</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-123,661,009.60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-108,291,174.56</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109,976,975.80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147,774,384.35</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85,911,593.97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165,010,591.96</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165,010,591.96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391,035,031.87</w:t>
            </w: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23" w:type="dxa"/>
            <w:tcBorders>
              <w:top w:val="single" w:sz="4" w:space="0" w:color="000000"/>
              <w:left w:val="single" w:sz="12" w:space="0" w:color="D2D2D2"/>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39,600,000.00</w:t>
            </w:r>
          </w:p>
        </w:tc>
      </w:tr>
      <w:tr>
        <w:trPr>
          <w:trHeight w:val="403"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39,600,000.00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-118,698,997.99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-186,424,439.91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）本期无支付的取得子公司的现金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）本期无收到的处置子公司的现金</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85,911,593.97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165,010,591.96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1,667,609.81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67,337,114.22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160,728,710.86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18,432,082.02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2,614,271.29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85,911,593.97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204,610,591.96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1,029,767.08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206,700,902.94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207,730,670.02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3" w:right="1133"/>
        <w:jc w:val="left"/>
      </w:pPr>
      <w:r>
        <w:rPr/>
        <w:t>其他说明：</w:t>
      </w:r>
    </w:p>
    <w:p>
      <w:pPr>
        <w:pStyle w:val="BodyText"/>
        <w:spacing w:line="300" w:lineRule="auto" w:before="115"/>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日，公司与中国工商银行股份有限公司广州工业大道支行签订了最高额抵押合同，将广州市天河区高唐路 的部分房屋建筑物作为抵押，截至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206,700,902.94</w:t>
      </w:r>
      <w:r>
        <w:rPr/>
        <w:t>元，该抵押担保合同项下的借款余额为 </w:t>
      </w:r>
      <w:r>
        <w:rPr>
          <w:rFonts w:ascii="Times New Roman" w:hAnsi="Times New Roman" w:cs="Times New Roman" w:eastAsia="Times New Roman" w:hint="default"/>
        </w:rPr>
        <w:t>29,200,000.00</w:t>
      </w:r>
      <w:r>
        <w:rPr/>
        <w:t>元，详见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26</w:t>
      </w:r>
      <w:r>
        <w:rPr/>
        <w:t>一年内到期的非流动负债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28</w:t>
      </w:r>
      <w:r>
        <w:rPr/>
        <w:t>长期借款</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15,716,542.54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2,289,763.63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15,715,105.75</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1,429.96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1,243,339.78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181,160.36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1,243,339.78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1,255,966.42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183,000.12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1,255,966.42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59" w:lineRule="auto" w:before="36"/>
        <w:ind w:left="292"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292" w:right="31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292" w:right="3196"/>
        <w:jc w:val="left"/>
        <w:rPr>
          <w:b w:val="0"/>
          <w:bCs w:val="0"/>
        </w:rPr>
      </w:pPr>
      <w:r>
        <w:rPr>
          <w:rFonts w:ascii="Times New Roman" w:hAnsi="Times New Roman" w:cs="Times New Roman" w:eastAsia="Times New Roman" w:hint="default"/>
        </w:rPr>
        <w:t>53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92" w:right="3196"/>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481"/>
        <w:gridCol w:w="1261"/>
        <w:gridCol w:w="900"/>
        <w:gridCol w:w="1080"/>
      </w:tblGrid>
      <w:tr>
        <w:trPr>
          <w:trHeight w:val="713" w:hRule="exact"/>
        </w:trPr>
        <w:tc>
          <w:tcPr>
            <w:tcW w:w="6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计入当期损 益的金额</w:t>
            </w:r>
          </w:p>
        </w:tc>
      </w:tr>
      <w:tr>
        <w:trPr>
          <w:trHeight w:val="404"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年度高新技术企业认定通过奖励款</w:t>
            </w:r>
            <w:r>
              <w:rPr>
                <w:rFonts w:ascii="Times New Roman" w:hAnsi="Times New Roman" w:cs="Times New Roman" w:eastAsia="Times New Roman" w:hint="default"/>
                <w:sz w:val="18"/>
                <w:szCs w:val="18"/>
              </w:rPr>
              <w:t>(</w:t>
            </w:r>
            <w:r>
              <w:rPr>
                <w:rFonts w:ascii="宋体" w:hAnsi="宋体" w:cs="宋体" w:eastAsia="宋体" w:hint="default"/>
                <w:sz w:val="18"/>
                <w:szCs w:val="18"/>
              </w:rPr>
              <w:t>第二年）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年广东省有关专利资助资金</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1,250.00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广州开发区知识产权局（黄埔区知识产权局）计算机软件著作权登记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广州开发区知识产权局（黄埔区知识产权局）专利资助</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企业研究开发奖励款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246,600.00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开发区知识产权局拨专利资助款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广州开发区科技创新局（黄埔区科技局）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2,449,500.00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433,800.00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天河区财政局企业研发后补助专项经费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高新技术企业资质认定补贴专项经费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广州市天河区财政局企业贡献奖励款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广州市天河区财政局企业引进奖励款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739,126.98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739,126.98</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广州市天河区财政局软件著作权奖励款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年广州市企业创新能力建设计划项目经费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3,840,200.00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年广州市企业研发经费投入后补助专项经费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1,192,600.00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天河区财政局高新技术产品增值补贴收入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579,145.00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579,145.00</w:t>
            </w:r>
          </w:p>
        </w:tc>
      </w:tr>
      <w:tr>
        <w:trPr>
          <w:trHeight w:val="403"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天河区财政局高新技术产品补贴收入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代扣代缴个人所得税手续费退款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105,362.02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105,362.02</w:t>
            </w:r>
          </w:p>
        </w:tc>
      </w:tr>
    </w:tbl>
    <w:p>
      <w:pPr>
        <w:spacing w:line="240" w:lineRule="auto" w:before="3"/>
        <w:rPr>
          <w:rFonts w:ascii="宋体" w:hAnsi="宋体" w:cs="宋体" w:eastAsia="宋体" w:hint="default"/>
          <w:sz w:val="19"/>
          <w:szCs w:val="19"/>
        </w:rPr>
      </w:pPr>
    </w:p>
    <w:p>
      <w:pPr>
        <w:pStyle w:val="Heading3"/>
        <w:spacing w:line="240" w:lineRule="auto" w:before="36"/>
        <w:ind w:left="292" w:right="3196"/>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653" w:right="860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39"/>
        <w:ind w:left="653" w:right="0"/>
        <w:jc w:val="left"/>
      </w:pPr>
      <w:r>
        <w:rPr/>
        <w:t>根据财税【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t>号《财政部、国家税务总局关于嵌入式软件增值税政策的通知》、财税【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号《财政部、</w:t>
      </w:r>
    </w:p>
    <w:p>
      <w:pPr>
        <w:spacing w:after="0" w:line="240" w:lineRule="auto"/>
        <w:jc w:val="left"/>
        <w:sectPr>
          <w:pgSz w:w="11910" w:h="16840"/>
          <w:pgMar w:header="745" w:footer="980" w:top="1060" w:bottom="1160" w:left="840" w:right="0"/>
        </w:sectPr>
      </w:pPr>
    </w:p>
    <w:p>
      <w:pPr>
        <w:spacing w:line="240" w:lineRule="auto" w:before="9"/>
        <w:rPr>
          <w:rFonts w:ascii="宋体" w:hAnsi="宋体" w:cs="宋体" w:eastAsia="宋体" w:hint="default"/>
          <w:sz w:val="25"/>
          <w:szCs w:val="25"/>
        </w:rPr>
      </w:pPr>
    </w:p>
    <w:p>
      <w:pPr>
        <w:pStyle w:val="BodyText"/>
        <w:spacing w:line="309" w:lineRule="auto" w:before="44"/>
        <w:ind w:left="652" w:right="1042"/>
        <w:jc w:val="left"/>
      </w:pPr>
      <w:r>
        <w:rPr>
          <w:spacing w:val="-2"/>
        </w:rPr>
        <w:t>国家税务总局关于软件产品增值税政策的通知》的有关规定：增值税一般纳税人随同计算机网络、计算机硬件和机器设备等</w:t>
      </w:r>
      <w:r>
        <w:rPr>
          <w:spacing w:val="-61"/>
        </w:rPr>
        <w:t> </w:t>
      </w:r>
      <w:r>
        <w:rPr>
          <w:spacing w:val="-61"/>
        </w:rPr>
      </w:r>
      <w:r>
        <w:rPr>
          <w:spacing w:val="-2"/>
        </w:rPr>
        <w:t>一并销售其自行开发生产的嵌入式软件，如果能够按照《财政部、国家税务总局关于贯彻落实〈中共中央、国务院关于加强</w:t>
      </w:r>
      <w:r>
        <w:rPr>
          <w:spacing w:val="-67"/>
        </w:rPr>
        <w:t> </w:t>
      </w:r>
      <w:r>
        <w:rPr>
          <w:spacing w:val="-67"/>
        </w:rPr>
      </w:r>
      <w:r>
        <w:rPr/>
        <w:t>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号）第一条第三款之规定，分别 </w:t>
      </w:r>
      <w:r>
        <w:rPr>
          <w:spacing w:val="-9"/>
        </w:rPr>
        <w:t>核算嵌入式软件与计算机硬件、机器设备等的销售额，可以享受软件产品增值税优惠政策。公司符合财税【</w:t>
      </w:r>
      <w:r>
        <w:rPr>
          <w:rFonts w:ascii="Times New Roman" w:hAnsi="Times New Roman" w:cs="Times New Roman" w:eastAsia="Times New Roman" w:hint="default"/>
          <w:spacing w:val="-9"/>
        </w:rPr>
        <w:t>2008</w:t>
      </w:r>
      <w:r>
        <w:rPr>
          <w:spacing w:val="-9"/>
        </w:rPr>
        <w:t>】</w:t>
      </w:r>
      <w:r>
        <w:rPr>
          <w:rFonts w:ascii="Times New Roman" w:hAnsi="Times New Roman" w:cs="Times New Roman" w:eastAsia="Times New Roman" w:hint="default"/>
          <w:spacing w:val="-9"/>
        </w:rPr>
        <w:t>92</w:t>
      </w:r>
      <w:r>
        <w:rPr>
          <w:spacing w:val="-9"/>
        </w:rPr>
        <w:t>号、【</w:t>
      </w:r>
      <w:r>
        <w:rPr>
          <w:rFonts w:ascii="Times New Roman" w:hAnsi="Times New Roman" w:cs="Times New Roman" w:eastAsia="Times New Roman" w:hint="default"/>
          <w:spacing w:val="-9"/>
        </w:rPr>
        <w:t>2011</w:t>
      </w:r>
      <w:r>
        <w:rPr>
          <w:spacing w:val="-9"/>
        </w:rPr>
        <w:t>】</w:t>
      </w:r>
      <w:r>
        <w:rPr>
          <w:spacing w:val="-69"/>
        </w:rPr>
        <w:t> </w:t>
      </w:r>
      <w:r>
        <w:rPr>
          <w:rFonts w:ascii="Times New Roman" w:hAnsi="Times New Roman" w:cs="Times New Roman" w:eastAsia="Times New Roman" w:hint="default"/>
        </w:rPr>
        <w:t>100</w:t>
      </w:r>
      <w:r>
        <w:rPr/>
        <w:t>号之规定，嵌入式软件销售收入享受增值税即征即退优惠政策。</w:t>
      </w:r>
    </w:p>
    <w:p>
      <w:pPr>
        <w:spacing w:line="240" w:lineRule="auto" w:before="10"/>
        <w:rPr>
          <w:rFonts w:ascii="宋体" w:hAnsi="宋体" w:cs="宋体" w:eastAsia="宋体" w:hint="default"/>
          <w:sz w:val="19"/>
          <w:szCs w:val="19"/>
        </w:rPr>
      </w:pPr>
    </w:p>
    <w:p>
      <w:pPr>
        <w:pStyle w:val="Heading2"/>
        <w:spacing w:line="240" w:lineRule="auto"/>
        <w:ind w:left="652" w:right="1042"/>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1</w:t>
      </w:r>
      <w:r>
        <w:rPr/>
        <w:t>、本报告期未发生非同一控制下企业合并。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2</w:t>
      </w:r>
      <w:r>
        <w:rPr/>
        <w:t>、本报告期未发生同一控制下企业合并。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3</w:t>
      </w:r>
      <w:r>
        <w:rPr/>
        <w:t>、本报告期未发生反向购买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1042"/>
        <w:jc w:val="left"/>
      </w:pPr>
      <w:r>
        <w:rPr/>
        <w:t>是否存在单次处置对子公司投资即丧失控制权的情形</w:t>
      </w:r>
    </w:p>
    <w:p>
      <w:pPr>
        <w:pStyle w:val="BodyText"/>
        <w:spacing w:line="340" w:lineRule="auto" w:before="115"/>
        <w:ind w:left="652"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left="652" w:right="10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left="652" w:right="1042"/>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1042"/>
        <w:jc w:val="left"/>
      </w:pPr>
      <w:r>
        <w:rPr/>
        <w:t>说明其他原因导致的合并范围变动（如，新设子公司、清算子公司等）及其相关情况：</w:t>
      </w:r>
    </w:p>
    <w:p>
      <w:pPr>
        <w:pStyle w:val="BodyText"/>
        <w:spacing w:line="309" w:lineRule="auto" w:before="117"/>
        <w:ind w:left="652"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08</w:t>
      </w:r>
      <w:r>
        <w:rPr>
          <w:spacing w:val="-2"/>
        </w:rPr>
        <w:t>月</w:t>
      </w:r>
      <w:r>
        <w:rPr>
          <w:rFonts w:ascii="Times New Roman" w:hAnsi="Times New Roman" w:cs="Times New Roman" w:eastAsia="Times New Roman" w:hint="default"/>
          <w:spacing w:val="-2"/>
        </w:rPr>
        <w:t>22</w:t>
      </w:r>
      <w:r>
        <w:rPr>
          <w:spacing w:val="-2"/>
        </w:rPr>
        <w:t>日，本公司召开第六届董事会第二次会议审计通过了《关于投资设立全资子公司广州御商信息科技有限公</w:t>
      </w:r>
      <w:r>
        <w:rPr/>
        <w:t> </w:t>
      </w:r>
      <w:r>
        <w:rPr>
          <w:spacing w:val="-2"/>
        </w:rPr>
        <w:t>司的议案》，同意通过固定资产及货币资金出资的方式设立全资子公司出资广州御商信息科技有限公司，注册资本为人民币</w:t>
      </w:r>
      <w:r>
        <w:rPr>
          <w:spacing w:val="-64"/>
        </w:rPr>
        <w:t> </w:t>
      </w:r>
      <w:r>
        <w:rPr>
          <w:spacing w:val="-64"/>
        </w:rPr>
      </w:r>
      <w:r>
        <w:rPr>
          <w:rFonts w:ascii="Times New Roman" w:hAnsi="Times New Roman" w:cs="Times New Roman" w:eastAsia="Times New Roman" w:hint="default"/>
        </w:rPr>
        <w:t>18,500,000.00</w:t>
      </w:r>
      <w:r>
        <w:rPr/>
        <w:t>元，公司持有其</w:t>
      </w:r>
      <w:r>
        <w:rPr>
          <w:rFonts w:ascii="Times New Roman" w:hAnsi="Times New Roman" w:cs="Times New Roman" w:eastAsia="Times New Roman" w:hint="default"/>
        </w:rPr>
        <w:t>100%</w:t>
      </w:r>
      <w:r>
        <w:rPr/>
        <w:t>股权。从成立日起，广州御商信息科技有限公司纳入合并范围。</w:t>
      </w:r>
    </w:p>
    <w:p>
      <w:pPr>
        <w:spacing w:line="240" w:lineRule="auto" w:before="0"/>
        <w:rPr>
          <w:rFonts w:ascii="宋体" w:hAnsi="宋体" w:cs="宋体" w:eastAsia="宋体" w:hint="default"/>
          <w:sz w:val="15"/>
          <w:szCs w:val="15"/>
        </w:rPr>
      </w:pPr>
    </w:p>
    <w:p>
      <w:pPr>
        <w:pStyle w:val="Heading2"/>
        <w:spacing w:line="240" w:lineRule="auto"/>
        <w:ind w:left="652" w:right="1042"/>
        <w:jc w:val="left"/>
        <w:rPr>
          <w:b w:val="0"/>
          <w:bCs w:val="0"/>
        </w:rPr>
      </w:pPr>
      <w:r>
        <w:rPr/>
        <w:t>九、在其他主体中的权益</w:t>
      </w:r>
      <w:r>
        <w:rPr>
          <w:b w:val="0"/>
          <w:bCs w:val="0"/>
        </w:rPr>
      </w:r>
    </w:p>
    <w:p>
      <w:pPr>
        <w:spacing w:line="240" w:lineRule="auto" w:before="4"/>
        <w:rPr>
          <w:rFonts w:ascii="宋体" w:hAnsi="宋体" w:cs="宋体" w:eastAsia="宋体" w:hint="default"/>
          <w:b/>
          <w:bCs/>
          <w:sz w:val="20"/>
          <w:szCs w:val="20"/>
        </w:rPr>
      </w:pPr>
    </w:p>
    <w:p>
      <w:pPr>
        <w:pStyle w:val="Heading3"/>
        <w:spacing w:line="240" w:lineRule="auto"/>
        <w:ind w:left="652" w:right="104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0"/>
          <w:szCs w:val="20"/>
        </w:rPr>
      </w:pPr>
    </w:p>
    <w:tbl>
      <w:tblPr>
        <w:tblW w:w="0" w:type="auto"/>
        <w:jc w:val="left"/>
        <w:tblInd w:w="108" w:type="dxa"/>
        <w:tblLayout w:type="fixed"/>
        <w:tblCellMar>
          <w:top w:w="0" w:type="dxa"/>
          <w:left w:w="0" w:type="dxa"/>
          <w:bottom w:w="0" w:type="dxa"/>
          <w:right w:w="0" w:type="dxa"/>
        </w:tblCellMar>
        <w:tblLook w:val="01E0"/>
      </w:tblPr>
      <w:tblGrid>
        <w:gridCol w:w="2880"/>
        <w:gridCol w:w="1081"/>
        <w:gridCol w:w="1080"/>
        <w:gridCol w:w="1930"/>
        <w:gridCol w:w="701"/>
        <w:gridCol w:w="701"/>
        <w:gridCol w:w="2249"/>
      </w:tblGrid>
      <w:tr>
        <w:trPr>
          <w:trHeight w:val="401"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930" w:type="dxa"/>
            <w:vMerge/>
            <w:tcBorders>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2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专业设备制造业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480" w:right="0"/>
        </w:sectPr>
      </w:pPr>
    </w:p>
    <w:p>
      <w:pPr>
        <w:spacing w:line="240" w:lineRule="auto" w:before="6"/>
        <w:rPr>
          <w:rFonts w:ascii="宋体" w:hAnsi="宋体" w:cs="宋体" w:eastAsia="宋体" w:hint="default"/>
          <w:b/>
          <w:bCs/>
          <w:sz w:val="28"/>
          <w:szCs w:val="28"/>
        </w:rPr>
      </w:pPr>
    </w:p>
    <w:tbl>
      <w:tblPr>
        <w:tblW w:w="0" w:type="auto"/>
        <w:jc w:val="left"/>
        <w:tblInd w:w="108" w:type="dxa"/>
        <w:tblLayout w:type="fixed"/>
        <w:tblCellMar>
          <w:top w:w="0" w:type="dxa"/>
          <w:left w:w="0" w:type="dxa"/>
          <w:bottom w:w="0" w:type="dxa"/>
          <w:right w:w="0" w:type="dxa"/>
        </w:tblCellMar>
        <w:tblLook w:val="01E0"/>
      </w:tblPr>
      <w:tblGrid>
        <w:gridCol w:w="2880"/>
        <w:gridCol w:w="1081"/>
        <w:gridCol w:w="1080"/>
        <w:gridCol w:w="1930"/>
        <w:gridCol w:w="701"/>
        <w:gridCol w:w="701"/>
        <w:gridCol w:w="22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研究和试验发展</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农、林、牧、渔业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82.33%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专业设备制造业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spacing w:line="240" w:lineRule="auto" w:before="8"/>
        <w:rPr>
          <w:rFonts w:ascii="宋体" w:hAnsi="宋体" w:cs="宋体" w:eastAsia="宋体" w:hint="default"/>
          <w:b/>
          <w:bCs/>
          <w:sz w:val="14"/>
          <w:szCs w:val="14"/>
        </w:rPr>
      </w:pPr>
    </w:p>
    <w:p>
      <w:pPr>
        <w:pStyle w:val="Heading3"/>
        <w:spacing w:line="240" w:lineRule="auto" w:before="36"/>
        <w:ind w:left="652" w:right="1042"/>
        <w:jc w:val="left"/>
        <w:rPr>
          <w:b w:val="0"/>
          <w:bCs w:val="0"/>
        </w:rPr>
      </w:pPr>
      <w:r>
        <w:rPr>
          <w:rFonts w:ascii="Times New Roman" w:hAnsi="Times New Roman" w:cs="Times New Roman" w:eastAsia="Times New Roman" w:hint="default"/>
        </w:rPr>
        <w:t>2</w:t>
      </w:r>
      <w:r>
        <w:rPr/>
        <w:t>、本报告期无在子公司的所有者权益份额发生变化且仍控制子公司的交易</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652" w:right="1042"/>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1</w:t>
      </w:r>
      <w:r>
        <w:rPr/>
        <w:t>）本报告期无重要的合营企业或联营企业</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108,678.37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-108,678.37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-291,321.63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-108,678.37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-291,321.63</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t>（</w:t>
      </w:r>
      <w:r>
        <w:rPr>
          <w:rFonts w:ascii="Times New Roman" w:hAnsi="Times New Roman" w:cs="Times New Roman" w:eastAsia="Times New Roman" w:hint="default"/>
        </w:rPr>
        <w:t>3</w:t>
      </w:r>
      <w:r>
        <w:rPr/>
        <w:t>）本报告期不存在合营企业或联营企业向本公司转移资金的能力存在重大限制的说明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4</w:t>
      </w:r>
      <w:r>
        <w:rPr/>
        <w:t>）本报告期不存在合营企业或联营企业发生的超额亏损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5</w:t>
      </w:r>
      <w:r>
        <w:rPr/>
        <w:t>）本报告期不存在与合营企业投资相关的未确认承诺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t>（</w:t>
      </w:r>
      <w:r>
        <w:rPr>
          <w:rFonts w:ascii="Times New Roman" w:hAnsi="Times New Roman" w:cs="Times New Roman" w:eastAsia="Times New Roman" w:hint="default"/>
        </w:rPr>
        <w:t>6</w:t>
      </w:r>
      <w:r>
        <w:rPr/>
        <w:t>）本报告期不存在与合营企业或联营企业投资相关的或有负债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4</w:t>
      </w:r>
      <w:r>
        <w:rPr/>
        <w:t>、本报告期无重要的共同经营</w:t>
      </w:r>
      <w:r>
        <w:rPr>
          <w:b w:val="0"/>
          <w:bCs w:val="0"/>
        </w:rPr>
      </w:r>
    </w:p>
    <w:p>
      <w:pPr>
        <w:spacing w:after="0" w:line="240" w:lineRule="auto"/>
        <w:jc w:val="left"/>
        <w:sectPr>
          <w:pgSz w:w="11910" w:h="16840"/>
          <w:pgMar w:header="745" w:footer="980" w:top="1060" w:bottom="1160" w:left="4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、本报告期无未纳入合并财务报表范围的结构化主体中的权益</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的确定，并对风险管理目标和政策承担最终责任，但是董事会已授权本公司经营管理层设计和实施能确保风险管理目标和政</w:t>
      </w:r>
      <w:r>
        <w:rPr>
          <w:spacing w:val="-64"/>
        </w:rPr>
        <w:t> </w:t>
      </w:r>
      <w:r>
        <w:rPr>
          <w:spacing w:val="-64"/>
        </w:rPr>
      </w:r>
      <w:r>
        <w:rPr>
          <w:spacing w:val="-2"/>
        </w:rPr>
        <w:t>策得以有效执行的程序。董事会通过相关职能部门递交的月度报告来审查已执行程序的有效性以及风险管理目标和政策的合</w:t>
      </w:r>
      <w:r>
        <w:rPr>
          <w:spacing w:val="-64"/>
        </w:rPr>
        <w:t> </w:t>
      </w:r>
      <w:r>
        <w:rPr>
          <w:spacing w:val="-64"/>
        </w:rPr>
      </w:r>
      <w:r>
        <w:rPr/>
        <w:t>理性。本公司的内部审计师也会审计风险管理的政策和程序，并且将有关发现汇报给审计委员会。</w:t>
      </w:r>
    </w:p>
    <w:p>
      <w:pPr>
        <w:pStyle w:val="BodyText"/>
        <w:spacing w:line="309" w:lineRule="auto" w:before="19"/>
        <w:ind w:left="513" w:right="1034"/>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rPr>
        <w:t>1</w:t>
      </w:r>
      <w:r>
        <w:rPr/>
        <w:t>、信用风险 </w:t>
      </w:r>
      <w:r>
        <w:rPr>
          <w:spacing w:val="-4"/>
        </w:rPr>
        <w:t>信用风险是指金融工具的一方不履行义务，造成另一方发生财务损失的风险。本公司主要面临赊销导致的客户信用风险。</w:t>
      </w:r>
    </w:p>
    <w:p>
      <w:pPr>
        <w:pStyle w:val="BodyText"/>
        <w:spacing w:line="316" w:lineRule="auto" w:before="24"/>
        <w:ind w:right="1129"/>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309" w:lineRule="auto" w:before="19"/>
        <w:ind w:right="1133"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00" w:lineRule="auto" w:before="24"/>
        <w:ind w:left="513" w:right="1129"/>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金融工具的市场风险，是指金融工具的公允价值或未来现金流量因市场价格变动而发生波动的风险，包括汇率风险、利</w:t>
      </w:r>
    </w:p>
    <w:p>
      <w:pPr>
        <w:pStyle w:val="BodyText"/>
        <w:spacing w:line="240" w:lineRule="auto" w:before="31"/>
        <w:ind w:right="1133"/>
        <w:jc w:val="left"/>
      </w:pPr>
      <w:r>
        <w:rPr/>
        <w:t>率风险和其他价格风险。</w:t>
      </w:r>
    </w:p>
    <w:p>
      <w:pPr>
        <w:pStyle w:val="BodyText"/>
        <w:spacing w:line="300" w:lineRule="auto" w:before="76"/>
        <w:ind w:left="513" w:right="1129"/>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6" w:lineRule="auto" w:before="31"/>
        <w:ind w:right="1129"/>
        <w:jc w:val="left"/>
      </w:pPr>
      <w:r>
        <w:rPr>
          <w:spacing w:val="-2"/>
        </w:rPr>
        <w:t>源于银行长短期借款。公司通过建立良好的银企关系，对授信额度、授信品种以及授信期限进行合理的设计，保障银行授信</w:t>
      </w:r>
      <w:r>
        <w:rPr>
          <w:spacing w:val="-65"/>
        </w:rPr>
        <w:t> </w:t>
      </w:r>
      <w:r>
        <w:rPr>
          <w:spacing w:val="-65"/>
        </w:rPr>
      </w:r>
      <w:r>
        <w:rPr/>
        <w:t>额度充足，满足公司各类融资需求。并且通过缩短单笔借款的期限，特别约定提前还款条款，合理降低利率波动风险。</w:t>
      </w:r>
    </w:p>
    <w:p>
      <w:pPr>
        <w:pStyle w:val="BodyText"/>
        <w:spacing w:line="300" w:lineRule="auto" w:before="19"/>
        <w:ind w:left="513" w:right="1129"/>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00" w:lineRule="auto" w:before="32"/>
        <w:ind w:right="1214"/>
        <w:jc w:val="left"/>
      </w:pPr>
      <w:r>
        <w:rPr/>
        <w:t>币支出相匹配以降低汇率风险。此外，公司还可能签署远期外汇合约或货币互换合约以达到规避汇率风险的目的。于</w:t>
      </w:r>
      <w:r>
        <w:rPr>
          <w:rFonts w:ascii="Times New Roman" w:hAnsi="Times New Roman" w:cs="Times New Roman" w:eastAsia="Times New Roman" w:hint="default"/>
        </w:rPr>
        <w:t>2018 </w:t>
      </w:r>
      <w:r>
        <w:rPr/>
        <w:t>年度及</w:t>
      </w:r>
      <w:r>
        <w:rPr>
          <w:rFonts w:ascii="Times New Roman" w:hAnsi="Times New Roman" w:cs="Times New Roman" w:eastAsia="Times New Roman" w:hint="default"/>
        </w:rPr>
        <w:t>2017</w:t>
      </w:r>
      <w:r>
        <w:rPr/>
        <w:t>年度，本公司未签署任何远期外汇合约或货币互换合约。</w:t>
      </w:r>
    </w:p>
    <w:p>
      <w:pPr>
        <w:pStyle w:val="BodyText"/>
        <w:spacing w:line="316" w:lineRule="auto" w:before="13"/>
        <w:ind w:right="1129" w:firstLine="360"/>
        <w:jc w:val="left"/>
      </w:pPr>
      <w:r>
        <w:rPr>
          <w:spacing w:val="-2"/>
        </w:rPr>
        <w:t>本公司面临的汇率风险主要来源于以美元计价的金融资产和金融负债，外币金融资产和外币金融负债折算成人民币的金</w:t>
      </w:r>
      <w:r>
        <w:rPr/>
        <w:t> 额列示如下：</w:t>
      </w:r>
    </w:p>
    <w:tbl>
      <w:tblPr>
        <w:tblW w:w="0" w:type="auto"/>
        <w:jc w:val="left"/>
        <w:tblInd w:w="145" w:type="dxa"/>
        <w:tblLayout w:type="fixed"/>
        <w:tblCellMar>
          <w:top w:w="0" w:type="dxa"/>
          <w:left w:w="0" w:type="dxa"/>
          <w:bottom w:w="0" w:type="dxa"/>
          <w:right w:w="0" w:type="dxa"/>
        </w:tblCellMar>
        <w:tblLook w:val="01E0"/>
      </w:tblPr>
      <w:tblGrid>
        <w:gridCol w:w="1244"/>
        <w:gridCol w:w="1457"/>
        <w:gridCol w:w="1140"/>
        <w:gridCol w:w="1532"/>
        <w:gridCol w:w="1529"/>
        <w:gridCol w:w="1397"/>
        <w:gridCol w:w="1531"/>
      </w:tblGrid>
      <w:tr>
        <w:trPr>
          <w:trHeight w:val="348" w:hRule="exact"/>
        </w:trPr>
        <w:tc>
          <w:tcPr>
            <w:tcW w:w="124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2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5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6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1244" w:type="dxa"/>
            <w:vMerge/>
            <w:tcBorders>
              <w:left w:val="single" w:sz="6" w:space="0" w:color="000000"/>
              <w:bottom w:val="single" w:sz="6" w:space="0" w:color="000000"/>
              <w:right w:val="single" w:sz="6" w:space="0" w:color="000000"/>
            </w:tcBorders>
            <w:shd w:val="clear" w:color="auto" w:fill="D9D9D9"/>
          </w:tcPr>
          <w:p>
            <w:pPr/>
          </w:p>
        </w:tc>
        <w:tc>
          <w:tcPr>
            <w:tcW w:w="14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2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3"/>
              <w:jc w:val="right"/>
              <w:rPr>
                <w:rFonts w:ascii="宋体" w:hAnsi="宋体" w:cs="宋体" w:eastAsia="宋体" w:hint="default"/>
                <w:sz w:val="18"/>
                <w:szCs w:val="18"/>
              </w:rPr>
            </w:pPr>
            <w:r>
              <w:rPr>
                <w:rFonts w:ascii="宋体" w:hAnsi="宋体" w:cs="宋体" w:eastAsia="宋体" w:hint="default"/>
                <w:sz w:val="18"/>
                <w:szCs w:val="18"/>
              </w:rPr>
              <w:t>其他外币</w:t>
            </w:r>
          </w:p>
        </w:tc>
        <w:tc>
          <w:tcPr>
            <w:tcW w:w="15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5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11"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6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0"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15,715,105.75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1,436.79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15,716,542.54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10,676,348.24</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4,927.79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10,681,276.03</w:t>
            </w:r>
          </w:p>
        </w:tc>
      </w:tr>
      <w:tr>
        <w:trPr>
          <w:trHeight w:val="427"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0"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1,243,339.78</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1,243,339.78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423,904.07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423,904.07</w:t>
            </w:r>
          </w:p>
        </w:tc>
      </w:tr>
      <w:tr>
        <w:trPr>
          <w:trHeight w:val="427"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0"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1,255,966.42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1,255,966.42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1,198,360.85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1,198,360.85</w:t>
            </w:r>
          </w:p>
        </w:tc>
      </w:tr>
      <w:tr>
        <w:trPr>
          <w:trHeight w:val="427" w:hRule="exact"/>
        </w:trPr>
        <w:tc>
          <w:tcPr>
            <w:tcW w:w="12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3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18,214,411.95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1,436.79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18,215,848.74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12,298,613.16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4,927.79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12,303,540.95</w:t>
            </w:r>
          </w:p>
        </w:tc>
      </w:tr>
    </w:tbl>
    <w:p>
      <w:pPr>
        <w:pStyle w:val="BodyText"/>
        <w:spacing w:line="309" w:lineRule="auto" w:before="19"/>
        <w:ind w:left="513" w:right="2473"/>
        <w:jc w:val="left"/>
      </w:pPr>
      <w:r>
        <w:rPr/>
        <w:t>（</w:t>
      </w:r>
      <w:r>
        <w:rPr>
          <w:rFonts w:ascii="Times New Roman" w:hAnsi="Times New Roman" w:cs="Times New Roman" w:eastAsia="Times New Roman" w:hint="default"/>
        </w:rPr>
        <w:t>3</w:t>
      </w:r>
      <w:r>
        <w:rPr/>
        <w:t>）其他价格风险 本公司持有其他上市公司的权益投资，管理层认为这些投资活动面临的市场价格风险是可以接受的。 本公司持有的上市公司权益投资列示如下：</w:t>
      </w:r>
    </w:p>
    <w:tbl>
      <w:tblPr>
        <w:tblW w:w="0" w:type="auto"/>
        <w:jc w:val="left"/>
        <w:tblInd w:w="145" w:type="dxa"/>
        <w:tblLayout w:type="fixed"/>
        <w:tblCellMar>
          <w:top w:w="0" w:type="dxa"/>
          <w:left w:w="0" w:type="dxa"/>
          <w:bottom w:w="0" w:type="dxa"/>
          <w:right w:w="0" w:type="dxa"/>
        </w:tblCellMar>
        <w:tblLook w:val="01E0"/>
      </w:tblPr>
      <w:tblGrid>
        <w:gridCol w:w="4993"/>
        <w:gridCol w:w="2396"/>
        <w:gridCol w:w="2393"/>
      </w:tblGrid>
      <w:tr>
        <w:trPr>
          <w:trHeight w:val="331" w:hRule="exact"/>
        </w:trPr>
        <w:tc>
          <w:tcPr>
            <w:tcW w:w="49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0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01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4" w:hRule="exact"/>
        </w:trPr>
        <w:tc>
          <w:tcPr>
            <w:tcW w:w="4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6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385,842,757.48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316,301,656.72</w:t>
            </w:r>
          </w:p>
        </w:tc>
      </w:tr>
      <w:tr>
        <w:trPr>
          <w:trHeight w:val="427" w:hRule="exact"/>
        </w:trPr>
        <w:tc>
          <w:tcPr>
            <w:tcW w:w="49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385,842,757.48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316,301,656.72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1013" w:right="1042"/>
        <w:jc w:val="left"/>
      </w:pPr>
      <w:r>
        <w:rPr>
          <w:rFonts w:ascii="Times New Roman" w:hAnsi="Times New Roman" w:cs="Times New Roman" w:eastAsia="Times New Roman" w:hint="default"/>
        </w:rPr>
        <w:t>3</w:t>
      </w:r>
      <w:r>
        <w:rPr/>
        <w:t>、流动性风险 </w:t>
      </w:r>
      <w:r>
        <w:rPr>
          <w:spacing w:val="-2"/>
        </w:rPr>
        <w:t>流动性风险，是指企业在履行以交付现金或其他金融资产的方式结算的义务时发生资金短缺的风险。本公司的政策是确</w:t>
      </w:r>
    </w:p>
    <w:p>
      <w:pPr>
        <w:pStyle w:val="BodyText"/>
        <w:spacing w:line="316" w:lineRule="auto" w:before="31"/>
        <w:ind w:left="652" w:right="1042"/>
        <w:jc w:val="left"/>
      </w:pPr>
      <w:r>
        <w:rPr>
          <w:spacing w:val="-2"/>
        </w:rPr>
        <w:t>保拥有充足的现金以偿还到期债务。流动性风险由本公司的财务部门集中控制。财务部门通过监控现金余额、可随时变现的</w:t>
      </w:r>
      <w:r>
        <w:rPr>
          <w:spacing w:val="-63"/>
        </w:rPr>
        <w:t> </w:t>
      </w:r>
      <w:r>
        <w:rPr>
          <w:spacing w:val="-63"/>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4"/>
        <w:rPr>
          <w:rFonts w:ascii="宋体" w:hAnsi="宋体" w:cs="宋体" w:eastAsia="宋体" w:hint="default"/>
          <w:sz w:val="19"/>
          <w:szCs w:val="19"/>
        </w:rPr>
      </w:pPr>
    </w:p>
    <w:p>
      <w:pPr>
        <w:pStyle w:val="Heading2"/>
        <w:spacing w:line="240" w:lineRule="auto"/>
        <w:ind w:left="652" w:right="104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490"/>
        <w:gridCol w:w="1415"/>
        <w:gridCol w:w="1555"/>
        <w:gridCol w:w="1553"/>
        <w:gridCol w:w="1183"/>
      </w:tblGrid>
      <w:tr>
        <w:trPr>
          <w:trHeight w:val="379" w:hRule="exact"/>
        </w:trPr>
        <w:tc>
          <w:tcPr>
            <w:tcW w:w="4490"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5707" w:type="dxa"/>
            <w:gridSpan w:val="4"/>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82" w:hRule="exact"/>
        </w:trPr>
        <w:tc>
          <w:tcPr>
            <w:tcW w:w="4490"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5"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0" w:right="72" w:hanging="360"/>
              <w:jc w:val="left"/>
              <w:rPr>
                <w:rFonts w:ascii="宋体" w:hAnsi="宋体" w:cs="宋体" w:eastAsia="宋体" w:hint="default"/>
                <w:sz w:val="18"/>
                <w:szCs w:val="18"/>
              </w:rPr>
            </w:pPr>
            <w:r>
              <w:rPr>
                <w:rFonts w:ascii="宋体" w:hAnsi="宋体" w:cs="宋体" w:eastAsia="宋体" w:hint="default"/>
                <w:sz w:val="18"/>
                <w:szCs w:val="18"/>
              </w:rPr>
              <w:t>第一层次公允价 值计量</w:t>
            </w:r>
          </w:p>
        </w:tc>
        <w:tc>
          <w:tcPr>
            <w:tcW w:w="1555"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592" w:right="50" w:hanging="540"/>
              <w:jc w:val="left"/>
              <w:rPr>
                <w:rFonts w:ascii="宋体" w:hAnsi="宋体" w:cs="宋体" w:eastAsia="宋体" w:hint="default"/>
                <w:sz w:val="18"/>
                <w:szCs w:val="18"/>
              </w:rPr>
            </w:pPr>
            <w:r>
              <w:rPr>
                <w:rFonts w:ascii="宋体" w:hAnsi="宋体" w:cs="宋体" w:eastAsia="宋体" w:hint="default"/>
                <w:sz w:val="18"/>
                <w:szCs w:val="18"/>
              </w:rPr>
              <w:t>第二层次公允价值 计量</w:t>
            </w:r>
          </w:p>
        </w:tc>
        <w:tc>
          <w:tcPr>
            <w:tcW w:w="1553"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592" w:right="50" w:hanging="540"/>
              <w:jc w:val="left"/>
              <w:rPr>
                <w:rFonts w:ascii="宋体" w:hAnsi="宋体" w:cs="宋体" w:eastAsia="宋体" w:hint="default"/>
                <w:sz w:val="18"/>
                <w:szCs w:val="18"/>
              </w:rPr>
            </w:pPr>
            <w:r>
              <w:rPr>
                <w:rFonts w:ascii="宋体" w:hAnsi="宋体" w:cs="宋体" w:eastAsia="宋体" w:hint="default"/>
                <w:sz w:val="18"/>
                <w:szCs w:val="18"/>
              </w:rPr>
              <w:t>第三层次公允价值 计量</w:t>
            </w:r>
          </w:p>
        </w:tc>
        <w:tc>
          <w:tcPr>
            <w:tcW w:w="1183" w:type="dxa"/>
            <w:tcBorders>
              <w:top w:val="single" w:sz="13" w:space="0" w:color="FFFFFF"/>
              <w:left w:val="single" w:sz="4" w:space="0" w:color="000000"/>
              <w:bottom w:val="nil" w:sz="6" w:space="0" w:color="auto"/>
              <w:right w:val="single" w:sz="4" w:space="0" w:color="000000"/>
            </w:tcBorders>
            <w:shd w:val="clear" w:color="auto" w:fill="D2D2D2"/>
          </w:tcPr>
          <w:p>
            <w:pPr/>
          </w:p>
        </w:tc>
      </w:tr>
      <w:tr>
        <w:trPr>
          <w:trHeight w:val="192" w:hRule="exact"/>
        </w:trPr>
        <w:tc>
          <w:tcPr>
            <w:tcW w:w="4490" w:type="dxa"/>
            <w:vMerge/>
            <w:tcBorders>
              <w:left w:val="single" w:sz="4" w:space="0" w:color="000000"/>
              <w:bottom w:val="nil" w:sz="6" w:space="0" w:color="auto"/>
              <w:right w:val="single" w:sz="4" w:space="0" w:color="000000"/>
            </w:tcBorders>
            <w:shd w:val="clear" w:color="auto" w:fill="D2D2D2"/>
          </w:tcPr>
          <w:p>
            <w:pPr/>
          </w:p>
        </w:tc>
        <w:tc>
          <w:tcPr>
            <w:tcW w:w="1415" w:type="dxa"/>
            <w:vMerge/>
            <w:tcBorders>
              <w:left w:val="single" w:sz="4" w:space="0" w:color="000000"/>
              <w:right w:val="single" w:sz="4" w:space="0" w:color="000000"/>
            </w:tcBorders>
            <w:shd w:val="clear" w:color="auto" w:fill="D2D2D2"/>
          </w:tcPr>
          <w:p>
            <w:pPr/>
          </w:p>
        </w:tc>
        <w:tc>
          <w:tcPr>
            <w:tcW w:w="1555" w:type="dxa"/>
            <w:vMerge/>
            <w:tcBorders>
              <w:left w:val="single" w:sz="4" w:space="0" w:color="000000"/>
              <w:right w:val="single" w:sz="4" w:space="0" w:color="000000"/>
            </w:tcBorders>
            <w:shd w:val="clear" w:color="auto" w:fill="D2D2D2"/>
          </w:tcPr>
          <w:p>
            <w:pPr/>
          </w:p>
        </w:tc>
        <w:tc>
          <w:tcPr>
            <w:tcW w:w="1553" w:type="dxa"/>
            <w:vMerge/>
            <w:tcBorders>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4490" w:type="dxa"/>
            <w:vMerge w:val="restart"/>
            <w:tcBorders>
              <w:top w:val="nil" w:sz="6" w:space="0" w:color="auto"/>
              <w:left w:val="single" w:sz="4" w:space="0" w:color="000000"/>
              <w:right w:val="single" w:sz="4" w:space="0" w:color="000000"/>
            </w:tcBorders>
            <w:shd w:val="clear" w:color="auto" w:fill="D2D2D2"/>
          </w:tcPr>
          <w:p>
            <w:pPr/>
          </w:p>
        </w:tc>
        <w:tc>
          <w:tcPr>
            <w:tcW w:w="1415" w:type="dxa"/>
            <w:vMerge/>
            <w:tcBorders>
              <w:left w:val="single" w:sz="4" w:space="0" w:color="000000"/>
              <w:right w:val="single" w:sz="4" w:space="0" w:color="000000"/>
            </w:tcBorders>
            <w:shd w:val="clear" w:color="auto" w:fill="D2D2D2"/>
          </w:tcPr>
          <w:p>
            <w:pPr/>
          </w:p>
        </w:tc>
        <w:tc>
          <w:tcPr>
            <w:tcW w:w="1555" w:type="dxa"/>
            <w:vMerge/>
            <w:tcBorders>
              <w:left w:val="single" w:sz="4" w:space="0" w:color="000000"/>
              <w:right w:val="single" w:sz="4" w:space="0" w:color="000000"/>
            </w:tcBorders>
            <w:shd w:val="clear" w:color="auto" w:fill="D2D2D2"/>
          </w:tcPr>
          <w:p>
            <w:pPr/>
          </w:p>
        </w:tc>
        <w:tc>
          <w:tcPr>
            <w:tcW w:w="1553"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4490" w:type="dxa"/>
            <w:vMerge/>
            <w:tcBorders>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c>
          <w:tcPr>
            <w:tcW w:w="1555" w:type="dxa"/>
            <w:vMerge/>
            <w:tcBorders>
              <w:left w:val="single" w:sz="4" w:space="0" w:color="000000"/>
              <w:bottom w:val="single" w:sz="4" w:space="0" w:color="000000"/>
              <w:right w:val="single" w:sz="4" w:space="0" w:color="000000"/>
            </w:tcBorders>
            <w:shd w:val="clear" w:color="auto" w:fill="D2D2D2"/>
          </w:tcPr>
          <w:p>
            <w:pPr/>
          </w:p>
        </w:tc>
        <w:tc>
          <w:tcPr>
            <w:tcW w:w="1553"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4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（一）以公允价值计量且变动计入当期损益的金融资产</w:t>
            </w:r>
          </w:p>
        </w:tc>
        <w:tc>
          <w:tcPr>
            <w:tcW w:w="141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385,842,757.48</w:t>
            </w:r>
          </w:p>
        </w:tc>
      </w:tr>
      <w:tr>
        <w:trPr>
          <w:trHeight w:val="401" w:hRule="exact"/>
        </w:trPr>
        <w:tc>
          <w:tcPr>
            <w:tcW w:w="4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41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385,842,757.48</w:t>
            </w:r>
          </w:p>
        </w:tc>
      </w:tr>
      <w:tr>
        <w:trPr>
          <w:trHeight w:val="403" w:hRule="exact"/>
        </w:trPr>
        <w:tc>
          <w:tcPr>
            <w:tcW w:w="4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41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385,842,757.48</w:t>
            </w:r>
          </w:p>
        </w:tc>
      </w:tr>
      <w:tr>
        <w:trPr>
          <w:trHeight w:val="401" w:hRule="exact"/>
        </w:trPr>
        <w:tc>
          <w:tcPr>
            <w:tcW w:w="4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41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385,842,757.48</w:t>
            </w:r>
          </w:p>
        </w:tc>
      </w:tr>
      <w:tr>
        <w:trPr>
          <w:trHeight w:val="403" w:hRule="exact"/>
        </w:trPr>
        <w:tc>
          <w:tcPr>
            <w:tcW w:w="4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652" w:right="1132" w:firstLine="360"/>
        <w:jc w:val="both"/>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日，本公司及子公司广州御联软件有限公司持有以公允价值计量且变动计入当期损益的金融资产明细</w:t>
      </w:r>
      <w:r>
        <w:rPr/>
        <w:t> 如下：</w:t>
      </w:r>
    </w:p>
    <w:p>
      <w:pPr>
        <w:pStyle w:val="BodyText"/>
        <w:spacing w:line="300" w:lineRule="auto" w:before="31"/>
        <w:ind w:left="652" w:right="1126" w:firstLine="360"/>
        <w:jc w:val="both"/>
      </w:pPr>
      <w:r>
        <w:rPr>
          <w:spacing w:val="-1"/>
        </w:rPr>
        <w:t>（</w:t>
      </w:r>
      <w:r>
        <w:rPr>
          <w:rFonts w:ascii="Times New Roman" w:hAnsi="Times New Roman" w:cs="Times New Roman" w:eastAsia="Times New Roman" w:hint="default"/>
          <w:spacing w:val="-1"/>
        </w:rPr>
        <w:t>1</w:t>
      </w:r>
      <w:r>
        <w:rPr>
          <w:spacing w:val="-1"/>
        </w:rPr>
        <w:t>）持有腾讯控股（证券代码：</w:t>
      </w:r>
      <w:r>
        <w:rPr>
          <w:rFonts w:ascii="Times New Roman" w:hAnsi="Times New Roman" w:cs="Times New Roman" w:eastAsia="Times New Roman" w:hint="default"/>
          <w:spacing w:val="-1"/>
        </w:rPr>
        <w:t>HK00700</w:t>
      </w:r>
      <w:r>
        <w:rPr>
          <w:spacing w:val="-1"/>
        </w:rPr>
        <w:t>）</w:t>
      </w:r>
      <w:r>
        <w:rPr>
          <w:rFonts w:ascii="Times New Roman" w:hAnsi="Times New Roman" w:cs="Times New Roman" w:eastAsia="Times New Roman" w:hint="default"/>
          <w:spacing w:val="-1"/>
        </w:rPr>
        <w:t>150,000.00</w:t>
      </w:r>
      <w:r>
        <w:rPr>
          <w:spacing w:val="-1"/>
        </w:rPr>
        <w:t>股，其</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日的收盘价为</w:t>
      </w:r>
      <w:r>
        <w:rPr>
          <w:rFonts w:ascii="Times New Roman" w:hAnsi="Times New Roman" w:cs="Times New Roman" w:eastAsia="Times New Roman" w:hint="default"/>
          <w:spacing w:val="-1"/>
        </w:rPr>
        <w:t>314</w:t>
      </w:r>
      <w:r>
        <w:rPr>
          <w:spacing w:val="-1"/>
        </w:rPr>
        <w:t>港元</w:t>
      </w:r>
      <w:r>
        <w:rPr>
          <w:rFonts w:ascii="Times New Roman" w:hAnsi="Times New Roman" w:cs="Times New Roman" w:eastAsia="Times New Roman" w:hint="default"/>
          <w:spacing w:val="-1"/>
        </w:rPr>
        <w:t>/</w:t>
      </w:r>
      <w:r>
        <w:rPr>
          <w:spacing w:val="-1"/>
        </w:rPr>
        <w:t>股，按照</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t> </w:t>
      </w:r>
      <w:r>
        <w:rPr>
          <w:rFonts w:ascii="Times New Roman" w:hAnsi="Times New Roman" w:cs="Times New Roman" w:eastAsia="Times New Roman" w:hint="default"/>
          <w:spacing w:val="-1"/>
        </w:rPr>
        <w:t>31</w:t>
      </w:r>
      <w:r>
        <w:rPr>
          <w:spacing w:val="-1"/>
        </w:rPr>
        <w:t>日的汇率折算公允价值为</w:t>
      </w:r>
      <w:r>
        <w:rPr>
          <w:rFonts w:ascii="Times New Roman" w:hAnsi="Times New Roman" w:cs="Times New Roman" w:eastAsia="Times New Roman" w:hint="default"/>
          <w:spacing w:val="-1"/>
        </w:rPr>
        <w:t>41,269,020.00</w:t>
      </w:r>
      <w:r>
        <w:rPr>
          <w:spacing w:val="-1"/>
        </w:rPr>
        <w:t>元；（</w:t>
      </w:r>
      <w:r>
        <w:rPr>
          <w:rFonts w:ascii="Times New Roman" w:hAnsi="Times New Roman" w:cs="Times New Roman" w:eastAsia="Times New Roman" w:hint="default"/>
          <w:spacing w:val="-1"/>
        </w:rPr>
        <w:t>2</w:t>
      </w:r>
      <w:r>
        <w:rPr>
          <w:spacing w:val="-1"/>
        </w:rPr>
        <w:t>）持有华发股份（证券代码：</w:t>
      </w:r>
      <w:r>
        <w:rPr>
          <w:rFonts w:ascii="Times New Roman" w:hAnsi="Times New Roman" w:cs="Times New Roman" w:eastAsia="Times New Roman" w:hint="default"/>
          <w:spacing w:val="-1"/>
        </w:rPr>
        <w:t>600325</w:t>
      </w:r>
      <w:r>
        <w:rPr>
          <w:spacing w:val="-1"/>
        </w:rPr>
        <w:t>）</w:t>
      </w:r>
      <w:r>
        <w:rPr>
          <w:rFonts w:ascii="Times New Roman" w:hAnsi="Times New Roman" w:cs="Times New Roman" w:eastAsia="Times New Roman" w:hint="default"/>
          <w:spacing w:val="-1"/>
        </w:rPr>
        <w:t>449,300.00</w:t>
      </w:r>
      <w:r>
        <w:rPr>
          <w:spacing w:val="-1"/>
        </w:rPr>
        <w:t>股，其</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spacing w:val="-75"/>
        </w:rPr>
        <w:t> </w:t>
      </w:r>
      <w:r>
        <w:rPr>
          <w:spacing w:val="-2"/>
        </w:rPr>
        <w:t>收盘价为</w:t>
      </w:r>
      <w:r>
        <w:rPr>
          <w:rFonts w:ascii="Times New Roman" w:hAnsi="Times New Roman" w:cs="Times New Roman" w:eastAsia="Times New Roman" w:hint="default"/>
          <w:spacing w:val="-2"/>
        </w:rPr>
        <w:t>6.20</w:t>
      </w:r>
      <w:r>
        <w:rPr>
          <w:spacing w:val="-2"/>
        </w:rPr>
        <w:t>元，公允价值为</w:t>
      </w:r>
      <w:r>
        <w:rPr>
          <w:rFonts w:ascii="Times New Roman" w:hAnsi="Times New Roman" w:cs="Times New Roman" w:eastAsia="Times New Roman" w:hint="default"/>
          <w:spacing w:val="-2"/>
        </w:rPr>
        <w:t>2,785,660.00</w:t>
      </w:r>
      <w:r>
        <w:rPr>
          <w:spacing w:val="-2"/>
        </w:rPr>
        <w:t>元；（</w:t>
      </w:r>
      <w:r>
        <w:rPr>
          <w:rFonts w:ascii="Times New Roman" w:hAnsi="Times New Roman" w:cs="Times New Roman" w:eastAsia="Times New Roman" w:hint="default"/>
          <w:spacing w:val="-2"/>
        </w:rPr>
        <w:t>3</w:t>
      </w:r>
      <w:r>
        <w:rPr>
          <w:spacing w:val="-2"/>
        </w:rPr>
        <w:t>）持有贵州茅台（证券代码：</w:t>
      </w:r>
      <w:r>
        <w:rPr>
          <w:rFonts w:ascii="Times New Roman" w:hAnsi="Times New Roman" w:cs="Times New Roman" w:eastAsia="Times New Roman" w:hint="default"/>
          <w:spacing w:val="-2"/>
        </w:rPr>
        <w:t>600519</w:t>
      </w:r>
      <w:r>
        <w:rPr>
          <w:spacing w:val="-2"/>
        </w:rPr>
        <w:t>）</w:t>
      </w:r>
      <w:r>
        <w:rPr>
          <w:rFonts w:ascii="Times New Roman" w:hAnsi="Times New Roman" w:cs="Times New Roman" w:eastAsia="Times New Roman" w:hint="default"/>
          <w:spacing w:val="-2"/>
        </w:rPr>
        <w:t>410,968.00</w:t>
      </w:r>
      <w:r>
        <w:rPr>
          <w:spacing w:val="-2"/>
        </w:rPr>
        <w:t>股，其</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spacing w:val="-44"/>
        </w:rPr>
        <w:t> </w:t>
      </w:r>
      <w:r>
        <w:rPr>
          <w:spacing w:val="-2"/>
        </w:rPr>
        <w:t>收盘价为</w:t>
      </w:r>
      <w:r>
        <w:rPr>
          <w:rFonts w:ascii="Times New Roman" w:hAnsi="Times New Roman" w:cs="Times New Roman" w:eastAsia="Times New Roman" w:hint="default"/>
          <w:spacing w:val="-2"/>
        </w:rPr>
        <w:t>590.01</w:t>
      </w:r>
      <w:r>
        <w:rPr>
          <w:spacing w:val="-2"/>
        </w:rPr>
        <w:t>元，公允价值为</w:t>
      </w:r>
      <w:r>
        <w:rPr>
          <w:rFonts w:ascii="Times New Roman" w:hAnsi="Times New Roman" w:cs="Times New Roman" w:eastAsia="Times New Roman" w:hint="default"/>
          <w:spacing w:val="-2"/>
        </w:rPr>
        <w:t>242,475,229.68</w:t>
      </w:r>
      <w:r>
        <w:rPr>
          <w:spacing w:val="-2"/>
        </w:rPr>
        <w:t>元；（</w:t>
      </w:r>
      <w:r>
        <w:rPr>
          <w:rFonts w:ascii="Times New Roman" w:hAnsi="Times New Roman" w:cs="Times New Roman" w:eastAsia="Times New Roman" w:hint="default"/>
          <w:spacing w:val="-2"/>
        </w:rPr>
        <w:t>4</w:t>
      </w:r>
      <w:r>
        <w:rPr>
          <w:spacing w:val="-2"/>
        </w:rPr>
        <w:t>）持有华夏上证</w:t>
      </w:r>
      <w:r>
        <w:rPr>
          <w:rFonts w:ascii="Times New Roman" w:hAnsi="Times New Roman" w:cs="Times New Roman" w:eastAsia="Times New Roman" w:hint="default"/>
          <w:spacing w:val="-2"/>
        </w:rPr>
        <w:t>50ETF</w:t>
      </w:r>
      <w:r>
        <w:rPr>
          <w:spacing w:val="-2"/>
        </w:rPr>
        <w:t>（证券代码：</w:t>
      </w:r>
      <w:r>
        <w:rPr>
          <w:rFonts w:ascii="Times New Roman" w:hAnsi="Times New Roman" w:cs="Times New Roman" w:eastAsia="Times New Roman" w:hint="default"/>
          <w:spacing w:val="-2"/>
        </w:rPr>
        <w:t>510050</w:t>
      </w:r>
      <w:r>
        <w:rPr>
          <w:spacing w:val="-2"/>
        </w:rPr>
        <w:t>）</w:t>
      </w:r>
      <w:r>
        <w:rPr>
          <w:rFonts w:ascii="Times New Roman" w:hAnsi="Times New Roman" w:cs="Times New Roman" w:eastAsia="Times New Roman" w:hint="default"/>
          <w:spacing w:val="-2"/>
        </w:rPr>
        <w:t>43,167,300.00</w:t>
      </w:r>
      <w:r>
        <w:rPr>
          <w:spacing w:val="-2"/>
        </w:rPr>
        <w:t>股，其</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日的收盘价为</w:t>
      </w:r>
      <w:r>
        <w:rPr>
          <w:rFonts w:ascii="Times New Roman" w:hAnsi="Times New Roman" w:cs="Times New Roman" w:eastAsia="Times New Roman" w:hint="default"/>
          <w:spacing w:val="-4"/>
        </w:rPr>
        <w:t>2.286</w:t>
      </w:r>
      <w:r>
        <w:rPr>
          <w:spacing w:val="-4"/>
        </w:rPr>
        <w:t>元，公允价值为</w:t>
      </w:r>
      <w:r>
        <w:rPr>
          <w:rFonts w:ascii="Times New Roman" w:hAnsi="Times New Roman" w:cs="Times New Roman" w:eastAsia="Times New Roman" w:hint="default"/>
          <w:spacing w:val="-4"/>
        </w:rPr>
        <w:t>98,680,447.80</w:t>
      </w:r>
      <w:r>
        <w:rPr>
          <w:spacing w:val="-4"/>
        </w:rPr>
        <w:t>元。（</w:t>
      </w:r>
      <w:r>
        <w:rPr>
          <w:rFonts w:ascii="Times New Roman" w:hAnsi="Times New Roman" w:cs="Times New Roman" w:eastAsia="Times New Roman" w:hint="default"/>
          <w:spacing w:val="-4"/>
        </w:rPr>
        <w:t>5</w:t>
      </w:r>
      <w:r>
        <w:rPr>
          <w:spacing w:val="-4"/>
        </w:rPr>
        <w:t>）持有中概互联（证券代码：</w:t>
      </w:r>
      <w:r>
        <w:rPr>
          <w:rFonts w:ascii="Times New Roman" w:hAnsi="Times New Roman" w:cs="Times New Roman" w:eastAsia="Times New Roman" w:hint="default"/>
          <w:spacing w:val="-4"/>
        </w:rPr>
        <w:t>513050</w:t>
      </w:r>
      <w:r>
        <w:rPr>
          <w:spacing w:val="-4"/>
        </w:rPr>
        <w:t>）</w:t>
      </w:r>
      <w:r>
        <w:rPr>
          <w:rFonts w:ascii="Times New Roman" w:hAnsi="Times New Roman" w:cs="Times New Roman" w:eastAsia="Times New Roman" w:hint="default"/>
          <w:spacing w:val="-4"/>
        </w:rPr>
        <w:t>600,000.00</w:t>
      </w:r>
      <w:r>
        <w:rPr>
          <w:spacing w:val="-4"/>
        </w:rPr>
        <w:t>股，其</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日的收盘价为</w:t>
      </w:r>
      <w:r>
        <w:rPr>
          <w:rFonts w:ascii="Times New Roman" w:hAnsi="Times New Roman" w:cs="Times New Roman" w:eastAsia="Times New Roman" w:hint="default"/>
        </w:rPr>
        <w:t>1.054</w:t>
      </w:r>
      <w:r>
        <w:rPr/>
        <w:t>元，公允价值</w:t>
      </w:r>
      <w:r>
        <w:rPr>
          <w:rFonts w:ascii="Times New Roman" w:hAnsi="Times New Roman" w:cs="Times New Roman" w:eastAsia="Times New Roman" w:hint="default"/>
        </w:rPr>
        <w:t>632,400.00</w:t>
      </w:r>
      <w:r>
        <w:rPr/>
        <w:t>元。</w:t>
      </w:r>
    </w:p>
    <w:p>
      <w:pPr>
        <w:spacing w:line="240" w:lineRule="auto" w:before="4"/>
        <w:rPr>
          <w:rFonts w:ascii="宋体" w:hAnsi="宋体" w:cs="宋体" w:eastAsia="宋体" w:hint="default"/>
          <w:sz w:val="22"/>
          <w:szCs w:val="22"/>
        </w:rPr>
      </w:pPr>
    </w:p>
    <w:p>
      <w:pPr>
        <w:pStyle w:val="Heading3"/>
        <w:spacing w:line="240" w:lineRule="auto"/>
        <w:ind w:left="652" w:right="1042"/>
        <w:jc w:val="left"/>
        <w:rPr>
          <w:b w:val="0"/>
          <w:bCs w:val="0"/>
        </w:rPr>
      </w:pPr>
      <w:r>
        <w:rPr>
          <w:rFonts w:ascii="Times New Roman" w:hAnsi="Times New Roman" w:cs="Times New Roman" w:eastAsia="Times New Roman" w:hint="default"/>
        </w:rPr>
        <w:t>3</w:t>
      </w:r>
      <w:r>
        <w:rPr/>
        <w:t>、本期没有持续和非持续第二层次公允价值计量项目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4</w:t>
      </w:r>
      <w:r>
        <w:rPr/>
        <w:t>、本期没有持续和非持续第三层次公允价值计量项目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5</w:t>
      </w:r>
      <w:r>
        <w:rPr/>
        <w:t>、本期没有持续的公允价值计量项目在本期内发生各层级之间转换的情况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6</w:t>
      </w:r>
      <w:r>
        <w:rPr/>
        <w:t>、本期没有发生估值技术变更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7</w:t>
      </w:r>
      <w:r>
        <w:rPr/>
        <w:t>、本期没有不以公允价值计量的金融资产和金融负债的公允价值情况</w:t>
      </w:r>
      <w:r>
        <w:rPr>
          <w:b w:val="0"/>
          <w:bCs w:val="0"/>
        </w:rPr>
      </w:r>
    </w:p>
    <w:p>
      <w:pPr>
        <w:spacing w:after="0" w:line="240" w:lineRule="auto"/>
        <w:jc w:val="left"/>
        <w:sectPr>
          <w:pgSz w:w="11910" w:h="16840"/>
          <w:pgMar w:header="745" w:footer="980" w:top="1060" w:bottom="1160" w:left="4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54" w:firstLine="360"/>
        <w:jc w:val="left"/>
      </w:pPr>
      <w:r>
        <w:rPr/>
        <w:t>公司无母公司，公司实际控制人为杨文江，其持有公司股份</w:t>
      </w:r>
      <w:r>
        <w:rPr>
          <w:rFonts w:ascii="Times New Roman" w:hAnsi="Times New Roman" w:cs="Times New Roman" w:eastAsia="Times New Roman" w:hint="default"/>
        </w:rPr>
        <w:t>155,562,560.00</w:t>
      </w:r>
      <w:r>
        <w:rPr/>
        <w:t>股，持股比例为</w:t>
      </w:r>
      <w:r>
        <w:rPr>
          <w:rFonts w:ascii="Times New Roman" w:hAnsi="Times New Roman" w:cs="Times New Roman" w:eastAsia="Times New Roman" w:hint="default"/>
        </w:rPr>
        <w:t>20.44%</w:t>
      </w:r>
      <w:r>
        <w:rPr/>
        <w:t>，其中处于质押状态 的公司股份为</w:t>
      </w:r>
      <w:r>
        <w:rPr>
          <w:rFonts w:ascii="Times New Roman" w:hAnsi="Times New Roman" w:cs="Times New Roman" w:eastAsia="Times New Roman" w:hint="default"/>
        </w:rPr>
        <w:t>62,190,000.00</w:t>
      </w:r>
      <w:r>
        <w:rPr/>
        <w:t>股，占其所持公司股份总数的</w:t>
      </w:r>
      <w:r>
        <w:rPr>
          <w:rFonts w:ascii="Times New Roman" w:hAnsi="Times New Roman" w:cs="Times New Roman" w:eastAsia="Times New Roman" w:hint="default"/>
        </w:rPr>
        <w:t>39.98%</w:t>
      </w:r>
      <w:r>
        <w:rPr/>
        <w:t>，占公司总股本的</w:t>
      </w:r>
      <w:r>
        <w:rPr>
          <w:rFonts w:ascii="Times New Roman" w:hAnsi="Times New Roman" w:cs="Times New Roman" w:eastAsia="Times New Roman" w:hint="default"/>
        </w:rPr>
        <w:t>8.17%</w:t>
      </w:r>
      <w:r>
        <w:rPr/>
        <w:t>。</w:t>
      </w:r>
    </w:p>
    <w:p>
      <w:pPr>
        <w:pStyle w:val="BodyText"/>
        <w:spacing w:line="240" w:lineRule="auto" w:before="53"/>
        <w:ind w:left="513" w:right="1133"/>
        <w:jc w:val="left"/>
      </w:pPr>
      <w:r>
        <w:rPr/>
        <w:t>本企业最终控制方是杨文江。</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本企业子公司的情况详见附注</w:t>
      </w:r>
      <w:r>
        <w:rPr>
          <w:rFonts w:ascii="Times New Roman" w:hAnsi="Times New Roman" w:cs="Times New Roman" w:eastAsia="Times New Roman" w:hint="default"/>
        </w:rPr>
        <w:t>“</w:t>
      </w:r>
      <w:r>
        <w:rPr/>
        <w:t>财务报告九、在其他主体中的权益</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513" w:right="1933"/>
        <w:jc w:val="left"/>
      </w:pPr>
      <w:r>
        <w:rPr/>
        <w:t>本企业重要的合营或联营企业详见附注财务报告九、在其他主体中的权益。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本公司参股的企业</w:t>
            </w:r>
          </w:p>
        </w:tc>
      </w:tr>
    </w:tbl>
    <w:p>
      <w:pPr>
        <w:spacing w:line="240" w:lineRule="auto" w:before="10"/>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广州御融通电子设备开发有限公司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广州七一一电子信息科技有限公司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深圳安易达商务汽车服务有限公司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本公司控股股东亲属控制的企业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本公司控股股东控股公司的控股子公司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910"/>
        <w:gridCol w:w="1260"/>
        <w:gridCol w:w="1092"/>
        <w:gridCol w:w="1428"/>
        <w:gridCol w:w="1621"/>
        <w:gridCol w:w="1260"/>
      </w:tblGrid>
      <w:tr>
        <w:trPr>
          <w:trHeight w:val="401"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-3,426,571.47</w:t>
            </w:r>
          </w:p>
        </w:tc>
      </w:tr>
      <w:tr>
        <w:trPr>
          <w:trHeight w:val="40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-2,027,292.17</w:t>
            </w:r>
          </w:p>
        </w:tc>
      </w:tr>
      <w:tr>
        <w:trPr>
          <w:trHeight w:val="40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3,290.60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89,102.57</w:t>
            </w:r>
          </w:p>
        </w:tc>
      </w:tr>
      <w:tr>
        <w:trPr>
          <w:trHeight w:val="40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25,363,956.81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68,638,021.05</w:t>
            </w:r>
          </w:p>
        </w:tc>
      </w:tr>
      <w:tr>
        <w:trPr>
          <w:trHeight w:val="40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572,296.06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6,144,817.59</w:t>
            </w:r>
          </w:p>
        </w:tc>
      </w:tr>
      <w:tr>
        <w:trPr>
          <w:trHeight w:val="40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903,129.77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6,996,519.81</w:t>
            </w:r>
          </w:p>
        </w:tc>
      </w:tr>
      <w:tr>
        <w:trPr>
          <w:trHeight w:val="40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850,305.71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1,482,855.29</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6"/>
        <w:gridCol w:w="2386"/>
        <w:gridCol w:w="2384"/>
        <w:gridCol w:w="2386"/>
      </w:tblGrid>
      <w:tr>
        <w:trPr>
          <w:trHeight w:val="401"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92,409.31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1" w:right="0"/>
              <w:jc w:val="left"/>
              <w:rPr>
                <w:rFonts w:ascii="Times New Roman" w:hAnsi="Times New Roman" w:cs="Times New Roman" w:eastAsia="Times New Roman" w:hint="default"/>
                <w:sz w:val="18"/>
                <w:szCs w:val="18"/>
              </w:rPr>
            </w:pPr>
            <w:r>
              <w:rPr>
                <w:rFonts w:ascii="Times New Roman"/>
                <w:sz w:val="18"/>
              </w:rPr>
              <w:t>210,444.44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）本期无关联受托管理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450"/>
        <w:gridCol w:w="1440"/>
        <w:gridCol w:w="2403"/>
        <w:gridCol w:w="2405"/>
      </w:tblGrid>
      <w:tr>
        <w:trPr>
          <w:trHeight w:val="403" w:hRule="exact"/>
        </w:trPr>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370,727.76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397,676.75</w:t>
            </w:r>
          </w:p>
        </w:tc>
      </w:tr>
      <w:tr>
        <w:trPr>
          <w:trHeight w:val="403"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汽车租赁</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453,146.22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785,042.73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450"/>
        <w:gridCol w:w="1440"/>
        <w:gridCol w:w="2403"/>
        <w:gridCol w:w="2405"/>
      </w:tblGrid>
      <w:tr>
        <w:trPr>
          <w:trHeight w:val="401"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114,285.71</w:t>
            </w:r>
          </w:p>
        </w:tc>
      </w:tr>
      <w:tr>
        <w:trPr>
          <w:trHeight w:val="404"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230,340.15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1,099.78</w:t>
            </w:r>
          </w:p>
        </w:tc>
      </w:tr>
      <w:tr>
        <w:trPr>
          <w:trHeight w:val="403"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570,499.52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180,938.17</w:t>
            </w:r>
          </w:p>
        </w:tc>
      </w:tr>
    </w:tbl>
    <w:p>
      <w:pPr>
        <w:pStyle w:val="BodyText"/>
        <w:spacing w:line="240" w:lineRule="auto" w:before="49"/>
        <w:ind w:left="513" w:right="1133"/>
        <w:jc w:val="left"/>
      </w:pPr>
      <w:r>
        <w:rPr/>
        <w:t>关联租赁情况说明</w:t>
      </w:r>
    </w:p>
    <w:p>
      <w:pPr>
        <w:pStyle w:val="BodyText"/>
        <w:spacing w:line="300" w:lineRule="auto" w:before="115"/>
        <w:ind w:right="1128" w:firstLine="360"/>
        <w:jc w:val="both"/>
      </w:pPr>
      <w:r>
        <w:rPr>
          <w:spacing w:val="-2"/>
        </w:rPr>
        <w:t>①</w:t>
      </w:r>
      <w:r>
        <w:rPr>
          <w:rFonts w:ascii="Times New Roman" w:hAnsi="Times New Roman" w:cs="Times New Roman" w:eastAsia="Times New Roman" w:hint="default"/>
          <w:spacing w:val="-2"/>
        </w:rPr>
        <w:t>2018</w:t>
      </w:r>
      <w:r>
        <w:rPr>
          <w:spacing w:val="-2"/>
        </w:rPr>
        <w:t>年子公司广州御银自动柜员机技术有限公司与广州智萃电子科技有限公司（简称</w:t>
      </w:r>
      <w:r>
        <w:rPr>
          <w:rFonts w:ascii="Times New Roman" w:hAnsi="Times New Roman" w:cs="Times New Roman" w:eastAsia="Times New Roman" w:hint="default"/>
          <w:spacing w:val="-2"/>
        </w:rPr>
        <w:t>“</w:t>
      </w:r>
      <w:r>
        <w:rPr>
          <w:spacing w:val="-2"/>
        </w:rPr>
        <w:t>智萃电子</w:t>
      </w:r>
      <w:r>
        <w:rPr>
          <w:rFonts w:ascii="Times New Roman" w:hAnsi="Times New Roman" w:cs="Times New Roman" w:eastAsia="Times New Roman" w:hint="default"/>
          <w:spacing w:val="-2"/>
        </w:rPr>
        <w:t>”</w:t>
      </w:r>
      <w:r>
        <w:rPr>
          <w:spacing w:val="-2"/>
        </w:rPr>
        <w:t>）签订了房屋租赁合</w:t>
      </w:r>
      <w:r>
        <w:rPr/>
        <w:t> </w:t>
      </w:r>
      <w:r>
        <w:rPr>
          <w:spacing w:val="-2"/>
        </w:rPr>
        <w:t>同，将坐落在萝岗区瑞发路</w:t>
      </w:r>
      <w:r>
        <w:rPr>
          <w:rFonts w:ascii="Times New Roman" w:hAnsi="Times New Roman" w:cs="Times New Roman" w:eastAsia="Times New Roman" w:hint="default"/>
          <w:spacing w:val="-2"/>
        </w:rPr>
        <w:t>12</w:t>
      </w:r>
      <w:r>
        <w:rPr>
          <w:spacing w:val="-2"/>
        </w:rPr>
        <w:t>号自编四栋第四层的部分房地产出租给智萃电子用于办公、生产和仓储，出租的房屋建筑面积</w:t>
      </w:r>
      <w:r>
        <w:rPr>
          <w:spacing w:val="-62"/>
        </w:rPr>
        <w:t> </w:t>
      </w:r>
      <w:r>
        <w:rPr>
          <w:spacing w:val="-62"/>
        </w:rPr>
      </w:r>
      <w:r>
        <w:rPr>
          <w:spacing w:val="-2"/>
        </w:rPr>
        <w:t>共</w:t>
      </w:r>
      <w:r>
        <w:rPr>
          <w:rFonts w:ascii="Times New Roman" w:hAnsi="Times New Roman" w:cs="Times New Roman" w:eastAsia="Times New Roman" w:hint="default"/>
          <w:spacing w:val="-2"/>
        </w:rPr>
        <w:t>1300</w:t>
      </w:r>
      <w:r>
        <w:rPr>
          <w:spacing w:val="-2"/>
        </w:rPr>
        <w:t>平方米，租赁期限从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日，租金为</w:t>
      </w:r>
      <w:r>
        <w:rPr>
          <w:rFonts w:ascii="Times New Roman" w:hAnsi="Times New Roman" w:cs="Times New Roman" w:eastAsia="Times New Roman" w:hint="default"/>
          <w:spacing w:val="-2"/>
        </w:rPr>
        <w:t>26,000.00</w:t>
      </w:r>
      <w:r>
        <w:rPr>
          <w:spacing w:val="-2"/>
        </w:rPr>
        <w:t>元</w:t>
      </w:r>
      <w:r>
        <w:rPr>
          <w:rFonts w:ascii="Times New Roman" w:hAnsi="Times New Roman" w:cs="Times New Roman" w:eastAsia="Times New Roman" w:hint="default"/>
          <w:spacing w:val="-2"/>
        </w:rPr>
        <w:t>/</w:t>
      </w:r>
      <w:r>
        <w:rPr>
          <w:spacing w:val="-2"/>
        </w:rPr>
        <w:t>月（含税），物业管理费</w:t>
      </w:r>
      <w:r>
        <w:rPr>
          <w:rFonts w:ascii="Times New Roman" w:hAnsi="Times New Roman" w:cs="Times New Roman" w:eastAsia="Times New Roman" w:hint="default"/>
          <w:spacing w:val="-2"/>
        </w:rPr>
        <w:t>6,500.00</w:t>
      </w:r>
      <w:r>
        <w:rPr>
          <w:spacing w:val="-2"/>
        </w:rPr>
        <w:t>元</w:t>
      </w:r>
      <w:r>
        <w:rPr>
          <w:rFonts w:ascii="Times New Roman" w:hAnsi="Times New Roman" w:cs="Times New Roman" w:eastAsia="Times New Roman" w:hint="default"/>
          <w:spacing w:val="-2"/>
        </w:rPr>
        <w:t>/</w:t>
      </w:r>
      <w:r>
        <w:rPr>
          <w:spacing w:val="-2"/>
        </w:rPr>
        <w:t>月（含</w:t>
      </w:r>
      <w:r>
        <w:rPr>
          <w:spacing w:val="-50"/>
        </w:rPr>
        <w:t> </w:t>
      </w:r>
      <w:r>
        <w:rPr>
          <w:spacing w:val="-50"/>
        </w:rPr>
      </w:r>
      <w:r>
        <w:rPr/>
        <w:t>税），水电费根据实际使用情况结算。</w:t>
      </w:r>
    </w:p>
    <w:p>
      <w:pPr>
        <w:pStyle w:val="BodyText"/>
        <w:spacing w:line="300" w:lineRule="auto" w:before="31"/>
        <w:ind w:right="1128" w:firstLine="360"/>
        <w:jc w:val="both"/>
      </w:pPr>
      <w:r>
        <w:rPr>
          <w:spacing w:val="-2"/>
        </w:rPr>
        <w:t>②</w:t>
      </w:r>
      <w:r>
        <w:rPr>
          <w:rFonts w:ascii="Times New Roman" w:hAnsi="Times New Roman" w:cs="Times New Roman" w:eastAsia="Times New Roman" w:hint="default"/>
          <w:spacing w:val="-2"/>
        </w:rPr>
        <w:t>2018</w:t>
      </w:r>
      <w:r>
        <w:rPr>
          <w:spacing w:val="-2"/>
        </w:rPr>
        <w:t>年本公司与佛山盛普达汽车租赁有限公司（简称</w:t>
      </w:r>
      <w:r>
        <w:rPr>
          <w:rFonts w:ascii="Times New Roman" w:hAnsi="Times New Roman" w:cs="Times New Roman" w:eastAsia="Times New Roman" w:hint="default"/>
          <w:spacing w:val="-2"/>
        </w:rPr>
        <w:t>“</w:t>
      </w:r>
      <w:r>
        <w:rPr>
          <w:spacing w:val="-2"/>
        </w:rPr>
        <w:t>佛山盛普达</w:t>
      </w:r>
      <w:r>
        <w:rPr>
          <w:rFonts w:ascii="Times New Roman" w:hAnsi="Times New Roman" w:cs="Times New Roman" w:eastAsia="Times New Roman" w:hint="default"/>
          <w:spacing w:val="-2"/>
        </w:rPr>
        <w:t>”</w:t>
      </w:r>
      <w:r>
        <w:rPr>
          <w:spacing w:val="-2"/>
        </w:rPr>
        <w:t>）签订了一份汽车租赁合同，将</w:t>
      </w:r>
      <w:r>
        <w:rPr>
          <w:rFonts w:ascii="Times New Roman" w:hAnsi="Times New Roman" w:cs="Times New Roman" w:eastAsia="Times New Roman" w:hint="default"/>
          <w:spacing w:val="-2"/>
        </w:rPr>
        <w:t>11</w:t>
      </w:r>
      <w:r>
        <w:rPr>
          <w:spacing w:val="-2"/>
        </w:rPr>
        <w:t>辆汽车出租给佛</w:t>
      </w:r>
      <w:r>
        <w:rPr/>
        <w:t> </w:t>
      </w:r>
      <w:r>
        <w:rPr>
          <w:spacing w:val="-5"/>
        </w:rPr>
        <w:t>山盛普达，租赁期从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日起至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30</w:t>
      </w:r>
      <w:r>
        <w:rPr>
          <w:spacing w:val="-5"/>
        </w:rPr>
        <w:t>日止，租金为</w:t>
      </w:r>
      <w:r>
        <w:rPr>
          <w:rFonts w:ascii="Times New Roman" w:hAnsi="Times New Roman" w:cs="Times New Roman" w:eastAsia="Times New Roman" w:hint="default"/>
          <w:spacing w:val="-5"/>
        </w:rPr>
        <w:t>5,500.00</w:t>
      </w:r>
      <w:r>
        <w:rPr>
          <w:spacing w:val="-5"/>
        </w:rPr>
        <w:t>元</w:t>
      </w:r>
      <w:r>
        <w:rPr>
          <w:rFonts w:ascii="Times New Roman" w:hAnsi="Times New Roman" w:cs="Times New Roman" w:eastAsia="Times New Roman" w:hint="default"/>
          <w:spacing w:val="-5"/>
        </w:rPr>
        <w:t>/</w:t>
      </w:r>
      <w:r>
        <w:rPr>
          <w:spacing w:val="-5"/>
        </w:rPr>
        <w:t>辆</w:t>
      </w:r>
      <w:r>
        <w:rPr>
          <w:rFonts w:ascii="Times New Roman" w:hAnsi="Times New Roman" w:cs="Times New Roman" w:eastAsia="Times New Roman" w:hint="default"/>
          <w:spacing w:val="-5"/>
        </w:rPr>
        <w:t>/</w:t>
      </w:r>
      <w:r>
        <w:rPr>
          <w:spacing w:val="-5"/>
        </w:rPr>
        <w:t>月（含税）。</w:t>
      </w:r>
      <w:r>
        <w:rPr>
          <w:rFonts w:ascii="Times New Roman" w:hAnsi="Times New Roman" w:cs="Times New Roman" w:eastAsia="Times New Roman" w:hint="default"/>
          <w:spacing w:val="-5"/>
        </w:rPr>
        <w:t>2018</w:t>
      </w:r>
      <w:r>
        <w:rPr>
          <w:spacing w:val="-5"/>
        </w:rPr>
        <w:t>年确认了租赁收入</w:t>
      </w:r>
      <w:r>
        <w:rPr>
          <w:rFonts w:ascii="Times New Roman" w:hAnsi="Times New Roman" w:cs="Times New Roman" w:eastAsia="Times New Roman" w:hint="default"/>
          <w:spacing w:val="-5"/>
        </w:rPr>
        <w:t>453,146.22</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元。</w:t>
      </w:r>
    </w:p>
    <w:p>
      <w:pPr>
        <w:pStyle w:val="BodyText"/>
        <w:spacing w:line="300" w:lineRule="auto" w:before="31"/>
        <w:ind w:right="1169" w:firstLine="360"/>
        <w:jc w:val="left"/>
      </w:pPr>
      <w:r>
        <w:rPr/>
        <w:t>③</w:t>
      </w:r>
      <w:r>
        <w:rPr>
          <w:rFonts w:ascii="Times New Roman" w:hAnsi="Times New Roman" w:cs="Times New Roman" w:eastAsia="Times New Roman" w:hint="default"/>
        </w:rPr>
        <w:t>2017</w:t>
      </w:r>
      <w:r>
        <w:rPr/>
        <w:t>年本公司与广州杰萃投资有限公司（简称</w:t>
      </w:r>
      <w:r>
        <w:rPr>
          <w:rFonts w:ascii="Times New Roman" w:hAnsi="Times New Roman" w:cs="Times New Roman" w:eastAsia="Times New Roman" w:hint="default"/>
        </w:rPr>
        <w:t>“</w:t>
      </w:r>
      <w:r>
        <w:rPr/>
        <w:t>杰萃</w:t>
      </w:r>
      <w:r>
        <w:rPr>
          <w:rFonts w:ascii="Times New Roman" w:hAnsi="Times New Roman" w:cs="Times New Roman" w:eastAsia="Times New Roman" w:hint="default"/>
        </w:rPr>
        <w:t>”</w:t>
      </w:r>
      <w:r>
        <w:rPr/>
        <w:t>）签订了房屋租赁合同，将位于广州市天河区高唐路</w:t>
      </w:r>
      <w:r>
        <w:rPr>
          <w:rFonts w:ascii="Times New Roman" w:hAnsi="Times New Roman" w:cs="Times New Roman" w:eastAsia="Times New Roman" w:hint="default"/>
        </w:rPr>
        <w:t>234</w:t>
      </w:r>
      <w:r>
        <w:rPr/>
        <w:t>号</w:t>
      </w:r>
      <w:r>
        <w:rPr>
          <w:rFonts w:ascii="Times New Roman" w:hAnsi="Times New Roman" w:cs="Times New Roman" w:eastAsia="Times New Roman" w:hint="default"/>
        </w:rPr>
        <w:t>801 </w:t>
      </w:r>
      <w:r>
        <w:rPr/>
        <w:t>房的房屋出租给杰萃，出租的房屋建筑面积共</w:t>
      </w:r>
      <w:r>
        <w:rPr>
          <w:rFonts w:ascii="Times New Roman" w:hAnsi="Times New Roman" w:cs="Times New Roman" w:eastAsia="Times New Roman" w:hint="default"/>
        </w:rPr>
        <w:t>313.26</w:t>
      </w:r>
      <w:r>
        <w:rPr/>
        <w:t>平方米，租赁期限从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日，其中装修免租 期</w:t>
      </w:r>
      <w:r>
        <w:rPr>
          <w:rFonts w:ascii="Times New Roman" w:hAnsi="Times New Roman" w:cs="Times New Roman" w:eastAsia="Times New Roman" w:hint="default"/>
        </w:rPr>
        <w:t>3</w:t>
      </w:r>
      <w:r>
        <w:rPr/>
        <w:t>个月，免租期内不需支付租赁费但需缴纳水电费，租金为</w:t>
      </w:r>
      <w:r>
        <w:rPr>
          <w:rFonts w:ascii="Times New Roman" w:hAnsi="Times New Roman" w:cs="Times New Roman" w:eastAsia="Times New Roman" w:hint="default"/>
        </w:rPr>
        <w:t>21,928.00</w:t>
      </w:r>
      <w:r>
        <w:rPr/>
        <w:t>元</w:t>
      </w:r>
      <w:r>
        <w:rPr>
          <w:rFonts w:ascii="Times New Roman" w:hAnsi="Times New Roman" w:cs="Times New Roman" w:eastAsia="Times New Roman" w:hint="default"/>
        </w:rPr>
        <w:t>/</w:t>
      </w:r>
      <w:r>
        <w:rPr/>
        <w:t>月（含税），水电费根据实际使用情况结算。</w:t>
      </w:r>
    </w:p>
    <w:p>
      <w:pPr>
        <w:pStyle w:val="BodyText"/>
        <w:spacing w:line="240" w:lineRule="auto" w:before="13"/>
        <w:ind w:left="513" w:right="0"/>
        <w:jc w:val="left"/>
      </w:pPr>
      <w:r>
        <w:rPr/>
        <w:t>④</w:t>
      </w:r>
      <w:r>
        <w:rPr>
          <w:rFonts w:ascii="Times New Roman" w:hAnsi="Times New Roman" w:cs="Times New Roman" w:eastAsia="Times New Roman" w:hint="default"/>
        </w:rPr>
        <w:t>2017</w:t>
      </w:r>
      <w:r>
        <w:rPr/>
        <w:t>年本公司与广州青创科技企业孵化器有限公司（简称</w:t>
      </w:r>
      <w:r>
        <w:rPr>
          <w:rFonts w:ascii="Times New Roman" w:hAnsi="Times New Roman" w:cs="Times New Roman" w:eastAsia="Times New Roman" w:hint="default"/>
        </w:rPr>
        <w:t>“</w:t>
      </w:r>
      <w:r>
        <w:rPr/>
        <w:t>青创科技</w:t>
      </w:r>
      <w:r>
        <w:rPr>
          <w:rFonts w:ascii="Times New Roman" w:hAnsi="Times New Roman" w:cs="Times New Roman" w:eastAsia="Times New Roman" w:hint="default"/>
        </w:rPr>
        <w:t>”</w:t>
      </w:r>
      <w:r>
        <w:rPr/>
        <w:t>）签订了房屋租赁合同，将坐落在广州市高唐路</w:t>
      </w:r>
    </w:p>
    <w:p>
      <w:pPr>
        <w:pStyle w:val="BodyText"/>
        <w:spacing w:line="240" w:lineRule="auto" w:before="63"/>
        <w:ind w:right="0"/>
        <w:jc w:val="left"/>
      </w:pPr>
      <w:r>
        <w:rPr>
          <w:rFonts w:ascii="Times New Roman" w:hAnsi="Times New Roman" w:cs="Times New Roman" w:eastAsia="Times New Roman" w:hint="default"/>
        </w:rPr>
        <w:t>234</w:t>
      </w:r>
      <w:r>
        <w:rPr/>
        <w:t>号</w:t>
      </w:r>
      <w:r>
        <w:rPr>
          <w:rFonts w:ascii="Times New Roman" w:hAnsi="Times New Roman" w:cs="Times New Roman" w:eastAsia="Times New Roman" w:hint="default"/>
        </w:rPr>
        <w:t>A1</w:t>
      </w:r>
      <w:r>
        <w:rPr/>
        <w:t>栋四楼整层的房屋出租给青创科技，出租的房屋建筑面积共</w:t>
      </w:r>
      <w:r>
        <w:rPr>
          <w:rFonts w:ascii="Times New Roman" w:hAnsi="Times New Roman" w:cs="Times New Roman" w:eastAsia="Times New Roman" w:hint="default"/>
        </w:rPr>
        <w:t>634.74</w:t>
      </w:r>
      <w:r>
        <w:rPr/>
        <w:t>平方米，租赁期限从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3</w:t>
      </w:r>
      <w:r>
        <w:rPr/>
        <w:t>月</w:t>
      </w:r>
    </w:p>
    <w:p>
      <w:pPr>
        <w:pStyle w:val="BodyText"/>
        <w:spacing w:line="300" w:lineRule="auto" w:before="63"/>
        <w:ind w:right="0"/>
        <w:jc w:val="left"/>
      </w:pPr>
      <w:r>
        <w:rPr>
          <w:rFonts w:ascii="Times New Roman" w:hAnsi="Times New Roman" w:cs="Times New Roman" w:eastAsia="Times New Roman" w:hint="default"/>
          <w:spacing w:val="-1"/>
        </w:rPr>
        <w:t>16</w:t>
      </w:r>
      <w:r>
        <w:rPr>
          <w:spacing w:val="-1"/>
        </w:rPr>
        <w:t>日，其中装修免租期共</w:t>
      </w:r>
      <w:r>
        <w:rPr>
          <w:rFonts w:ascii="Times New Roman" w:hAnsi="Times New Roman" w:cs="Times New Roman" w:eastAsia="Times New Roman" w:hint="default"/>
          <w:spacing w:val="-1"/>
        </w:rPr>
        <w:t>6</w:t>
      </w:r>
      <w:r>
        <w:rPr>
          <w:spacing w:val="-1"/>
        </w:rPr>
        <w:t>个月，免租期内不需支付租赁费但需缴纳水电费，第一年租金为</w:t>
      </w:r>
      <w:r>
        <w:rPr>
          <w:rFonts w:ascii="Times New Roman" w:hAnsi="Times New Roman" w:cs="Times New Roman" w:eastAsia="Times New Roman" w:hint="default"/>
          <w:spacing w:val="-1"/>
        </w:rPr>
        <w:t>44,431.80</w:t>
      </w:r>
      <w:r>
        <w:rPr>
          <w:spacing w:val="-1"/>
        </w:rPr>
        <w:t>元</w:t>
      </w:r>
      <w:r>
        <w:rPr>
          <w:rFonts w:ascii="Times New Roman" w:hAnsi="Times New Roman" w:cs="Times New Roman" w:eastAsia="Times New Roman" w:hint="default"/>
          <w:spacing w:val="-1"/>
        </w:rPr>
        <w:t>/</w:t>
      </w:r>
      <w:r>
        <w:rPr>
          <w:spacing w:val="-1"/>
        </w:rPr>
        <w:t>月（含税），第二年</w:t>
      </w:r>
      <w:r>
        <w:rPr>
          <w:spacing w:val="-78"/>
        </w:rPr>
        <w:t> </w:t>
      </w:r>
      <w:r>
        <w:rPr>
          <w:spacing w:val="-78"/>
        </w:rPr>
      </w:r>
      <w:r>
        <w:rPr/>
        <w:t>起租金在上一年的基础上递增</w:t>
      </w:r>
      <w:r>
        <w:rPr>
          <w:rFonts w:ascii="Times New Roman" w:hAnsi="Times New Roman" w:cs="Times New Roman" w:eastAsia="Times New Roman" w:hint="default"/>
        </w:rPr>
        <w:t>8%</w:t>
      </w:r>
      <w:r>
        <w:rPr/>
        <w:t>，水电费根据实际使用情况结算。</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513" w:right="1133"/>
        <w:jc w:val="left"/>
      </w:pPr>
      <w:r>
        <w:rPr/>
        <w:t>关联担保情况说明</w:t>
      </w:r>
    </w:p>
    <w:p>
      <w:pPr>
        <w:pStyle w:val="BodyText"/>
        <w:spacing w:line="304" w:lineRule="auto" w:before="115"/>
        <w:ind w:right="1130" w:firstLine="360"/>
        <w:jc w:val="both"/>
      </w:pPr>
      <w:r>
        <w:rPr>
          <w:spacing w:val="-2"/>
        </w:rPr>
        <w:t>①</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日，杨文江与中国工商银行股份有限公司广州工业大道支行签订了编号为工业支行</w:t>
      </w:r>
      <w:r>
        <w:rPr>
          <w:rFonts w:ascii="Times New Roman" w:hAnsi="Times New Roman" w:cs="Times New Roman" w:eastAsia="Times New Roman" w:hint="default"/>
          <w:spacing w:val="-2"/>
        </w:rPr>
        <w:t>2015</w:t>
      </w:r>
      <w:r>
        <w:rPr>
          <w:spacing w:val="-2"/>
        </w:rPr>
        <w:t>年最高保字第</w:t>
      </w:r>
      <w:r>
        <w:rPr>
          <w:rFonts w:ascii="Times New Roman" w:hAnsi="Times New Roman" w:cs="Times New Roman" w:eastAsia="Times New Roman" w:hint="default"/>
          <w:spacing w:val="-2"/>
        </w:rPr>
        <w:t>095</w:t>
      </w:r>
      <w:r>
        <w:rPr>
          <w:rFonts w:ascii="Times New Roman" w:hAnsi="Times New Roman" w:cs="Times New Roman" w:eastAsia="Times New Roman" w:hint="default"/>
        </w:rPr>
        <w:t> </w:t>
      </w:r>
      <w:r>
        <w:rPr>
          <w:spacing w:val="-2"/>
        </w:rPr>
        <w:t>号的最高额保证合同，为公司在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日期间所欠中国工商银行股份有限公司广州工业大道支行的债</w:t>
      </w:r>
      <w:r>
        <w:rPr>
          <w:spacing w:val="-56"/>
        </w:rPr>
        <w:t> </w:t>
      </w:r>
      <w:r>
        <w:rPr/>
        <w:t>务提供最高额为</w:t>
      </w:r>
      <w:r>
        <w:rPr>
          <w:rFonts w:ascii="Times New Roman" w:hAnsi="Times New Roman" w:cs="Times New Roman" w:eastAsia="Times New Roman" w:hint="default"/>
        </w:rPr>
        <w:t>300,000,000.00</w:t>
      </w:r>
      <w:r>
        <w:rPr/>
        <w:t>元的连带责任担保，上述保证合同的保证期间为：自主合同项下的借款期限届满之次日起两 </w:t>
      </w:r>
      <w:r>
        <w:rPr>
          <w:spacing w:val="-2"/>
        </w:rPr>
        <w:t>年；中国工商银行股份有限公司广州工业大道支行根据主合同之约定宣布借款提前到期的，则保证期间为借款提前到期日之</w:t>
      </w:r>
      <w:r>
        <w:rPr>
          <w:spacing w:val="-64"/>
        </w:rPr>
        <w:t> </w:t>
      </w:r>
      <w:r>
        <w:rPr>
          <w:spacing w:val="-64"/>
        </w:rPr>
      </w:r>
      <w:r>
        <w:rPr/>
        <w:t>次日起两年。截止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日，本担保合同项下的借款余额为</w:t>
      </w:r>
      <w:r>
        <w:rPr>
          <w:rFonts w:ascii="Times New Roman" w:hAnsi="Times New Roman" w:cs="Times New Roman" w:eastAsia="Times New Roman" w:hint="default"/>
        </w:rPr>
        <w:t>29,700,000.00</w:t>
      </w:r>
      <w:r>
        <w:rPr/>
        <w:t>元，详见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20</w:t>
      </w:r>
      <w:r>
        <w:rPr/>
        <w:t>短期借款</w:t>
      </w:r>
      <w:r>
        <w:rPr>
          <w:rFonts w:ascii="Times New Roman" w:hAnsi="Times New Roman" w:cs="Times New Roman" w:eastAsia="Times New Roman" w:hint="default"/>
        </w:rPr>
        <w:t>”</w:t>
      </w:r>
      <w:r>
        <w:rPr/>
        <w:t>；</w:t>
      </w:r>
    </w:p>
    <w:p>
      <w:pPr>
        <w:pStyle w:val="BodyText"/>
        <w:spacing w:line="304" w:lineRule="auto" w:before="9"/>
        <w:ind w:right="1130" w:firstLine="360"/>
        <w:jc w:val="both"/>
      </w:pPr>
      <w:r>
        <w:rPr>
          <w:spacing w:val="-2"/>
        </w:rPr>
        <w:t>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日，杨文江与中国工商银行股份有限公司广州工业大道支行签订了编号为工业支行</w:t>
      </w:r>
      <w:r>
        <w:rPr>
          <w:rFonts w:ascii="Times New Roman" w:hAnsi="Times New Roman" w:cs="Times New Roman" w:eastAsia="Times New Roman" w:hint="default"/>
          <w:spacing w:val="-2"/>
        </w:rPr>
        <w:t>2018</w:t>
      </w:r>
      <w:r>
        <w:rPr>
          <w:spacing w:val="-2"/>
        </w:rPr>
        <w:t>年最高保字第</w:t>
      </w:r>
      <w:r>
        <w:rPr>
          <w:rFonts w:ascii="Times New Roman" w:hAnsi="Times New Roman" w:cs="Times New Roman" w:eastAsia="Times New Roman" w:hint="default"/>
          <w:spacing w:val="-2"/>
        </w:rPr>
        <w:t>099</w:t>
      </w:r>
      <w:r>
        <w:rPr>
          <w:rFonts w:ascii="Times New Roman" w:hAnsi="Times New Roman" w:cs="Times New Roman" w:eastAsia="Times New Roman" w:hint="default"/>
        </w:rPr>
        <w:t> </w:t>
      </w:r>
      <w:r>
        <w:rPr>
          <w:spacing w:val="-2"/>
        </w:rPr>
        <w:t>号的最高额保证合同，为公司在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日至</w:t>
      </w:r>
      <w:r>
        <w:rPr>
          <w:rFonts w:ascii="Times New Roman" w:hAnsi="Times New Roman" w:cs="Times New Roman" w:eastAsia="Times New Roman" w:hint="default"/>
          <w:spacing w:val="-2"/>
        </w:rPr>
        <w:t>2033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日期间所欠中国工商银行股份有限公司广州工业大道支行的债</w:t>
      </w:r>
      <w:r>
        <w:rPr>
          <w:spacing w:val="-56"/>
        </w:rPr>
        <w:t> </w:t>
      </w:r>
      <w:r>
        <w:rPr/>
        <w:t>务提供最高额为</w:t>
      </w:r>
      <w:r>
        <w:rPr>
          <w:rFonts w:ascii="Times New Roman" w:hAnsi="Times New Roman" w:cs="Times New Roman" w:eastAsia="Times New Roman" w:hint="default"/>
        </w:rPr>
        <w:t>231,000,000.00</w:t>
      </w:r>
      <w:r>
        <w:rPr/>
        <w:t>元的连带责任担保，上述保证合同的保证期间为：自主合同项下的借款期限届满之次日起两 </w:t>
      </w:r>
      <w:r>
        <w:rPr>
          <w:spacing w:val="-2"/>
        </w:rPr>
        <w:t>年；中国工商银行股份有限公司广州工业大道支行根据主合同之约定宣布借款提前到期的，则保证期间为借款提前到期日之</w:t>
      </w:r>
      <w:r>
        <w:rPr>
          <w:spacing w:val="-64"/>
        </w:rPr>
        <w:t> </w:t>
      </w:r>
      <w:r>
        <w:rPr>
          <w:spacing w:val="-64"/>
        </w:rPr>
      </w:r>
      <w:r>
        <w:rPr/>
        <w:t>次日起两年。截止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日，本担保合同项下的借款余额为</w:t>
      </w:r>
      <w:r>
        <w:rPr>
          <w:rFonts w:ascii="Times New Roman" w:hAnsi="Times New Roman" w:cs="Times New Roman" w:eastAsia="Times New Roman" w:hint="default"/>
        </w:rPr>
        <w:t>29,200,000.00</w:t>
      </w:r>
      <w:r>
        <w:rPr/>
        <w:t>元，详见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26</w:t>
      </w:r>
      <w:r>
        <w:rPr/>
        <w:t>一年内到期的非 流动负债及</w:t>
      </w:r>
      <w:r>
        <w:rPr>
          <w:rFonts w:ascii="Times New Roman" w:hAnsi="Times New Roman" w:cs="Times New Roman" w:eastAsia="Times New Roman" w:hint="default"/>
        </w:rPr>
        <w:t>28</w:t>
      </w:r>
      <w:r>
        <w:rPr/>
        <w:t>长期借款</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）本期无关联方资产转让、债务重组情况</w:t>
      </w:r>
      <w:r>
        <w:rPr>
          <w:b w:val="0"/>
          <w:bCs w:val="0"/>
        </w:rPr>
      </w:r>
    </w:p>
    <w:p>
      <w:pPr>
        <w:spacing w:after="0" w:line="240" w:lineRule="auto"/>
        <w:jc w:val="left"/>
        <w:sectPr>
          <w:footerReference w:type="default" r:id="rId18"/>
          <w:pgSz w:w="11910" w:h="16840"/>
          <w:pgMar w:footer="980" w:header="745" w:top="1060" w:bottom="1160" w:left="980" w:right="0"/>
          <w:pgNumType w:start="12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3,064,271.78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3,313,178.36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01"/>
        <w:gridCol w:w="3049"/>
        <w:gridCol w:w="1440"/>
        <w:gridCol w:w="1260"/>
        <w:gridCol w:w="1261"/>
        <w:gridCol w:w="1106"/>
      </w:tblGrid>
      <w:tr>
        <w:trPr>
          <w:trHeight w:val="403" w:hRule="exact"/>
        </w:trPr>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01" w:type="dxa"/>
            <w:vMerge/>
            <w:tcBorders>
              <w:left w:val="single" w:sz="4" w:space="0" w:color="000000"/>
              <w:bottom w:val="single" w:sz="4" w:space="0" w:color="000000"/>
              <w:right w:val="single" w:sz="4" w:space="0" w:color="000000"/>
            </w:tcBorders>
            <w:shd w:val="clear" w:color="auto" w:fill="D2D2D2"/>
          </w:tcPr>
          <w:p>
            <w:pPr/>
          </w:p>
        </w:tc>
        <w:tc>
          <w:tcPr>
            <w:tcW w:w="3049"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114,285.71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22,857.14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114,285.71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5,714.29</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1,046.13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52.31</w:t>
            </w:r>
          </w:p>
        </w:tc>
      </w:tr>
      <w:tr>
        <w:trPr>
          <w:trHeight w:val="401"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1,099.78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54.99</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24,327.77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27,030.86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13,515.43</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04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2,109,686.93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831"/>
        <w:gridCol w:w="1956"/>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1"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6,838,081.03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1"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246,447.74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与关联方相关的承诺事项明细详见</w:t>
      </w:r>
      <w:r>
        <w:rPr>
          <w:rFonts w:ascii="Times New Roman" w:hAnsi="Times New Roman" w:cs="Times New Roman" w:eastAsia="Times New Roman" w:hint="default"/>
        </w:rPr>
        <w:t>“</w:t>
      </w:r>
      <w:r>
        <w:rPr/>
        <w:t>财务报告十二、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60" w:lineRule="auto" w:before="44"/>
        <w:ind w:right="4834"/>
        <w:jc w:val="left"/>
      </w:pPr>
      <w:r>
        <w:rPr/>
        <w:t>资产负债表日存在的重要承诺 与关联方相关的承诺事项明细详见</w:t>
      </w:r>
      <w:r>
        <w:rPr>
          <w:rFonts w:ascii="Times New Roman" w:hAnsi="Times New Roman" w:cs="Times New Roman" w:eastAsia="Times New Roman" w:hint="default"/>
        </w:rPr>
        <w:t>“</w:t>
      </w:r>
      <w:r>
        <w:rPr/>
        <w:t>财务报告十二、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）本报告期公司无需要披露的重要或有事项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9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）公司不存在需要披露的重要或有事项</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月，公司第六届董事会第四次会议审议通过，将持有的参股公司广州花都稠州村镇银行股份有限公司</w:t>
      </w:r>
    </w:p>
    <w:p>
      <w:pPr>
        <w:pStyle w:val="BodyText"/>
        <w:spacing w:line="240" w:lineRule="auto" w:before="63"/>
        <w:ind w:right="1133"/>
        <w:jc w:val="left"/>
      </w:pPr>
      <w:r>
        <w:rPr>
          <w:rFonts w:ascii="Times New Roman" w:hAnsi="Times New Roman" w:cs="Times New Roman" w:eastAsia="Times New Roman" w:hint="default"/>
        </w:rPr>
        <w:t>10.00%</w:t>
      </w:r>
      <w:r>
        <w:rPr/>
        <w:t>的股权转让给广州市浙荣贸易有限责任公司。截止报告批准报出日，相关事项尚在有关监管部门审批中。</w:t>
      </w:r>
    </w:p>
    <w:p>
      <w:pPr>
        <w:pStyle w:val="BodyText"/>
        <w:spacing w:line="300" w:lineRule="auto" w:before="63"/>
        <w:ind w:right="1133" w:firstLine="360"/>
        <w:jc w:val="both"/>
      </w:pPr>
      <w:r>
        <w:rPr/>
        <w:t>（</w:t>
      </w:r>
      <w:r>
        <w:rPr>
          <w:rFonts w:ascii="Times New Roman" w:hAnsi="Times New Roman" w:cs="Times New Roman" w:eastAsia="Times New Roman" w:hint="default"/>
        </w:rPr>
        <w:t>2</w:t>
      </w:r>
      <w:r>
        <w:rPr/>
        <w:t>）公司拟设立全资子公司广州御泰信息科技有限公司（暂定名，最终以国家相关部门审批及核准的名称为准），注 册资本为</w:t>
      </w:r>
      <w:r>
        <w:rPr>
          <w:rFonts w:ascii="Times New Roman" w:hAnsi="Times New Roman" w:cs="Times New Roman" w:eastAsia="Times New Roman" w:hint="default"/>
        </w:rPr>
        <w:t>9,600</w:t>
      </w:r>
      <w:r>
        <w:rPr/>
        <w:t>万元人民币，其中固定资产出资</w:t>
      </w:r>
      <w:r>
        <w:rPr>
          <w:rFonts w:ascii="Times New Roman" w:hAnsi="Times New Roman" w:cs="Times New Roman" w:eastAsia="Times New Roman" w:hint="default"/>
        </w:rPr>
        <w:t>9,529.63</w:t>
      </w:r>
      <w:r>
        <w:rPr/>
        <w:t>万元、货币资金出资</w:t>
      </w:r>
      <w:r>
        <w:rPr>
          <w:rFonts w:ascii="Times New Roman" w:hAnsi="Times New Roman" w:cs="Times New Roman" w:eastAsia="Times New Roman" w:hint="default"/>
        </w:rPr>
        <w:t>70.37</w:t>
      </w:r>
      <w:r>
        <w:rPr/>
        <w:t>万元。固定资产账面价值为</w:t>
      </w:r>
      <w:r>
        <w:rPr>
          <w:rFonts w:ascii="Times New Roman" w:hAnsi="Times New Roman" w:cs="Times New Roman" w:eastAsia="Times New Roman" w:hint="default"/>
        </w:rPr>
        <w:t>5,326.87</w:t>
      </w:r>
      <w:r>
        <w:rPr/>
        <w:t>万元， 评估价值为</w:t>
      </w:r>
      <w:r>
        <w:rPr>
          <w:rFonts w:ascii="Times New Roman" w:hAnsi="Times New Roman" w:cs="Times New Roman" w:eastAsia="Times New Roman" w:hint="default"/>
        </w:rPr>
        <w:t>9,529.63</w:t>
      </w:r>
      <w:r>
        <w:rPr/>
        <w:t>万元。</w:t>
      </w:r>
    </w:p>
    <w:p>
      <w:pPr>
        <w:pStyle w:val="BodyText"/>
        <w:spacing w:line="300" w:lineRule="auto" w:before="13"/>
        <w:ind w:right="1181" w:firstLine="360"/>
        <w:jc w:val="both"/>
      </w:pPr>
      <w:r>
        <w:rPr/>
        <w:t>（</w:t>
      </w:r>
      <w:r>
        <w:rPr>
          <w:rFonts w:ascii="Times New Roman" w:hAnsi="Times New Roman" w:cs="Times New Roman" w:eastAsia="Times New Roman" w:hint="default"/>
        </w:rPr>
        <w:t>3</w:t>
      </w:r>
      <w:r>
        <w:rPr/>
        <w:t>）根据公司发展战略规划，公司拟将全资子公司广州御银自动柜员机科技有限公司注册资本由</w:t>
      </w:r>
      <w:r>
        <w:rPr>
          <w:rFonts w:ascii="Times New Roman" w:hAnsi="Times New Roman" w:cs="Times New Roman" w:eastAsia="Times New Roman" w:hint="default"/>
        </w:rPr>
        <w:t>50,000</w:t>
      </w:r>
      <w:r>
        <w:rPr/>
        <w:t>万元人民币减 少至</w:t>
      </w:r>
      <w:r>
        <w:rPr>
          <w:rFonts w:ascii="Times New Roman" w:hAnsi="Times New Roman" w:cs="Times New Roman" w:eastAsia="Times New Roman" w:hint="default"/>
        </w:rPr>
        <w:t>20,000</w:t>
      </w:r>
      <w:r>
        <w:rPr/>
        <w:t>万元。</w:t>
      </w:r>
    </w:p>
    <w:p>
      <w:pPr>
        <w:pStyle w:val="BodyText"/>
        <w:spacing w:line="300" w:lineRule="auto" w:before="13"/>
        <w:ind w:right="1037"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月，杨文江先生将其所持有的公司部分股份进行解除质押，本次解除质押的股份共</w:t>
      </w:r>
      <w:r>
        <w:rPr>
          <w:rFonts w:ascii="Times New Roman" w:hAnsi="Times New Roman" w:cs="Times New Roman" w:eastAsia="Times New Roman" w:hint="default"/>
        </w:rPr>
        <w:t>22,220,000.00</w:t>
      </w:r>
      <w:r>
        <w:rPr/>
        <w:t>股，本次 </w:t>
      </w:r>
      <w:r>
        <w:rPr>
          <w:spacing w:val="-4"/>
        </w:rPr>
        <w:t>解除质押后，杨文江先生累计已质押的公司股份为</w:t>
      </w:r>
      <w:r>
        <w:rPr>
          <w:rFonts w:ascii="Times New Roman" w:hAnsi="Times New Roman" w:cs="Times New Roman" w:eastAsia="Times New Roman" w:hint="default"/>
          <w:spacing w:val="-4"/>
        </w:rPr>
        <w:t>39,970,000.00</w:t>
      </w:r>
      <w:r>
        <w:rPr>
          <w:spacing w:val="-4"/>
        </w:rPr>
        <w:t>股，占其所持公司股份总数的</w:t>
      </w:r>
      <w:r>
        <w:rPr>
          <w:rFonts w:ascii="Times New Roman" w:hAnsi="Times New Roman" w:cs="Times New Roman" w:eastAsia="Times New Roman" w:hint="default"/>
          <w:spacing w:val="-4"/>
        </w:rPr>
        <w:t>25.69%</w:t>
      </w:r>
      <w:r>
        <w:rPr>
          <w:spacing w:val="-4"/>
        </w:rPr>
        <w:t>，占公司总股本的</w:t>
      </w:r>
      <w:r>
        <w:rPr>
          <w:rFonts w:ascii="Times New Roman" w:hAnsi="Times New Roman" w:cs="Times New Roman" w:eastAsia="Times New Roman" w:hint="default"/>
          <w:spacing w:val="-4"/>
        </w:rPr>
        <w:t>5.25%</w:t>
      </w:r>
      <w:r>
        <w:rPr>
          <w:spacing w:val="-4"/>
        </w:rPr>
        <w:t>。</w:t>
      </w:r>
    </w:p>
    <w:p>
      <w:pPr>
        <w:pStyle w:val="BodyText"/>
        <w:spacing w:line="300" w:lineRule="auto" w:before="13"/>
        <w:ind w:right="1042"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月，杨文江先生将其所持有的公司部分股份进行解除质押，本次解除质押的股份共</w:t>
      </w:r>
      <w:r>
        <w:rPr>
          <w:rFonts w:ascii="Times New Roman" w:hAnsi="Times New Roman" w:cs="Times New Roman" w:eastAsia="Times New Roman" w:hint="default"/>
        </w:rPr>
        <w:t>15,670,000.00</w:t>
      </w:r>
      <w:r>
        <w:rPr/>
        <w:t>股，本次 </w:t>
      </w:r>
      <w:r>
        <w:rPr>
          <w:spacing w:val="-3"/>
        </w:rPr>
        <w:t>解除质押后，杨文江先生累计已质押的公司股份为</w:t>
      </w:r>
      <w:r>
        <w:rPr>
          <w:rFonts w:ascii="Times New Roman" w:hAnsi="Times New Roman" w:cs="Times New Roman" w:eastAsia="Times New Roman" w:hint="default"/>
          <w:spacing w:val="-3"/>
        </w:rPr>
        <w:t>24,300,000.00</w:t>
      </w:r>
      <w:r>
        <w:rPr>
          <w:spacing w:val="-3"/>
        </w:rPr>
        <w:t>股，占其所持公司股份总数的</w:t>
      </w:r>
      <w:r>
        <w:rPr>
          <w:rFonts w:ascii="Times New Roman" w:hAnsi="Times New Roman" w:cs="Times New Roman" w:eastAsia="Times New Roman" w:hint="default"/>
          <w:spacing w:val="-3"/>
        </w:rPr>
        <w:t>15.62%</w:t>
      </w:r>
      <w:r>
        <w:rPr>
          <w:spacing w:val="-3"/>
        </w:rPr>
        <w:t>，占公司总股本的</w:t>
      </w:r>
      <w:r>
        <w:rPr>
          <w:rFonts w:ascii="Times New Roman" w:hAnsi="Times New Roman" w:cs="Times New Roman" w:eastAsia="Times New Roman" w:hint="default"/>
          <w:spacing w:val="-3"/>
        </w:rPr>
        <w:t>3.2%</w:t>
      </w:r>
      <w:r>
        <w:rPr>
          <w:spacing w:val="-3"/>
        </w:rPr>
        <w:t>。</w:t>
      </w:r>
    </w:p>
    <w:p>
      <w:pPr>
        <w:pStyle w:val="BodyText"/>
        <w:spacing w:line="300" w:lineRule="auto" w:before="13"/>
        <w:ind w:right="1131" w:firstLine="360"/>
        <w:jc w:val="both"/>
      </w:pPr>
      <w:r>
        <w:rPr>
          <w:spacing w:val="-1"/>
        </w:rPr>
        <w:t>（</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月，杨文江先生将其所持有的公司部分股票进行股票质押式回购交易，所质押股份为</w:t>
      </w:r>
      <w:r>
        <w:rPr>
          <w:rFonts w:ascii="Times New Roman" w:hAnsi="Times New Roman" w:cs="Times New Roman" w:eastAsia="Times New Roman" w:hint="default"/>
          <w:spacing w:val="-1"/>
        </w:rPr>
        <w:t>39,490,000.00</w:t>
      </w:r>
      <w:r>
        <w:rPr>
          <w:spacing w:val="-1"/>
        </w:rPr>
        <w:t>股，质</w:t>
      </w:r>
      <w:r>
        <w:rPr/>
        <w:t> </w:t>
      </w:r>
      <w:r>
        <w:rPr>
          <w:spacing w:val="-2"/>
        </w:rPr>
        <w:t>押期限为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/23</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日。本次质押后，杨文江先生累计已质押的公司股份为</w:t>
      </w:r>
      <w:r>
        <w:rPr>
          <w:rFonts w:ascii="Times New Roman" w:hAnsi="Times New Roman" w:cs="Times New Roman" w:eastAsia="Times New Roman" w:hint="default"/>
          <w:spacing w:val="-2"/>
        </w:rPr>
        <w:t>39,490,000.00</w:t>
      </w:r>
      <w:r>
        <w:rPr>
          <w:spacing w:val="-2"/>
        </w:rPr>
        <w:t>股，占其所</w:t>
      </w:r>
      <w:r>
        <w:rPr>
          <w:spacing w:val="-52"/>
        </w:rPr>
        <w:t> </w:t>
      </w:r>
      <w:r>
        <w:rPr>
          <w:spacing w:val="-52"/>
        </w:rPr>
      </w:r>
      <w:r>
        <w:rPr/>
        <w:t>持公司股份总数的</w:t>
      </w:r>
      <w:r>
        <w:rPr>
          <w:rFonts w:ascii="Times New Roman" w:hAnsi="Times New Roman" w:cs="Times New Roman" w:eastAsia="Times New Roman" w:hint="default"/>
        </w:rPr>
        <w:t>25.39%</w:t>
      </w:r>
      <w:r>
        <w:rPr/>
        <w:t>，占公司总股本的</w:t>
      </w:r>
      <w:r>
        <w:rPr>
          <w:rFonts w:ascii="Times New Roman" w:hAnsi="Times New Roman" w:cs="Times New Roman" w:eastAsia="Times New Roman" w:hint="default"/>
        </w:rPr>
        <w:t>5.19%</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十五、其他重要事项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本报告期未发生采用追溯重述法的前期会计差错更正事项。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right="1133"/>
        <w:jc w:val="left"/>
      </w:pPr>
      <w:r>
        <w:rPr/>
        <w:t>本报告期未发生采用未来适用法的前期会计差错更正事项。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本报告期未发生债务重组。</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本报告期未发生资产置换。</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本报告期未发生年金计划。</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12"/>
        <w:gridCol w:w="1184"/>
        <w:gridCol w:w="1181"/>
        <w:gridCol w:w="1150"/>
        <w:gridCol w:w="1061"/>
        <w:gridCol w:w="1152"/>
        <w:gridCol w:w="2129"/>
      </w:tblGrid>
      <w:tr>
        <w:trPr>
          <w:trHeight w:val="713"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9" w:right="67" w:hanging="540"/>
              <w:jc w:val="left"/>
              <w:rPr>
                <w:rFonts w:ascii="宋体" w:hAnsi="宋体" w:cs="宋体" w:eastAsia="宋体" w:hint="default"/>
                <w:sz w:val="18"/>
                <w:szCs w:val="18"/>
              </w:rPr>
            </w:pPr>
            <w:r>
              <w:rPr>
                <w:rFonts w:ascii="宋体" w:hAnsi="宋体" w:cs="宋体" w:eastAsia="宋体" w:hint="default"/>
                <w:sz w:val="18"/>
                <w:szCs w:val="18"/>
              </w:rPr>
              <w:t>归属于母公司所有者的终 止经营利润</w:t>
            </w:r>
          </w:p>
        </w:tc>
      </w:tr>
      <w:tr>
        <w:trPr>
          <w:trHeight w:val="71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2" w:right="89" w:hanging="92"/>
              <w:jc w:val="left"/>
              <w:rPr>
                <w:rFonts w:ascii="宋体" w:hAnsi="宋体" w:cs="宋体" w:eastAsia="宋体" w:hint="default"/>
                <w:sz w:val="18"/>
                <w:szCs w:val="18"/>
              </w:rPr>
            </w:pPr>
            <w:r>
              <w:rPr>
                <w:rFonts w:ascii="宋体" w:hAnsi="宋体" w:cs="宋体" w:eastAsia="宋体" w:hint="default"/>
                <w:sz w:val="18"/>
                <w:szCs w:val="18"/>
              </w:rPr>
              <w:t>归属于母公司所有者 的持续经营净利润</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394,213,945.82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439,242,543.60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-97,947,739.98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-3,130,157.30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-94,817,582.68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-94,817,582.68</w:t>
            </w:r>
          </w:p>
        </w:tc>
      </w:tr>
      <w:tr>
        <w:trPr>
          <w:trHeight w:val="71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2" w:right="89" w:hanging="92"/>
              <w:jc w:val="left"/>
              <w:rPr>
                <w:rFonts w:ascii="宋体" w:hAnsi="宋体" w:cs="宋体" w:eastAsia="宋体" w:hint="default"/>
                <w:sz w:val="18"/>
                <w:szCs w:val="18"/>
              </w:rPr>
            </w:pPr>
            <w:r>
              <w:rPr>
                <w:rFonts w:ascii="宋体" w:hAnsi="宋体" w:cs="宋体" w:eastAsia="宋体" w:hint="default"/>
                <w:sz w:val="18"/>
                <w:szCs w:val="18"/>
              </w:rPr>
              <w:t>归属于母公司所有者 的终止经营净利润</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）公司无报告分部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80" w:top="1060" w:bottom="1160" w:left="980" w:right="0"/>
        </w:sectPr>
      </w:pPr>
    </w:p>
    <w:p>
      <w:pPr>
        <w:pStyle w:val="Heading3"/>
        <w:spacing w:line="240" w:lineRule="auto" w:before="36"/>
        <w:ind w:right="-16"/>
        <w:jc w:val="left"/>
        <w:rPr>
          <w:b w:val="0"/>
          <w:bCs w:val="0"/>
        </w:rPr>
      </w:pPr>
      <w:r>
        <w:rPr/>
        <w:t>（</w:t>
      </w:r>
      <w:r>
        <w:rPr>
          <w:rFonts w:ascii="Times New Roman" w:hAnsi="Times New Roman" w:cs="Times New Roman" w:eastAsia="Times New Roman" w:hint="default"/>
        </w:rPr>
        <w:t>2</w:t>
      </w:r>
      <w:r>
        <w:rPr/>
        <w:t>）其他说明</w:t>
      </w:r>
      <w:r>
        <w:rPr>
          <w:b w:val="0"/>
          <w:bCs w:val="0"/>
        </w:rPr>
      </w:r>
    </w:p>
    <w:p>
      <w:pPr>
        <w:pStyle w:val="BodyText"/>
        <w:spacing w:line="240" w:lineRule="auto" w:before="42"/>
        <w:ind w:right="-16"/>
        <w:jc w:val="left"/>
      </w:pPr>
      <w:r>
        <w:rPr/>
        <w:t>①业务分产品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27" w:space="7394"/>
            <w:col w:w="2009"/>
          </w:cols>
        </w:sectPr>
      </w:pP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086"/>
        <w:gridCol w:w="1889"/>
        <w:gridCol w:w="1889"/>
        <w:gridCol w:w="1887"/>
        <w:gridCol w:w="1889"/>
      </w:tblGrid>
      <w:tr>
        <w:trPr>
          <w:trHeight w:val="348" w:hRule="exact"/>
        </w:trPr>
        <w:tc>
          <w:tcPr>
            <w:tcW w:w="20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77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77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6" w:hRule="exact"/>
        </w:trPr>
        <w:tc>
          <w:tcPr>
            <w:tcW w:w="2086" w:type="dxa"/>
            <w:vMerge/>
            <w:tcBorders>
              <w:left w:val="single" w:sz="6" w:space="0" w:color="000000"/>
              <w:bottom w:val="single" w:sz="6" w:space="0" w:color="000000"/>
              <w:right w:val="single" w:sz="6" w:space="0" w:color="000000"/>
            </w:tcBorders>
            <w:shd w:val="clear" w:color="auto" w:fill="D9D9D9"/>
          </w:tcPr>
          <w:p>
            <w:pPr/>
          </w:p>
        </w:tc>
        <w:tc>
          <w:tcPr>
            <w:tcW w:w="1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销售</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139,072,219.41</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110,577,110.31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305,468,345.90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211,111,631.87</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合作运营</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30,525,610.09</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26,408,794.09</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49,262,982.50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50,723,880.64</w:t>
            </w:r>
          </w:p>
        </w:tc>
      </w:tr>
      <w:tr>
        <w:trPr>
          <w:trHeight w:val="428"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融资租赁</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8,548,990.54</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3,158,170.76</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10,047,438.91</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210,009.08</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技术、金融服务</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138,013,495.10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100,022,163.11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116,019,542.46</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82,592,404.13</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24,346,502.78</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13,117,786.33</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13,252,415.57</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9,655,421.04</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53,707,127.90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16,889,756.41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75,663,881.11</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39,378,165.72</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394,213,945.82</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270,173,781.01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569,714,606.45</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393,671,512.48</w:t>
            </w:r>
          </w:p>
        </w:tc>
      </w:tr>
    </w:tbl>
    <w:p>
      <w:pPr>
        <w:pStyle w:val="BodyText"/>
        <w:spacing w:line="240" w:lineRule="auto" w:before="8"/>
        <w:ind w:right="1133"/>
        <w:jc w:val="left"/>
      </w:pPr>
      <w:r>
        <w:rPr/>
        <w:t>②业务分地区</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2086"/>
        <w:gridCol w:w="1889"/>
        <w:gridCol w:w="1889"/>
        <w:gridCol w:w="1887"/>
        <w:gridCol w:w="1889"/>
      </w:tblGrid>
      <w:tr>
        <w:trPr>
          <w:trHeight w:val="348" w:hRule="exact"/>
        </w:trPr>
        <w:tc>
          <w:tcPr>
            <w:tcW w:w="20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7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77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6" w:hRule="exact"/>
        </w:trPr>
        <w:tc>
          <w:tcPr>
            <w:tcW w:w="2086" w:type="dxa"/>
            <w:vMerge/>
            <w:tcBorders>
              <w:left w:val="single" w:sz="6" w:space="0" w:color="000000"/>
              <w:bottom w:val="single" w:sz="6" w:space="0" w:color="000000"/>
              <w:right w:val="single" w:sz="6" w:space="0" w:color="000000"/>
            </w:tcBorders>
            <w:shd w:val="clear" w:color="auto" w:fill="D9D9D9"/>
          </w:tcPr>
          <w:p>
            <w:pPr/>
          </w:p>
        </w:tc>
        <w:tc>
          <w:tcPr>
            <w:tcW w:w="1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25,797,689.70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15,634,937.59</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26,217,215.33</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18,549,719.01</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80,054,016.63</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37,125,031.31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76,717,168.48</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61,878,734.73</w:t>
            </w:r>
          </w:p>
        </w:tc>
      </w:tr>
      <w:tr>
        <w:trPr>
          <w:trHeight w:val="427" w:hRule="exact"/>
        </w:trPr>
        <w:tc>
          <w:tcPr>
            <w:tcW w:w="2086"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288,362,239.49</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217,413,812.11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466,780,222.64</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313,243,058.74</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394,213,945.82</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270,173,781.01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569,714,606.45</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393,671,512.48</w:t>
            </w:r>
          </w:p>
        </w:tc>
      </w:tr>
    </w:tbl>
    <w:p>
      <w:pPr>
        <w:pStyle w:val="BodyText"/>
        <w:spacing w:line="240" w:lineRule="auto" w:before="8"/>
        <w:ind w:left="652" w:right="1042"/>
        <w:jc w:val="left"/>
      </w:pPr>
      <w:r>
        <w:rPr/>
        <w:t>③公司前五名客户的营业收入情况</w:t>
      </w:r>
    </w:p>
    <w:p>
      <w:pPr>
        <w:pStyle w:val="BodyText"/>
        <w:spacing w:line="240" w:lineRule="auto" w:before="76"/>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3215"/>
        <w:gridCol w:w="3214"/>
        <w:gridCol w:w="3212"/>
      </w:tblGrid>
      <w:tr>
        <w:trPr>
          <w:trHeight w:val="348" w:hRule="exact"/>
        </w:trPr>
        <w:tc>
          <w:tcPr>
            <w:tcW w:w="32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058"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2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43,978,373.20</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11.16</w:t>
            </w:r>
          </w:p>
        </w:tc>
      </w:tr>
      <w:tr>
        <w:trPr>
          <w:trHeight w:val="425"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22,961,742.79</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5.82</w:t>
            </w:r>
          </w:p>
        </w:tc>
      </w:tr>
      <w:tr>
        <w:trPr>
          <w:trHeight w:val="427"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14,993,301.09</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3.80</w:t>
            </w:r>
          </w:p>
        </w:tc>
      </w:tr>
      <w:tr>
        <w:trPr>
          <w:trHeight w:val="427"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12,552,046.58</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3.18</w:t>
            </w:r>
          </w:p>
        </w:tc>
      </w:tr>
      <w:tr>
        <w:trPr>
          <w:trHeight w:val="427"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11,274,600.49</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2.86</w:t>
            </w:r>
          </w:p>
        </w:tc>
      </w:tr>
      <w:tr>
        <w:trPr>
          <w:trHeight w:val="427" w:hRule="exact"/>
        </w:trPr>
        <w:tc>
          <w:tcPr>
            <w:tcW w:w="32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105,760,064.15</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26.82</w:t>
            </w:r>
          </w:p>
        </w:tc>
      </w:tr>
    </w:tbl>
    <w:p>
      <w:pPr>
        <w:spacing w:line="240" w:lineRule="auto" w:before="1"/>
        <w:rPr>
          <w:rFonts w:ascii="宋体" w:hAnsi="宋体" w:cs="宋体" w:eastAsia="宋体" w:hint="default"/>
          <w:sz w:val="18"/>
          <w:szCs w:val="18"/>
        </w:rPr>
      </w:pPr>
    </w:p>
    <w:p>
      <w:pPr>
        <w:pStyle w:val="Heading2"/>
        <w:spacing w:line="240" w:lineRule="auto" w:before="26"/>
        <w:ind w:left="652" w:right="1042"/>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52" w:right="1042"/>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113,570,807.32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173,721,984.01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113,570,807.32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173,721,984.01</w:t>
            </w:r>
          </w:p>
        </w:tc>
      </w:tr>
    </w:tbl>
    <w:p>
      <w:pPr>
        <w:spacing w:line="240" w:lineRule="auto" w:before="3"/>
        <w:rPr>
          <w:rFonts w:ascii="宋体" w:hAnsi="宋体" w:cs="宋体" w:eastAsia="宋体" w:hint="default"/>
          <w:sz w:val="19"/>
          <w:szCs w:val="19"/>
        </w:rPr>
      </w:pPr>
    </w:p>
    <w:p>
      <w:pPr>
        <w:pStyle w:val="Heading3"/>
        <w:spacing w:line="240" w:lineRule="auto" w:before="36"/>
        <w:ind w:left="652" w:right="1042"/>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652" w:right="104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897"/>
        <w:gridCol w:w="1192"/>
        <w:gridCol w:w="708"/>
        <w:gridCol w:w="1136"/>
        <w:gridCol w:w="566"/>
        <w:gridCol w:w="1229"/>
        <w:gridCol w:w="1181"/>
        <w:gridCol w:w="708"/>
        <w:gridCol w:w="1112"/>
        <w:gridCol w:w="701"/>
        <w:gridCol w:w="1181"/>
      </w:tblGrid>
      <w:tr>
        <w:trPr>
          <w:trHeight w:val="396" w:hRule="exact"/>
        </w:trPr>
        <w:tc>
          <w:tcPr>
            <w:tcW w:w="897" w:type="dxa"/>
            <w:vMerge w:val="restart"/>
            <w:tcBorders>
              <w:top w:val="single" w:sz="4" w:space="0" w:color="000000"/>
              <w:left w:val="single" w:sz="4" w:space="0" w:color="000000"/>
              <w:right w:val="single" w:sz="4" w:space="0" w:color="000000"/>
            </w:tcBorders>
            <w:shd w:val="clear" w:color="auto" w:fill="D2D2D2"/>
          </w:tcPr>
          <w:p>
            <w:pPr/>
          </w:p>
        </w:tc>
        <w:tc>
          <w:tcPr>
            <w:tcW w:w="48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897" w:type="dxa"/>
            <w:vMerge/>
            <w:tcBorders>
              <w:left w:val="single" w:sz="4" w:space="0" w:color="000000"/>
              <w:bottom w:val="nil" w:sz="6" w:space="0" w:color="auto"/>
              <w:right w:val="single" w:sz="4" w:space="0" w:color="000000"/>
            </w:tcBorders>
            <w:shd w:val="clear" w:color="auto" w:fill="D2D2D2"/>
          </w:tcPr>
          <w:p>
            <w:pPr/>
          </w:p>
        </w:tc>
        <w:tc>
          <w:tcPr>
            <w:tcW w:w="19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9" w:type="dxa"/>
            <w:vMerge w:val="restart"/>
            <w:tcBorders>
              <w:top w:val="single" w:sz="4" w:space="0" w:color="000000"/>
              <w:left w:val="single" w:sz="4" w:space="0" w:color="000000"/>
              <w:right w:val="single" w:sz="4" w:space="0" w:color="000000"/>
            </w:tcBorders>
            <w:shd w:val="clear" w:color="auto" w:fill="D2D2D2"/>
          </w:tcPr>
          <w:p>
            <w:pPr/>
          </w:p>
        </w:tc>
        <w:tc>
          <w:tcPr>
            <w:tcW w:w="18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
        </w:tc>
      </w:tr>
      <w:tr>
        <w:trPr>
          <w:trHeight w:val="243" w:hRule="exact"/>
        </w:trPr>
        <w:tc>
          <w:tcPr>
            <w:tcW w:w="8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00"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889" w:type="dxa"/>
            <w:gridSpan w:val="2"/>
            <w:vMerge/>
            <w:tcBorders>
              <w:left w:val="single" w:sz="4" w:space="0" w:color="000000"/>
              <w:bottom w:val="single" w:sz="4" w:space="0" w:color="000000"/>
              <w:right w:val="single" w:sz="4" w:space="0" w:color="000000"/>
            </w:tcBorders>
            <w:shd w:val="clear" w:color="auto" w:fill="D2D2D2"/>
          </w:tcPr>
          <w:p>
            <w:pPr/>
          </w:p>
        </w:tc>
        <w:tc>
          <w:tcPr>
            <w:tcW w:w="1813"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97" w:type="dxa"/>
            <w:vMerge/>
            <w:tcBorders>
              <w:left w:val="single" w:sz="4" w:space="0" w:color="000000"/>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6"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897" w:type="dxa"/>
            <w:vMerge w:val="restart"/>
            <w:tcBorders>
              <w:top w:val="nil" w:sz="6" w:space="0" w:color="auto"/>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897"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29"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1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897"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1298"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53"/>
              <w:jc w:val="both"/>
              <w:rPr>
                <w:rFonts w:ascii="宋体" w:hAnsi="宋体" w:cs="宋体" w:eastAsia="宋体" w:hint="default"/>
                <w:sz w:val="18"/>
                <w:szCs w:val="18"/>
              </w:rPr>
            </w:pPr>
            <w:r>
              <w:rPr>
                <w:rFonts w:ascii="宋体" w:hAnsi="宋体" w:cs="宋体" w:eastAsia="宋体" w:hint="default"/>
                <w:sz w:val="18"/>
                <w:szCs w:val="18"/>
              </w:rPr>
              <w:t>单项金额 重大并单 独计提坏 账准备的</w:t>
            </w:r>
          </w:p>
        </w:tc>
        <w:tc>
          <w:tcPr>
            <w:tcW w:w="1192" w:type="dxa"/>
            <w:tcBorders>
              <w:top w:val="single" w:sz="4" w:space="0" w:color="000000"/>
              <w:left w:val="single" w:sz="12"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3,925,900.00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2.03%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3,925,900.00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4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18"/>
        <w:gridCol w:w="1181"/>
        <w:gridCol w:w="708"/>
        <w:gridCol w:w="1136"/>
        <w:gridCol w:w="566"/>
        <w:gridCol w:w="1229"/>
        <w:gridCol w:w="1181"/>
        <w:gridCol w:w="708"/>
        <w:gridCol w:w="1112"/>
        <w:gridCol w:w="701"/>
        <w:gridCol w:w="1181"/>
      </w:tblGrid>
      <w:tr>
        <w:trPr>
          <w:trHeight w:val="362" w:hRule="exact"/>
        </w:trPr>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4"/>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125,893,469.34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12,322,662.02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113,570,807.32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189,326,942.47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15,604,958.46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173,721,984.01</w:t>
            </w:r>
          </w:p>
        </w:tc>
      </w:tr>
      <w:tr>
        <w:trPr>
          <w:trHeight w:val="403" w:hRule="exact"/>
        </w:trPr>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125,893,469.34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12,322,662.02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113,570,807.32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193,252,842.47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19,530,858.46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173,721,984.01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480" w:right="0"/>
        </w:sectPr>
      </w:pPr>
    </w:p>
    <w:p>
      <w:pPr>
        <w:pStyle w:val="BodyText"/>
        <w:spacing w:line="240" w:lineRule="auto" w:before="49"/>
        <w:ind w:left="652" w:right="-20"/>
        <w:jc w:val="left"/>
      </w:pPr>
      <w:r>
        <w:rPr/>
        <w:t>期末单项金额重大并单项计提坏账准备的应收账款：</w:t>
      </w:r>
    </w:p>
    <w:p>
      <w:pPr>
        <w:pStyle w:val="BodyText"/>
        <w:spacing w:line="340" w:lineRule="auto" w:before="115"/>
        <w:ind w:left="65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left="6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652" w:right="0"/>
        <w:jc w:val="left"/>
      </w:pPr>
      <w:r>
        <w:rPr/>
        <w:t>单位：</w:t>
      </w:r>
      <w:r>
        <w:rPr>
          <w:spacing w:val="1"/>
        </w:rPr>
        <w:t> </w:t>
      </w:r>
      <w:r>
        <w:rPr/>
        <w:t>元</w:t>
      </w:r>
    </w:p>
    <w:p>
      <w:pPr>
        <w:spacing w:after="0" w:line="240" w:lineRule="auto"/>
        <w:jc w:val="left"/>
        <w:sectPr>
          <w:type w:val="continuous"/>
          <w:pgSz w:w="11910" w:h="16840"/>
          <w:pgMar w:top="1060" w:bottom="1160" w:left="480" w:right="0"/>
          <w:cols w:num="2" w:equalWidth="0">
            <w:col w:w="4793" w:space="4036"/>
            <w:col w:w="2601"/>
          </w:cols>
        </w:sectPr>
      </w:pPr>
    </w:p>
    <w:p>
      <w:pPr>
        <w:spacing w:line="240" w:lineRule="auto" w:before="5"/>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56,082,986.42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2,804,149.32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64,677,869.83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6,467,786.98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3,921,565.17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1,960,782.59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1,211,047.92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1,089,943.13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125,893,469.34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12,322,662.02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480" w:right="0"/>
        </w:sectPr>
      </w:pPr>
    </w:p>
    <w:p>
      <w:pPr>
        <w:pStyle w:val="BodyText"/>
        <w:spacing w:line="348" w:lineRule="auto" w:before="49"/>
        <w:ind w:left="652" w:right="1959"/>
        <w:jc w:val="left"/>
      </w:pPr>
      <w:r>
        <w:rPr/>
        <w:t>确定该组合依据的说明： 详见</w:t>
      </w:r>
      <w:r>
        <w:rPr>
          <w:rFonts w:ascii="Times New Roman" w:hAnsi="Times New Roman" w:cs="Times New Roman" w:eastAsia="Times New Roman" w:hint="default"/>
        </w:rPr>
        <w:t>“</w:t>
      </w:r>
      <w:r>
        <w:rPr/>
        <w:t>财务报告五、</w:t>
      </w:r>
      <w:r>
        <w:rPr>
          <w:rFonts w:ascii="Times New Roman" w:hAnsi="Times New Roman" w:cs="Times New Roman" w:eastAsia="Times New Roman" w:hint="default"/>
        </w:rPr>
        <w:t>10</w:t>
      </w:r>
      <w:r>
        <w:rPr/>
        <w:t>应收票据及应收账款</w:t>
      </w:r>
      <w:r>
        <w:rPr>
          <w:rFonts w:ascii="Times New Roman" w:hAnsi="Times New Roman" w:cs="Times New Roman" w:eastAsia="Times New Roman" w:hint="default"/>
        </w:rPr>
        <w:t>”</w:t>
      </w:r>
      <w:r>
        <w:rPr/>
        <w:t>。 组合中，采用余额百分比法计提坏账准备的应收账款：</w:t>
      </w:r>
    </w:p>
    <w:p>
      <w:pPr>
        <w:pStyle w:val="BodyText"/>
        <w:spacing w:line="348" w:lineRule="auto" w:before="36"/>
        <w:ind w:left="652" w:right="23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4"/>
        <w:ind w:left="652" w:right="-11"/>
        <w:jc w:val="left"/>
      </w:pPr>
      <w:r>
        <w:rPr/>
        <w:t>本期计提坏账准备金额</w:t>
      </w:r>
      <w:r>
        <w:rPr>
          <w:spacing w:val="-48"/>
        </w:rPr>
        <w:t> </w:t>
      </w:r>
      <w:r>
        <w:rPr>
          <w:rFonts w:ascii="Times New Roman" w:hAnsi="Times New Roman" w:cs="Times New Roman" w:eastAsia="Times New Roman" w:hint="default"/>
        </w:rPr>
        <w:t>5,711,540.34</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left="652" w:right="1959"/>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652" w:right="0"/>
        <w:jc w:val="left"/>
      </w:pPr>
      <w:r>
        <w:rPr/>
        <w:t>单位：</w:t>
      </w:r>
      <w:r>
        <w:rPr>
          <w:spacing w:val="1"/>
        </w:rPr>
        <w:t> </w:t>
      </w:r>
      <w:r>
        <w:rPr/>
        <w:t>元</w:t>
      </w:r>
    </w:p>
    <w:p>
      <w:pPr>
        <w:spacing w:after="0" w:line="240" w:lineRule="auto"/>
        <w:jc w:val="left"/>
        <w:sectPr>
          <w:type w:val="continuous"/>
          <w:pgSz w:w="11910" w:h="16840"/>
          <w:pgMar w:top="1060" w:bottom="1160" w:left="480" w:right="0"/>
          <w:cols w:num="2" w:equalWidth="0">
            <w:col w:w="6952" w:space="1877"/>
            <w:col w:w="2601"/>
          </w:cols>
        </w:sectPr>
      </w:pPr>
    </w:p>
    <w:p>
      <w:pPr>
        <w:spacing w:line="240" w:lineRule="auto" w:before="4"/>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12,919,736.78</w:t>
            </w:r>
          </w:p>
        </w:tc>
      </w:tr>
    </w:tbl>
    <w:p>
      <w:pPr>
        <w:pStyle w:val="BodyText"/>
        <w:spacing w:line="240" w:lineRule="auto" w:before="49"/>
        <w:ind w:left="652" w:right="1042"/>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19" w:type="dxa"/>
        <w:tblLayout w:type="fixed"/>
        <w:tblCellMar>
          <w:top w:w="0" w:type="dxa"/>
          <w:left w:w="0" w:type="dxa"/>
          <w:bottom w:w="0" w:type="dxa"/>
          <w:right w:w="0" w:type="dxa"/>
        </w:tblCellMar>
        <w:tblLook w:val="01E0"/>
      </w:tblPr>
      <w:tblGrid>
        <w:gridCol w:w="2578"/>
        <w:gridCol w:w="1136"/>
        <w:gridCol w:w="1001"/>
        <w:gridCol w:w="1136"/>
        <w:gridCol w:w="1318"/>
        <w:gridCol w:w="2036"/>
      </w:tblGrid>
      <w:tr>
        <w:trPr>
          <w:trHeight w:val="401" w:hRule="exact"/>
        </w:trPr>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款项是否由关联交易产生</w:t>
            </w:r>
          </w:p>
        </w:tc>
      </w:tr>
      <w:tr>
        <w:trPr>
          <w:trHeight w:val="40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陕西西安冠林智能科技有限公司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3,925,900.00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董事会审议通过</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3,925,900.00</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652" w:right="1042"/>
        <w:jc w:val="left"/>
      </w:pPr>
      <w:r>
        <w:rPr>
          <w:rFonts w:ascii="Times New Roman" w:hAnsi="Times New Roman" w:cs="Times New Roman" w:eastAsia="Times New Roman" w:hint="default"/>
        </w:rPr>
        <w:t>4)</w:t>
      </w:r>
      <w:r>
        <w:rPr/>
        <w:t>按欠款方归集的期末余额前五名的应收账款情况</w:t>
      </w:r>
    </w:p>
    <w:p>
      <w:pPr>
        <w:spacing w:after="0" w:line="240" w:lineRule="auto"/>
        <w:jc w:val="left"/>
        <w:sectPr>
          <w:type w:val="continuous"/>
          <w:pgSz w:w="11910" w:h="16840"/>
          <w:pgMar w:top="1060" w:bottom="1160" w:left="4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645" w:type="dxa"/>
        <w:tblLayout w:type="fixed"/>
        <w:tblCellMar>
          <w:top w:w="0" w:type="dxa"/>
          <w:left w:w="0" w:type="dxa"/>
          <w:bottom w:w="0" w:type="dxa"/>
          <w:right w:w="0" w:type="dxa"/>
        </w:tblCellMar>
        <w:tblLook w:val="01E0"/>
      </w:tblPr>
      <w:tblGrid>
        <w:gridCol w:w="2340"/>
        <w:gridCol w:w="2434"/>
        <w:gridCol w:w="2434"/>
        <w:gridCol w:w="2432"/>
      </w:tblGrid>
      <w:tr>
        <w:trPr>
          <w:trHeight w:val="346" w:hRule="exact"/>
        </w:trPr>
        <w:tc>
          <w:tcPr>
            <w:tcW w:w="234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30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340" w:type="dxa"/>
            <w:vMerge/>
            <w:tcBorders>
              <w:left w:val="single" w:sz="6" w:space="0" w:color="000000"/>
              <w:bottom w:val="single" w:sz="6" w:space="0" w:color="000000"/>
              <w:right w:val="single" w:sz="6" w:space="0" w:color="000000"/>
            </w:tcBorders>
            <w:shd w:val="clear" w:color="auto" w:fill="D9D9D9"/>
          </w:tcPr>
          <w:p>
            <w:pPr/>
          </w:p>
        </w:tc>
        <w:tc>
          <w:tcPr>
            <w:tcW w:w="24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4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44,743,356.42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35.54</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7,186,364.00</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8,683,995.72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6.90</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1,736,155.34</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6,747,927.15</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5.36</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1,055,321.56</w:t>
            </w:r>
          </w:p>
        </w:tc>
      </w:tr>
      <w:tr>
        <w:trPr>
          <w:trHeight w:val="425"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6,220,913.59</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4.94</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311,045.68</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5,655,457.88</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4.49</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862,521.06</w:t>
            </w:r>
          </w:p>
        </w:tc>
      </w:tr>
      <w:tr>
        <w:trPr>
          <w:trHeight w:val="430" w:hRule="exact"/>
        </w:trPr>
        <w:tc>
          <w:tcPr>
            <w:tcW w:w="23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72,051,650.76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57.23</w:t>
            </w:r>
          </w:p>
        </w:tc>
        <w:tc>
          <w:tcPr>
            <w:tcW w:w="2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11,151,407.64</w:t>
            </w:r>
          </w:p>
        </w:tc>
      </w:tr>
    </w:tbl>
    <w:p>
      <w:pPr>
        <w:pStyle w:val="BodyText"/>
        <w:spacing w:line="240" w:lineRule="auto" w:before="49"/>
        <w:ind w:left="652" w:right="1042"/>
        <w:jc w:val="left"/>
      </w:pPr>
      <w:r>
        <w:rPr>
          <w:rFonts w:ascii="Times New Roman" w:hAnsi="Times New Roman" w:cs="Times New Roman" w:eastAsia="Times New Roman" w:hint="default"/>
        </w:rPr>
        <w:t>5)</w:t>
      </w:r>
      <w:r>
        <w:rPr/>
        <w:t>本期无因金融资产转移而终止确认的应收账款</w:t>
      </w:r>
    </w:p>
    <w:p>
      <w:pPr>
        <w:pStyle w:val="BodyText"/>
        <w:spacing w:line="240" w:lineRule="auto" w:before="102"/>
        <w:ind w:left="652" w:right="1042"/>
        <w:jc w:val="left"/>
      </w:pPr>
      <w:r>
        <w:rPr>
          <w:rFonts w:ascii="Times New Roman" w:hAnsi="Times New Roman" w:cs="Times New Roman" w:eastAsia="Times New Roman" w:hint="default"/>
        </w:rPr>
        <w:t>6)</w:t>
      </w:r>
      <w:r>
        <w:rPr/>
        <w:t>本期无转移应收账款且继续涉入形成的资产、负债金额</w:t>
      </w:r>
    </w:p>
    <w:p>
      <w:pPr>
        <w:spacing w:line="240" w:lineRule="auto" w:before="8"/>
        <w:rPr>
          <w:rFonts w:ascii="宋体" w:hAnsi="宋体" w:cs="宋体" w:eastAsia="宋体" w:hint="default"/>
          <w:sz w:val="12"/>
          <w:szCs w:val="12"/>
        </w:rPr>
      </w:pPr>
    </w:p>
    <w:p>
      <w:pPr>
        <w:pStyle w:val="Heading3"/>
        <w:spacing w:line="240" w:lineRule="auto"/>
        <w:ind w:left="652" w:right="104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8"/>
          <w:szCs w:val="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104,701,835.54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193,551,948.00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104,701,835.54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193,551,948.00</w:t>
            </w:r>
          </w:p>
        </w:tc>
      </w:tr>
    </w:tbl>
    <w:p>
      <w:pPr>
        <w:spacing w:line="240" w:lineRule="auto" w:before="6"/>
        <w:rPr>
          <w:rFonts w:ascii="宋体" w:hAnsi="宋体" w:cs="宋体" w:eastAsia="宋体" w:hint="default"/>
          <w:sz w:val="5"/>
          <w:szCs w:val="5"/>
        </w:rPr>
      </w:pPr>
    </w:p>
    <w:p>
      <w:pPr>
        <w:pStyle w:val="Heading3"/>
        <w:spacing w:line="240" w:lineRule="auto" w:before="36"/>
        <w:ind w:left="652" w:right="104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3"/>
        <w:rPr>
          <w:rFonts w:ascii="宋体" w:hAnsi="宋体" w:cs="宋体" w:eastAsia="宋体" w:hint="default"/>
          <w:b/>
          <w:bCs/>
          <w:sz w:val="8"/>
          <w:szCs w:val="8"/>
        </w:rPr>
      </w:pPr>
    </w:p>
    <w:p>
      <w:pPr>
        <w:pStyle w:val="BodyText"/>
        <w:spacing w:line="240" w:lineRule="auto" w:before="44"/>
        <w:ind w:left="652" w:right="104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748"/>
        <w:gridCol w:w="1192"/>
        <w:gridCol w:w="701"/>
        <w:gridCol w:w="1093"/>
        <w:gridCol w:w="612"/>
        <w:gridCol w:w="1181"/>
        <w:gridCol w:w="1174"/>
        <w:gridCol w:w="701"/>
        <w:gridCol w:w="1093"/>
        <w:gridCol w:w="521"/>
        <w:gridCol w:w="1183"/>
      </w:tblGrid>
      <w:tr>
        <w:trPr>
          <w:trHeight w:val="396" w:hRule="exact"/>
        </w:trPr>
        <w:tc>
          <w:tcPr>
            <w:tcW w:w="748" w:type="dxa"/>
            <w:vMerge w:val="restart"/>
            <w:tcBorders>
              <w:top w:val="single" w:sz="4" w:space="0" w:color="000000"/>
              <w:left w:val="single" w:sz="4" w:space="0" w:color="000000"/>
              <w:right w:val="single" w:sz="4" w:space="0" w:color="000000"/>
            </w:tcBorders>
            <w:shd w:val="clear" w:color="auto" w:fill="D2D2D2"/>
          </w:tcPr>
          <w:p>
            <w:pPr/>
          </w:p>
        </w:tc>
        <w:tc>
          <w:tcPr>
            <w:tcW w:w="47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748" w:type="dxa"/>
            <w:vMerge/>
            <w:tcBorders>
              <w:left w:val="single" w:sz="4" w:space="0" w:color="000000"/>
              <w:bottom w:val="nil" w:sz="6" w:space="0" w:color="auto"/>
              <w:right w:val="single" w:sz="4" w:space="0" w:color="000000"/>
            </w:tcBorders>
            <w:shd w:val="clear" w:color="auto" w:fill="D2D2D2"/>
          </w:tcPr>
          <w:p>
            <w:pPr/>
          </w:p>
        </w:tc>
        <w:tc>
          <w:tcPr>
            <w:tcW w:w="18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8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3"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92" w:type="dxa"/>
            <w:gridSpan w:val="2"/>
            <w:vMerge/>
            <w:tcBorders>
              <w:left w:val="single" w:sz="4" w:space="0" w:color="000000"/>
              <w:bottom w:val="single" w:sz="4" w:space="0" w:color="000000"/>
              <w:right w:val="single" w:sz="4" w:space="0" w:color="000000"/>
            </w:tcBorders>
            <w:shd w:val="clear" w:color="auto" w:fill="D2D2D2"/>
          </w:tcPr>
          <w:p>
            <w:pPr/>
          </w:p>
        </w:tc>
        <w:tc>
          <w:tcPr>
            <w:tcW w:w="1705"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875" w:type="dxa"/>
            <w:gridSpan w:val="2"/>
            <w:vMerge/>
            <w:tcBorders>
              <w:left w:val="single" w:sz="4" w:space="0" w:color="000000"/>
              <w:bottom w:val="single" w:sz="4" w:space="0" w:color="000000"/>
              <w:right w:val="single" w:sz="4" w:space="0" w:color="000000"/>
            </w:tcBorders>
            <w:shd w:val="clear" w:color="auto" w:fill="D2D2D2"/>
          </w:tcPr>
          <w:p>
            <w:pPr/>
          </w:p>
        </w:tc>
        <w:tc>
          <w:tcPr>
            <w:tcW w:w="1613" w:type="dxa"/>
            <w:gridSpan w:val="2"/>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748" w:type="dxa"/>
            <w:vMerge/>
            <w:tcBorders>
              <w:left w:val="single" w:sz="4" w:space="0" w:color="000000"/>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748" w:type="dxa"/>
            <w:vMerge w:val="restart"/>
            <w:tcBorders>
              <w:top w:val="nil" w:sz="6" w:space="0" w:color="auto"/>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748"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748"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2275"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84"/>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147,506,971.77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42,805,136.23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104,701,835.54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211,803,399.83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18,251,451.83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193,551,948.00</w:t>
            </w:r>
          </w:p>
        </w:tc>
      </w:tr>
      <w:tr>
        <w:trPr>
          <w:trHeight w:val="401"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147,506,971.77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42,805,136.23</w:t>
            </w: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104,701,835.54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211,803,399.83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18,251,451.83</w:t>
            </w:r>
          </w:p>
        </w:tc>
        <w:tc>
          <w:tcPr>
            <w:tcW w:w="5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193,551,948.00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480" w:right="0"/>
        </w:sectPr>
      </w:pPr>
    </w:p>
    <w:p>
      <w:pPr>
        <w:pStyle w:val="BodyText"/>
        <w:spacing w:line="240" w:lineRule="auto" w:before="49"/>
        <w:ind w:left="652" w:right="-20"/>
        <w:jc w:val="left"/>
      </w:pPr>
      <w:r>
        <w:rPr/>
        <w:t>期末单项金额重大并单项计提坏账准备的其他应收款：</w:t>
      </w:r>
    </w:p>
    <w:p>
      <w:pPr>
        <w:pStyle w:val="BodyText"/>
        <w:spacing w:line="338" w:lineRule="auto" w:before="117"/>
        <w:ind w:left="65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left="6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652" w:right="0"/>
        <w:jc w:val="left"/>
      </w:pPr>
      <w:r>
        <w:rPr/>
        <w:t>单位：</w:t>
      </w:r>
      <w:r>
        <w:rPr>
          <w:spacing w:val="1"/>
        </w:rPr>
        <w:t> </w:t>
      </w:r>
      <w:r>
        <w:rPr/>
        <w:t>元</w:t>
      </w:r>
    </w:p>
    <w:p>
      <w:pPr>
        <w:spacing w:after="0" w:line="240" w:lineRule="auto"/>
        <w:jc w:val="left"/>
        <w:sectPr>
          <w:type w:val="continuous"/>
          <w:pgSz w:w="11910" w:h="16840"/>
          <w:pgMar w:top="1060" w:bottom="1160" w:left="480" w:right="0"/>
          <w:cols w:num="2" w:equalWidth="0">
            <w:col w:w="4973" w:space="3856"/>
            <w:col w:w="26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36,688,152.60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1,834,407.63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40,382,910.67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4,038,291.07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66,149,700.31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33,074,850.16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4,286,208.19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3,857,587.37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147,506,971.77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42,805,136.23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48" w:lineRule="auto" w:before="49"/>
        <w:ind w:right="1875"/>
        <w:jc w:val="left"/>
      </w:pPr>
      <w:r>
        <w:rPr/>
        <w:t>确定该组合依据的说明： 详见</w:t>
      </w:r>
      <w:r>
        <w:rPr>
          <w:rFonts w:ascii="Times New Roman" w:hAnsi="Times New Roman" w:cs="Times New Roman" w:eastAsia="Times New Roman" w:hint="default"/>
        </w:rPr>
        <w:t>“</w:t>
      </w:r>
      <w:r>
        <w:rPr/>
        <w:t>财务报告五、</w:t>
      </w:r>
      <w:r>
        <w:rPr>
          <w:rFonts w:ascii="Times New Roman" w:hAnsi="Times New Roman" w:cs="Times New Roman" w:eastAsia="Times New Roman" w:hint="default"/>
        </w:rPr>
        <w:t>10</w:t>
      </w:r>
      <w:r>
        <w:rPr/>
        <w:t>应收票据及应收账款</w:t>
      </w:r>
      <w:r>
        <w:rPr>
          <w:rFonts w:ascii="Times New Roman" w:hAnsi="Times New Roman" w:cs="Times New Roman" w:eastAsia="Times New Roman" w:hint="default"/>
        </w:rPr>
        <w:t>”</w:t>
      </w:r>
      <w:r>
        <w:rPr/>
        <w:t>。 组合中，采用余额百分比法计提坏账准备的其他应收款：</w:t>
      </w:r>
    </w:p>
    <w:p>
      <w:pPr>
        <w:pStyle w:val="BodyText"/>
        <w:spacing w:line="338" w:lineRule="auto" w:before="36"/>
        <w:ind w:right="2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8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187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1"/>
        <w:jc w:val="left"/>
      </w:pPr>
      <w:r>
        <w:rPr/>
        <w:t>本期计提坏账准备金额</w:t>
      </w:r>
      <w:r>
        <w:rPr>
          <w:spacing w:val="-46"/>
        </w:rPr>
        <w:t> </w:t>
      </w:r>
      <w:r>
        <w:rPr>
          <w:rFonts w:ascii="Times New Roman" w:hAnsi="Times New Roman" w:cs="Times New Roman" w:eastAsia="Times New Roman" w:hint="default"/>
        </w:rPr>
        <w:t>24,639,267.68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875"/>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548" w:space="2281"/>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85,583.28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18"/>
        <w:jc w:val="left"/>
      </w:pPr>
      <w:r>
        <w:rPr>
          <w:rFonts w:ascii="Times New Roman" w:hAnsi="Times New Roman" w:cs="Times New Roman" w:eastAsia="Times New Roman" w:hint="default"/>
        </w:rPr>
        <w:t>4)</w:t>
      </w:r>
      <w:r>
        <w:rPr/>
        <w:t>其他应收款按款项性质分类情况</w:t>
      </w:r>
    </w:p>
    <w:p>
      <w:pPr>
        <w:pStyle w:val="BodyText"/>
        <w:spacing w:line="717" w:lineRule="auto" w:before="49"/>
        <w:ind w:right="1114"/>
        <w:jc w:val="left"/>
      </w:pPr>
      <w:r>
        <w:rPr/>
        <w:br w:type="column"/>
      </w:r>
      <w:r>
        <w:rPr/>
        <w:t>单位：</w:t>
      </w:r>
      <w:r>
        <w:rPr>
          <w:spacing w:val="1"/>
        </w:rPr>
        <w:t> </w:t>
      </w:r>
      <w:r>
        <w:rPr/>
        <w:t>元</w:t>
      </w:r>
      <w:r>
        <w:rPr/>
        <w:t> 单位：</w:t>
      </w:r>
      <w:r>
        <w:rPr>
          <w:spacing w:val="1"/>
        </w:rPr>
        <w:t> </w:t>
      </w:r>
      <w:r>
        <w:rPr/>
        <w:t>元</w:t>
      </w:r>
    </w:p>
    <w:p>
      <w:pPr>
        <w:spacing w:after="0" w:line="717" w:lineRule="auto"/>
        <w:jc w:val="left"/>
        <w:sectPr>
          <w:type w:val="continuous"/>
          <w:pgSz w:w="11910" w:h="16840"/>
          <w:pgMar w:top="1060" w:bottom="1160" w:left="980" w:right="0"/>
          <w:cols w:num="2" w:equalWidth="0">
            <w:col w:w="2825" w:space="6004"/>
            <w:col w:w="210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right="1133"/>
        <w:jc w:val="left"/>
      </w:pPr>
      <w:r>
        <w:rPr/>
        <w:pict>
          <v:shape style="position:absolute;margin-left:56.400002pt;margin-top:-141.518295pt;width:479.3pt;height:141.2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72,393.19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143,876,491.77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198,475,803.29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2,529,955.80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3,122,250.23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161,938.20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204,306.12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938,586.00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9,928,647.00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147,506,971.77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211,803,399.83</w:t>
                        </w:r>
                      </w:p>
                    </w:tc>
                  </w:tr>
                </w:tbl>
                <w:p>
                  <w:pPr/>
                </w:p>
              </w:txbxContent>
            </v:textbox>
            <w10:wrap type="none"/>
          </v:shape>
        </w:pict>
      </w: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1277"/>
        <w:gridCol w:w="2936"/>
        <w:gridCol w:w="1616"/>
        <w:gridCol w:w="1615"/>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33,132,400.00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1,656,620.00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29,457,454.87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1,053,854.87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14,307,185.49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467" w:type="dxa"/>
        <w:tblLayout w:type="fixed"/>
        <w:tblCellMar>
          <w:top w:w="0" w:type="dxa"/>
          <w:left w:w="0" w:type="dxa"/>
          <w:bottom w:w="0" w:type="dxa"/>
          <w:right w:w="0" w:type="dxa"/>
        </w:tblCellMar>
        <w:tblLook w:val="01E0"/>
      </w:tblPr>
      <w:tblGrid>
        <w:gridCol w:w="1136"/>
        <w:gridCol w:w="991"/>
        <w:gridCol w:w="1277"/>
        <w:gridCol w:w="2936"/>
        <w:gridCol w:w="1616"/>
        <w:gridCol w:w="1615"/>
      </w:tblGrid>
      <w:tr>
        <w:trPr>
          <w:trHeight w:val="362"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28,403,600.00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第三名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28,750,000.00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1,050,002.20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27,699,997.80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13,954,999.12</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第四名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5"/>
              <w:jc w:val="righ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19,666,599.51</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247,408.90 </w:t>
            </w: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14,560,590.61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4,858,600.00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3,897,729.51</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第五名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5"/>
              <w:jc w:val="righ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19,581,599.51</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167,408.90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14,560,590.61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4,853,600.00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3,891,229.51</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27"/>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130,588,053.89</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37,707,763.63</w:t>
            </w:r>
          </w:p>
        </w:tc>
      </w:tr>
    </w:tbl>
    <w:p>
      <w:pPr>
        <w:pStyle w:val="BodyText"/>
        <w:spacing w:line="240" w:lineRule="auto" w:before="49"/>
        <w:ind w:left="472" w:right="714"/>
        <w:jc w:val="left"/>
      </w:pPr>
      <w:r>
        <w:rPr>
          <w:rFonts w:ascii="Times New Roman" w:hAnsi="Times New Roman" w:cs="Times New Roman" w:eastAsia="Times New Roman" w:hint="default"/>
        </w:rPr>
        <w:t>6)</w:t>
      </w:r>
      <w:r>
        <w:rPr/>
        <w:t>本期无涉及政府补助的应收款项</w:t>
      </w:r>
    </w:p>
    <w:p>
      <w:pPr>
        <w:pStyle w:val="BodyText"/>
        <w:spacing w:line="240" w:lineRule="auto" w:before="102"/>
        <w:ind w:left="472" w:right="714"/>
        <w:jc w:val="left"/>
      </w:pPr>
      <w:r>
        <w:rPr>
          <w:rFonts w:ascii="Times New Roman" w:hAnsi="Times New Roman" w:cs="Times New Roman" w:eastAsia="Times New Roman" w:hint="default"/>
        </w:rPr>
        <w:t>7)</w:t>
      </w:r>
      <w:r>
        <w:rPr/>
        <w:t>本期无因金融资产转移而终止确认的其他应收款</w:t>
      </w:r>
    </w:p>
    <w:p>
      <w:pPr>
        <w:pStyle w:val="BodyText"/>
        <w:spacing w:line="240" w:lineRule="auto" w:before="103"/>
        <w:ind w:left="472" w:right="714"/>
        <w:jc w:val="left"/>
      </w:pPr>
      <w:r>
        <w:rPr>
          <w:rFonts w:ascii="Times New Roman" w:hAnsi="Times New Roman" w:cs="Times New Roman" w:eastAsia="Times New Roman" w:hint="default"/>
        </w:rPr>
        <w:t>8)</w:t>
      </w:r>
      <w:r>
        <w:rPr/>
        <w:t>本期无转移其他应收款且继续涉入形成的资产、负债金额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left="472" w:right="71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39" w:type="dxa"/>
        <w:tblLayout w:type="fixed"/>
        <w:tblCellMar>
          <w:top w:w="0" w:type="dxa"/>
          <w:left w:w="0" w:type="dxa"/>
          <w:bottom w:w="0" w:type="dxa"/>
          <w:right w:w="0" w:type="dxa"/>
        </w:tblCellMar>
        <w:tblLook w:val="01E0"/>
      </w:tblPr>
      <w:tblGrid>
        <w:gridCol w:w="1858"/>
        <w:gridCol w:w="1301"/>
        <w:gridCol w:w="1301"/>
        <w:gridCol w:w="1304"/>
        <w:gridCol w:w="1301"/>
        <w:gridCol w:w="1304"/>
        <w:gridCol w:w="1301"/>
      </w:tblGrid>
      <w:tr>
        <w:trPr>
          <w:trHeight w:val="206" w:hRule="exact"/>
        </w:trPr>
        <w:tc>
          <w:tcPr>
            <w:tcW w:w="1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06" w:type="dxa"/>
            <w:gridSpan w:val="3"/>
            <w:vMerge/>
            <w:tcBorders>
              <w:left w:val="single" w:sz="4" w:space="0" w:color="000000"/>
              <w:bottom w:val="single" w:sz="4" w:space="0" w:color="000000"/>
              <w:right w:val="single" w:sz="4" w:space="0" w:color="000000"/>
            </w:tcBorders>
            <w:shd w:val="clear" w:color="auto" w:fill="D2D2D2"/>
          </w:tcPr>
          <w:p>
            <w:pPr/>
          </w:p>
        </w:tc>
        <w:tc>
          <w:tcPr>
            <w:tcW w:w="390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58"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533,062,218.86</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533,062,218.86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486,362,718.86</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486,362,718.86</w:t>
            </w:r>
          </w:p>
        </w:tc>
      </w:tr>
      <w:tr>
        <w:trPr>
          <w:trHeight w:val="401"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01" w:type="dxa"/>
            <w:tcBorders>
              <w:top w:val="single" w:sz="4" w:space="0" w:color="000000"/>
              <w:left w:val="single" w:sz="13" w:space="0" w:color="D2D2D2"/>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108,678.37</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108,678.37</w:t>
            </w:r>
          </w:p>
        </w:tc>
      </w:tr>
      <w:tr>
        <w:trPr>
          <w:trHeight w:val="404"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533,062,218.86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533,062,218.86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486,471,397.23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486,471,397.23</w:t>
            </w:r>
          </w:p>
        </w:tc>
      </w:tr>
    </w:tbl>
    <w:p>
      <w:pPr>
        <w:spacing w:line="240" w:lineRule="auto" w:before="8"/>
        <w:rPr>
          <w:rFonts w:ascii="宋体" w:hAnsi="宋体" w:cs="宋体" w:eastAsia="宋体" w:hint="default"/>
          <w:sz w:val="14"/>
          <w:szCs w:val="14"/>
        </w:rPr>
      </w:pPr>
    </w:p>
    <w:p>
      <w:pPr>
        <w:pStyle w:val="Heading3"/>
        <w:spacing w:line="240" w:lineRule="auto" w:before="36"/>
        <w:ind w:left="472" w:right="71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5"/>
        <w:gridCol w:w="1183"/>
        <w:gridCol w:w="1090"/>
        <w:gridCol w:w="1064"/>
        <w:gridCol w:w="1260"/>
        <w:gridCol w:w="1621"/>
        <w:gridCol w:w="1620"/>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4,992,258.86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4,992,258.86</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670,460.00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670,460.00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60" w:right="0"/>
        </w:sectPr>
      </w:pPr>
    </w:p>
    <w:p>
      <w:pPr>
        <w:spacing w:line="240" w:lineRule="auto" w:before="6"/>
        <w:rPr>
          <w:rFonts w:ascii="宋体" w:hAnsi="宋体" w:cs="宋体" w:eastAsia="宋体" w:hint="default"/>
          <w:sz w:val="28"/>
          <w:szCs w:val="28"/>
        </w:rPr>
      </w:pPr>
    </w:p>
    <w:tbl>
      <w:tblPr>
        <w:tblW w:w="0" w:type="auto"/>
        <w:jc w:val="left"/>
        <w:tblInd w:w="287" w:type="dxa"/>
        <w:tblLayout w:type="fixed"/>
        <w:tblCellMar>
          <w:top w:w="0" w:type="dxa"/>
          <w:left w:w="0" w:type="dxa"/>
          <w:bottom w:w="0" w:type="dxa"/>
          <w:right w:w="0" w:type="dxa"/>
        </w:tblCellMar>
        <w:tblLook w:val="01E0"/>
      </w:tblPr>
      <w:tblGrid>
        <w:gridCol w:w="2965"/>
        <w:gridCol w:w="1183"/>
        <w:gridCol w:w="1090"/>
        <w:gridCol w:w="1064"/>
        <w:gridCol w:w="1260"/>
        <w:gridCol w:w="1621"/>
        <w:gridCol w:w="1620"/>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23,349,750.00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25,049,750.00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23,349,750.00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23,349,750.00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486,362,718.86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46,699,500.00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533,062,218.86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8"/>
        <w:rPr>
          <w:rFonts w:ascii="宋体" w:hAnsi="宋体" w:cs="宋体" w:eastAsia="宋体" w:hint="default"/>
          <w:sz w:val="14"/>
          <w:szCs w:val="14"/>
        </w:rPr>
      </w:pPr>
    </w:p>
    <w:p>
      <w:pPr>
        <w:pStyle w:val="Heading3"/>
        <w:spacing w:line="240" w:lineRule="auto" w:before="36"/>
        <w:ind w:left="652" w:right="104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88"/>
        <w:gridCol w:w="866"/>
        <w:gridCol w:w="526"/>
        <w:gridCol w:w="523"/>
        <w:gridCol w:w="1346"/>
        <w:gridCol w:w="795"/>
        <w:gridCol w:w="660"/>
        <w:gridCol w:w="1253"/>
        <w:gridCol w:w="721"/>
        <w:gridCol w:w="372"/>
        <w:gridCol w:w="571"/>
        <w:gridCol w:w="720"/>
      </w:tblGrid>
      <w:tr>
        <w:trPr>
          <w:trHeight w:val="401" w:hRule="exact"/>
        </w:trPr>
        <w:tc>
          <w:tcPr>
            <w:tcW w:w="2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0" w:right="98"/>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6" w:right="8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5" w:hRule="exact"/>
        </w:trPr>
        <w:tc>
          <w:tcPr>
            <w:tcW w:w="2088"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9" w:right="36"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2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2" w:right="77"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7" w:right="8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571"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44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1044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广州青创孵化科技企业孵 化器有限公司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108,678.37</w:t>
            </w:r>
          </w:p>
        </w:tc>
        <w:tc>
          <w:tcPr>
            <w:tcW w:w="5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-108,678.37</w:t>
            </w:r>
          </w:p>
        </w:tc>
        <w:tc>
          <w:tcPr>
            <w:tcW w:w="79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108,678.37</w:t>
            </w:r>
          </w:p>
        </w:tc>
        <w:tc>
          <w:tcPr>
            <w:tcW w:w="5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-108,678.37</w:t>
            </w:r>
          </w:p>
        </w:tc>
        <w:tc>
          <w:tcPr>
            <w:tcW w:w="79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108,678.37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-108,678.37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0.00</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8"/>
        <w:rPr>
          <w:rFonts w:ascii="宋体" w:hAnsi="宋体" w:cs="宋体" w:eastAsia="宋体" w:hint="default"/>
          <w:sz w:val="14"/>
          <w:szCs w:val="14"/>
        </w:rPr>
      </w:pPr>
    </w:p>
    <w:p>
      <w:pPr>
        <w:pStyle w:val="Heading3"/>
        <w:spacing w:line="240" w:lineRule="auto" w:before="36"/>
        <w:ind w:left="652" w:right="104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238,107,964.51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205,024,410.76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415,477,527.25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361,536,839.17</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70,402,649.70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29,054,059.20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100,152,734.33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56,175,182.65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308,510,614.21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234,078,469.96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515,630,261.58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417,712,021.82</w:t>
            </w:r>
          </w:p>
        </w:tc>
      </w:tr>
    </w:tbl>
    <w:p>
      <w:pPr>
        <w:spacing w:line="240" w:lineRule="auto" w:before="8"/>
        <w:rPr>
          <w:rFonts w:ascii="宋体" w:hAnsi="宋体" w:cs="宋体" w:eastAsia="宋体" w:hint="default"/>
          <w:sz w:val="14"/>
          <w:szCs w:val="14"/>
        </w:rPr>
      </w:pPr>
    </w:p>
    <w:p>
      <w:pPr>
        <w:pStyle w:val="Heading3"/>
        <w:spacing w:line="240" w:lineRule="auto" w:before="36"/>
        <w:ind w:left="652" w:right="104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-108,678.37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-291,321.63</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-12,451,674.59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32,522,857.84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1,963,700.00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400,526.03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90,653,347.04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132,632,062.24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4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167"/>
        <w:gridCol w:w="1162"/>
        <w:gridCol w:w="562"/>
      </w:tblGrid>
      <w:tr>
        <w:trPr>
          <w:trHeight w:val="402" w:hRule="exact"/>
        </w:trPr>
        <w:tc>
          <w:tcPr>
            <w:tcW w:w="8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8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1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-9,890,033.63</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计入当期损益的政府补助（与企业业务密切相关，按照国家统一标准定额或定量享受的政府补助除外）</w:t>
            </w:r>
          </w:p>
        </w:tc>
        <w:tc>
          <w:tcPr>
            <w:tcW w:w="11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12,670,184.00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除同公司正常经营业务相关的有效套期保值业务外，持有交易性金融资产、交易性金融负债产生的公允 价值变动损益，以及处置交易性金融资产、交易性金融负债和可供出售金融资产取得的投资收益</w:t>
            </w:r>
          </w:p>
        </w:tc>
        <w:tc>
          <w:tcPr>
            <w:tcW w:w="11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-50,362,184.75</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-7,662,420.28</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-5,114,317.68</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-50,130,136.98</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231"/>
        <w:gridCol w:w="1502"/>
        <w:gridCol w:w="1913"/>
        <w:gridCol w:w="1913"/>
      </w:tblGrid>
      <w:tr>
        <w:trPr>
          <w:trHeight w:val="206" w:hRule="exact"/>
        </w:trPr>
        <w:tc>
          <w:tcPr>
            <w:tcW w:w="4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481"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4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02"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231" w:type="dxa"/>
            <w:vMerge/>
            <w:tcBorders>
              <w:left w:val="single" w:sz="4" w:space="0" w:color="000000"/>
              <w:bottom w:val="nil" w:sz="6" w:space="0" w:color="auto"/>
              <w:right w:val="single" w:sz="4" w:space="0" w:color="000000"/>
            </w:tcBorders>
            <w:shd w:val="clear" w:color="auto" w:fill="D2D2D2"/>
          </w:tcPr>
          <w:p>
            <w:pPr/>
          </w:p>
        </w:tc>
        <w:tc>
          <w:tcPr>
            <w:tcW w:w="1502"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2"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02" w:type="dxa"/>
            <w:tcBorders>
              <w:top w:val="single" w:sz="18" w:space="0" w:color="D2D2D2"/>
              <w:left w:val="single" w:sz="12" w:space="0" w:color="D2D2D2"/>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z w:val="18"/>
              </w:rPr>
              <w:t>-5.77%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-0.1246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-0.0587</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9"/>
        <w:rPr>
          <w:rFonts w:ascii="宋体" w:hAnsi="宋体" w:cs="宋体" w:eastAsia="宋体" w:hint="default"/>
          <w:b/>
          <w:bCs/>
          <w:sz w:val="42"/>
          <w:szCs w:val="42"/>
        </w:rPr>
      </w:pPr>
    </w:p>
    <w:p>
      <w:pPr>
        <w:pStyle w:val="BodyText"/>
        <w:spacing w:line="314" w:lineRule="auto"/>
        <w:ind w:right="3734"/>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2018</w:t>
      </w:r>
      <w:r>
        <w:rPr/>
        <w:t>年年度报告文本。 五、以上备查文件的备置地点：公司证券部、深圳证券交易所。</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1976" type="#_x0000_t75" stroked="false">
          <v:imagedata r:id="rId1" o:title=""/>
        </v:shape>
      </w:pict>
    </w:r>
    <w:r>
      <w:rPr/>
      <w:pict>
        <v:shape style="position:absolute;margin-left:533.099976pt;margin-top:795.613892pt;width:6.5pt;height:11pt;mso-position-horizontal-relative:page;mso-position-vertical-relative:page;z-index:-771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1928" type="#_x0000_t75" stroked="false">
          <v:imagedata r:id="rId1" o:title=""/>
        </v:shape>
      </w:pict>
    </w:r>
    <w:r>
      <w:rPr/>
      <w:pict>
        <v:shape style="position:absolute;margin-left:527.659973pt;margin-top:781.933899pt;width:13.15pt;height:11pt;mso-position-horizontal-relative:page;mso-position-vertical-relative:page;z-index:-771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1880" type="#_x0000_t75" stroked="false">
          <v:imagedata r:id="rId1" o:title=""/>
        </v:shape>
      </w:pict>
    </w:r>
    <w:r>
      <w:rPr/>
      <w:pict>
        <v:shape style="position:absolute;margin-left:524.099976pt;margin-top:781.933899pt;width:15.7pt;height:11pt;mso-position-horizontal-relative:page;mso-position-vertical-relative:page;z-index:-771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1832" type="#_x0000_t75" stroked="false">
          <v:imagedata r:id="rId1" o:title=""/>
        </v:shape>
      </w:pict>
    </w:r>
    <w:r>
      <w:rPr/>
      <w:pict>
        <v:shape style="position:absolute;margin-left:523.099976pt;margin-top:781.933899pt;width:17.7pt;height:11pt;mso-position-horizontal-relative:page;mso-position-vertical-relative:page;z-index:-771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1784" type="#_x0000_t75" stroked="false">
          <v:imagedata r:id="rId1" o:title=""/>
        </v:shape>
      </w:pict>
    </w:r>
    <w:r>
      <w:rPr/>
      <w:pict>
        <v:shape style="position:absolute;margin-left:523.460022pt;margin-top:781.933899pt;width:17.3pt;height:11pt;mso-position-horizontal-relative:page;mso-position-vertical-relative:page;z-index:-771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1736" type="#_x0000_t75" stroked="false">
          <v:imagedata r:id="rId1" o:title=""/>
        </v:shape>
      </w:pict>
    </w:r>
    <w:r>
      <w:rPr/>
      <w:pict>
        <v:shape style="position:absolute;margin-left:523.099976pt;margin-top:781.933899pt;width:17.7pt;height:11pt;mso-position-horizontal-relative:page;mso-position-vertical-relative:page;z-index:-771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772000" type="#_x0000_t202" filled="false" stroked="false">
          <v:textbox inset="0,0,0,0">
            <w:txbxContent>
              <w:p>
                <w:pPr>
                  <w:pStyle w:val="BodyText"/>
                  <w:spacing w:line="214" w:lineRule="exact"/>
                  <w:ind w:left="20" w:right="0"/>
                  <w:jc w:val="left"/>
                </w:pPr>
                <w:r>
                  <w:rPr/>
                  <w:t>广州御银科技股份有限公司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www.kingteller.com.cn/" TargetMode="External"/><Relationship Id="rId11" Type="http://schemas.openxmlformats.org/officeDocument/2006/relationships/hyperlink" Target="mailto:zqb@kingteller.com.cn" TargetMode="External"/><Relationship Id="rId12" Type="http://schemas.openxmlformats.org/officeDocument/2006/relationships/hyperlink" Target="http://www.cninfo.com.cn/" TargetMode="External"/><Relationship Id="rId13" Type="http://schemas.openxmlformats.org/officeDocument/2006/relationships/hyperlink" Target="http://www.cninfo.com.cn&#30340;/" TargetMode="External"/><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广州御银科技股份有限公司</dc:creator>
  <dc:title>广州御银科技股份有限公司2018年年度报告全文</dc:title>
  <dcterms:created xsi:type="dcterms:W3CDTF">2020-05-05T02:56:42Z</dcterms:created>
  <dcterms:modified xsi:type="dcterms:W3CDTF">2020-05-05T02:56:42Z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