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942" w:val="left"/>
        </w:tabs>
        <w:bidi w:val="0"/>
        <w:spacing w:before="0" w:after="1440" w:line="240" w:lineRule="auto"/>
        <w:ind w:left="0" w:right="0" w:firstLine="0"/>
        <w:jc w:val="center"/>
      </w:pPr>
      <w:r>
        <w:rPr>
          <w:b w:val="0"/>
          <w:bCs w:val="0"/>
          <w:color w:val="000000"/>
          <w:spacing w:val="0"/>
          <w:w w:val="100"/>
          <w:position w:val="0"/>
        </w:rPr>
        <w:t>证券代码：</w:t>
      </w:r>
      <w:r>
        <w:rPr>
          <w:rFonts w:ascii="Times New Roman" w:eastAsia="Times New Roman" w:hAnsi="Times New Roman" w:cs="Times New Roman"/>
          <w:b w:val="0"/>
          <w:bCs w:val="0"/>
          <w:color w:val="000000"/>
          <w:spacing w:val="0"/>
          <w:w w:val="100"/>
          <w:position w:val="0"/>
        </w:rPr>
        <w:t>002177</w:t>
        <w:tab/>
      </w:r>
      <w:r>
        <w:rPr>
          <w:b w:val="0"/>
          <w:bCs w:val="0"/>
          <w:color w:val="000000"/>
          <w:spacing w:val="0"/>
          <w:w w:val="100"/>
          <w:position w:val="0"/>
        </w:rPr>
        <w:t>证券简称：御银股份</w:t>
      </w:r>
    </w:p>
    <w:p>
      <w:pPr>
        <w:pStyle w:val="Style10"/>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广州御银科技股份有限公司</w:t>
      </w:r>
    </w:p>
    <w:p>
      <w:pPr>
        <w:pStyle w:val="Style10"/>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2020</w:t>
      </w:r>
      <w:r>
        <w:rPr>
          <w:color w:val="000000"/>
          <w:spacing w:val="0"/>
          <w:w w:val="100"/>
          <w:position w:val="0"/>
        </w:rPr>
        <w:t>年年度报告</w:t>
      </w:r>
    </w:p>
    <w:p>
      <w:pPr>
        <w:widowControl w:val="0"/>
        <w:jc w:val="center"/>
        <w:rPr>
          <w:sz w:val="2"/>
          <w:szCs w:val="2"/>
        </w:rPr>
      </w:pPr>
      <w:r>
        <w:drawing>
          <wp:inline>
            <wp:extent cx="1694815" cy="104838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94815" cy="1048385"/>
                    </a:xfrm>
                    <a:prstGeom prst="rect"/>
                  </pic:spPr>
                </pic:pic>
              </a:graphicData>
            </a:graphic>
          </wp:inline>
        </w:drawing>
      </w:r>
    </w:p>
    <w:p>
      <w:pPr>
        <w:widowControl w:val="0"/>
        <w:spacing w:after="5979" w:line="1" w:lineRule="exact"/>
      </w:pP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2"/>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
        <w:keepNext w:val="0"/>
        <w:keepLines w:val="0"/>
        <w:widowControl w:val="0"/>
        <w:shd w:val="clear" w:color="auto" w:fill="auto"/>
        <w:bidi w:val="0"/>
        <w:spacing w:before="0" w:line="590" w:lineRule="exact"/>
        <w:ind w:left="0" w:right="0"/>
        <w:jc w:val="both"/>
      </w:pPr>
      <w:r>
        <w:rPr>
          <w:color w:val="000000"/>
          <w:spacing w:val="0"/>
          <w:w w:val="100"/>
          <w:position w:val="0"/>
        </w:rPr>
        <w:t>公司负责人谭骅、主管会计工作负责人陈国军及会计机构负责人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陈国军声明：保证本年度报告中财务报告的真实、准确、完整。</w:t>
      </w:r>
    </w:p>
    <w:p>
      <w:pPr>
        <w:pStyle w:val="Style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line="619" w:lineRule="exact"/>
        <w:ind w:left="0" w:right="0"/>
        <w:jc w:val="both"/>
      </w:pPr>
      <w:r>
        <w:rPr>
          <w:color w:val="000000"/>
          <w:spacing w:val="0"/>
          <w:w w:val="100"/>
          <w:position w:val="0"/>
        </w:rPr>
        <w:t>年度报告涉及未来计划等前瞻性陈述，只是公司生产经营计划的预测，不 构成公司对投资者的实质性承诺，投资者及相关人士均应当对此保持足够的风 险意识，并且应当理解计划、预测与承诺之间的差异。</w:t>
      </w:r>
    </w:p>
    <w:p>
      <w:pPr>
        <w:pStyle w:val="Style2"/>
        <w:keepNext w:val="0"/>
        <w:keepLines w:val="0"/>
        <w:widowControl w:val="0"/>
        <w:shd w:val="clear" w:color="auto" w:fill="auto"/>
        <w:bidi w:val="0"/>
        <w:spacing w:before="0" w:line="631" w:lineRule="exact"/>
        <w:ind w:left="0" w:right="0"/>
        <w:jc w:val="both"/>
      </w:pPr>
      <w:r>
        <w:rPr>
          <w:color w:val="000000"/>
          <w:spacing w:val="0"/>
          <w:w w:val="100"/>
          <w:position w:val="0"/>
        </w:rPr>
        <w:t>公司已在本报告中详细描述存在的行业风险、市场风险等，敬请投资者予 以关注，详见本年度报告</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中有关公司面临风险的 描述。</w:t>
      </w:r>
    </w:p>
    <w:p>
      <w:pPr>
        <w:pStyle w:val="Style2"/>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681" w:right="987" w:bottom="3164" w:left="1107"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 股本</w:t>
      </w:r>
      <w:r>
        <w:rPr>
          <w:rFonts w:ascii="Times New Roman" w:eastAsia="Times New Roman" w:hAnsi="Times New Roman" w:cs="Times New Roman"/>
          <w:color w:val="000000"/>
          <w:spacing w:val="0"/>
          <w:w w:val="100"/>
          <w:position w:val="0"/>
        </w:rPr>
        <w:t>761,191,294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 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19"/>
        <w:keepNext w:val="0"/>
        <w:keepLines w:val="0"/>
        <w:widowControl w:val="0"/>
        <w:shd w:val="clear" w:color="auto" w:fill="auto"/>
        <w:bidi w:val="0"/>
        <w:spacing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5" w:val="right"/>
        </w:tabs>
        <w:bidi w:val="0"/>
        <w:spacing w:before="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 xml:space="preserve">\1 - </w:t>
      </w:r>
      <w:r>
        <w:rPr>
          <w:rFonts w:ascii="Times New Roman" w:eastAsia="Times New Roman" w:hAnsi="Times New Roman" w:cs="Times New Roman"/>
          <w:b w:val="0"/>
          <w:bCs w:val="0"/>
          <w:color w:val="000000"/>
          <w:spacing w:val="0"/>
          <w:w w:val="100"/>
          <w:position w:val="0"/>
          <w:sz w:val="18"/>
          <w:szCs w:val="18"/>
        </w:rPr>
        <w:t xml:space="preserve">_Toc300000084 </w:t>
      </w:r>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53"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84"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33</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26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43</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3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496"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500"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555"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643"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647"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5" w:val="right"/>
        </w:tabs>
        <w:bidi w:val="0"/>
        <w:spacing w:before="0" w:line="240" w:lineRule="auto"/>
        <w:ind w:left="0" w:right="0" w:firstLine="0"/>
        <w:jc w:val="both"/>
      </w:pPr>
      <w:hyperlink w:anchor="bookmark1835"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r>
        <w:br w:type="page"/>
      </w:r>
      <w:r>
        <w:fldChar w:fldCharType="end"/>
      </w:r>
    </w:p>
    <w:p>
      <w:pPr>
        <w:pStyle w:val="Style25"/>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广州御银科技股份有限公司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御银有限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广州御银科技有限公司，公司改组为股份有限公司前的主体</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中华人民共和国法定货币人民币元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广州御新软件有限公司，公司下属全资子公司，持有其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自动柜员机技术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广州御银自动柜员机技术有限公司，公司下属全资子公司，通过广州 御新持有其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安徽御银电子科技有限公司，公司下属全资子公司，持有其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权，公司于第五届董事会第十二次会议审议通过拟将其注销</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御银智能科技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广州御银智能科技有限公司，原广州御银金融服务有限公司，公司下 属全资子公司，直接持有其</w:t>
            </w:r>
            <w:r>
              <w:rPr>
                <w:color w:val="000000"/>
                <w:spacing w:val="0"/>
                <w:w w:val="100"/>
                <w:position w:val="0"/>
              </w:rPr>
              <w:t>80%</w:t>
            </w:r>
            <w:r>
              <w:rPr>
                <w:rFonts w:ascii="SimSun" w:eastAsia="SimSun" w:hAnsi="SimSun" w:cs="SimSun"/>
                <w:color w:val="000000"/>
                <w:spacing w:val="0"/>
                <w:w w:val="100"/>
                <w:position w:val="0"/>
              </w:rPr>
              <w:t>股权,通过广州御新持有其</w:t>
            </w:r>
            <w:r>
              <w:rPr>
                <w:color w:val="000000"/>
                <w:spacing w:val="0"/>
                <w:w w:val="100"/>
                <w:position w:val="0"/>
              </w:rPr>
              <w:t>20%</w:t>
            </w:r>
            <w:r>
              <w:rPr>
                <w:rFonts w:ascii="SimSun" w:eastAsia="SimSun" w:hAnsi="SimSun" w:cs="SimSun"/>
                <w:color w:val="000000"/>
                <w:spacing w:val="0"/>
                <w:w w:val="100"/>
                <w:position w:val="0"/>
              </w:rPr>
              <w:t>股权， 公司合共持有其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御银国际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御银（中国）科技国际有限公司，公司下属全资子公司，持有其</w:t>
            </w:r>
            <w:r>
              <w:rPr>
                <w:color w:val="000000"/>
                <w:spacing w:val="0"/>
                <w:w w:val="100"/>
                <w:position w:val="0"/>
              </w:rPr>
              <w:t xml:space="preserve">100% </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自动柜员机科技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广州御银自动柜员机科技有限公司，公司下属全资子公司，持有其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w:t>
            </w:r>
            <w:r>
              <w:rPr>
                <w:rFonts w:ascii="SimSun" w:eastAsia="SimSun" w:hAnsi="SimSun" w:cs="SimSun"/>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御银香港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御银科技（香港）有限公司，公司下属全资子公司，通过御银国际持 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上海博科资讯股份有限公司，参股公司，公司通过广州御新持有其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1.4091% </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广州御银信息科技有限公司，公司下属全资子公司，持有其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前海股交投资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前海股交投资控股（深圳）有限公司，参股公司，持有其</w:t>
            </w:r>
            <w:r>
              <w:rPr>
                <w:color w:val="000000"/>
                <w:spacing w:val="0"/>
                <w:w w:val="100"/>
                <w:position w:val="0"/>
              </w:rPr>
              <w:t>7.64%</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佛山海晟金融租赁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佛山海晟金融租赁股份有限公司，参股公司，持有其</w:t>
            </w:r>
            <w:r>
              <w:rPr>
                <w:color w:val="000000"/>
                <w:spacing w:val="0"/>
                <w:w w:val="100"/>
                <w:position w:val="0"/>
              </w:rPr>
              <w:t>9.00%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御新智合</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北京御新智合科技有限公司，公司下属全资子公司，持有其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御新赢创</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北京御新赢创科技有限公司，公司下属全资子公司，持有其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北京御新科技有限公司，公司下属全资子公司，持有其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小炬人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广东小炬人创业园有限公司，公司下属全资子公司，持有其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天成智合</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北京天成智合科技有限公司，公司下属全资子公司，持有其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同位素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广州同位素智能科技有限公司，公司下属全资子公司，直接持有其</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82.33%</w:t>
            </w:r>
            <w:r>
              <w:rPr>
                <w:rFonts w:ascii="SimSun" w:eastAsia="SimSun" w:hAnsi="SimSun" w:cs="SimSun"/>
                <w:color w:val="000000"/>
                <w:spacing w:val="0"/>
                <w:w w:val="100"/>
                <w:position w:val="0"/>
              </w:rPr>
              <w:t>股权，通过小炬人持有其</w:t>
            </w:r>
            <w:r>
              <w:rPr>
                <w:color w:val="000000"/>
                <w:spacing w:val="0"/>
                <w:w w:val="100"/>
                <w:position w:val="0"/>
              </w:rPr>
              <w:t>17.67%</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广州御银金融电子设备有限公司，公司下属全资子公司，通过自动柜 员机科技持有其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十方软件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广州十方软件科技有限公司，公司下属全资子公司，持有其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御联软件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广州御联软件有限公司，公司下属全资子公司，持有其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御商信息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广州御商信息科技有限公司，公司下属全资子公司，持有其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花都村镇银行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广州花都稠州村镇银行股份有限公司，参股公司，持有其</w:t>
            </w:r>
            <w:r>
              <w:rPr>
                <w:color w:val="000000"/>
                <w:spacing w:val="0"/>
                <w:w w:val="100"/>
                <w:position w:val="0"/>
              </w:rPr>
              <w:t>10%</w:t>
            </w:r>
            <w:r>
              <w:rPr>
                <w:rFonts w:ascii="SimSun" w:eastAsia="SimSun" w:hAnsi="SimSun" w:cs="SimSun"/>
                <w:color w:val="000000"/>
                <w:spacing w:val="0"/>
                <w:w w:val="100"/>
                <w:position w:val="0"/>
              </w:rPr>
              <w:t>股权； 公司于第六届董事会第四次会议审议通过转让其持有的全部股权，目 前相关事项尚在有关监管部门审批中</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御泰信息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广州御泰信息科技有限公司，公司下属全资子公司，持有其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 权</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广粤科技</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北京广粤科技有限公司，公司下属全资子公司，通过收购持有其</w:t>
            </w:r>
            <w:r>
              <w:rPr>
                <w:color w:val="000000"/>
                <w:spacing w:val="0"/>
                <w:w w:val="100"/>
                <w:position w:val="0"/>
              </w:rPr>
              <w:t xml:space="preserve">100% </w:t>
            </w:r>
            <w:r>
              <w:rPr>
                <w:rFonts w:ascii="SimSun" w:eastAsia="SimSun" w:hAnsi="SimSun" w:cs="SimSun"/>
                <w:color w:val="000000"/>
                <w:spacing w:val="0"/>
                <w:w w:val="100"/>
                <w:position w:val="0"/>
              </w:rPr>
              <w:t>股权</w:t>
            </w:r>
          </w:p>
        </w:tc>
      </w:tr>
    </w:tbl>
    <w:p>
      <w:pPr>
        <w:sectPr>
          <w:footnotePr>
            <w:pos w:val="pageBottom"/>
            <w:numFmt w:val="decimal"/>
            <w:numRestart w:val="continuous"/>
          </w:footnotePr>
          <w:pgSz w:w="11900" w:h="16840"/>
          <w:pgMar w:top="1441" w:right="1137" w:bottom="1451" w:left="1086" w:header="0" w:footer="3" w:gutter="0"/>
          <w:cols w:space="720"/>
          <w:noEndnote/>
          <w:rtlGutter w:val="0"/>
          <w:docGrid w:linePitch="360"/>
        </w:sectPr>
      </w:pPr>
    </w:p>
    <w:p>
      <w:pPr>
        <w:pStyle w:val="Style16"/>
        <w:keepNext/>
        <w:keepLines/>
        <w:widowControl w:val="0"/>
        <w:shd w:val="clear" w:color="auto" w:fill="auto"/>
        <w:bidi w:val="0"/>
        <w:spacing w:after="560" w:line="240" w:lineRule="auto"/>
        <w:ind w:left="0" w:right="0" w:firstLine="0"/>
        <w:jc w:val="center"/>
      </w:pPr>
      <w:bookmarkStart w:id="4" w:name="bookmark4"/>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bookmarkEnd w:id="4"/>
    </w:p>
    <w:p>
      <w:pPr>
        <w:pStyle w:val="Style30"/>
        <w:keepNext/>
        <w:keepLines/>
        <w:widowControl w:val="0"/>
        <w:shd w:val="clear" w:color="auto" w:fill="auto"/>
        <w:bidi w:val="0"/>
        <w:spacing w:before="0" w:after="32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御银股份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广州御银科技股份有限公司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御银股份</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Guangzhou Kingteller Technology Co.,Ltd.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KINGTELLER</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202</w:t>
            </w:r>
            <w:r>
              <w:rPr>
                <w:rFonts w:ascii="SimSun" w:eastAsia="SimSun" w:hAnsi="SimSun" w:cs="SimSun"/>
                <w:color w:val="000000"/>
                <w:spacing w:val="0"/>
                <w:w w:val="100"/>
                <w:position w:val="0"/>
              </w:rPr>
              <w:t>房</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广东省广州市高新技术产业开发区瑞发路</w:t>
            </w:r>
            <w:r>
              <w:rPr>
                <w:color w:val="000000"/>
                <w:spacing w:val="0"/>
                <w:w w:val="100"/>
                <w:position w:val="0"/>
              </w:rPr>
              <w:t>12</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510530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"http://www.kingteller.com.cn" </w:instrText>
            </w:r>
            <w:r>
              <w:fldChar w:fldCharType="separate"/>
            </w:r>
            <w:r>
              <w:rPr>
                <w:color w:val="000000"/>
                <w:spacing w:val="0"/>
                <w:w w:val="100"/>
                <w:position w:val="0"/>
              </w:rPr>
              <w:t>http://www.kingteller.com.cn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广东省广州市高新技术产业开发区瑞发 路</w:t>
            </w:r>
            <w:r>
              <w:rPr>
                <w:color w:val="000000"/>
                <w:spacing w:val="0"/>
                <w:w w:val="100"/>
                <w:position w:val="0"/>
              </w:rPr>
              <w:t>12</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com.cn</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9144010172680151XE</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张宁、漆江燕</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公司是否需追溯调整或重述以前年度会计数据</w:t>
      </w:r>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追溯调整或重述原因</w:t>
      </w:r>
    </w:p>
    <w:p>
      <w:pPr>
        <w:pStyle w:val="Style3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同一控制下企业合并</w:t>
      </w:r>
    </w:p>
    <w:tbl>
      <w:tblPr>
        <w:tblOverlap w:val="never"/>
        <w:jc w:val="center"/>
        <w:tblLayout w:type="fixed"/>
      </w:tblPr>
      <w:tblGrid>
        <w:gridCol w:w="2366"/>
        <w:gridCol w:w="1200"/>
        <w:gridCol w:w="1200"/>
        <w:gridCol w:w="1200"/>
        <w:gridCol w:w="1205"/>
        <w:gridCol w:w="1200"/>
        <w:gridCol w:w="1205"/>
      </w:tblGrid>
      <w:tr>
        <w:trPr>
          <w:trHeight w:val="72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本年比上年增 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2018 </w:t>
            </w:r>
            <w:r>
              <w:rPr>
                <w:rFonts w:ascii="SimSun" w:eastAsia="SimSun" w:hAnsi="SimSun" w:cs="SimSun"/>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调整后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182,349,931.14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213,971,979.32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214,061,979.32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394,213,945.82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394,213,945.82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归属于上市公司股东的净利 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71,756,896.38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67,277,711.54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65,651,712.07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-94,817,582.68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-94,817,582.68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 非经常性损益的净利润（元）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21,744,050.71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-24,653,800.90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-26,279,800.37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-44,687,445.70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-44,687,445.70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58,629,917.61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95,918,976.65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102,388,470.94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109,976,975.80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109,976,975.80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0.0943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w:t>
            </w:r>
          </w:p>
        </w:tc>
      </w:tr>
      <w:tr>
        <w:trPr>
          <w:trHeight w:val="71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年末</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本年末比上年 末增减</w:t>
            </w:r>
          </w:p>
        </w:tc>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年末</w:t>
            </w:r>
          </w:p>
        </w:tc>
      </w:tr>
    </w:tbl>
    <w:tbl>
      <w:tblPr>
        <w:tblOverlap w:val="never"/>
        <w:jc w:val="center"/>
        <w:tblLayout w:type="fixed"/>
      </w:tblPr>
      <w:tblGrid>
        <w:gridCol w:w="2366"/>
        <w:gridCol w:w="1200"/>
        <w:gridCol w:w="1200"/>
        <w:gridCol w:w="1200"/>
        <w:gridCol w:w="1205"/>
        <w:gridCol w:w="1200"/>
        <w:gridCol w:w="12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调整后</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1,780,200,827.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1,758,222,938.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1,776,966,697.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1,754,070,887.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1,754,070,887.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36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1,705,140,160.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1,637,254,324.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1,634,508,081.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1,584,364,353.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1,584,364,353.</w:t>
            </w:r>
          </w:p>
        </w:tc>
      </w:tr>
      <w:tr>
        <w:trPr>
          <w:trHeight w:val="350" w:hRule="exact"/>
        </w:trPr>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产（元）</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r>
    </w:tbl>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8"/>
        <w:keepNext/>
        <w:keepLines/>
        <w:widowControl w:val="0"/>
        <w:shd w:val="clear" w:color="auto" w:fill="auto"/>
        <w:tabs>
          <w:tab w:pos="410"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8"/>
        <w:keepNext/>
        <w:keepLines/>
        <w:widowControl w:val="0"/>
        <w:shd w:val="clear" w:color="auto" w:fill="auto"/>
        <w:tabs>
          <w:tab w:pos="410"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6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48,280,093.39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62,276,696.69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24,267,281.74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47,525,859.32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-46,758,631.34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72,676,065.81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41,945,830.06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3,893,631.85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17,908,687.13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13,844,739.93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-12,523,720.07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2,514,343.72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-7,699,673.22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27,024,727.00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pPr>
            <w:r>
              <w:rPr>
                <w:color w:val="000000"/>
                <w:spacing w:val="0"/>
                <w:w w:val="100"/>
                <w:position w:val="0"/>
              </w:rPr>
              <w:t>-4,149,084.89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43,453,948.72</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36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2018</w:t>
            </w:r>
            <w:r>
              <w:rPr>
                <w:rFonts w:ascii="SimSun" w:eastAsia="SimSun" w:hAnsi="SimSun" w:cs="SimSun"/>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270,657.33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-4,765,903.19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-9,890,033.63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1,082,783.18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4,701,651.36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12,670,184.00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-1,269,015.62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55,910,709.61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93,433,371.27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-50,362,184.75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-1,313,198.61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-503,279.38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-7,662,420.28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4,669,090.22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934,327.62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-5,114,317.68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50,012,845.67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91,931,512.44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-50,130,136.98</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60"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line="240" w:lineRule="auto"/>
        <w:ind w:left="0" w:right="0" w:firstLine="0"/>
        <w:jc w:val="center"/>
      </w:pPr>
      <w:bookmarkStart w:id="51" w:name="bookmark51"/>
      <w:bookmarkStart w:id="52" w:name="bookmark52"/>
      <w:bookmarkStart w:id="53" w:name="bookmark53"/>
      <w:bookmarkStart w:id="54" w:name="bookmark54"/>
      <w:r>
        <w:rPr>
          <w:color w:val="000000"/>
          <w:spacing w:val="0"/>
          <w:w w:val="100"/>
          <w:position w:val="0"/>
        </w:rPr>
        <w:t>第三节公司业务概要</w:t>
      </w:r>
      <w:bookmarkEnd w:id="52"/>
      <w:bookmarkEnd w:id="53"/>
      <w:bookmarkEnd w:id="54"/>
      <w:bookmarkEnd w:id="51"/>
    </w:p>
    <w:p>
      <w:pPr>
        <w:pStyle w:val="Style30"/>
        <w:keepNext/>
        <w:keepLines/>
        <w:widowControl w:val="0"/>
        <w:shd w:val="clear" w:color="auto" w:fill="auto"/>
        <w:tabs>
          <w:tab w:pos="568" w:val="left"/>
        </w:tabs>
        <w:bidi w:val="0"/>
        <w:spacing w:before="0" w:after="260" w:line="240" w:lineRule="auto"/>
        <w:ind w:left="0" w:right="0" w:firstLine="0"/>
        <w:jc w:val="both"/>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w:t>
        <w:tab/>
        <w:t>报告期内公司从事的主要业务</w:t>
      </w:r>
      <w:bookmarkEnd w:id="55"/>
      <w:bookmarkEnd w:id="56"/>
      <w:bookmarkEnd w:id="58"/>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公司专注于金融科技领域解决方案的提供，从率先开展智能金融设备的自主研发，历经多年努力和持续发展，走在金融 自助设备行业的前沿，作为行业领先的智能化金融设备提供商，坚持以客户为中心，为银行业提供智能化及多场景化的解决 方案。通过持续的科技创新，加强研发投入，增强科研实力和产品竞争力，成为智能化综合服务解决方案提供商。</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主要产品为</w:t>
      </w:r>
      <w:r>
        <w:rPr>
          <w:rFonts w:ascii="Times New Roman" w:eastAsia="Times New Roman" w:hAnsi="Times New Roman" w:cs="Times New Roman"/>
          <w:color w:val="000000"/>
          <w:spacing w:val="0"/>
          <w:w w:val="100"/>
          <w:position w:val="0"/>
        </w:rPr>
        <w:t>ATM</w:t>
      </w:r>
      <w:r>
        <w:rPr>
          <w:color w:val="000000"/>
          <w:spacing w:val="0"/>
          <w:w w:val="100"/>
          <w:position w:val="0"/>
        </w:rPr>
        <w:t>自助设备，供银行类金融机构用于为其客户提供自助式金融服务，主营业务由</w:t>
      </w:r>
      <w:r>
        <w:rPr>
          <w:rFonts w:ascii="Times New Roman" w:eastAsia="Times New Roman" w:hAnsi="Times New Roman" w:cs="Times New Roman"/>
          <w:color w:val="000000"/>
          <w:spacing w:val="0"/>
          <w:w w:val="100"/>
          <w:position w:val="0"/>
        </w:rPr>
        <w:t>ATM</w:t>
      </w:r>
      <w:r>
        <w:rPr>
          <w:color w:val="000000"/>
          <w:spacing w:val="0"/>
          <w:w w:val="100"/>
          <w:position w:val="0"/>
        </w:rPr>
        <w:t>产品销售、</w:t>
      </w:r>
      <w:r>
        <w:rPr>
          <w:rFonts w:ascii="Times New Roman" w:eastAsia="Times New Roman" w:hAnsi="Times New Roman" w:cs="Times New Roman"/>
          <w:color w:val="000000"/>
          <w:spacing w:val="0"/>
          <w:w w:val="100"/>
          <w:position w:val="0"/>
        </w:rPr>
        <w:t>ATM</w:t>
      </w:r>
      <w:r>
        <w:rPr>
          <w:color w:val="000000"/>
          <w:spacing w:val="0"/>
          <w:w w:val="100"/>
          <w:position w:val="0"/>
        </w:rPr>
        <w:t>运 营服务和</w:t>
      </w:r>
      <w:r>
        <w:rPr>
          <w:rFonts w:ascii="Times New Roman" w:eastAsia="Times New Roman" w:hAnsi="Times New Roman" w:cs="Times New Roman"/>
          <w:color w:val="000000"/>
          <w:spacing w:val="0"/>
          <w:w w:val="100"/>
          <w:position w:val="0"/>
        </w:rPr>
        <w:t>ATM</w:t>
      </w:r>
      <w:r>
        <w:rPr>
          <w:color w:val="000000"/>
          <w:spacing w:val="0"/>
          <w:w w:val="100"/>
          <w:position w:val="0"/>
        </w:rPr>
        <w:t>技术服务等组成；另自持的御银科技园区和下属子公司部分闲置物业对外出租的租赁业务。</w:t>
      </w:r>
    </w:p>
    <w:p>
      <w:pPr>
        <w:pStyle w:val="Style34"/>
        <w:keepNext w:val="0"/>
        <w:keepLines w:val="0"/>
        <w:widowControl w:val="0"/>
        <w:shd w:val="clear" w:color="auto" w:fill="auto"/>
        <w:tabs>
          <w:tab w:pos="704" w:val="left"/>
        </w:tabs>
        <w:bidi w:val="0"/>
        <w:spacing w:before="0" w:after="0" w:line="312" w:lineRule="exact"/>
        <w:ind w:left="0" w:right="0" w:firstLine="360"/>
        <w:jc w:val="both"/>
      </w:pPr>
      <w:bookmarkStart w:id="59" w:name="bookmark59"/>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金融自助设备及相关系统软件的研发、制造、销售，公司主要产品为</w:t>
      </w:r>
      <w:r>
        <w:rPr>
          <w:rFonts w:ascii="Times New Roman" w:eastAsia="Times New Roman" w:hAnsi="Times New Roman" w:cs="Times New Roman"/>
          <w:color w:val="000000"/>
          <w:spacing w:val="0"/>
          <w:w w:val="100"/>
          <w:position w:val="0"/>
        </w:rPr>
        <w:t>KmgTeller</w:t>
      </w:r>
      <w:r>
        <w:rPr>
          <w:color w:val="000000"/>
          <w:spacing w:val="0"/>
          <w:w w:val="100"/>
          <w:position w:val="0"/>
        </w:rPr>
        <w:t>系列金融自助设备，包括但不限于单 取款、存取款一体机、</w:t>
      </w:r>
      <w:r>
        <w:rPr>
          <w:rFonts w:ascii="Times New Roman" w:eastAsia="Times New Roman" w:hAnsi="Times New Roman" w:cs="Times New Roman"/>
          <w:color w:val="000000"/>
          <w:spacing w:val="0"/>
          <w:w w:val="100"/>
          <w:position w:val="0"/>
        </w:rPr>
        <w:t>VTM</w:t>
      </w:r>
      <w:r>
        <w:rPr>
          <w:color w:val="000000"/>
          <w:spacing w:val="0"/>
          <w:w w:val="100"/>
          <w:position w:val="0"/>
        </w:rPr>
        <w:t>、</w:t>
      </w:r>
      <w:r>
        <w:rPr>
          <w:rFonts w:ascii="Times New Roman" w:eastAsia="Times New Roman" w:hAnsi="Times New Roman" w:cs="Times New Roman"/>
          <w:color w:val="000000"/>
          <w:spacing w:val="0"/>
          <w:w w:val="100"/>
          <w:position w:val="0"/>
        </w:rPr>
        <w:t>STM</w:t>
      </w:r>
      <w:r>
        <w:rPr>
          <w:color w:val="000000"/>
          <w:spacing w:val="0"/>
          <w:w w:val="100"/>
          <w:position w:val="0"/>
        </w:rPr>
        <w:t>、</w:t>
      </w:r>
      <w:r>
        <w:rPr>
          <w:color w:val="000000"/>
          <w:spacing w:val="0"/>
          <w:w w:val="100"/>
          <w:position w:val="0"/>
        </w:rPr>
        <w:t>高速大容量存取款机、智能现金出纳机、清分机等；</w:t>
      </w:r>
    </w:p>
    <w:p>
      <w:pPr>
        <w:pStyle w:val="Style34"/>
        <w:keepNext w:val="0"/>
        <w:keepLines w:val="0"/>
        <w:widowControl w:val="0"/>
        <w:shd w:val="clear" w:color="auto" w:fill="auto"/>
        <w:tabs>
          <w:tab w:pos="704" w:val="left"/>
        </w:tabs>
        <w:bidi w:val="0"/>
        <w:spacing w:before="0" w:after="0" w:line="312" w:lineRule="exact"/>
        <w:ind w:left="0" w:right="0" w:firstLine="360"/>
        <w:jc w:val="both"/>
      </w:pPr>
      <w:bookmarkStart w:id="60" w:name="bookmark60"/>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为银行类金融机构提供</w:t>
      </w:r>
      <w:r>
        <w:rPr>
          <w:rFonts w:ascii="Times New Roman" w:eastAsia="Times New Roman" w:hAnsi="Times New Roman" w:cs="Times New Roman"/>
          <w:color w:val="000000"/>
          <w:spacing w:val="0"/>
          <w:w w:val="100"/>
          <w:position w:val="0"/>
        </w:rPr>
        <w:t>ATM</w:t>
      </w:r>
      <w:r>
        <w:rPr>
          <w:color w:val="000000"/>
          <w:spacing w:val="0"/>
          <w:w w:val="100"/>
          <w:position w:val="0"/>
        </w:rPr>
        <w:t>运营服务，即公司与银行类金融机构合作建设</w:t>
      </w:r>
      <w:r>
        <w:rPr>
          <w:rFonts w:ascii="Times New Roman" w:eastAsia="Times New Roman" w:hAnsi="Times New Roman" w:cs="Times New Roman"/>
          <w:color w:val="000000"/>
          <w:spacing w:val="0"/>
          <w:w w:val="100"/>
          <w:position w:val="0"/>
        </w:rPr>
        <w:t>ATM</w:t>
      </w:r>
      <w:r>
        <w:rPr>
          <w:color w:val="000000"/>
          <w:spacing w:val="0"/>
          <w:w w:val="100"/>
          <w:position w:val="0"/>
        </w:rPr>
        <w:t>终端，公司负责提供</w:t>
      </w:r>
      <w:r>
        <w:rPr>
          <w:rFonts w:ascii="Times New Roman" w:eastAsia="Times New Roman" w:hAnsi="Times New Roman" w:cs="Times New Roman"/>
          <w:color w:val="000000"/>
          <w:spacing w:val="0"/>
          <w:w w:val="100"/>
          <w:position w:val="0"/>
        </w:rPr>
        <w:t>ATM</w:t>
      </w:r>
      <w:r>
        <w:rPr>
          <w:color w:val="000000"/>
          <w:spacing w:val="0"/>
          <w:w w:val="100"/>
          <w:position w:val="0"/>
        </w:rPr>
        <w:t>设备、网 点选址、设备维护、技术支持等服务，银行类金融机构负责将</w:t>
      </w:r>
      <w:r>
        <w:rPr>
          <w:rFonts w:ascii="Times New Roman" w:eastAsia="Times New Roman" w:hAnsi="Times New Roman" w:cs="Times New Roman"/>
          <w:color w:val="000000"/>
          <w:spacing w:val="0"/>
          <w:w w:val="100"/>
          <w:position w:val="0"/>
        </w:rPr>
        <w:t>ATM</w:t>
      </w:r>
      <w:r>
        <w:rPr>
          <w:color w:val="000000"/>
          <w:spacing w:val="0"/>
          <w:w w:val="100"/>
          <w:position w:val="0"/>
        </w:rPr>
        <w:t>网点向中国银监会或其授权机构报备、提供加钞和清算 等，合作银行在收取跨行交易的代理手续费后，按照合作协议约定的比例将公司应收取的服务费支付给公司，公司的运营服 务根据合作条件、收款方式、收入确认等方面的差异可分为</w:t>
      </w:r>
      <w:r>
        <w:rPr>
          <w:rFonts w:ascii="Times New Roman" w:eastAsia="Times New Roman" w:hAnsi="Times New Roman" w:cs="Times New Roman"/>
          <w:color w:val="000000"/>
          <w:spacing w:val="0"/>
          <w:w w:val="100"/>
          <w:position w:val="0"/>
        </w:rPr>
        <w:t>ATM</w:t>
      </w:r>
      <w:r>
        <w:rPr>
          <w:color w:val="000000"/>
          <w:spacing w:val="0"/>
          <w:w w:val="100"/>
          <w:position w:val="0"/>
        </w:rPr>
        <w:t>合作运营服务和</w:t>
      </w:r>
      <w:r>
        <w:rPr>
          <w:rFonts w:ascii="Times New Roman" w:eastAsia="Times New Roman" w:hAnsi="Times New Roman" w:cs="Times New Roman"/>
          <w:color w:val="000000"/>
          <w:spacing w:val="0"/>
          <w:w w:val="100"/>
          <w:position w:val="0"/>
        </w:rPr>
        <w:t>ATM</w:t>
      </w:r>
      <w:r>
        <w:rPr>
          <w:color w:val="000000"/>
          <w:spacing w:val="0"/>
          <w:w w:val="100"/>
          <w:position w:val="0"/>
        </w:rPr>
        <w:t>融资租赁两种模式；</w:t>
      </w:r>
    </w:p>
    <w:p>
      <w:pPr>
        <w:pStyle w:val="Style34"/>
        <w:keepNext w:val="0"/>
        <w:keepLines w:val="0"/>
        <w:widowControl w:val="0"/>
        <w:shd w:val="clear" w:color="auto" w:fill="auto"/>
        <w:tabs>
          <w:tab w:pos="714" w:val="left"/>
        </w:tabs>
        <w:bidi w:val="0"/>
        <w:spacing w:before="0" w:after="40" w:line="312" w:lineRule="exact"/>
        <w:ind w:left="0" w:right="0" w:firstLine="360"/>
        <w:jc w:val="both"/>
      </w:pPr>
      <w:bookmarkStart w:id="61" w:name="bookmark61"/>
      <w:r>
        <w:rPr>
          <w:rFonts w:ascii="Times New Roman" w:eastAsia="Times New Roman" w:hAnsi="Times New Roman" w:cs="Times New Roman"/>
          <w:color w:val="000000"/>
          <w:spacing w:val="0"/>
          <w:w w:val="100"/>
          <w:position w:val="0"/>
        </w:rPr>
        <w:t>3</w:t>
      </w:r>
      <w:bookmarkEnd w:id="61"/>
      <w:r>
        <w:rPr>
          <w:color w:val="000000"/>
          <w:spacing w:val="0"/>
          <w:w w:val="100"/>
          <w:position w:val="0"/>
        </w:rPr>
        <w:t>、</w:t>
        <w:tab/>
        <w:t>依托于自有的强大售后服务体系，公司为众多银行类金融客户提供各类型设备的安装、维修、保养、升级、技术咨 询及培训等完善的售后技术服务；同时为其他非金融机构以及</w:t>
      </w:r>
      <w:r>
        <w:rPr>
          <w:rFonts w:ascii="Times New Roman" w:eastAsia="Times New Roman" w:hAnsi="Times New Roman" w:cs="Times New Roman"/>
          <w:color w:val="000000"/>
          <w:spacing w:val="0"/>
          <w:w w:val="100"/>
          <w:position w:val="0"/>
        </w:rPr>
        <w:t>TC</w:t>
      </w:r>
      <w:r>
        <w:rPr>
          <w:color w:val="000000"/>
          <w:spacing w:val="0"/>
          <w:w w:val="100"/>
          <w:position w:val="0"/>
        </w:rPr>
        <w:t>市场提供专业化、完善的售后技术服务。通过自身的技术 升级、管理升级，努力将公司打造成为一支具备专业化、泛社会化的售后技术服务平台服务商；</w:t>
      </w:r>
    </w:p>
    <w:p>
      <w:pPr>
        <w:pStyle w:val="Style34"/>
        <w:keepNext w:val="0"/>
        <w:keepLines w:val="0"/>
        <w:widowControl w:val="0"/>
        <w:shd w:val="clear" w:color="auto" w:fill="auto"/>
        <w:bidi w:val="0"/>
        <w:spacing w:before="0" w:after="340" w:line="312" w:lineRule="exact"/>
        <w:ind w:left="0" w:right="0" w:firstLine="640"/>
        <w:jc w:val="both"/>
      </w:pPr>
      <w:bookmarkStart w:id="62" w:name="bookmark62"/>
      <w:r>
        <w:rPr>
          <w:rFonts w:ascii="Times New Roman" w:eastAsia="Times New Roman" w:hAnsi="Times New Roman" w:cs="Times New Roman"/>
          <w:color w:val="000000"/>
          <w:spacing w:val="0"/>
          <w:w w:val="100"/>
          <w:position w:val="0"/>
        </w:rPr>
        <w:t>4</w:t>
      </w:r>
      <w:bookmarkEnd w:id="62"/>
      <w:r>
        <w:rPr>
          <w:color w:val="000000"/>
          <w:spacing w:val="0"/>
          <w:w w:val="100"/>
          <w:position w:val="0"/>
        </w:rPr>
        <w:t>、公司对自有不动产进行运营管理。报告期内，以御银科技园区和下属子公司部分闲置物业对外出租收取租金。</w:t>
      </w:r>
    </w:p>
    <w:p>
      <w:pPr>
        <w:pStyle w:val="Style30"/>
        <w:keepNext/>
        <w:keepLines/>
        <w:widowControl w:val="0"/>
        <w:shd w:val="clear" w:color="auto" w:fill="auto"/>
        <w:tabs>
          <w:tab w:pos="568" w:val="left"/>
        </w:tabs>
        <w:bidi w:val="0"/>
        <w:spacing w:before="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38"/>
        <w:keepNext/>
        <w:keepLines/>
        <w:widowControl w:val="0"/>
        <w:shd w:val="clear" w:color="auto" w:fill="auto"/>
        <w:bidi w:val="0"/>
        <w:spacing w:before="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交易性金融资产较期初增加</w:t>
            </w:r>
            <w:r>
              <w:rPr>
                <w:color w:val="000000"/>
                <w:spacing w:val="0"/>
                <w:w w:val="100"/>
                <w:position w:val="0"/>
              </w:rPr>
              <w:t>4,752.73</w:t>
            </w:r>
            <w:r>
              <w:rPr>
                <w:rFonts w:ascii="SimSun" w:eastAsia="SimSun" w:hAnsi="SimSun" w:cs="SimSun"/>
                <w:color w:val="000000"/>
                <w:spacing w:val="0"/>
                <w:w w:val="100"/>
                <w:position w:val="0"/>
              </w:rPr>
              <w:t>万元，主要原因是公司买入股票和基金所致。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893.70</w:t>
            </w:r>
            <w:r>
              <w:rPr>
                <w:rFonts w:ascii="SimSun" w:eastAsia="SimSun" w:hAnsi="SimSun" w:cs="SimSun"/>
                <w:color w:val="000000"/>
                <w:spacing w:val="0"/>
                <w:w w:val="100"/>
                <w:position w:val="0"/>
              </w:rPr>
              <w:t>万元，主要原因是计提固定资产折旧所致。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532.59</w:t>
            </w:r>
            <w:r>
              <w:rPr>
                <w:rFonts w:ascii="SimSun" w:eastAsia="SimSun" w:hAnsi="SimSun" w:cs="SimSun"/>
                <w:color w:val="000000"/>
                <w:spacing w:val="0"/>
                <w:w w:val="100"/>
                <w:position w:val="0"/>
              </w:rPr>
              <w:t>万元，主要原因是计提无形资产摊销所致。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较期初增加</w:t>
            </w:r>
            <w:r>
              <w:rPr>
                <w:color w:val="000000"/>
                <w:spacing w:val="0"/>
                <w:w w:val="100"/>
                <w:position w:val="0"/>
              </w:rPr>
              <w:t>7,805.81</w:t>
            </w:r>
            <w:r>
              <w:rPr>
                <w:rFonts w:ascii="SimSun" w:eastAsia="SimSun" w:hAnsi="SimSun" w:cs="SimSun"/>
                <w:color w:val="000000"/>
                <w:spacing w:val="0"/>
                <w:w w:val="100"/>
                <w:position w:val="0"/>
              </w:rPr>
              <w:t>万元，主要原因是公司御银金融电子高新科技园投资项目工程 投入所致。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2,894.52</w:t>
            </w:r>
            <w:r>
              <w:rPr>
                <w:rFonts w:ascii="SimSun" w:eastAsia="SimSun" w:hAnsi="SimSun" w:cs="SimSun"/>
                <w:color w:val="000000"/>
                <w:spacing w:val="0"/>
                <w:w w:val="100"/>
                <w:position w:val="0"/>
              </w:rPr>
              <w:t>万元，主要原因是公司收回到期货款所致。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2,408.64</w:t>
            </w:r>
            <w:r>
              <w:rPr>
                <w:rFonts w:ascii="SimSun" w:eastAsia="SimSun" w:hAnsi="SimSun" w:cs="SimSun"/>
                <w:color w:val="000000"/>
                <w:spacing w:val="0"/>
                <w:w w:val="100"/>
                <w:position w:val="0"/>
              </w:rPr>
              <w:t>万元，主要原因是公司减少原材料采购所致。</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较期初减少</w:t>
            </w:r>
            <w:r>
              <w:rPr>
                <w:color w:val="000000"/>
                <w:spacing w:val="0"/>
                <w:w w:val="100"/>
                <w:position w:val="0"/>
              </w:rPr>
              <w:t>780.73</w:t>
            </w:r>
            <w:r>
              <w:rPr>
                <w:rFonts w:ascii="SimSun" w:eastAsia="SimSun" w:hAnsi="SimSun" w:cs="SimSun"/>
                <w:color w:val="000000"/>
                <w:spacing w:val="0"/>
                <w:w w:val="100"/>
                <w:position w:val="0"/>
              </w:rPr>
              <w:t>万元，主要原因是交易性金融资产公允价值变动所致。</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34"/>
        <w:keepNext w:val="0"/>
        <w:keepLines w:val="0"/>
        <w:widowControl w:val="0"/>
        <w:shd w:val="clear" w:color="auto" w:fill="auto"/>
        <w:tabs>
          <w:tab w:pos="654" w:val="left"/>
        </w:tabs>
        <w:bidi w:val="0"/>
        <w:spacing w:before="0" w:after="0" w:line="313" w:lineRule="exact"/>
        <w:ind w:left="0" w:right="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坚持以客户为中心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公司专注于金融科技领域解决方案的提供，从率先开展智能金融设备的自主研发，历经多年努力和持续发展，走在金融 自助设备行业的前沿，作为行业领先的智能化金融设备提供商，坚持以客户为中心，为银行业提供智能化及多场景化的解决 方案。通过持续的科技创新，加强研发投入，增强科研实力和产品竞争力，成为智能化综合服务解决方案提供商，曾获得</w:t>
      </w:r>
      <w:r>
        <w:rPr>
          <w:rFonts w:ascii="Times New Roman" w:eastAsia="Times New Roman" w:hAnsi="Times New Roman" w:cs="Times New Roman"/>
          <w:color w:val="000000"/>
          <w:spacing w:val="0"/>
          <w:w w:val="100"/>
          <w:position w:val="0"/>
        </w:rPr>
        <w:t>“</w:t>
      </w:r>
      <w:r>
        <w:rPr>
          <w:color w:val="000000"/>
          <w:spacing w:val="0"/>
          <w:w w:val="100"/>
          <w:position w:val="0"/>
        </w:rPr>
        <w:t>广 东省诚信示范企业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广东省企业</w:t>
      </w:r>
      <w:r>
        <w:rPr>
          <w:rFonts w:ascii="Times New Roman" w:eastAsia="Times New Roman" w:hAnsi="Times New Roman" w:cs="Times New Roman"/>
          <w:color w:val="000000"/>
          <w:spacing w:val="0"/>
          <w:w w:val="100"/>
          <w:position w:val="0"/>
        </w:rPr>
        <w:t>500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广东省制造业百强</w:t>
      </w:r>
      <w:r>
        <w:rPr>
          <w:rFonts w:ascii="Times New Roman" w:eastAsia="Times New Roman" w:hAnsi="Times New Roman" w:cs="Times New Roman"/>
          <w:color w:val="000000"/>
          <w:spacing w:val="0"/>
          <w:w w:val="100"/>
          <w:position w:val="0"/>
        </w:rPr>
        <w:t>”</w:t>
      </w:r>
      <w:r>
        <w:rPr>
          <w:color w:val="000000"/>
          <w:spacing w:val="0"/>
          <w:w w:val="100"/>
          <w:position w:val="0"/>
        </w:rPr>
        <w:t>等多项荣誉，与多家银行机构建立了持续多年的业务合作关 系，公司高质量的服务水平、高可靠的技术产品赢得客户的信任，使得产品覆盖全国。</w:t>
      </w:r>
    </w:p>
    <w:p>
      <w:pPr>
        <w:pStyle w:val="Style34"/>
        <w:keepNext w:val="0"/>
        <w:keepLines w:val="0"/>
        <w:widowControl w:val="0"/>
        <w:shd w:val="clear" w:color="auto" w:fill="auto"/>
        <w:tabs>
          <w:tab w:pos="674" w:val="left"/>
        </w:tabs>
        <w:bidi w:val="0"/>
        <w:spacing w:before="0" w:after="0" w:line="313" w:lineRule="exact"/>
        <w:ind w:left="0" w:right="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持续研发创新优势</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随着数字经济环境带来的市场需求快速变化，金融行业也面临创新和转型，公司不断加强在人脸识别、算法、语音识别、 虹膜识别、掌静脉识别等多模态生物识别系统上的持续投入和创新，通过加密技术的自主研发，为金融行业信息安全保驾护 航，构建以产品为中心的研发设计体系，探索敏捷开发、开发运维一体化等方法来提升研发创新的质量，力图打造出差异化 和场景化的金融科技产品，为客户创造更大价值。</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随着年初疫情爆发带来的巨大影响，公司研发团队第一时间组织科研力量，探索无触产品的研发，率先推出了智能化、 无接触的纸币处理设备及部件，同时辅以设备自助消毒的功能，为客户的提供</w:t>
      </w:r>
      <w:r>
        <w:rPr>
          <w:rFonts w:ascii="Times New Roman" w:eastAsia="Times New Roman" w:hAnsi="Times New Roman" w:cs="Times New Roman"/>
          <w:color w:val="000000"/>
          <w:spacing w:val="0"/>
          <w:w w:val="100"/>
          <w:position w:val="0"/>
        </w:rPr>
        <w:t>“</w:t>
      </w:r>
      <w:r>
        <w:rPr>
          <w:color w:val="000000"/>
          <w:spacing w:val="0"/>
          <w:w w:val="100"/>
          <w:position w:val="0"/>
        </w:rPr>
        <w:t>无接触金融</w:t>
      </w:r>
      <w:r>
        <w:rPr>
          <w:rFonts w:ascii="Times New Roman" w:eastAsia="Times New Roman" w:hAnsi="Times New Roman" w:cs="Times New Roman"/>
          <w:color w:val="000000"/>
          <w:spacing w:val="0"/>
          <w:w w:val="100"/>
          <w:position w:val="0"/>
        </w:rPr>
        <w:t>”</w:t>
      </w:r>
      <w:r>
        <w:rPr>
          <w:color w:val="000000"/>
          <w:spacing w:val="0"/>
          <w:w w:val="100"/>
          <w:position w:val="0"/>
        </w:rPr>
        <w:t>的服务能力。</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随着央行数字货币</w:t>
      </w:r>
      <w:r>
        <w:rPr>
          <w:color w:val="000000"/>
          <w:spacing w:val="0"/>
          <w:w w:val="100"/>
          <w:position w:val="0"/>
        </w:rPr>
        <w:t>（</w:t>
      </w:r>
      <w:r>
        <w:rPr>
          <w:rFonts w:ascii="Times New Roman" w:eastAsia="Times New Roman" w:hAnsi="Times New Roman" w:cs="Times New Roman"/>
          <w:color w:val="000000"/>
          <w:spacing w:val="0"/>
          <w:w w:val="100"/>
          <w:position w:val="0"/>
        </w:rPr>
        <w:t>DE/CP</w:t>
      </w:r>
      <w:r>
        <w:rPr>
          <w:color w:val="000000"/>
          <w:spacing w:val="0"/>
          <w:w w:val="100"/>
          <w:position w:val="0"/>
        </w:rPr>
        <w:t>）</w:t>
      </w:r>
      <w:r>
        <w:rPr>
          <w:color w:val="000000"/>
          <w:spacing w:val="0"/>
          <w:w w:val="100"/>
          <w:position w:val="0"/>
        </w:rPr>
        <w:t>即数字人民币的提出，赋予了数字货币即为数字形式的法定货币功能及属性，从法定货币 的角度来讲，数字人民币等价于纸钞和硬币，也即是流通中的现钞。根据央行的规定，数字人民币是由指定的运营机构参与 运营并向公众兑换，其在交易环节重要性不言而喻。公司经过多年在金融科技领域的研发积累和市场沉淀，积极搭建研发团 队，成立数字货币研发中心，开展数字货币的相关研发，除了开展软、硬件数字钱包、数字货币在金融机具上的兑换及流通 等技术领域的研发之外，同时，我们也为数字货币在自有智能园区管理体系上的应用场景开展研发，建立了先发优势。</w:t>
      </w:r>
    </w:p>
    <w:p>
      <w:pPr>
        <w:pStyle w:val="Style34"/>
        <w:keepNext w:val="0"/>
        <w:keepLines w:val="0"/>
        <w:widowControl w:val="0"/>
        <w:shd w:val="clear" w:color="auto" w:fill="auto"/>
        <w:tabs>
          <w:tab w:pos="674" w:val="left"/>
        </w:tabs>
        <w:bidi w:val="0"/>
        <w:spacing w:before="0" w:after="0" w:line="313" w:lineRule="exact"/>
        <w:ind w:left="0" w:right="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赋能化金融服务提质增效</w:t>
      </w:r>
    </w:p>
    <w:p>
      <w:pPr>
        <w:pStyle w:val="Style34"/>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455" w:right="1042" w:bottom="2050" w:left="1085" w:header="0" w:footer="3" w:gutter="0"/>
          <w:cols w:space="720"/>
          <w:noEndnote/>
          <w:rtlGutter w:val="0"/>
          <w:docGrid w:linePitch="360"/>
        </w:sectPr>
      </w:pPr>
      <w:r>
        <w:rPr>
          <w:color w:val="000000"/>
          <w:spacing w:val="0"/>
          <w:w w:val="100"/>
          <w:position w:val="0"/>
        </w:rPr>
        <w:t>公司利用自有研发优势，在人才储备和技术储备上持续投入，在我们智能化的服务体系上，继续进行研发创新，建立了 达到国内行业前沿水平的服务体系，依托大数据、物联网技术、人工智能、区块链等技术的运用，不断提升我们的</w:t>
      </w:r>
      <w:r>
        <w:rPr>
          <w:rFonts w:ascii="Times New Roman" w:eastAsia="Times New Roman" w:hAnsi="Times New Roman" w:cs="Times New Roman"/>
          <w:color w:val="000000"/>
          <w:spacing w:val="0"/>
          <w:w w:val="100"/>
          <w:position w:val="0"/>
        </w:rPr>
        <w:t>“</w:t>
      </w:r>
      <w:r>
        <w:rPr>
          <w:color w:val="000000"/>
          <w:spacing w:val="0"/>
          <w:w w:val="100"/>
          <w:position w:val="0"/>
        </w:rPr>
        <w:t>云平台</w:t>
      </w:r>
      <w:r>
        <w:rPr>
          <w:rFonts w:ascii="Times New Roman" w:eastAsia="Times New Roman" w:hAnsi="Times New Roman" w:cs="Times New Roman"/>
          <w:color w:val="000000"/>
          <w:spacing w:val="0"/>
          <w:w w:val="100"/>
          <w:position w:val="0"/>
        </w:rPr>
        <w:t xml:space="preserve">” </w:t>
      </w:r>
      <w:r>
        <w:rPr>
          <w:color w:val="000000"/>
          <w:spacing w:val="0"/>
          <w:w w:val="100"/>
          <w:position w:val="0"/>
        </w:rPr>
        <w:t>智能化管理系统功能，建立强大的售后服务网络，达到人员、财物、信息三个关键流程即时同步呈现，不断提升对客户的响 应时效，提升一次故障修复率，提升客户满意度的同时，加快公司资产的周转率，提升人员的个体收入水平，降低公司整体 运营成本，做到降本增效，优化运营流程、增强团队组织能力的效果，为公司的持续发展打下坚实基础。</w:t>
      </w:r>
    </w:p>
    <w:p>
      <w:pPr>
        <w:pStyle w:val="Style16"/>
        <w:keepNext/>
        <w:keepLines/>
        <w:widowControl w:val="0"/>
        <w:shd w:val="clear" w:color="auto" w:fill="auto"/>
        <w:bidi w:val="0"/>
        <w:spacing w:before="600" w:line="240" w:lineRule="auto"/>
        <w:ind w:left="0" w:right="0" w:firstLine="0"/>
        <w:jc w:val="center"/>
      </w:pPr>
      <w:bookmarkStart w:id="82" w:name="bookmark82"/>
      <w:bookmarkStart w:id="83" w:name="bookmark83"/>
      <w:bookmarkStart w:id="84" w:name="bookmark84"/>
      <w:bookmarkStart w:id="85" w:name="bookmark85"/>
      <w:r>
        <w:rPr>
          <w:color w:val="000000"/>
          <w:spacing w:val="0"/>
          <w:w w:val="100"/>
          <w:position w:val="0"/>
        </w:rPr>
        <w:t>第四节经营情况讨论与分析</w:t>
      </w:r>
      <w:bookmarkEnd w:id="83"/>
      <w:bookmarkEnd w:id="84"/>
      <w:bookmarkEnd w:id="85"/>
      <w:bookmarkEnd w:id="82"/>
    </w:p>
    <w:p>
      <w:pPr>
        <w:pStyle w:val="Style30"/>
        <w:keepNext/>
        <w:keepLines/>
        <w:widowControl w:val="0"/>
        <w:shd w:val="clear" w:color="auto" w:fill="auto"/>
        <w:bidi w:val="0"/>
        <w:spacing w:before="0" w:after="260" w:line="240" w:lineRule="auto"/>
        <w:ind w:left="0" w:right="0" w:firstLine="0"/>
        <w:jc w:val="both"/>
      </w:pPr>
      <w:bookmarkStart w:id="86" w:name="bookmark86"/>
      <w:bookmarkStart w:id="87" w:name="bookmark87"/>
      <w:bookmarkStart w:id="88" w:name="bookmark88"/>
      <w:bookmarkStart w:id="89" w:name="bookmark89"/>
      <w:r>
        <w:rPr>
          <w:color w:val="000000"/>
          <w:spacing w:val="0"/>
          <w:w w:val="100"/>
          <w:position w:val="0"/>
          <w:sz w:val="24"/>
          <w:szCs w:val="24"/>
        </w:rPr>
        <w:t>一</w:t>
      </w:r>
      <w:bookmarkEnd w:id="88"/>
      <w:r>
        <w:rPr>
          <w:color w:val="000000"/>
          <w:spacing w:val="0"/>
          <w:w w:val="100"/>
          <w:position w:val="0"/>
          <w:sz w:val="24"/>
          <w:szCs w:val="24"/>
        </w:rPr>
        <w:t>、概述</w:t>
      </w:r>
      <w:bookmarkEnd w:id="86"/>
      <w:bookmarkEnd w:id="87"/>
      <w:bookmarkEnd w:id="89"/>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年，新型冠状病毒造成的肺炎疫情席卷全球，给全球的商业和生活秩序带来一定的冲击，国际政治局势日趋紧张， 对经济的稳定发展带来不确定性影响加剧，中国经济在上半年也遭受到了较大的影响，同时也为金融行业的发展带来的一些 挑战。因为疫情影响，无触化交易需求大幅度增加，移动支付成为主要的日常交易手段，无现金化场景覆盖范围加速扩大， 对现金类金融自助设备需求量减少，但同时智能化自助设备的软硬件和服务不断升级需求猛增。在紧紧围绕大数据、人工智 能、区块链、云计算等新一代信息技术的研发投入下，公司坚持以客户为中心，坚持持续研发创新，抓住机遇，统筹规划， 加强运维管理，优化治理结构。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报告期内，公司主营业务、主要产品及服务未发生变化。公司实现营业总收入</w:t>
      </w:r>
      <w:r>
        <w:rPr>
          <w:rFonts w:ascii="Times New Roman" w:eastAsia="Times New Roman" w:hAnsi="Times New Roman" w:cs="Times New Roman"/>
          <w:color w:val="000000"/>
          <w:spacing w:val="0"/>
          <w:w w:val="100"/>
          <w:position w:val="0"/>
        </w:rPr>
        <w:t>182,349,931.14</w:t>
      </w:r>
      <w:r>
        <w:rPr>
          <w:color w:val="000000"/>
          <w:spacing w:val="0"/>
          <w:w w:val="100"/>
          <w:position w:val="0"/>
        </w:rPr>
        <w:t xml:space="preserve">元，比上年同期减少 </w:t>
      </w:r>
      <w:r>
        <w:rPr>
          <w:rFonts w:ascii="Times New Roman" w:eastAsia="Times New Roman" w:hAnsi="Times New Roman" w:cs="Times New Roman"/>
          <w:color w:val="000000"/>
          <w:spacing w:val="0"/>
          <w:w w:val="100"/>
          <w:position w:val="0"/>
        </w:rPr>
        <w:t>14.81%%</w:t>
      </w:r>
      <w:r>
        <w:rPr>
          <w:color w:val="000000"/>
          <w:spacing w:val="0"/>
          <w:w w:val="100"/>
          <w:position w:val="0"/>
        </w:rPr>
        <w:t>；实现利润总额</w:t>
      </w:r>
      <w:r>
        <w:rPr>
          <w:rFonts w:ascii="Times New Roman" w:eastAsia="Times New Roman" w:hAnsi="Times New Roman" w:cs="Times New Roman"/>
          <w:color w:val="000000"/>
          <w:spacing w:val="0"/>
          <w:w w:val="100"/>
          <w:position w:val="0"/>
        </w:rPr>
        <w:t>80,313,890.6</w:t>
      </w:r>
      <w:r>
        <w:rPr>
          <w:rFonts w:ascii="Times New Roman" w:eastAsia="Times New Roman" w:hAnsi="Times New Roman" w:cs="Times New Roman"/>
          <w:color w:val="000000"/>
          <w:spacing w:val="0"/>
          <w:w w:val="100"/>
          <w:position w:val="0"/>
        </w:rPr>
        <w:t>0</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14.10%</w:t>
      </w:r>
      <w:r>
        <w:rPr>
          <w:color w:val="000000"/>
          <w:spacing w:val="0"/>
          <w:w w:val="100"/>
          <w:position w:val="0"/>
        </w:rPr>
        <w:t>；归属上市公司股东的净利润为</w:t>
      </w:r>
      <w:r>
        <w:rPr>
          <w:rFonts w:ascii="Times New Roman" w:eastAsia="Times New Roman" w:hAnsi="Times New Roman" w:cs="Times New Roman"/>
          <w:color w:val="000000"/>
          <w:spacing w:val="0"/>
          <w:w w:val="100"/>
          <w:position w:val="0"/>
        </w:rPr>
        <w:t>71,756,896.38</w:t>
      </w:r>
      <w:r>
        <w:rPr>
          <w:color w:val="000000"/>
          <w:spacing w:val="0"/>
          <w:w w:val="100"/>
          <w:position w:val="0"/>
        </w:rPr>
        <w:t>元，比上年 同期增长</w:t>
      </w:r>
      <w:r>
        <w:rPr>
          <w:rFonts w:ascii="Times New Roman" w:eastAsia="Times New Roman" w:hAnsi="Times New Roman" w:cs="Times New Roman"/>
          <w:color w:val="000000"/>
          <w:spacing w:val="0"/>
          <w:w w:val="100"/>
          <w:position w:val="0"/>
        </w:rPr>
        <w:t>9.30%</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在研发创新方面，基于多年的研发持续投入和积累，已形成了涵盖</w:t>
      </w:r>
      <w:r>
        <w:rPr>
          <w:rFonts w:ascii="Times New Roman" w:eastAsia="Times New Roman" w:hAnsi="Times New Roman" w:cs="Times New Roman"/>
          <w:color w:val="000000"/>
          <w:spacing w:val="0"/>
          <w:w w:val="100"/>
          <w:position w:val="0"/>
        </w:rPr>
        <w:t>ATM</w:t>
      </w:r>
      <w:r>
        <w:rPr>
          <w:color w:val="000000"/>
          <w:spacing w:val="0"/>
          <w:w w:val="100"/>
          <w:position w:val="0"/>
        </w:rPr>
        <w:t>、</w:t>
      </w:r>
      <w:r>
        <w:rPr>
          <w:rFonts w:ascii="Times New Roman" w:eastAsia="Times New Roman" w:hAnsi="Times New Roman" w:cs="Times New Roman"/>
          <w:color w:val="000000"/>
          <w:spacing w:val="0"/>
          <w:w w:val="100"/>
          <w:position w:val="0"/>
        </w:rPr>
        <w:t>CRS</w:t>
      </w:r>
      <w:r>
        <w:rPr>
          <w:color w:val="000000"/>
          <w:spacing w:val="0"/>
          <w:w w:val="100"/>
          <w:position w:val="0"/>
        </w:rPr>
        <w:t>、</w:t>
      </w:r>
      <w:r>
        <w:rPr>
          <w:color w:val="000000"/>
          <w:spacing w:val="0"/>
          <w:w w:val="100"/>
          <w:position w:val="0"/>
        </w:rPr>
        <w:t>大额存取款机等金融类产品以及</w:t>
      </w:r>
      <w:r>
        <w:rPr>
          <w:rFonts w:ascii="Times New Roman" w:eastAsia="Times New Roman" w:hAnsi="Times New Roman" w:cs="Times New Roman"/>
          <w:color w:val="000000"/>
          <w:spacing w:val="0"/>
          <w:w w:val="100"/>
          <w:position w:val="0"/>
        </w:rPr>
        <w:t xml:space="preserve">STM </w:t>
      </w:r>
      <w:r>
        <w:rPr>
          <w:color w:val="000000"/>
          <w:spacing w:val="0"/>
          <w:w w:val="100"/>
          <w:position w:val="0"/>
        </w:rPr>
        <w:t>（新一代智慧柜员机）、</w:t>
      </w:r>
      <w:r>
        <w:rPr>
          <w:rFonts w:ascii="Times New Roman" w:eastAsia="Times New Roman" w:hAnsi="Times New Roman" w:cs="Times New Roman"/>
          <w:color w:val="000000"/>
          <w:spacing w:val="0"/>
          <w:w w:val="100"/>
          <w:position w:val="0"/>
        </w:rPr>
        <w:t>VTM</w:t>
      </w:r>
      <w:r>
        <w:rPr>
          <w:rFonts w:ascii="Times New Roman" w:eastAsia="Times New Roman" w:hAnsi="Times New Roman" w:cs="Times New Roman"/>
          <w:color w:val="000000"/>
          <w:spacing w:val="0"/>
          <w:w w:val="100"/>
          <w:position w:val="0"/>
        </w:rPr>
        <w:t>（</w:t>
      </w:r>
      <w:r>
        <w:rPr>
          <w:color w:val="000000"/>
          <w:spacing w:val="0"/>
          <w:w w:val="100"/>
          <w:position w:val="0"/>
        </w:rPr>
        <w:t>远程可视柜员机）、清分机等泛金融类产品的多元化产品系列。公司坚持自主研发、自主创 新，自主研发能力和研发设施达到或部分达到国际先进水平。基于金融科技发展的需求，公司借助前期的研发沉淀，对自主 研发的核心机型，按时保质完成新版人民币识别算法研发并通过测试，并与各银行网点密切配合，及时完成线上机器升级测 试。针对市场环境，进一步加强设备安全检测机制，完成了复合型卡信息防盗部件、磁干扰模块及密码防盗模块的开发，大 大提高客户银行卡号信息及密码安全保护。同时积极开拓海外市场，完成了多国外币识别算法开发测试，受到海内外客户一 致好评。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在智能化设备方面，新一代智慧柜员机，帮助中小银行业务流程优化，提升业务效率、降低运营成本，为银行提供前置 系统、运用系统的综合解决方案；智能现金出纳机，专门针对银行柜员解决繁重现金点收工作的现金处理设备，协助银行柜 员电子化处理现金清点、存取、识别等现金业务，提高柜台效率、优化服务流程、节约客户时间；大容量高速存取款机，即 可实现高速存入大量钞票、快速取款。</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在生物识别技术方面，多模态生物识别解决方案平台进一步完善人脸识别、语音识别、虹膜识别、指静脉识别、掌静脉 识别等系统。利用各智能技术、生物识别技术与自助设备的深入融合，改造现有的流程和客户服务模式，塑造新服务、新产 品、新的运营和业务模式，提高客户资源利用效率。</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在数字货币方面，公司关注央行数字货币的进展，成立了数字货币研究中心，进行智能化设备上数字货币交易处理的应 用研究，结合自身在加解密、生物识别、数据安全传输等方面的优势，开展数字货币软件钱包和硬件钱包的研发。随着央行 数字货币试点工作的开展，数字货币作为法定货币未来在交易中的作用等同于目前的现金，公司也积极开展不同应用场景中 的相关预研究工作。</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在维护服务方面，进一步提高运行效率，保持客户满意度的同时，公司全面运行新型服务管理模式，实现维修服务全流 程的网络化和智能化。新一代智能服务管理平台</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御银云</w:t>
      </w:r>
      <w:r>
        <w:rPr>
          <w:rFonts w:ascii="Times New Roman" w:eastAsia="Times New Roman" w:hAnsi="Times New Roman" w:cs="Times New Roman"/>
          <w:color w:val="000000"/>
          <w:spacing w:val="0"/>
          <w:w w:val="100"/>
          <w:position w:val="0"/>
        </w:rPr>
        <w:t>”</w:t>
      </w:r>
      <w:r>
        <w:rPr>
          <w:color w:val="000000"/>
          <w:spacing w:val="0"/>
          <w:w w:val="100"/>
          <w:position w:val="0"/>
        </w:rPr>
        <w:t>，集成了电子地图实时动态管理、智能报障、智能优选维修工程 师、可移动口袋式在线培训等众多功能，实现</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优质的客户服务管理，实现</w:t>
      </w:r>
      <w:r>
        <w:rPr>
          <w:rFonts w:ascii="Times New Roman" w:eastAsia="Times New Roman" w:hAnsi="Times New Roman" w:cs="Times New Roman"/>
          <w:color w:val="000000"/>
          <w:spacing w:val="0"/>
          <w:w w:val="100"/>
          <w:position w:val="0"/>
        </w:rPr>
        <w:t>“</w:t>
      </w:r>
      <w:r>
        <w:rPr>
          <w:color w:val="000000"/>
          <w:spacing w:val="0"/>
          <w:w w:val="100"/>
          <w:position w:val="0"/>
        </w:rPr>
        <w:t>百分百</w:t>
      </w:r>
      <w:r>
        <w:rPr>
          <w:rFonts w:ascii="Times New Roman" w:eastAsia="Times New Roman" w:hAnsi="Times New Roman" w:cs="Times New Roman"/>
          <w:color w:val="000000"/>
          <w:spacing w:val="0"/>
          <w:w w:val="100"/>
          <w:position w:val="0"/>
        </w:rPr>
        <w:t>”</w:t>
      </w:r>
      <w:r>
        <w:rPr>
          <w:color w:val="000000"/>
          <w:spacing w:val="0"/>
          <w:w w:val="100"/>
          <w:position w:val="0"/>
        </w:rPr>
        <w:t>高效的物、流体系。由于运维模 式最大程度上减少了中间层，优化了管理效率，公司整体的维修效率大幅提高，帮助公司最大程度上增加了客户的粘性。同 时开展了区块链技术在售后维护体系中的研发，探讨将设备及核心部件的数据信息上链，对设备及核心部件的全生命周期进 行管理。</w:t>
      </w:r>
    </w:p>
    <w:p>
      <w:pPr>
        <w:pStyle w:val="Style34"/>
        <w:keepNext w:val="0"/>
        <w:keepLines w:val="0"/>
        <w:widowControl w:val="0"/>
        <w:shd w:val="clear" w:color="auto" w:fill="auto"/>
        <w:bidi w:val="0"/>
        <w:spacing w:before="0" w:after="140" w:line="312" w:lineRule="exact"/>
        <w:ind w:left="0" w:right="0"/>
        <w:jc w:val="both"/>
      </w:pPr>
      <w:r>
        <w:rPr>
          <w:color w:val="000000"/>
          <w:spacing w:val="0"/>
          <w:w w:val="100"/>
          <w:position w:val="0"/>
        </w:rPr>
        <w:t>在资产运营方面，因为公司的转型升级，将自有物业御银科技园区及下属子公司的部分闲置物业对外出租收取租金，成 立小炬人创业园运营主体，结合天河区智慧城的完善配套和萝岗区新兴科技产业及生物制药产业的发展，公司积极引进科技 含量的企业，通过服务赋能，提供产业链的资源协同，实现公司资源的最优配置，优化公司资产保值增值和改善经营活动现 金流量，保障公司主营业务稳定有序有效开展。从而促进公司持续、稳定、健康的发展。同时结合自主研发的生物识别系统 及软件管理平台，对自有物业进行智能化的园区管理，提高园区用户的安全性、可追溯性、便捷性等体验。</w:t>
      </w:r>
    </w:p>
    <w:p>
      <w:pPr>
        <w:pStyle w:val="Style34"/>
        <w:keepNext w:val="0"/>
        <w:keepLines w:val="0"/>
        <w:widowControl w:val="0"/>
        <w:shd w:val="clear" w:color="auto" w:fill="auto"/>
        <w:bidi w:val="0"/>
        <w:spacing w:before="0" w:after="340" w:line="314"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年，公司继续加大自有研发的转型升级，加大科技创新持续投入，密切关注国家政策，分析十四五规划的国家发展 趋势，加强对行业准则的把握和理解，积极应对市场变化，调整业务和管理模式，通过提升内部规范治理，积极应对行业变 化带来的机遇和挑战。</w:t>
      </w:r>
    </w:p>
    <w:p>
      <w:pPr>
        <w:pStyle w:val="Style30"/>
        <w:keepNext/>
        <w:keepLines/>
        <w:widowControl w:val="0"/>
        <w:shd w:val="clear" w:color="auto" w:fill="auto"/>
        <w:bidi w:val="0"/>
        <w:spacing w:before="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二</w:t>
      </w:r>
      <w:bookmarkEnd w:id="92"/>
      <w:r>
        <w:rPr>
          <w:color w:val="000000"/>
          <w:spacing w:val="0"/>
          <w:w w:val="100"/>
          <w:position w:val="0"/>
          <w:sz w:val="24"/>
          <w:szCs w:val="24"/>
        </w:rPr>
        <w:t>、主营业务分析</w:t>
      </w:r>
      <w:bookmarkEnd w:id="90"/>
      <w:bookmarkEnd w:id="91"/>
      <w:bookmarkEnd w:id="93"/>
    </w:p>
    <w:p>
      <w:pPr>
        <w:pStyle w:val="Style38"/>
        <w:keepNext/>
        <w:keepLines/>
        <w:widowControl w:val="0"/>
        <w:shd w:val="clear" w:color="auto" w:fill="auto"/>
        <w:tabs>
          <w:tab w:pos="368" w:val="left"/>
        </w:tabs>
        <w:bidi w:val="0"/>
        <w:spacing w:before="0" w:after="26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概述</w:t>
      </w:r>
      <w:bookmarkEnd w:id="94"/>
      <w:bookmarkEnd w:id="95"/>
      <w:bookmarkEnd w:id="97"/>
    </w:p>
    <w:p>
      <w:pPr>
        <w:pStyle w:val="Style34"/>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8"/>
        <w:keepNext/>
        <w:keepLines/>
        <w:widowControl w:val="0"/>
        <w:shd w:val="clear" w:color="auto" w:fill="auto"/>
        <w:tabs>
          <w:tab w:pos="378" w:val="left"/>
        </w:tabs>
        <w:bidi w:val="0"/>
        <w:spacing w:before="0" w:line="240" w:lineRule="auto"/>
        <w:ind w:left="0" w:right="0" w:firstLine="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w:t>
        <w:tab/>
        <w:t>收入与成本</w:t>
      </w:r>
      <w:bookmarkEnd w:id="101"/>
      <w:bookmarkEnd w:id="98"/>
      <w:bookmarkEnd w:id="99"/>
    </w:p>
    <w:p>
      <w:pPr>
        <w:pStyle w:val="Style41"/>
        <w:keepNext/>
        <w:keepLines/>
        <w:widowControl w:val="0"/>
        <w:shd w:val="clear" w:color="auto" w:fill="auto"/>
        <w:bidi w:val="0"/>
        <w:spacing w:before="0" w:line="240" w:lineRule="auto"/>
        <w:ind w:left="0" w:right="0" w:firstLine="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2"/>
      <w:bookmarkEnd w:id="103"/>
      <w:bookmarkEnd w:id="10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182,349,931.14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214,061,979.32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182,349,931.14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214,061,979.32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产品销售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15,013,130.76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16,913,099.22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7,053,749.68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13,569,443.29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5,957,145.20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7,094,762.57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 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89,317,581.78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124,492,773.38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33,093,300.69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33,809,234.19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18,182,666.67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33,537,940.20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41,033,100.01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color w:val="000000"/>
                <w:spacing w:val="0"/>
                <w:w w:val="100"/>
                <w:position w:val="0"/>
              </w:rPr>
              <w:t>）</w:t>
            </w:r>
            <w:r>
              <w:rPr>
                <w:rFonts w:ascii="SimSun" w:eastAsia="SimSun" w:hAnsi="SimSun" w:cs="SimSun"/>
                <w:color w:val="000000"/>
                <w:spacing w:val="0"/>
                <w:w w:val="100"/>
                <w:position w:val="0"/>
              </w:rPr>
              <w:t>地 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43,279,595.08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42,935,588.94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105,532,395.86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130,093,290.37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6"/>
      <w:bookmarkEnd w:id="107"/>
      <w:bookmarkEnd w:id="109"/>
    </w:p>
    <w:p>
      <w:pPr>
        <w:pStyle w:val="Style3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182,349,931.14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84,983,817.19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15,013,130.76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13,883,553.60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7,053,749.68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5,704,728.33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-22.71%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5,957,145.20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89,317,581.78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44,373,192.17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33,093,300.69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14,746,741.92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31,915,023.03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6,275,601.17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33,537,940.20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13,077,237.28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43,279,595.08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21,796,357.13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105,532,395.86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50,110,222.78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36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0"/>
      <w:bookmarkEnd w:id="111"/>
      <w:bookmarkEnd w:id="113"/>
    </w:p>
    <w:p>
      <w:pPr>
        <w:pStyle w:val="Style34"/>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1"/>
        <w:keepNext/>
        <w:keepLines/>
        <w:widowControl w:val="0"/>
        <w:shd w:val="clear" w:color="auto" w:fill="auto"/>
        <w:tabs>
          <w:tab w:pos="488" w:val="left"/>
        </w:tabs>
        <w:bidi w:val="0"/>
        <w:spacing w:before="0" w:after="36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4"/>
      <w:bookmarkEnd w:id="115"/>
      <w:bookmarkEnd w:id="117"/>
    </w:p>
    <w:p>
      <w:pPr>
        <w:pStyle w:val="Style34"/>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24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8"/>
      <w:bookmarkEnd w:id="119"/>
      <w:bookmarkEnd w:id="121"/>
    </w:p>
    <w:p>
      <w:pPr>
        <w:pStyle w:val="Style34"/>
        <w:keepNext w:val="0"/>
        <w:keepLines w:val="0"/>
        <w:widowControl w:val="0"/>
        <w:shd w:val="clear" w:color="auto" w:fill="auto"/>
        <w:bidi w:val="0"/>
        <w:spacing w:before="0" w:after="120" w:line="341" w:lineRule="exact"/>
        <w:ind w:left="0" w:right="0" w:firstLine="0"/>
        <w:jc w:val="both"/>
      </w:pPr>
      <w:r>
        <w:rPr>
          <w:color w:val="000000"/>
          <w:spacing w:val="0"/>
          <w:w w:val="100"/>
          <w:position w:val="0"/>
        </w:rPr>
        <w:t>行业和产品分类</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84,983,817.19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109,013,804.49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-22.04%</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13,883,553.60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13,025,419.30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5,704,728.33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7,380,987.39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 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44,373,192.17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68,726,714.07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14,746,741.92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15,275,985.14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6,275,601.17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4,604,698.59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2707"/>
        <w:gridCol w:w="2266"/>
        <w:gridCol w:w="2270"/>
        <w:gridCol w:w="2280"/>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成本要素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60.61%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直接人工及制造费用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00" w:right="0" w:firstLine="0"/>
              <w:jc w:val="left"/>
            </w:pPr>
            <w:r>
              <w:rPr>
                <w:color w:val="000000"/>
                <w:spacing w:val="0"/>
                <w:w w:val="100"/>
                <w:position w:val="0"/>
              </w:rPr>
              <w:t>39.39%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r>
      <w:tr>
        <w:trPr>
          <w:trHeight w:val="36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41"/>
        <w:keepNext/>
        <w:keepLines/>
        <w:widowControl w:val="0"/>
        <w:shd w:val="clear" w:color="auto" w:fill="auto"/>
        <w:tabs>
          <w:tab w:pos="488" w:val="left"/>
        </w:tabs>
        <w:bidi w:val="0"/>
        <w:spacing w:before="0" w:after="2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2"/>
      <w:bookmarkEnd w:id="123"/>
      <w:bookmarkEnd w:id="125"/>
    </w:p>
    <w:p>
      <w:pPr>
        <w:pStyle w:val="Style34"/>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北京广粤科技有限公司（以下简称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北京广粤</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日注册成立，注册资本为人民币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万元，其中，罗 灿裕认缴出资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.05</w:t>
      </w:r>
      <w:r>
        <w:rPr>
          <w:color w:val="000000"/>
          <w:spacing w:val="0"/>
          <w:w w:val="100"/>
          <w:position w:val="0"/>
        </w:rPr>
        <w:t>万元，持有北京广粤</w:t>
      </w:r>
      <w:r>
        <w:rPr>
          <w:rFonts w:ascii="Times New Roman" w:eastAsia="Times New Roman" w:hAnsi="Times New Roman" w:cs="Times New Roman"/>
          <w:color w:val="000000"/>
          <w:spacing w:val="0"/>
          <w:w w:val="100"/>
          <w:position w:val="0"/>
        </w:rPr>
        <w:t>0.05%</w:t>
      </w:r>
      <w:r>
        <w:rPr>
          <w:color w:val="000000"/>
          <w:spacing w:val="0"/>
          <w:w w:val="100"/>
          <w:position w:val="0"/>
        </w:rPr>
        <w:t>的股权，广州杰萃投资有限公司（以下简称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杰萃</w:t>
      </w:r>
      <w:r>
        <w:rPr>
          <w:rFonts w:ascii="Times New Roman" w:eastAsia="Times New Roman" w:hAnsi="Times New Roman" w:cs="Times New Roman"/>
          <w:color w:val="000000"/>
          <w:spacing w:val="0"/>
          <w:w w:val="100"/>
          <w:position w:val="0"/>
        </w:rPr>
        <w:t>”</w:t>
      </w:r>
      <w:r>
        <w:rPr>
          <w:color w:val="000000"/>
          <w:spacing w:val="0"/>
          <w:w w:val="100"/>
          <w:position w:val="0"/>
        </w:rPr>
        <w:t>）认缴出资</w:t>
      </w:r>
      <w:r>
        <w:rPr>
          <w:rFonts w:ascii="Times New Roman" w:eastAsia="Times New Roman" w:hAnsi="Times New Roman" w:cs="Times New Roman"/>
          <w:color w:val="000000"/>
          <w:spacing w:val="0"/>
          <w:w w:val="100"/>
          <w:position w:val="0"/>
        </w:rPr>
        <w:t>99.95</w:t>
      </w:r>
      <w:r>
        <w:rPr>
          <w:color w:val="000000"/>
          <w:spacing w:val="0"/>
          <w:w w:val="100"/>
          <w:position w:val="0"/>
        </w:rPr>
        <w:t>万元，持有 北京广粤</w:t>
      </w:r>
      <w:r>
        <w:rPr>
          <w:rFonts w:ascii="Times New Roman" w:eastAsia="Times New Roman" w:hAnsi="Times New Roman" w:cs="Times New Roman"/>
          <w:color w:val="000000"/>
          <w:spacing w:val="0"/>
          <w:w w:val="100"/>
          <w:position w:val="0"/>
        </w:rPr>
        <w:t>99.95%</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日，原股东杰萃、罗灿裕与本公司签订股权转让合同，同意杰萃将其持有北京广粤 </w:t>
      </w:r>
      <w:r>
        <w:rPr>
          <w:rFonts w:ascii="Times New Roman" w:eastAsia="Times New Roman" w:hAnsi="Times New Roman" w:cs="Times New Roman"/>
          <w:color w:val="000000"/>
          <w:spacing w:val="0"/>
          <w:w w:val="100"/>
          <w:position w:val="0"/>
        </w:rPr>
        <w:t>99.95%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999,500.00</w:t>
      </w:r>
      <w:r>
        <w:rPr>
          <w:color w:val="000000"/>
          <w:spacing w:val="0"/>
          <w:w w:val="100"/>
          <w:position w:val="0"/>
        </w:rPr>
        <w:t>元的价格转让给本公司、罗灿裕将其持有北京广粤</w:t>
      </w:r>
      <w:r>
        <w:rPr>
          <w:rFonts w:ascii="Times New Roman" w:eastAsia="Times New Roman" w:hAnsi="Times New Roman" w:cs="Times New Roman"/>
          <w:color w:val="000000"/>
          <w:spacing w:val="0"/>
          <w:w w:val="100"/>
          <w:position w:val="0"/>
        </w:rPr>
        <w:t>0.05%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500.00</w:t>
      </w:r>
      <w:r>
        <w:rPr>
          <w:color w:val="000000"/>
          <w:spacing w:val="0"/>
          <w:w w:val="100"/>
          <w:position w:val="0"/>
        </w:rPr>
        <w:t>元的价格转 让给本公司，本公司已于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日支付上述全部股权转让款。按照合同约定，上述股权转让款支付完成后本公司即可 取得北京广粤</w:t>
      </w:r>
      <w:r>
        <w:rPr>
          <w:rFonts w:ascii="Times New Roman" w:eastAsia="Times New Roman" w:hAnsi="Times New Roman" w:cs="Times New Roman"/>
          <w:color w:val="000000"/>
          <w:spacing w:val="0"/>
          <w:w w:val="100"/>
          <w:position w:val="0"/>
        </w:rPr>
        <w:t>100%</w:t>
      </w:r>
      <w:r>
        <w:rPr>
          <w:color w:val="000000"/>
          <w:spacing w:val="0"/>
          <w:w w:val="100"/>
          <w:position w:val="0"/>
        </w:rPr>
        <w:t>股权，北京广粤纳入合并范围。</w:t>
      </w:r>
    </w:p>
    <w:p>
      <w:pPr>
        <w:pStyle w:val="Style41"/>
        <w:keepNext/>
        <w:keepLines/>
        <w:widowControl w:val="0"/>
        <w:shd w:val="clear" w:color="auto" w:fill="auto"/>
        <w:tabs>
          <w:tab w:pos="488" w:val="left"/>
        </w:tabs>
        <w:bidi w:val="0"/>
        <w:spacing w:before="0" w:after="2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6"/>
      <w:bookmarkEnd w:id="127"/>
      <w:bookmarkEnd w:id="129"/>
    </w:p>
    <w:p>
      <w:pPr>
        <w:pStyle w:val="Style34"/>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2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0"/>
      <w:bookmarkEnd w:id="131"/>
      <w:bookmarkEnd w:id="133"/>
    </w:p>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51,772,660.62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28.39%</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20,842,550.38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12,386,404.19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7,229,323.91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5,791,308.74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5,523,073.41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3.03%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51,772,660.62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28.39%</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3,114,324.87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1,076,796.83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19.33%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941,740.50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16.90%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481,905.95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347,631.77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6.24%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266,249.82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4.78%</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3,114,324.87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both"/>
            </w:pPr>
            <w:r>
              <w:rPr>
                <w:color w:val="000000"/>
                <w:spacing w:val="0"/>
                <w:w w:val="100"/>
                <w:position w:val="0"/>
              </w:rPr>
              <w:t>55.90%</w:t>
            </w:r>
          </w:p>
        </w:tc>
      </w:tr>
    </w:tbl>
    <w:p>
      <w:pPr>
        <w:widowControl w:val="0"/>
        <w:spacing w:after="9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3</w:t>
      </w:r>
      <w:bookmarkEnd w:id="136"/>
      <w:r>
        <w:rPr>
          <w:color w:val="000000"/>
          <w:spacing w:val="0"/>
          <w:w w:val="100"/>
          <w:position w:val="0"/>
        </w:rPr>
        <w:t>、费用</w:t>
      </w:r>
      <w:bookmarkEnd w:id="134"/>
      <w:bookmarkEnd w:id="135"/>
      <w:bookmarkEnd w:id="1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17,728,625.40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31,110,274.36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维护费、市场服务费减少所致</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31,008,432.02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35,784,893.47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-13.35%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2,289,465.14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2,579,126.87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19,273,372.00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30,476,536.43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-36.76%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工资福利及劳务费减少所致</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4</w:t>
      </w:r>
      <w:bookmarkEnd w:id="140"/>
      <w:r>
        <w:rPr>
          <w:color w:val="000000"/>
          <w:spacing w:val="0"/>
          <w:w w:val="100"/>
          <w:position w:val="0"/>
        </w:rPr>
        <w:t>、研发投入</w:t>
      </w:r>
      <w:bookmarkEnd w:id="138"/>
      <w:bookmarkEnd w:id="139"/>
      <w:bookmarkEnd w:id="141"/>
    </w:p>
    <w:p>
      <w:pPr>
        <w:pStyle w:val="Style3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18" w:lineRule="exact"/>
        <w:ind w:left="0" w:right="0"/>
        <w:jc w:val="left"/>
      </w:pPr>
      <w:r>
        <w:rPr>
          <w:color w:val="000000"/>
          <w:spacing w:val="0"/>
          <w:w w:val="100"/>
          <w:position w:val="0"/>
        </w:rPr>
        <w:t>公司高度重视技术研发，把研究开发作为一项长期性战略性工作持续加大投入，以市场需求为导向，积极落实政府供给 侧结构改革的指导意见，不断突破创新，开发新产品新工艺，使产品持续升级换代，铸造出以核心技术为导向的综合企业竞 争力。</w:t>
      </w:r>
    </w:p>
    <w:p>
      <w:pPr>
        <w:pStyle w:val="Style34"/>
        <w:keepNext w:val="0"/>
        <w:keepLines w:val="0"/>
        <w:widowControl w:val="0"/>
        <w:shd w:val="clear" w:color="auto" w:fill="auto"/>
        <w:bidi w:val="0"/>
        <w:spacing w:before="0" w:after="100" w:line="318" w:lineRule="exact"/>
        <w:ind w:left="0" w:right="0" w:firstLine="460"/>
        <w:jc w:val="left"/>
      </w:pPr>
      <w:r>
        <w:rPr>
          <w:color w:val="000000"/>
          <w:spacing w:val="0"/>
          <w:w w:val="100"/>
          <w:position w:val="0"/>
        </w:rPr>
        <w:t>报告期内，公司及子公司获得了</w:t>
      </w:r>
      <w:r>
        <w:rPr>
          <w:rFonts w:ascii="Times New Roman" w:eastAsia="Times New Roman" w:hAnsi="Times New Roman" w:cs="Times New Roman"/>
          <w:color w:val="000000"/>
          <w:spacing w:val="0"/>
          <w:w w:val="100"/>
          <w:position w:val="0"/>
        </w:rPr>
        <w:t>6</w:t>
      </w:r>
      <w:r>
        <w:rPr>
          <w:color w:val="000000"/>
          <w:spacing w:val="0"/>
          <w:w w:val="100"/>
          <w:position w:val="0"/>
        </w:rPr>
        <w:t>项发明专利、</w:t>
      </w:r>
      <w:r>
        <w:rPr>
          <w:rFonts w:ascii="Times New Roman" w:eastAsia="Times New Roman" w:hAnsi="Times New Roman" w:cs="Times New Roman"/>
          <w:color w:val="000000"/>
          <w:spacing w:val="0"/>
          <w:w w:val="100"/>
          <w:position w:val="0"/>
        </w:rPr>
        <w:t>7</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w:t>
      </w:r>
      <w:r>
        <w:rPr>
          <w:color w:val="000000"/>
          <w:spacing w:val="0"/>
          <w:w w:val="100"/>
          <w:position w:val="0"/>
        </w:rPr>
        <w:t>项计算机软件著作权登记证书等。公司已经连续十 四年获得</w:t>
      </w:r>
      <w:r>
        <w:rPr>
          <w:rFonts w:ascii="Times New Roman" w:eastAsia="Times New Roman" w:hAnsi="Times New Roman" w:cs="Times New Roman"/>
          <w:color w:val="000000"/>
          <w:spacing w:val="0"/>
          <w:w w:val="100"/>
          <w:position w:val="0"/>
        </w:rPr>
        <w:t>“</w:t>
      </w:r>
      <w:r>
        <w:rPr>
          <w:color w:val="000000"/>
          <w:spacing w:val="0"/>
          <w:w w:val="100"/>
          <w:position w:val="0"/>
        </w:rPr>
        <w:t>广东省诚信示范企业</w:t>
      </w:r>
      <w:r>
        <w:rPr>
          <w:rFonts w:ascii="Times New Roman" w:eastAsia="Times New Roman" w:hAnsi="Times New Roman" w:cs="Times New Roman"/>
          <w:color w:val="000000"/>
          <w:spacing w:val="0"/>
          <w:w w:val="100"/>
          <w:position w:val="0"/>
        </w:rPr>
        <w:t>”</w:t>
      </w:r>
      <w:r>
        <w:rPr>
          <w:color w:val="000000"/>
          <w:spacing w:val="0"/>
          <w:w w:val="100"/>
          <w:position w:val="0"/>
        </w:rPr>
        <w:t>，连续十五年获得</w:t>
      </w:r>
      <w:r>
        <w:rPr>
          <w:rFonts w:ascii="Times New Roman" w:eastAsia="Times New Roman" w:hAnsi="Times New Roman" w:cs="Times New Roman"/>
          <w:color w:val="000000"/>
          <w:spacing w:val="0"/>
          <w:w w:val="100"/>
          <w:position w:val="0"/>
        </w:rPr>
        <w:t>“</w:t>
      </w:r>
      <w:r>
        <w:rPr>
          <w:color w:val="000000"/>
          <w:spacing w:val="0"/>
          <w:w w:val="100"/>
          <w:position w:val="0"/>
        </w:rPr>
        <w:t>广东省守合同重信用企业</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19,273,372.00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30,476,536.43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5</w:t>
      </w:r>
      <w:bookmarkEnd w:id="144"/>
      <w:r>
        <w:rPr>
          <w:color w:val="000000"/>
          <w:spacing w:val="0"/>
          <w:w w:val="100"/>
          <w:position w:val="0"/>
        </w:rPr>
        <w:t>、现金流</w:t>
      </w:r>
      <w:bookmarkEnd w:id="142"/>
      <w:bookmarkEnd w:id="143"/>
      <w:bookmarkEnd w:id="1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232,069,991.81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358,303,605.86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173,440,074.20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255,915,134.92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58,629,917.61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102,388,470.94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10,787,166,214.47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28,207,203,757.12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10,878,705,934.97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28,166,958,110.83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-91,539,720.50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40,245,646.29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65,359,037.32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57,172,144.57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71,483,643.65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126,460,922.32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-6,124,606.33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-69,288,777.75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both"/>
            </w:pPr>
            <w:r>
              <w:rPr>
                <w:color w:val="000000"/>
                <w:spacing w:val="0"/>
                <w:w w:val="100"/>
                <w:position w:val="0"/>
              </w:rPr>
              <w:t>-40,070,749.53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73,727,429.26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-154.35%</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报告期内公司经营活动现金流入比去年同期减少</w:t>
      </w:r>
      <w:r>
        <w:rPr>
          <w:rFonts w:ascii="Times New Roman" w:eastAsia="Times New Roman" w:hAnsi="Times New Roman" w:cs="Times New Roman"/>
          <w:color w:val="000000"/>
          <w:spacing w:val="0"/>
          <w:w w:val="100"/>
          <w:position w:val="0"/>
        </w:rPr>
        <w:t>35.23%</w:t>
      </w:r>
      <w:r>
        <w:rPr>
          <w:color w:val="000000"/>
          <w:spacing w:val="0"/>
          <w:w w:val="100"/>
          <w:position w:val="0"/>
        </w:rPr>
        <w:t>,主要原因是营业收入减少所致；</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报告期内公司经营活动现金流出比去年同期减少</w:t>
      </w:r>
      <w:r>
        <w:rPr>
          <w:rFonts w:ascii="Times New Roman" w:eastAsia="Times New Roman" w:hAnsi="Times New Roman" w:cs="Times New Roman"/>
          <w:color w:val="000000"/>
          <w:spacing w:val="0"/>
          <w:w w:val="100"/>
          <w:position w:val="0"/>
        </w:rPr>
        <w:t>32.23%</w:t>
      </w:r>
      <w:r>
        <w:rPr>
          <w:color w:val="000000"/>
          <w:spacing w:val="0"/>
          <w:w w:val="100"/>
          <w:position w:val="0"/>
        </w:rPr>
        <w:t>，主要原因是原材料采购减少所致；</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报告期内公司经营活动产生的现金流量净额比去年同期减少</w:t>
      </w:r>
      <w:r>
        <w:rPr>
          <w:rFonts w:ascii="Times New Roman" w:eastAsia="Times New Roman" w:hAnsi="Times New Roman" w:cs="Times New Roman"/>
          <w:color w:val="000000"/>
          <w:spacing w:val="0"/>
          <w:w w:val="100"/>
          <w:position w:val="0"/>
        </w:rPr>
        <w:t>42.74%</w:t>
      </w:r>
      <w:r>
        <w:rPr>
          <w:color w:val="000000"/>
          <w:spacing w:val="0"/>
          <w:w w:val="100"/>
          <w:position w:val="0"/>
        </w:rPr>
        <w:t>，主要原因是营业收入减少，且原材料采购减少所致;</w:t>
      </w: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报告期内公司投资活动现金流入比去年同期减少</w:t>
      </w:r>
      <w:r>
        <w:rPr>
          <w:rFonts w:ascii="Times New Roman" w:eastAsia="Times New Roman" w:hAnsi="Times New Roman" w:cs="Times New Roman"/>
          <w:color w:val="000000"/>
          <w:spacing w:val="0"/>
          <w:w w:val="100"/>
          <w:position w:val="0"/>
        </w:rPr>
        <w:t>61.76%</w:t>
      </w:r>
      <w:r>
        <w:rPr>
          <w:color w:val="000000"/>
          <w:spacing w:val="0"/>
          <w:w w:val="100"/>
          <w:position w:val="0"/>
        </w:rPr>
        <w:t>，主要原因是购买金融资产减少所致；</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报告期内公司投资活动现金流出比去年同期减少</w:t>
      </w:r>
      <w:r>
        <w:rPr>
          <w:rFonts w:ascii="Times New Roman" w:eastAsia="Times New Roman" w:hAnsi="Times New Roman" w:cs="Times New Roman"/>
          <w:color w:val="000000"/>
          <w:spacing w:val="0"/>
          <w:w w:val="100"/>
          <w:position w:val="0"/>
        </w:rPr>
        <w:t>61.38%</w:t>
      </w:r>
      <w:r>
        <w:rPr>
          <w:color w:val="000000"/>
          <w:spacing w:val="0"/>
          <w:w w:val="100"/>
          <w:position w:val="0"/>
        </w:rPr>
        <w:t>，主要原因是出售金融资产减少所致；</w:t>
        <w:br w:type="page"/>
      </w:r>
      <w:r>
        <w:rPr>
          <w:color w:val="000000"/>
          <w:spacing w:val="0"/>
          <w:w w:val="100"/>
          <w:position w:val="0"/>
        </w:rPr>
        <w:t>报告期内公司投资活动产生的现金流量净额比去年同期减少</w:t>
      </w:r>
      <w:r>
        <w:rPr>
          <w:rFonts w:ascii="Times New Roman" w:eastAsia="Times New Roman" w:hAnsi="Times New Roman" w:cs="Times New Roman"/>
          <w:color w:val="000000"/>
          <w:spacing w:val="0"/>
          <w:w w:val="100"/>
          <w:position w:val="0"/>
        </w:rPr>
        <w:t>327.465%</w:t>
      </w:r>
      <w:r>
        <w:rPr>
          <w:color w:val="000000"/>
          <w:spacing w:val="0"/>
          <w:w w:val="100"/>
          <w:position w:val="0"/>
        </w:rPr>
        <w:t>,主要原因是金融资产投资减少所致; 报告期内公司筹资活动现金流出比去年同期减少</w:t>
      </w:r>
      <w:r>
        <w:rPr>
          <w:rFonts w:ascii="Times New Roman" w:eastAsia="Times New Roman" w:hAnsi="Times New Roman" w:cs="Times New Roman"/>
          <w:color w:val="000000"/>
          <w:spacing w:val="0"/>
          <w:w w:val="100"/>
          <w:position w:val="0"/>
        </w:rPr>
        <w:t>43.47%</w:t>
      </w:r>
      <w:r>
        <w:rPr>
          <w:color w:val="000000"/>
          <w:spacing w:val="0"/>
          <w:w w:val="100"/>
          <w:position w:val="0"/>
        </w:rPr>
        <w:t>,主要原因是偿还借款减少所致；</w:t>
      </w:r>
    </w:p>
    <w:p>
      <w:pPr>
        <w:pStyle w:val="Style34"/>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报告期内公司筹资活动产生的现金流量净额比去年同期增长</w:t>
      </w:r>
      <w:r>
        <w:rPr>
          <w:rFonts w:ascii="Times New Roman" w:eastAsia="Times New Roman" w:hAnsi="Times New Roman" w:cs="Times New Roman"/>
          <w:color w:val="000000"/>
          <w:spacing w:val="0"/>
          <w:w w:val="100"/>
          <w:position w:val="0"/>
        </w:rPr>
        <w:t>91.16%</w:t>
      </w:r>
      <w:r>
        <w:rPr>
          <w:color w:val="000000"/>
          <w:spacing w:val="0"/>
          <w:w w:val="100"/>
          <w:position w:val="0"/>
        </w:rPr>
        <w:t>，主要原因是偿还借款减少所致。 报告期内公司经营活动产生的现金净流量与本年度净利润存在重大差异的原因说明</w:t>
      </w:r>
    </w:p>
    <w:p>
      <w:pPr>
        <w:pStyle w:val="Style3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534"/>
        <w:gridCol w:w="1982"/>
        <w:gridCol w:w="1853"/>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both"/>
            </w:pPr>
            <w:r>
              <w:rPr>
                <w:rFonts w:ascii="SimSun" w:eastAsia="SimSun" w:hAnsi="SimSun" w:cs="SimSun"/>
                <w:color w:val="000000"/>
                <w:spacing w:val="0"/>
                <w:w w:val="100"/>
                <w:position w:val="0"/>
              </w:rPr>
              <w:t>上期金额</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65,651,712.07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-11,196,957.42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8,456,971.95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10,674,981.18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12,327,002.75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固定资产和投资性房地产折旧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19,625,288.53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23,183,576.12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2,607,559.20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2,653,392.17</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2,434,520.03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2,629,688.25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-289,295.91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4,765,903.19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18,638.58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-16,126,297.84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2,398,769.98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1,756,014.97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3,289,589.15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-39,784,411.77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-95,832,141.25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7,807,263.92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1,729,141.21</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749,730.30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22,139,179.43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29,345,677.39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56,510,704.90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46,473,799.44</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-70,053,896.87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both"/>
            </w:pPr>
            <w:r>
              <w:rPr>
                <w:color w:val="000000"/>
                <w:spacing w:val="0"/>
                <w:w w:val="100"/>
                <w:position w:val="0"/>
              </w:rPr>
              <w:t>-4,825,127.39</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58,629,917.61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102,388,470.94</w:t>
            </w:r>
          </w:p>
        </w:tc>
      </w:tr>
    </w:tbl>
    <w:p>
      <w:pPr>
        <w:widowControl w:val="0"/>
        <w:spacing w:after="619" w:line="1" w:lineRule="exact"/>
      </w:pPr>
    </w:p>
    <w:p>
      <w:pPr>
        <w:pStyle w:val="Style30"/>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sz w:val="24"/>
          <w:szCs w:val="24"/>
        </w:rPr>
        <w:t>三</w:t>
      </w:r>
      <w:bookmarkEnd w:id="148"/>
      <w:r>
        <w:rPr>
          <w:color w:val="000000"/>
          <w:spacing w:val="0"/>
          <w:w w:val="100"/>
          <w:position w:val="0"/>
          <w:sz w:val="24"/>
          <w:szCs w:val="24"/>
        </w:rPr>
        <w:t>、非主营业务分析</w:t>
      </w:r>
      <w:bookmarkEnd w:id="146"/>
      <w:bookmarkEnd w:id="147"/>
      <w:bookmarkEnd w:id="149"/>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both"/>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39,784,411.77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证券投资获利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16,126,297.84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持有证券的市场交易价格上 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-10,674,981.18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存货跌价准备、无形资产减 值准备、固定资产减值准备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342,276.41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收取违约金等</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1,674,112.60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原材料报废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11,196,957.42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计提坏账准备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四</w:t>
      </w:r>
      <w:bookmarkEnd w:id="152"/>
      <w:r>
        <w:rPr>
          <w:color w:val="000000"/>
          <w:spacing w:val="0"/>
          <w:w w:val="100"/>
          <w:position w:val="0"/>
          <w:sz w:val="24"/>
          <w:szCs w:val="24"/>
        </w:rPr>
        <w:t>、资产及负债状况分析</w:t>
      </w:r>
      <w:bookmarkEnd w:id="150"/>
      <w:bookmarkEnd w:id="151"/>
      <w:bookmarkEnd w:id="153"/>
    </w:p>
    <w:p>
      <w:pPr>
        <w:pStyle w:val="Style38"/>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34"/>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119,734,134.0</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160,027,914.03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证券、基金和理财产品投资</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27,487,152.78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56,432,311.35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收回货款</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13,833,389.14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37,919,744.75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减少原材料采购</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424,136,291.0</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430,588,618.53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计提折旧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127,558,631.7</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136,495,601.12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计提折旧</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114,466,368.4</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6.43%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36,408,272.65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建设项目投入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463,191,455.0</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415,664,143.59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证券、基金和理财产品投资</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2,638,990.98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4,222,143.64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一年内到期的非 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9,640,779.78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10,010,147.42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6,546,851.78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4,530,988.81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待抵扣进项税增加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其他非流动金融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386,885,702.4</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377,570,619.87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股权投资变动</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55,303,750.99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60,629,621.71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16,850,030.89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24,657,294.81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26,282,451.04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24,690,241.90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10,715,839.39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17,898,090.95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45,244,596.58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支付工程款</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一年内到期的非 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8,336,694.54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4,410,404.98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一年内到期的长期应付款增加</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both"/>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0"/>
        <w:gridCol w:w="1094"/>
        <w:gridCol w:w="1090"/>
        <w:gridCol w:w="1090"/>
        <w:gridCol w:w="1094"/>
        <w:gridCol w:w="1090"/>
        <w:gridCol w:w="965"/>
        <w:gridCol w:w="970"/>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本期公允价 值变动损益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本期计提的 减值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415,664,143.5</w:t>
            </w:r>
          </w:p>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6,811,215.24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10,787,218,76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10,776,695,50</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463,191,455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其他权益工 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377,570,619.8</w:t>
            </w:r>
          </w:p>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9,315,082.60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386,885,702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金融资产小 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793,234,763.4</w:t>
            </w:r>
          </w:p>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16,126,297.84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10,787,218,76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10,776,695,50</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850,077,157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793,234,763.4</w:t>
            </w:r>
          </w:p>
          <w:p>
            <w:pPr>
              <w:pStyle w:val="Style27"/>
              <w:keepNext w:val="0"/>
              <w:keepLines w:val="0"/>
              <w:widowControl w:val="0"/>
              <w:shd w:val="clear" w:color="auto" w:fill="auto"/>
              <w:bidi w:val="0"/>
              <w:spacing w:before="0" w:after="0" w:line="240" w:lineRule="auto"/>
              <w:ind w:left="0" w:right="0" w:firstLine="960"/>
              <w:jc w:val="both"/>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16,126,297.84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10,787,218,76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10,776,695,50</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850,077,157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其他变动的内容</w:t>
      </w:r>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、截至报告期末的资产权利受限情况</w:t>
      </w:r>
      <w:bookmarkEnd w:id="162"/>
      <w:bookmarkEnd w:id="163"/>
      <w:bookmarkEnd w:id="165"/>
    </w:p>
    <w:tbl>
      <w:tblPr>
        <w:tblOverlap w:val="never"/>
        <w:jc w:val="center"/>
        <w:tblLayout w:type="fixed"/>
      </w:tblPr>
      <w:tblGrid>
        <w:gridCol w:w="3269"/>
        <w:gridCol w:w="3259"/>
        <w:gridCol w:w="2990"/>
      </w:tblGrid>
      <w:tr>
        <w:trPr>
          <w:trHeight w:val="350" w:hRule="exact"/>
        </w:trPr>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履约保证金</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196,259,134.86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抵押借款</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13,487,506.80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抵押借款</w:t>
            </w:r>
          </w:p>
        </w:tc>
      </w:tr>
      <w:tr>
        <w:trPr>
          <w:trHeight w:val="360" w:hRule="exact"/>
        </w:trPr>
        <w:tc>
          <w:tcPr>
            <w:tcBorders>
              <w:top w:val="single" w:sz="4"/>
              <w:left w:val="single" w:sz="4"/>
              <w:bottom w:val="single" w:sz="4"/>
            </w:tcBorders>
            <w:shd w:val="clear" w:color="auto" w:fill="C0C0C0"/>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209,801,442.66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0"/>
        <w:keepNext/>
        <w:keepLines/>
        <w:widowControl w:val="0"/>
        <w:shd w:val="clear" w:color="auto" w:fill="auto"/>
        <w:bidi w:val="0"/>
        <w:spacing w:before="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五</w:t>
      </w:r>
      <w:bookmarkEnd w:id="168"/>
      <w:r>
        <w:rPr>
          <w:color w:val="000000"/>
          <w:spacing w:val="0"/>
          <w:w w:val="100"/>
          <w:position w:val="0"/>
          <w:sz w:val="24"/>
          <w:szCs w:val="24"/>
        </w:rPr>
        <w:t>、投资状况分析</w:t>
      </w:r>
      <w:bookmarkEnd w:id="166"/>
      <w:bookmarkEnd w:id="167"/>
      <w:bookmarkEnd w:id="169"/>
    </w:p>
    <w:p>
      <w:pPr>
        <w:pStyle w:val="Style38"/>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78,058,095.77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57,573,332.70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35.58%</w:t>
            </w:r>
          </w:p>
        </w:tc>
      </w:tr>
    </w:tbl>
    <w:p>
      <w:pPr>
        <w:spacing w:lineRule="exact" w:line="1"/>
        <w:rPr>
          <w:sz w:val="2"/>
          <w:szCs w:val="2"/>
        </w:rPr>
      </w:pPr>
      <w:r>
        <w:br w:type="page"/>
      </w:r>
    </w:p>
    <w:p>
      <w:pPr>
        <w:pStyle w:val="Style38"/>
        <w:keepNext/>
        <w:keepLines/>
        <w:widowControl w:val="0"/>
        <w:shd w:val="clear" w:color="auto" w:fill="auto"/>
        <w:tabs>
          <w:tab w:pos="378" w:val="left"/>
        </w:tabs>
        <w:bidi w:val="0"/>
        <w:spacing w:before="0" w:line="240" w:lineRule="auto"/>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报告期内获取的重大的股权投资情况</w:t>
      </w:r>
      <w:bookmarkEnd w:id="174"/>
      <w:bookmarkEnd w:id="175"/>
      <w:bookmarkEnd w:id="177"/>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投资方 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是否为 固定资 产投资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投资项 目涉及 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本报告 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rPr>
              <w:t>预计收</w:t>
            </w:r>
          </w:p>
          <w:p>
            <w:pPr>
              <w:pStyle w:val="Style27"/>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rFonts w:ascii="SimSun" w:eastAsia="SimSun" w:hAnsi="SimSun" w:cs="SimSun"/>
                <w:color w:val="000000"/>
                <w:spacing w:val="0"/>
                <w:w w:val="100"/>
                <w:position w:val="0"/>
              </w:rPr>
              <w:t xml:space="preserve">截止报 告期末 累计实 现的收 </w:t>
            </w: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披露日 期（如</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披露索 引（如</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有）</w:t>
            </w:r>
          </w:p>
        </w:tc>
      </w:tr>
      <w:tr>
        <w:trPr>
          <w:trHeight w:val="601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御银金 融电子 高新科 技园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专用设 备制造 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78,058,0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114,466,</w:t>
            </w:r>
          </w:p>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尚未完</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 容详见 巨潮资 讯网</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 xml:space="preserve">http:// </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cn）</w:t>
            </w:r>
            <w:r>
              <w:rPr>
                <w:rFonts w:ascii="SimSun" w:eastAsia="SimSun" w:hAnsi="SimSun" w:cs="SimSun"/>
                <w:color w:val="000000"/>
                <w:spacing w:val="0"/>
                <w:w w:val="100"/>
                <w:position w:val="0"/>
              </w:rPr>
              <w:t>的《关 于全资 孙公司 投资建 设高新 科技园 项目的 的公告》</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（公告 编号： </w:t>
            </w:r>
            <w:r>
              <w:rPr>
                <w:color w:val="000000"/>
                <w:spacing w:val="0"/>
                <w:w w:val="100"/>
                <w:position w:val="0"/>
              </w:rPr>
              <w:t>2018-00 7</w:t>
            </w:r>
            <w:r>
              <w:rPr>
                <w:rFonts w:ascii="SimSun" w:eastAsia="SimSun" w:hAnsi="SimSun" w:cs="SimSun"/>
                <w:color w:val="000000"/>
                <w:spacing w:val="0"/>
                <w:w w:val="100"/>
                <w:position w:val="0"/>
              </w:rPr>
              <w:t>号）</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78,058,0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114,466,</w:t>
            </w:r>
          </w:p>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368.42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、金融资产投资</w:t>
      </w:r>
      <w:bookmarkEnd w:id="182"/>
      <w:bookmarkEnd w:id="183"/>
      <w:bookmarkEnd w:id="185"/>
    </w:p>
    <w:p>
      <w:pPr>
        <w:pStyle w:val="Style41"/>
        <w:keepNext/>
        <w:keepLines/>
        <w:widowControl w:val="0"/>
        <w:shd w:val="clear" w:color="auto" w:fill="auto"/>
        <w:bidi w:val="0"/>
        <w:spacing w:before="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6"/>
      <w:bookmarkEnd w:id="187"/>
      <w:bookmarkEnd w:id="189"/>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686"/>
        <w:gridCol w:w="682"/>
        <w:gridCol w:w="706"/>
        <w:gridCol w:w="682"/>
        <w:gridCol w:w="682"/>
        <w:gridCol w:w="682"/>
        <w:gridCol w:w="682"/>
        <w:gridCol w:w="677"/>
        <w:gridCol w:w="682"/>
        <w:gridCol w:w="682"/>
        <w:gridCol w:w="682"/>
        <w:gridCol w:w="682"/>
        <w:gridCol w:w="677"/>
        <w:gridCol w:w="696"/>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证券品 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证券简 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最初投</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资成本</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会计计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量模式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期初账</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本期公</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允价值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计入权</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益的累</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本期购</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买金额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本期出 售金额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 损益</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期末账</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面价值</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会计核 算科目</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r>
    </w:tbl>
    <w:p>
      <w:pPr>
        <w:spacing w:lineRule="exact" w:line="1"/>
        <w:rPr>
          <w:sz w:val="2"/>
          <w:szCs w:val="2"/>
        </w:rPr>
      </w:pPr>
      <w:r>
        <w:br w:type="page"/>
      </w:r>
    </w:p>
    <w:tbl>
      <w:tblPr>
        <w:tblOverlap w:val="never"/>
        <w:jc w:val="center"/>
        <w:tblLayout w:type="fixed"/>
      </w:tblPr>
      <w:tblGrid>
        <w:gridCol w:w="686"/>
        <w:gridCol w:w="682"/>
        <w:gridCol w:w="706"/>
        <w:gridCol w:w="682"/>
        <w:gridCol w:w="682"/>
        <w:gridCol w:w="682"/>
        <w:gridCol w:w="682"/>
        <w:gridCol w:w="677"/>
        <w:gridCol w:w="682"/>
        <w:gridCol w:w="682"/>
        <w:gridCol w:w="682"/>
        <w:gridCol w:w="682"/>
        <w:gridCol w:w="677"/>
        <w:gridCol w:w="696"/>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变动损</w:t>
            </w:r>
          </w:p>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计公允 价值变 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513050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中概互</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87,488,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014.30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7,018,9</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182,774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,860.07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113,901,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260.99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9,102,0</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79.70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85,049,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667.50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境内外</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腾讯控</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295,719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,671.98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33,645,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1,047,4</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579,195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,279.17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519,099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-32,669,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61,709,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044.80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009689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易方达</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瑞锦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1,788,5</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1,788,5</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51,787,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541.39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境内外</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03690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33,251,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331.89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235,982</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146,961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109,847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,413.50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1,017,4</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77.01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44,630,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485.92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000404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易基新 兴成长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352,217</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352,217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20,352,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217.80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易基消 费行业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317,752</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317,752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20,317,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752.32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易基医</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疗行业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214,052</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214,052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20,214,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052.18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境内外</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002594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比亚迪</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15,998,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714.36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2,051,7</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15,998,</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2,049,3</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18,050,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513500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标普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23,829,</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589.60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699,162</w:t>
            </w:r>
          </w:p>
          <w:p>
            <w:pPr>
              <w:pStyle w:val="Style2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23,829,</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589.60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5,841,8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-249,27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17,738,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475.60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513100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纳指</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ETF</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21,854,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915.96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-1,261,0</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21,854,</w:t>
            </w:r>
          </w:p>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915.96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5,897,8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-946,93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15,144,</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交易性 金融资 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自有资</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r>
      <w:tr>
        <w:trPr>
          <w:trHeight w:val="1339" w:hRule="exact"/>
        </w:trPr>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期末持有的其他证券投资</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161,200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,355.13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-8,429,3</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1,130,0</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70,398.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1,024,3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22,031.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-5,160,5</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108,197</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,247.53</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1339"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749,342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,593.22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34,712,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4,035,4</w:t>
            </w:r>
          </w:p>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88.59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2,210,6</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85,226.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1,778,9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09,710.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-24,184,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928.06</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463,191</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,455.04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bl>
    <w:tbl>
      <w:tblPr>
        <w:tblOverlap w:val="never"/>
        <w:jc w:val="center"/>
        <w:tblLayout w:type="fixed"/>
      </w:tblPr>
      <w:tblGrid>
        <w:gridCol w:w="2074"/>
        <w:gridCol w:w="750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证券投资审批董事会公告 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证券投资审批股东会公告 披露日期(如有</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bl>
    <w:p>
      <w:pPr>
        <w:widowControl w:val="0"/>
        <w:spacing w:after="359" w:line="1" w:lineRule="exact"/>
      </w:pPr>
    </w:p>
    <w:p>
      <w:pPr>
        <w:pStyle w:val="Style41"/>
        <w:keepNext/>
        <w:keepLines/>
        <w:widowControl w:val="0"/>
        <w:numPr>
          <w:ilvl w:val="0"/>
          <w:numId w:val="1"/>
        </w:numPr>
        <w:shd w:val="clear" w:color="auto" w:fill="auto"/>
        <w:bidi w:val="0"/>
        <w:spacing w:before="0" w:after="36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衍生品投资情况</w:t>
      </w:r>
      <w:bookmarkEnd w:id="190"/>
      <w:bookmarkEnd w:id="191"/>
      <w:bookmarkEnd w:id="19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8"/>
        <w:keepNext/>
        <w:keepLines/>
        <w:widowControl w:val="0"/>
        <w:shd w:val="clear" w:color="auto" w:fill="auto"/>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、募集资金使用情况</w:t>
      </w:r>
      <w:bookmarkEnd w:id="194"/>
      <w:bookmarkEnd w:id="195"/>
      <w:bookmarkEnd w:id="19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30"/>
        <w:keepNext/>
        <w:keepLines/>
        <w:widowControl w:val="0"/>
        <w:shd w:val="clear" w:color="auto" w:fill="auto"/>
        <w:tabs>
          <w:tab w:pos="517"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六</w:t>
      </w:r>
      <w:bookmarkEnd w:id="200"/>
      <w:r>
        <w:rPr>
          <w:color w:val="000000"/>
          <w:spacing w:val="0"/>
          <w:w w:val="100"/>
          <w:position w:val="0"/>
          <w:sz w:val="24"/>
          <w:szCs w:val="24"/>
        </w:rPr>
        <w:t>、</w:t>
        <w:tab/>
        <w:t>重大资产和股权出售</w:t>
      </w:r>
      <w:bookmarkEnd w:id="198"/>
      <w:bookmarkEnd w:id="199"/>
      <w:bookmarkEnd w:id="201"/>
    </w:p>
    <w:p>
      <w:pPr>
        <w:pStyle w:val="Style38"/>
        <w:keepNext/>
        <w:keepLines/>
        <w:widowControl w:val="0"/>
        <w:shd w:val="clear" w:color="auto" w:fill="auto"/>
        <w:tabs>
          <w:tab w:pos="407"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出售重大资产情况</w:t>
      </w:r>
      <w:bookmarkEnd w:id="202"/>
      <w:bookmarkEnd w:id="203"/>
      <w:bookmarkEnd w:id="20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8"/>
        <w:keepNext/>
        <w:keepLines/>
        <w:widowControl w:val="0"/>
        <w:shd w:val="clear" w:color="auto" w:fill="auto"/>
        <w:tabs>
          <w:tab w:pos="407"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2</w:t>
      </w:r>
      <w:bookmarkEnd w:id="208"/>
      <w:r>
        <w:rPr>
          <w:color w:val="000000"/>
          <w:spacing w:val="0"/>
          <w:w w:val="100"/>
          <w:position w:val="0"/>
        </w:rPr>
        <w:t>、</w:t>
        <w:tab/>
        <w:t>出售重大股权情况</w:t>
      </w:r>
      <w:bookmarkEnd w:id="206"/>
      <w:bookmarkEnd w:id="207"/>
      <w:bookmarkEnd w:id="20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七</w:t>
      </w:r>
      <w:bookmarkEnd w:id="212"/>
      <w:r>
        <w:rPr>
          <w:color w:val="000000"/>
          <w:spacing w:val="0"/>
          <w:w w:val="100"/>
          <w:position w:val="0"/>
          <w:sz w:val="24"/>
          <w:szCs w:val="24"/>
        </w:rPr>
        <w:t>、</w:t>
        <w:tab/>
        <w:t>主要控股参股公司分析</w:t>
      </w:r>
      <w:bookmarkEnd w:id="210"/>
      <w:bookmarkEnd w:id="211"/>
      <w:bookmarkEnd w:id="21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安徽御银电 子科技有限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自动柜员机 及点钞机设 备的研发、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1,706,260.33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1,420,024.29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1,428,590.32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1,428,290.32</w:t>
            </w:r>
          </w:p>
        </w:tc>
      </w:tr>
      <w:tr>
        <w:trPr>
          <w:trHeight w:val="196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广州御银自 动柜员机技 术有限公司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电子产品、 金融机具设 备、自动柜 员机的研 究、开发、 销售</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50,000,000.0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121,567,613.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114,991,193.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6,032,139.19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4,898,259.67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2,838,460.95</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134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广州御新软 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自动柜员机 及点钞机设 备的研发、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104,948,192.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102,514,596.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765,335.19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44,151,534.1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33,138,390.8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御银科技（香 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10,177,283.2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1,930,074.25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617,239.14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-90,797.47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-91,184.53</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御银（中国） 科技国际有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both"/>
            </w:pPr>
            <w:r>
              <w:rPr>
                <w:color w:val="000000"/>
                <w:spacing w:val="0"/>
                <w:w w:val="100"/>
                <w:position w:val="0"/>
              </w:rPr>
              <w:t xml:space="preserve">1,000,000 </w:t>
            </w:r>
            <w:r>
              <w:rPr>
                <w:rFonts w:ascii="SimSun" w:eastAsia="SimSun" w:hAnsi="SimSun" w:cs="SimSun"/>
                <w:color w:val="000000"/>
                <w:spacing w:val="0"/>
                <w:w w:val="100"/>
                <w:position w:val="0"/>
              </w:rPr>
              <w:t>美 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584,462.24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200,831.54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200,831.54</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广州御银信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软件和信息 技术服务业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12,634,083.8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-1,372,622.6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2,150,943.35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73,960,799.0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55,602,202.2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广州御银智 能科技有限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对柜员机进 行维护及管 理，对现金 及有价证券 清分处理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32,084,247.6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-7,402,797.8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60,341,488.8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-2,916,106.7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-6,000,136.1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广州御银自 动柜员机科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电子产品、 金融机具设 备、自动柜 员机的研 究、开发、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228,796,929.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181,603,572.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2,509,793.13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14,619,219.4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10,472,678.7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8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北京御新智 合科技有限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技术开发、 技术服务、 技术研究、 软件开发、 系统集成服 务、销售电 子产品、计 算机软件及 辅助设备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28,838,277.7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28,139,770.5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506,857.15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-374,962.80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-374,962.80</w:t>
            </w:r>
          </w:p>
        </w:tc>
      </w:tr>
      <w:tr>
        <w:trPr>
          <w:trHeight w:val="317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北京御新赢 创科技有限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 技术服务、 技术咨询、 软件开发、 软件服务、 产品设计、 工程技术咨 询、计算机 系统集成服 务、销售电</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18,537,798.6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18,537,798.6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-612,656.25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-612,656.25</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子产品、计 算机软件及 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北京御新科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技术开发、 技术咨询、 技术服务、 软件开发、 计算机系统 服务、销售 计算机软件 及辅助设备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18,458,141.5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18,458,141.5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-613,838.96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-613,838.96</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广东小炬人 创业园有限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9,458,796.03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9,452,721.56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2,171,679.49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1,615,439.32</w:t>
            </w:r>
          </w:p>
        </w:tc>
      </w:tr>
      <w:tr>
        <w:trPr>
          <w:trHeight w:val="352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北京天成智 合科技有限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技术开发、 技术咨询、 技术服务； 软件开发； 计算机系统 服务；产品 设计；销售 计算机、软 件及辅助设 备、电子产 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28,458,999.0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28,403,741.8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473,523.81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-337,041.71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-336,851.23</w:t>
            </w:r>
          </w:p>
        </w:tc>
      </w:tr>
      <w:tr>
        <w:trPr>
          <w:trHeight w:val="570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广州十方软 件科技有限 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信息系统集 成服务</w:t>
            </w:r>
            <w:r>
              <w:rPr>
                <w:color w:val="000000"/>
                <w:spacing w:val="0"/>
                <w:w w:val="100"/>
                <w:position w:val="0"/>
              </w:rPr>
              <w:t>;</w:t>
            </w:r>
            <w:r>
              <w:rPr>
                <w:rFonts w:ascii="SimSun" w:eastAsia="SimSun" w:hAnsi="SimSun" w:cs="SimSun"/>
                <w:color w:val="000000"/>
                <w:spacing w:val="0"/>
                <w:w w:val="100"/>
                <w:position w:val="0"/>
              </w:rPr>
              <w:t>数据 处理和存储 服务</w:t>
            </w:r>
            <w:r>
              <w:rPr>
                <w:color w:val="000000"/>
                <w:spacing w:val="0"/>
                <w:w w:val="100"/>
                <w:position w:val="0"/>
              </w:rPr>
              <w:t>;</w:t>
            </w:r>
            <w:r>
              <w:rPr>
                <w:rFonts w:ascii="SimSun" w:eastAsia="SimSun" w:hAnsi="SimSun" w:cs="SimSun"/>
                <w:color w:val="000000"/>
                <w:spacing w:val="0"/>
                <w:w w:val="100"/>
                <w:position w:val="0"/>
              </w:rPr>
              <w:t>集成电 路设计</w:t>
            </w:r>
            <w:r>
              <w:rPr>
                <w:color w:val="000000"/>
                <w:spacing w:val="0"/>
                <w:w w:val="100"/>
                <w:position w:val="0"/>
              </w:rPr>
              <w:t>;</w:t>
            </w:r>
            <w:r>
              <w:rPr>
                <w:rFonts w:ascii="SimSun" w:eastAsia="SimSun" w:hAnsi="SimSun" w:cs="SimSun"/>
                <w:color w:val="000000"/>
                <w:spacing w:val="0"/>
                <w:w w:val="100"/>
                <w:position w:val="0"/>
              </w:rPr>
              <w:t>信息 技术咨询服 务</w:t>
            </w:r>
            <w:r>
              <w:rPr>
                <w:color w:val="000000"/>
                <w:spacing w:val="0"/>
                <w:w w:val="100"/>
                <w:position w:val="0"/>
              </w:rPr>
              <w:t>;</w:t>
            </w:r>
            <w:r>
              <w:rPr>
                <w:rFonts w:ascii="SimSun" w:eastAsia="SimSun" w:hAnsi="SimSun" w:cs="SimSun"/>
                <w:color w:val="000000"/>
                <w:spacing w:val="0"/>
                <w:w w:val="100"/>
                <w:position w:val="0"/>
              </w:rPr>
              <w:t>软件服 务</w:t>
            </w:r>
            <w:r>
              <w:rPr>
                <w:color w:val="000000"/>
                <w:spacing w:val="0"/>
                <w:w w:val="100"/>
                <w:position w:val="0"/>
              </w:rPr>
              <w:t>;</w:t>
            </w:r>
            <w:r>
              <w:rPr>
                <w:rFonts w:ascii="SimSun" w:eastAsia="SimSun" w:hAnsi="SimSun" w:cs="SimSun"/>
                <w:color w:val="000000"/>
                <w:spacing w:val="0"/>
                <w:w w:val="100"/>
                <w:position w:val="0"/>
              </w:rPr>
              <w:t>软件测试 服务</w:t>
            </w:r>
            <w:r>
              <w:rPr>
                <w:color w:val="000000"/>
                <w:spacing w:val="0"/>
                <w:w w:val="100"/>
                <w:position w:val="0"/>
              </w:rPr>
              <w:t>;</w:t>
            </w:r>
            <w:r>
              <w:rPr>
                <w:rFonts w:ascii="SimSun" w:eastAsia="SimSun" w:hAnsi="SimSun" w:cs="SimSun"/>
                <w:color w:val="000000"/>
                <w:spacing w:val="0"/>
                <w:w w:val="100"/>
                <w:position w:val="0"/>
              </w:rPr>
              <w:t>软件零 售</w:t>
            </w:r>
            <w:r>
              <w:rPr>
                <w:color w:val="000000"/>
                <w:spacing w:val="0"/>
                <w:w w:val="100"/>
                <w:position w:val="0"/>
              </w:rPr>
              <w:t>;</w:t>
            </w:r>
            <w:r>
              <w:rPr>
                <w:rFonts w:ascii="SimSun" w:eastAsia="SimSun" w:hAnsi="SimSun" w:cs="SimSun"/>
                <w:color w:val="000000"/>
                <w:spacing w:val="0"/>
                <w:w w:val="100"/>
                <w:position w:val="0"/>
              </w:rPr>
              <w:t>软件批 发</w:t>
            </w:r>
            <w:r>
              <w:rPr>
                <w:color w:val="000000"/>
                <w:spacing w:val="0"/>
                <w:w w:val="100"/>
                <w:position w:val="0"/>
              </w:rPr>
              <w:t>;</w:t>
            </w:r>
            <w:r>
              <w:rPr>
                <w:rFonts w:ascii="SimSun" w:eastAsia="SimSun" w:hAnsi="SimSun" w:cs="SimSun"/>
                <w:color w:val="000000"/>
                <w:spacing w:val="0"/>
                <w:w w:val="100"/>
                <w:position w:val="0"/>
              </w:rPr>
              <w:t>计算机技 术开发、技 术服务</w:t>
            </w:r>
            <w:r>
              <w:rPr>
                <w:color w:val="000000"/>
                <w:spacing w:val="0"/>
                <w:w w:val="100"/>
                <w:position w:val="0"/>
              </w:rPr>
              <w:t>;</w:t>
            </w:r>
            <w:r>
              <w:rPr>
                <w:rFonts w:ascii="SimSun" w:eastAsia="SimSun" w:hAnsi="SimSun" w:cs="SimSun"/>
                <w:color w:val="000000"/>
                <w:spacing w:val="0"/>
                <w:w w:val="100"/>
                <w:position w:val="0"/>
              </w:rPr>
              <w:t>商品 信息咨询服 务</w:t>
            </w:r>
            <w:r>
              <w:rPr>
                <w:color w:val="000000"/>
                <w:spacing w:val="0"/>
                <w:w w:val="100"/>
                <w:position w:val="0"/>
              </w:rPr>
              <w:t>;</w:t>
            </w:r>
            <w:r>
              <w:rPr>
                <w:rFonts w:ascii="SimSun" w:eastAsia="SimSun" w:hAnsi="SimSun" w:cs="SimSun"/>
                <w:color w:val="000000"/>
                <w:spacing w:val="0"/>
                <w:w w:val="100"/>
                <w:position w:val="0"/>
              </w:rPr>
              <w:t>科技信息 咨询服务</w:t>
            </w:r>
            <w:r>
              <w:rPr>
                <w:color w:val="000000"/>
                <w:spacing w:val="0"/>
                <w:w w:val="100"/>
                <w:position w:val="0"/>
              </w:rPr>
              <w:t>;</w:t>
            </w:r>
            <w:r>
              <w:rPr>
                <w:rFonts w:ascii="SimSun" w:eastAsia="SimSun" w:hAnsi="SimSun" w:cs="SimSun"/>
                <w:color w:val="000000"/>
                <w:spacing w:val="0"/>
                <w:w w:val="100"/>
                <w:position w:val="0"/>
              </w:rPr>
              <w:t>科 技项目代理 服务</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27,365,716.5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27,008,643.5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1,929,720.22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1,293,104.05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1,334,377.60</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196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广州御银金 融电子设备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电子产品、 金融机具设 备、自动柜 员机的研 究、开发、 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315,000,000.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164,668,207.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63,202,122.2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1,209,060.42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769,962.10</w:t>
            </w:r>
          </w:p>
        </w:tc>
      </w:tr>
      <w:tr>
        <w:trPr>
          <w:trHeight w:val="570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广州同位素 智能科技有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科技信息咨 询服务</w:t>
            </w:r>
            <w:r>
              <w:rPr>
                <w:color w:val="000000"/>
                <w:spacing w:val="0"/>
                <w:w w:val="100"/>
                <w:position w:val="0"/>
              </w:rPr>
              <w:t>;</w:t>
            </w:r>
            <w:r>
              <w:rPr>
                <w:rFonts w:ascii="SimSun" w:eastAsia="SimSun" w:hAnsi="SimSun" w:cs="SimSun"/>
                <w:color w:val="000000"/>
                <w:spacing w:val="0"/>
                <w:w w:val="100"/>
                <w:position w:val="0"/>
              </w:rPr>
              <w:t>科技 项目代理服 务</w:t>
            </w:r>
            <w:r>
              <w:rPr>
                <w:color w:val="000000"/>
                <w:spacing w:val="0"/>
                <w:w w:val="100"/>
                <w:position w:val="0"/>
              </w:rPr>
              <w:t>;</w:t>
            </w:r>
            <w:r>
              <w:rPr>
                <w:rFonts w:ascii="SimSun" w:eastAsia="SimSun" w:hAnsi="SimSun" w:cs="SimSun"/>
                <w:color w:val="000000"/>
                <w:spacing w:val="0"/>
                <w:w w:val="100"/>
                <w:position w:val="0"/>
              </w:rPr>
              <w:t>场地租赁</w:t>
            </w:r>
          </w:p>
          <w:p>
            <w:pPr>
              <w:pStyle w:val="Style2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（不含仓 储）</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物业管 理</w:t>
            </w:r>
            <w:r>
              <w:rPr>
                <w:color w:val="000000"/>
                <w:spacing w:val="0"/>
                <w:w w:val="100"/>
                <w:position w:val="0"/>
              </w:rPr>
              <w:t>;</w:t>
            </w:r>
            <w:r>
              <w:rPr>
                <w:rFonts w:ascii="SimSun" w:eastAsia="SimSun" w:hAnsi="SimSun" w:cs="SimSun"/>
                <w:color w:val="000000"/>
                <w:spacing w:val="0"/>
                <w:w w:val="100"/>
                <w:position w:val="0"/>
              </w:rPr>
              <w:t>专利服 务</w:t>
            </w:r>
            <w:r>
              <w:rPr>
                <w:color w:val="000000"/>
                <w:spacing w:val="0"/>
                <w:w w:val="100"/>
                <w:position w:val="0"/>
              </w:rPr>
              <w:t>;</w:t>
            </w:r>
            <w:r>
              <w:rPr>
                <w:rFonts w:ascii="SimSun" w:eastAsia="SimSun" w:hAnsi="SimSun" w:cs="SimSun"/>
                <w:color w:val="000000"/>
                <w:spacing w:val="0"/>
                <w:w w:val="100"/>
                <w:position w:val="0"/>
              </w:rPr>
              <w:t>商标代理 等服务</w:t>
            </w:r>
            <w:r>
              <w:rPr>
                <w:color w:val="000000"/>
                <w:spacing w:val="0"/>
                <w:w w:val="100"/>
                <w:position w:val="0"/>
              </w:rPr>
              <w:t>;</w:t>
            </w:r>
            <w:r>
              <w:rPr>
                <w:rFonts w:ascii="SimSun" w:eastAsia="SimSun" w:hAnsi="SimSun" w:cs="SimSun"/>
                <w:color w:val="000000"/>
                <w:spacing w:val="0"/>
                <w:w w:val="100"/>
                <w:position w:val="0"/>
              </w:rPr>
              <w:t>版权 服务</w:t>
            </w:r>
            <w:r>
              <w:rPr>
                <w:color w:val="000000"/>
                <w:spacing w:val="0"/>
                <w:w w:val="100"/>
                <w:position w:val="0"/>
              </w:rPr>
              <w:t>;</w:t>
            </w:r>
            <w:r>
              <w:rPr>
                <w:rFonts w:ascii="SimSun" w:eastAsia="SimSun" w:hAnsi="SimSun" w:cs="SimSun"/>
                <w:color w:val="000000"/>
                <w:spacing w:val="0"/>
                <w:w w:val="100"/>
                <w:position w:val="0"/>
              </w:rPr>
              <w:t>软件服 务</w:t>
            </w:r>
            <w:r>
              <w:rPr>
                <w:color w:val="000000"/>
                <w:spacing w:val="0"/>
                <w:w w:val="100"/>
                <w:position w:val="0"/>
              </w:rPr>
              <w:t>;</w:t>
            </w:r>
            <w:r>
              <w:rPr>
                <w:rFonts w:ascii="SimSun" w:eastAsia="SimSun" w:hAnsi="SimSun" w:cs="SimSun"/>
                <w:color w:val="000000"/>
                <w:spacing w:val="0"/>
                <w:w w:val="100"/>
                <w:position w:val="0"/>
              </w:rPr>
              <w:t>工商登记 代理服务</w:t>
            </w:r>
            <w:r>
              <w:rPr>
                <w:color w:val="000000"/>
                <w:spacing w:val="0"/>
                <w:w w:val="100"/>
                <w:position w:val="0"/>
              </w:rPr>
              <w:t>;</w:t>
            </w:r>
            <w:r>
              <w:rPr>
                <w:rFonts w:ascii="SimSun" w:eastAsia="SimSun" w:hAnsi="SimSun" w:cs="SimSun"/>
                <w:color w:val="000000"/>
                <w:spacing w:val="0"/>
                <w:w w:val="100"/>
                <w:position w:val="0"/>
              </w:rPr>
              <w:t>集 成电路布图 设计代理服 务</w:t>
            </w:r>
            <w:r>
              <w:rPr>
                <w:color w:val="000000"/>
                <w:spacing w:val="0"/>
                <w:w w:val="100"/>
                <w:position w:val="0"/>
              </w:rPr>
              <w:t>;</w:t>
            </w:r>
            <w:r>
              <w:rPr>
                <w:rFonts w:ascii="SimSun" w:eastAsia="SimSun" w:hAnsi="SimSun" w:cs="SimSun"/>
                <w:color w:val="000000"/>
                <w:spacing w:val="0"/>
                <w:w w:val="100"/>
                <w:position w:val="0"/>
              </w:rPr>
              <w:t>企业管理 咨询服务</w:t>
            </w:r>
            <w:r>
              <w:rPr>
                <w:color w:val="000000"/>
                <w:spacing w:val="0"/>
                <w:w w:val="100"/>
                <w:position w:val="0"/>
              </w:rPr>
              <w:t>;</w:t>
            </w:r>
            <w:r>
              <w:rPr>
                <w:rFonts w:ascii="SimSun" w:eastAsia="SimSun" w:hAnsi="SimSun" w:cs="SimSun"/>
                <w:color w:val="000000"/>
                <w:spacing w:val="0"/>
                <w:w w:val="100"/>
                <w:position w:val="0"/>
              </w:rPr>
              <w:t>会 议及展览服 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28,300,000.0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30,494,623.5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1,653,716.35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1,842,943.75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2,831,200.43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2,464,918.10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广州御商信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技术开发、 技术服务、 技术研究、 软件开发等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18,500,000.0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21,734,660.5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21,722,374.7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-359,407.91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-359,399.82</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广州御泰信 息科技有限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技术开发、 技术服务、 技术研究、 软件开发等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96,000,000.0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4,566.57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-4,504.42</w:t>
            </w:r>
          </w:p>
        </w:tc>
      </w:tr>
      <w:tr>
        <w:trPr>
          <w:trHeight w:val="348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广州御联软 件有限公司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信息系统集 成服务</w:t>
            </w:r>
            <w:r>
              <w:rPr>
                <w:color w:val="000000"/>
                <w:spacing w:val="0"/>
                <w:w w:val="100"/>
                <w:position w:val="0"/>
              </w:rPr>
              <w:t>;</w:t>
            </w:r>
            <w:r>
              <w:rPr>
                <w:rFonts w:ascii="SimSun" w:eastAsia="SimSun" w:hAnsi="SimSun" w:cs="SimSun"/>
                <w:color w:val="000000"/>
                <w:spacing w:val="0"/>
                <w:w w:val="100"/>
                <w:position w:val="0"/>
              </w:rPr>
              <w:t>数据 处理和存储 服务</w:t>
            </w:r>
            <w:r>
              <w:rPr>
                <w:color w:val="000000"/>
                <w:spacing w:val="0"/>
                <w:w w:val="100"/>
                <w:position w:val="0"/>
              </w:rPr>
              <w:t>;</w:t>
            </w:r>
            <w:r>
              <w:rPr>
                <w:rFonts w:ascii="SimSun" w:eastAsia="SimSun" w:hAnsi="SimSun" w:cs="SimSun"/>
                <w:color w:val="000000"/>
                <w:spacing w:val="0"/>
                <w:w w:val="100"/>
                <w:position w:val="0"/>
              </w:rPr>
              <w:t>集成电 路设计</w:t>
            </w:r>
            <w:r>
              <w:rPr>
                <w:color w:val="000000"/>
                <w:spacing w:val="0"/>
                <w:w w:val="100"/>
                <w:position w:val="0"/>
              </w:rPr>
              <w:t>;</w:t>
            </w:r>
            <w:r>
              <w:rPr>
                <w:rFonts w:ascii="SimSun" w:eastAsia="SimSun" w:hAnsi="SimSun" w:cs="SimSun"/>
                <w:color w:val="000000"/>
                <w:spacing w:val="0"/>
                <w:w w:val="100"/>
                <w:position w:val="0"/>
              </w:rPr>
              <w:t>信息 技术咨询服 务</w:t>
            </w:r>
            <w:r>
              <w:rPr>
                <w:color w:val="000000"/>
                <w:spacing w:val="0"/>
                <w:w w:val="100"/>
                <w:position w:val="0"/>
              </w:rPr>
              <w:t>;</w:t>
            </w:r>
            <w:r>
              <w:rPr>
                <w:rFonts w:ascii="SimSun" w:eastAsia="SimSun" w:hAnsi="SimSun" w:cs="SimSun"/>
                <w:color w:val="000000"/>
                <w:spacing w:val="0"/>
                <w:w w:val="100"/>
                <w:position w:val="0"/>
              </w:rPr>
              <w:t>软件测试 服务</w:t>
            </w:r>
            <w:r>
              <w:rPr>
                <w:color w:val="000000"/>
                <w:spacing w:val="0"/>
                <w:w w:val="100"/>
                <w:position w:val="0"/>
              </w:rPr>
              <w:t>;</w:t>
            </w:r>
            <w:r>
              <w:rPr>
                <w:rFonts w:ascii="SimSun" w:eastAsia="SimSun" w:hAnsi="SimSun" w:cs="SimSun"/>
                <w:color w:val="000000"/>
                <w:spacing w:val="0"/>
                <w:w w:val="100"/>
                <w:position w:val="0"/>
              </w:rPr>
              <w:t>软件零 售</w:t>
            </w:r>
            <w:r>
              <w:rPr>
                <w:color w:val="000000"/>
                <w:spacing w:val="0"/>
                <w:w w:val="100"/>
                <w:position w:val="0"/>
              </w:rPr>
              <w:t>;</w:t>
            </w:r>
            <w:r>
              <w:rPr>
                <w:rFonts w:ascii="SimSun" w:eastAsia="SimSun" w:hAnsi="SimSun" w:cs="SimSun"/>
                <w:color w:val="000000"/>
                <w:spacing w:val="0"/>
                <w:w w:val="100"/>
                <w:position w:val="0"/>
              </w:rPr>
              <w:t>软件批 发</w:t>
            </w:r>
            <w:r>
              <w:rPr>
                <w:color w:val="000000"/>
                <w:spacing w:val="0"/>
                <w:w w:val="100"/>
                <w:position w:val="0"/>
              </w:rPr>
              <w:t>;</w:t>
            </w:r>
            <w:r>
              <w:rPr>
                <w:rFonts w:ascii="SimSun" w:eastAsia="SimSun" w:hAnsi="SimSun" w:cs="SimSun"/>
                <w:color w:val="000000"/>
                <w:spacing w:val="0"/>
                <w:w w:val="100"/>
                <w:position w:val="0"/>
              </w:rPr>
              <w:t>计算机技 术开发、技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71,876,510.9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54,562,023.7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27,136,017.4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38,333,636.7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37,319,021.0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术服务</w:t>
            </w:r>
            <w:r>
              <w:rPr>
                <w:color w:val="000000"/>
                <w:spacing w:val="0"/>
                <w:w w:val="100"/>
                <w:position w:val="0"/>
              </w:rPr>
              <w:t>;</w:t>
            </w:r>
            <w:r>
              <w:rPr>
                <w:rFonts w:ascii="SimSun" w:eastAsia="SimSun" w:hAnsi="SimSun" w:cs="SimSun"/>
                <w:color w:val="000000"/>
                <w:spacing w:val="0"/>
                <w:w w:val="100"/>
                <w:position w:val="0"/>
              </w:rPr>
              <w:t>商品 信息咨询服 务</w:t>
            </w:r>
            <w:r>
              <w:rPr>
                <w:color w:val="000000"/>
                <w:spacing w:val="0"/>
                <w:w w:val="100"/>
                <w:position w:val="0"/>
              </w:rPr>
              <w:t>;</w:t>
            </w:r>
            <w:r>
              <w:rPr>
                <w:rFonts w:ascii="SimSun" w:eastAsia="SimSun" w:hAnsi="SimSun" w:cs="SimSun"/>
                <w:color w:val="000000"/>
                <w:spacing w:val="0"/>
                <w:w w:val="100"/>
                <w:position w:val="0"/>
              </w:rPr>
              <w:t>科技信息 咨询服务</w:t>
            </w:r>
            <w:r>
              <w:rPr>
                <w:color w:val="000000"/>
                <w:spacing w:val="0"/>
                <w:w w:val="100"/>
                <w:position w:val="0"/>
              </w:rPr>
              <w:t>;</w:t>
            </w:r>
            <w:r>
              <w:rPr>
                <w:rFonts w:ascii="SimSun" w:eastAsia="SimSun" w:hAnsi="SimSun" w:cs="SimSun"/>
                <w:color w:val="000000"/>
                <w:spacing w:val="0"/>
                <w:w w:val="100"/>
                <w:position w:val="0"/>
              </w:rPr>
              <w:t>科 技项目代理 服务</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北京广粤科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技术开发、 技术服务、 技术咨询、 技术推广、 软件开发等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17,427,990.4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-4,092,009.6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-1,345,767.7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-1,345,766.7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601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广州花都稠 州村镇银行 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吸收人民币 存款；发放 人民币短 期、中期和 长期贷款； 办理国内结 算；办理票 据承兑与贴 现；从事同 业拆借；从 事银行卡</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（借记卡） 业务；代理 发行、代理 兑付、承销 政府债券； 代理收付款 项及代理保 险业务。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250,000,000.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4,191,883,96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470,989,509.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120,037,071.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74,332,573.7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54,984,027.5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前海股交投 资控股（深 圳）有限公司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为金融产 品、金融工 具的登记、 托管、挂牌、 鉴（见）证、 转让、过户、 结算等提供 场所、设施 和服务；提 供融资、并 购、资本运 作等服务等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1,177,400,00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2,384,487,43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2,062,477,92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177,324,350.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39,749,980.3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35,058,285.9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佛山海晟金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20,264,748,4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2,549,430,65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656,841,737.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283,698,328.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211,284,877.</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598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融租赁股份</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务；转让和 受让融资租 赁资产；固 定收益类证 券投资业 务；接受承 租人的租赁 保证金；吸 收非银行股 东</w:t>
            </w:r>
            <w:r>
              <w:rPr>
                <w:color w:val="000000"/>
                <w:spacing w:val="0"/>
                <w:w w:val="100"/>
                <w:position w:val="0"/>
              </w:rPr>
              <w:t>3</w:t>
            </w:r>
            <w:r>
              <w:rPr>
                <w:rFonts w:ascii="SimSun" w:eastAsia="SimSun" w:hAnsi="SimSun" w:cs="SimSun"/>
                <w:color w:val="000000"/>
                <w:spacing w:val="0"/>
                <w:w w:val="100"/>
                <w:position w:val="0"/>
              </w:rPr>
              <w:t>个月</w:t>
            </w:r>
          </w:p>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（含）以上 定期存款； 同业拆借； 向金融机构 借款；境外 借款；租赁 物变卖及处 理业务；经 济咨询。</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06.40</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bl>
    <w:p>
      <w:pPr>
        <w:widowControl w:val="0"/>
        <w:spacing w:after="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股权收购</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34"/>
        <w:keepNext w:val="0"/>
        <w:keepLines w:val="0"/>
        <w:widowControl w:val="0"/>
        <w:shd w:val="clear" w:color="auto" w:fill="auto"/>
        <w:bidi w:val="0"/>
        <w:spacing w:before="0" w:after="60" w:line="312" w:lineRule="exact"/>
        <w:ind w:left="0" w:right="0" w:firstLine="0"/>
        <w:jc w:val="left"/>
      </w:pPr>
      <w:r>
        <w:rPr>
          <w:color w:val="000000"/>
          <w:spacing w:val="0"/>
          <w:w w:val="100"/>
          <w:position w:val="0"/>
        </w:rPr>
        <w:t>主要控股参股公司情况说明</w:t>
      </w:r>
    </w:p>
    <w:p>
      <w:pPr>
        <w:pStyle w:val="Style34"/>
        <w:keepNext w:val="0"/>
        <w:keepLines w:val="0"/>
        <w:widowControl w:val="0"/>
        <w:shd w:val="clear" w:color="auto" w:fill="auto"/>
        <w:tabs>
          <w:tab w:pos="334" w:val="left"/>
        </w:tabs>
        <w:bidi w:val="0"/>
        <w:spacing w:before="0" w:after="0" w:line="312" w:lineRule="exact"/>
        <w:ind w:left="0" w:right="0" w:firstLine="0"/>
        <w:jc w:val="left"/>
      </w:pPr>
      <w:bookmarkStart w:id="214" w:name="bookmark214"/>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广州御银自动柜员机技术有限公司净利润较上年同期增长</w:t>
      </w:r>
      <w:r>
        <w:rPr>
          <w:rFonts w:ascii="Times New Roman" w:eastAsia="Times New Roman" w:hAnsi="Times New Roman" w:cs="Times New Roman"/>
          <w:color w:val="000000"/>
          <w:spacing w:val="0"/>
          <w:w w:val="100"/>
          <w:position w:val="0"/>
        </w:rPr>
        <w:t>264.16%</w:t>
      </w:r>
      <w:r>
        <w:rPr>
          <w:color w:val="000000"/>
          <w:spacing w:val="0"/>
          <w:w w:val="100"/>
          <w:position w:val="0"/>
        </w:rPr>
        <w:t>,主要原因是报告期内信用减值损失转回所致。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15" w:name="bookmark215"/>
      <w:r>
        <w:rPr>
          <w:rFonts w:ascii="Times New Roman" w:eastAsia="Times New Roman" w:hAnsi="Times New Roman" w:cs="Times New Roman"/>
          <w:color w:val="000000"/>
          <w:spacing w:val="0"/>
          <w:w w:val="100"/>
          <w:position w:val="0"/>
        </w:rPr>
        <w:t>2</w:t>
      </w:r>
      <w:bookmarkEnd w:id="215"/>
      <w:r>
        <w:rPr>
          <w:color w:val="000000"/>
          <w:spacing w:val="0"/>
          <w:w w:val="100"/>
          <w:position w:val="0"/>
        </w:rPr>
        <w:t>、</w:t>
        <w:tab/>
        <w:t>广州御新软件有限公司净利润较上年同期增长</w:t>
      </w:r>
      <w:r>
        <w:rPr>
          <w:rFonts w:ascii="Times New Roman" w:eastAsia="Times New Roman" w:hAnsi="Times New Roman" w:cs="Times New Roman"/>
          <w:color w:val="000000"/>
          <w:spacing w:val="0"/>
          <w:w w:val="100"/>
          <w:position w:val="0"/>
        </w:rPr>
        <w:t>217.44%</w:t>
      </w:r>
      <w:r>
        <w:rPr>
          <w:color w:val="000000"/>
          <w:spacing w:val="0"/>
          <w:w w:val="100"/>
          <w:position w:val="0"/>
        </w:rPr>
        <w:t>，主要原因是报告期内信用减值损失转回所致。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16" w:name="bookmark216"/>
      <w:r>
        <w:rPr>
          <w:rFonts w:ascii="Times New Roman" w:eastAsia="Times New Roman" w:hAnsi="Times New Roman" w:cs="Times New Roman"/>
          <w:color w:val="000000"/>
          <w:spacing w:val="0"/>
          <w:w w:val="100"/>
          <w:position w:val="0"/>
        </w:rPr>
        <w:t>3</w:t>
      </w:r>
      <w:bookmarkEnd w:id="216"/>
      <w:r>
        <w:rPr>
          <w:color w:val="000000"/>
          <w:spacing w:val="0"/>
          <w:w w:val="100"/>
          <w:position w:val="0"/>
        </w:rPr>
        <w:t>、</w:t>
        <w:tab/>
        <w:t>广州御银信息科技有限公司总资产较上年末减少</w:t>
      </w:r>
      <w:r>
        <w:rPr>
          <w:rFonts w:ascii="Times New Roman" w:eastAsia="Times New Roman" w:hAnsi="Times New Roman" w:cs="Times New Roman"/>
          <w:color w:val="000000"/>
          <w:spacing w:val="0"/>
          <w:w w:val="100"/>
          <w:position w:val="0"/>
        </w:rPr>
        <w:t>76.28%</w:t>
      </w:r>
      <w:r>
        <w:rPr>
          <w:color w:val="000000"/>
          <w:spacing w:val="0"/>
          <w:w w:val="100"/>
          <w:position w:val="0"/>
        </w:rPr>
        <w:t xml:space="preserve">，主要原因是公司归还往来款所致；净利润较上年同期增长 </w:t>
      </w:r>
      <w:r>
        <w:rPr>
          <w:rFonts w:ascii="Times New Roman" w:eastAsia="Times New Roman" w:hAnsi="Times New Roman" w:cs="Times New Roman"/>
          <w:color w:val="000000"/>
          <w:spacing w:val="0"/>
          <w:w w:val="100"/>
          <w:position w:val="0"/>
        </w:rPr>
        <w:t>988.76%</w:t>
      </w:r>
      <w:r>
        <w:rPr>
          <w:color w:val="000000"/>
          <w:spacing w:val="0"/>
          <w:w w:val="100"/>
          <w:position w:val="0"/>
        </w:rPr>
        <w:t>，主要原因是报告期内信用减值损失转回所致。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17" w:name="bookmark217"/>
      <w:r>
        <w:rPr>
          <w:rFonts w:ascii="Times New Roman" w:eastAsia="Times New Roman" w:hAnsi="Times New Roman" w:cs="Times New Roman"/>
          <w:color w:val="000000"/>
          <w:spacing w:val="0"/>
          <w:w w:val="100"/>
          <w:position w:val="0"/>
        </w:rPr>
        <w:t>4</w:t>
      </w:r>
      <w:bookmarkEnd w:id="217"/>
      <w:r>
        <w:rPr>
          <w:color w:val="000000"/>
          <w:spacing w:val="0"/>
          <w:w w:val="100"/>
          <w:position w:val="0"/>
        </w:rPr>
        <w:t>、</w:t>
        <w:tab/>
        <w:t>广州御银智能科技有限公司总资产较上年末减少</w:t>
      </w:r>
      <w:r>
        <w:rPr>
          <w:rFonts w:ascii="Times New Roman" w:eastAsia="Times New Roman" w:hAnsi="Times New Roman" w:cs="Times New Roman"/>
          <w:color w:val="000000"/>
          <w:spacing w:val="0"/>
          <w:w w:val="100"/>
          <w:position w:val="0"/>
        </w:rPr>
        <w:t>44.16%</w:t>
      </w:r>
      <w:r>
        <w:rPr>
          <w:color w:val="000000"/>
          <w:spacing w:val="0"/>
          <w:w w:val="100"/>
          <w:position w:val="0"/>
        </w:rPr>
        <w:t xml:space="preserve">，主要原因是公司归还往来款所致；净利润较上年同期增长 </w:t>
      </w:r>
      <w:r>
        <w:rPr>
          <w:rFonts w:ascii="Times New Roman" w:eastAsia="Times New Roman" w:hAnsi="Times New Roman" w:cs="Times New Roman"/>
          <w:color w:val="000000"/>
          <w:spacing w:val="0"/>
          <w:w w:val="100"/>
          <w:position w:val="0"/>
        </w:rPr>
        <w:t>68.80%</w:t>
      </w:r>
      <w:r>
        <w:rPr>
          <w:color w:val="000000"/>
          <w:spacing w:val="0"/>
          <w:w w:val="100"/>
          <w:position w:val="0"/>
        </w:rPr>
        <w:t>，主要原因是报告期内信用减值损失转回所致。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18" w:name="bookmark218"/>
      <w:r>
        <w:rPr>
          <w:rFonts w:ascii="Times New Roman" w:eastAsia="Times New Roman" w:hAnsi="Times New Roman" w:cs="Times New Roman"/>
          <w:color w:val="000000"/>
          <w:spacing w:val="0"/>
          <w:w w:val="100"/>
          <w:position w:val="0"/>
        </w:rPr>
        <w:t>5</w:t>
      </w:r>
      <w:bookmarkEnd w:id="218"/>
      <w:r>
        <w:rPr>
          <w:color w:val="000000"/>
          <w:spacing w:val="0"/>
          <w:w w:val="100"/>
          <w:position w:val="0"/>
        </w:rPr>
        <w:t>、</w:t>
        <w:tab/>
        <w:t>广州御银自动柜员机科技有限公司总资产较上年末减少</w:t>
      </w:r>
      <w:r>
        <w:rPr>
          <w:rFonts w:ascii="Times New Roman" w:eastAsia="Times New Roman" w:hAnsi="Times New Roman" w:cs="Times New Roman"/>
          <w:color w:val="000000"/>
          <w:spacing w:val="0"/>
          <w:w w:val="100"/>
          <w:position w:val="0"/>
        </w:rPr>
        <w:t>41.64%</w:t>
      </w:r>
      <w:r>
        <w:rPr>
          <w:color w:val="000000"/>
          <w:spacing w:val="0"/>
          <w:w w:val="100"/>
          <w:position w:val="0"/>
        </w:rPr>
        <w:t>，主要原因是公司减少注册资本所致。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19" w:name="bookmark219"/>
      <w:r>
        <w:rPr>
          <w:rFonts w:ascii="Times New Roman" w:eastAsia="Times New Roman" w:hAnsi="Times New Roman" w:cs="Times New Roman"/>
          <w:color w:val="000000"/>
          <w:spacing w:val="0"/>
          <w:w w:val="100"/>
          <w:position w:val="0"/>
        </w:rPr>
        <w:t>6</w:t>
      </w:r>
      <w:bookmarkEnd w:id="219"/>
      <w:r>
        <w:rPr>
          <w:color w:val="000000"/>
          <w:spacing w:val="0"/>
          <w:w w:val="100"/>
          <w:position w:val="0"/>
        </w:rPr>
        <w:t>、</w:t>
        <w:tab/>
        <w:t>广州御银金融电子设备有限公司总资产较上年末增加</w:t>
      </w:r>
      <w:r>
        <w:rPr>
          <w:rFonts w:ascii="Times New Roman" w:eastAsia="Times New Roman" w:hAnsi="Times New Roman" w:cs="Times New Roman"/>
          <w:color w:val="000000"/>
          <w:spacing w:val="0"/>
          <w:w w:val="100"/>
          <w:position w:val="0"/>
        </w:rPr>
        <w:t>40.31%</w:t>
      </w:r>
      <w:r>
        <w:rPr>
          <w:color w:val="000000"/>
          <w:spacing w:val="0"/>
          <w:w w:val="100"/>
          <w:position w:val="0"/>
        </w:rPr>
        <w:t>，主要原因是报告期内在建工程投入所致。</w:t>
      </w:r>
    </w:p>
    <w:p>
      <w:pPr>
        <w:pStyle w:val="Style34"/>
        <w:keepNext w:val="0"/>
        <w:keepLines w:val="0"/>
        <w:widowControl w:val="0"/>
        <w:shd w:val="clear" w:color="auto" w:fill="auto"/>
        <w:tabs>
          <w:tab w:pos="354" w:val="left"/>
        </w:tabs>
        <w:bidi w:val="0"/>
        <w:spacing w:before="0" w:after="0" w:line="312" w:lineRule="exact"/>
        <w:ind w:left="0" w:right="0" w:firstLine="0"/>
        <w:jc w:val="left"/>
      </w:pPr>
      <w:bookmarkStart w:id="220" w:name="bookmark220"/>
      <w:r>
        <w:rPr>
          <w:rFonts w:ascii="Times New Roman" w:eastAsia="Times New Roman" w:hAnsi="Times New Roman" w:cs="Times New Roman"/>
          <w:color w:val="000000"/>
          <w:spacing w:val="0"/>
          <w:w w:val="100"/>
          <w:position w:val="0"/>
        </w:rPr>
        <w:t>7</w:t>
      </w:r>
      <w:bookmarkEnd w:id="220"/>
      <w:r>
        <w:rPr>
          <w:color w:val="000000"/>
          <w:spacing w:val="0"/>
          <w:w w:val="100"/>
          <w:position w:val="0"/>
        </w:rPr>
        <w:t>、</w:t>
        <w:tab/>
        <w:t>广州御联软件有限公司总资产较上年末增加</w:t>
      </w:r>
      <w:r>
        <w:rPr>
          <w:rFonts w:ascii="Times New Roman" w:eastAsia="Times New Roman" w:hAnsi="Times New Roman" w:cs="Times New Roman"/>
          <w:color w:val="000000"/>
          <w:spacing w:val="0"/>
          <w:w w:val="100"/>
          <w:position w:val="0"/>
        </w:rPr>
        <w:t>33.98%</w:t>
      </w:r>
      <w:r>
        <w:rPr>
          <w:color w:val="000000"/>
          <w:spacing w:val="0"/>
          <w:w w:val="100"/>
          <w:position w:val="0"/>
        </w:rPr>
        <w:t>，主要原因是未分配利润增加所致；净利润较上年同期增长</w:t>
      </w:r>
      <w:r>
        <w:rPr>
          <w:rFonts w:ascii="Times New Roman" w:eastAsia="Times New Roman" w:hAnsi="Times New Roman" w:cs="Times New Roman"/>
          <w:color w:val="000000"/>
          <w:spacing w:val="0"/>
          <w:w w:val="100"/>
          <w:position w:val="0"/>
        </w:rPr>
        <w:t>105.29%</w:t>
      </w:r>
      <w:r>
        <w:rPr>
          <w:color w:val="000000"/>
          <w:spacing w:val="0"/>
          <w:w w:val="100"/>
          <w:position w:val="0"/>
        </w:rPr>
        <w:t>, 主要原因是报告期内营业收入增加所致。</w:t>
      </w:r>
    </w:p>
    <w:p>
      <w:pPr>
        <w:pStyle w:val="Style34"/>
        <w:keepNext w:val="0"/>
        <w:keepLines w:val="0"/>
        <w:widowControl w:val="0"/>
        <w:shd w:val="clear" w:color="auto" w:fill="auto"/>
        <w:tabs>
          <w:tab w:pos="354" w:val="left"/>
        </w:tabs>
        <w:bidi w:val="0"/>
        <w:spacing w:before="0" w:after="360" w:line="312" w:lineRule="exact"/>
        <w:ind w:left="0" w:right="0" w:firstLine="0"/>
        <w:jc w:val="left"/>
      </w:pPr>
      <w:bookmarkStart w:id="221" w:name="bookmark221"/>
      <w:r>
        <w:rPr>
          <w:rFonts w:ascii="Times New Roman" w:eastAsia="Times New Roman" w:hAnsi="Times New Roman" w:cs="Times New Roman"/>
          <w:color w:val="000000"/>
          <w:spacing w:val="0"/>
          <w:w w:val="100"/>
          <w:position w:val="0"/>
        </w:rPr>
        <w:t>8</w:t>
      </w:r>
      <w:bookmarkEnd w:id="221"/>
      <w:r>
        <w:rPr>
          <w:color w:val="000000"/>
          <w:spacing w:val="0"/>
          <w:w w:val="100"/>
          <w:position w:val="0"/>
        </w:rPr>
        <w:t>、</w:t>
        <w:tab/>
        <w:t>佛山海晟金融租赁股份有限公司总资产较上年末增加</w:t>
      </w:r>
      <w:r>
        <w:rPr>
          <w:rFonts w:ascii="Times New Roman" w:eastAsia="Times New Roman" w:hAnsi="Times New Roman" w:cs="Times New Roman"/>
          <w:color w:val="000000"/>
          <w:spacing w:val="0"/>
          <w:w w:val="100"/>
          <w:position w:val="0"/>
        </w:rPr>
        <w:t>31.27%</w:t>
      </w:r>
      <w:r>
        <w:rPr>
          <w:color w:val="000000"/>
          <w:spacing w:val="0"/>
          <w:w w:val="100"/>
          <w:position w:val="0"/>
        </w:rPr>
        <w:t>，主要原因是应收融资租赁款增加所致。</w:t>
      </w:r>
    </w:p>
    <w:p>
      <w:pPr>
        <w:pStyle w:val="Style30"/>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、公司控制的结构化主体情况</w:t>
      </w:r>
      <w:bookmarkEnd w:id="222"/>
      <w:bookmarkEnd w:id="223"/>
      <w:bookmarkEnd w:id="225"/>
    </w:p>
    <w:p>
      <w:pPr>
        <w:pStyle w:val="Style34"/>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、公司未来发展的展望</w:t>
      </w:r>
      <w:bookmarkEnd w:id="226"/>
      <w:bookmarkEnd w:id="227"/>
      <w:bookmarkEnd w:id="229"/>
    </w:p>
    <w:p>
      <w:pPr>
        <w:pStyle w:val="Style34"/>
        <w:keepNext w:val="0"/>
        <w:keepLines w:val="0"/>
        <w:widowControl w:val="0"/>
        <w:shd w:val="clear" w:color="auto" w:fill="auto"/>
        <w:bidi w:val="0"/>
        <w:spacing w:before="0" w:after="60" w:line="240" w:lineRule="auto"/>
        <w:ind w:left="0" w:right="0" w:firstLine="660"/>
        <w:jc w:val="both"/>
      </w:pPr>
      <w:bookmarkStart w:id="230" w:name="bookmark230"/>
      <w:r>
        <w:rPr>
          <w:rFonts w:ascii="Times New Roman" w:eastAsia="Times New Roman" w:hAnsi="Times New Roman" w:cs="Times New Roman"/>
          <w:color w:val="000000"/>
          <w:spacing w:val="0"/>
          <w:w w:val="100"/>
          <w:position w:val="0"/>
        </w:rPr>
        <w:t>1</w:t>
      </w:r>
      <w:bookmarkEnd w:id="230"/>
      <w:r>
        <w:rPr>
          <w:color w:val="000000"/>
          <w:spacing w:val="0"/>
          <w:w w:val="100"/>
          <w:position w:val="0"/>
        </w:rPr>
        <w:t>、行业的发展趋势</w:t>
      </w:r>
    </w:p>
    <w:p>
      <w:pPr>
        <w:pStyle w:val="Style34"/>
        <w:keepNext w:val="0"/>
        <w:keepLines w:val="0"/>
        <w:widowControl w:val="0"/>
        <w:shd w:val="clear" w:color="auto" w:fill="auto"/>
        <w:bidi w:val="0"/>
        <w:spacing w:before="0" w:after="0" w:line="316" w:lineRule="exact"/>
        <w:ind w:left="0" w:right="0" w:firstLine="480"/>
        <w:jc w:val="left"/>
      </w:pPr>
      <w:r>
        <w:rPr>
          <w:color w:val="000000"/>
          <w:spacing w:val="0"/>
          <w:w w:val="100"/>
          <w:position w:val="0"/>
        </w:rPr>
        <w:t>根据中国人民银行印发的《金融科技</w:t>
      </w:r>
      <w:r>
        <w:rPr>
          <w:color w:val="000000"/>
          <w:spacing w:val="0"/>
          <w:w w:val="100"/>
          <w:position w:val="0"/>
        </w:rPr>
        <w:t>（</w:t>
      </w:r>
      <w:r>
        <w:rPr>
          <w:rFonts w:ascii="Times New Roman" w:eastAsia="Times New Roman" w:hAnsi="Times New Roman" w:cs="Times New Roman"/>
          <w:color w:val="000000"/>
          <w:spacing w:val="0"/>
          <w:w w:val="100"/>
          <w:position w:val="0"/>
        </w:rPr>
        <w:t>FmTech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i/>
          <w:iCs/>
          <w:color w:val="000000"/>
          <w:spacing w:val="0"/>
          <w:w w:val="100"/>
          <w:position w:val="0"/>
        </w:rPr>
        <w:t>,</w:t>
      </w:r>
      <w:r>
        <w:rPr>
          <w:color w:val="000000"/>
          <w:spacing w:val="0"/>
          <w:w w:val="100"/>
          <w:position w:val="0"/>
        </w:rPr>
        <w:t>央行在金融科技的短期发展目标上提 出，建立健全我国金融科技发展的</w:t>
      </w:r>
      <w:r>
        <w:rPr>
          <w:rFonts w:ascii="Times New Roman" w:eastAsia="Times New Roman" w:hAnsi="Times New Roman" w:cs="Times New Roman"/>
          <w:color w:val="000000"/>
          <w:spacing w:val="0"/>
          <w:w w:val="100"/>
          <w:position w:val="0"/>
        </w:rPr>
        <w:t>“</w:t>
      </w:r>
      <w:r>
        <w:rPr>
          <w:color w:val="000000"/>
          <w:spacing w:val="0"/>
          <w:w w:val="100"/>
          <w:position w:val="0"/>
        </w:rPr>
        <w:t>四梁八柱</w:t>
      </w:r>
      <w:r>
        <w:rPr>
          <w:rFonts w:ascii="Times New Roman" w:eastAsia="Times New Roman" w:hAnsi="Times New Roman" w:cs="Times New Roman"/>
          <w:color w:val="000000"/>
          <w:spacing w:val="0"/>
          <w:w w:val="100"/>
          <w:position w:val="0"/>
        </w:rPr>
        <w:t>”</w:t>
      </w:r>
      <w:r>
        <w:rPr>
          <w:color w:val="000000"/>
          <w:spacing w:val="0"/>
          <w:w w:val="100"/>
          <w:position w:val="0"/>
        </w:rPr>
        <w:t>，进一步增强金融业科技应用能力，实现金融与科技深度融合、协调发展，明 显增强人民群众对数字化、网络化、智能化金融产品和服务的满意度，使我国金融科技发展居于国际领先水平。</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公司通过对算法模型、算力支持等人工智能核心技术的研发，推动人工智能技术在相关金融科技产品上的进一步运用， 根据不同金融业务场景的特征研发创新金融科技产品与服务，探索人工智能技术在身份识别、风险防控等领域的应用路径和 方法。</w:t>
      </w:r>
    </w:p>
    <w:p>
      <w:pPr>
        <w:pStyle w:val="Style34"/>
        <w:keepNext w:val="0"/>
        <w:keepLines w:val="0"/>
        <w:widowControl w:val="0"/>
        <w:shd w:val="clear" w:color="auto" w:fill="auto"/>
        <w:bidi w:val="0"/>
        <w:spacing w:before="0" w:after="0" w:line="316" w:lineRule="exact"/>
        <w:ind w:left="0" w:right="0"/>
        <w:jc w:val="left"/>
      </w:pPr>
      <w:r>
        <w:rPr>
          <w:color w:val="000000"/>
          <w:spacing w:val="0"/>
          <w:w w:val="100"/>
          <w:position w:val="0"/>
        </w:rPr>
        <w:t>通过对安全计算、密码算法、生物识别等信息技术的持续研发投入，协助金融行业建立安全与便捷的多元化身份认证体 系，丰富金融交易的验证手段，保障金融交易的安全可靠，协助客户提升了金融服务的安全性和满意度。保障金融交易过程 的可追溯和不可抵赖，提升金融交易信息的真实性、保密性和完整性。</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加强研发投入，继续探索新技术在金融科技领域的运用，全面提升金融科技的水平，深入把握人工智能发展的特点，稳妥推 进人工智能技术在金融科技领域的深度运用，根据不同金融运用场景的特征来提供创新型的产品与服务，强化金融工具的安 全认证。</w:t>
      </w:r>
    </w:p>
    <w:p>
      <w:pPr>
        <w:pStyle w:val="Style34"/>
        <w:keepNext w:val="0"/>
        <w:keepLines w:val="0"/>
        <w:widowControl w:val="0"/>
        <w:shd w:val="clear" w:color="auto" w:fill="auto"/>
        <w:tabs>
          <w:tab w:pos="760" w:val="left"/>
        </w:tabs>
        <w:bidi w:val="0"/>
        <w:spacing w:before="0" w:after="0" w:line="313" w:lineRule="exact"/>
        <w:ind w:left="0" w:right="0"/>
        <w:jc w:val="left"/>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1</w:t>
      </w:r>
      <w:r>
        <w:rPr>
          <w:color w:val="000000"/>
          <w:spacing w:val="0"/>
          <w:w w:val="100"/>
          <w:position w:val="0"/>
        </w:rPr>
        <w:t>）</w:t>
        <w:tab/>
        <w:t>金融新基建下诞生的转型升级需求</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随着大数据、云计算、人工智能、区块链等前沿技术的发展，带来了海量的新需求，也正在不断助推各行各业中原有 的基础设施转型升级。金融业已是实体经济各行各业发展的基础之一，为了满足实体经济的发展的需求，金融行业也迫切面 临数字化、智能化的转型升级，从而亦从根本上要求金融业的基础设施也能适应新型金融业态、模式或服务的需要。根据 中央全面深化改革委员会第十次会议上关于《统筹监管金融基础设施工作方案》的提出，金融基础设施在连接金融机构、保 障市场运行、服务实体经济、防范金融风险等方面发挥着至关重要的作用，其建设和发展水平直接关系到能否更好发挥金融 功能、推动经济高质量发展，如何有效利用新型的前沿技术优化传统的金融市场硬件设施就成为金融智能设备行业亟待解决 的问题。</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公司紧紧围绕客户需求，致力于在人工智能领域的研发创新，通过生物识别技术从客户身份识别、信息安全管控、风险 防范系统等方面为客户提供不同场景化的解决方案。</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随着银行业网点转型升级的需求提升，通过超级柜台构建数字化、智能化的综合服务平台，提升移动运营、协同作业 能力。自助设备行业作为传统银行提供服务的主要载体，围绕智能机具推出系列场景应用解决方案。综合化、智能化的</w:t>
      </w:r>
      <w:r>
        <w:rPr>
          <w:rFonts w:ascii="Times New Roman" w:eastAsia="Times New Roman" w:hAnsi="Times New Roman" w:cs="Times New Roman"/>
          <w:color w:val="000000"/>
          <w:spacing w:val="0"/>
          <w:w w:val="100"/>
          <w:position w:val="0"/>
        </w:rPr>
        <w:t xml:space="preserve">ATM </w:t>
      </w:r>
      <w:r>
        <w:rPr>
          <w:color w:val="000000"/>
          <w:spacing w:val="0"/>
          <w:w w:val="100"/>
          <w:position w:val="0"/>
        </w:rPr>
        <w:t>自助设备作为线上线下渠道的交汇点，兼具物理渠道和电子渠道的优势，在满足客户需求和推进网点转型，转化呈现各金融 科技成果。</w:t>
      </w:r>
    </w:p>
    <w:p>
      <w:pPr>
        <w:pStyle w:val="Style34"/>
        <w:keepNext w:val="0"/>
        <w:keepLines w:val="0"/>
        <w:widowControl w:val="0"/>
        <w:shd w:val="clear" w:color="auto" w:fill="auto"/>
        <w:tabs>
          <w:tab w:pos="760" w:val="left"/>
        </w:tabs>
        <w:bidi w:val="0"/>
        <w:spacing w:before="0" w:after="0" w:line="312" w:lineRule="exact"/>
        <w:ind w:left="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2</w:t>
      </w:r>
      <w:r>
        <w:rPr>
          <w:color w:val="000000"/>
          <w:spacing w:val="0"/>
          <w:w w:val="100"/>
          <w:position w:val="0"/>
        </w:rPr>
        <w:t>）</w:t>
        <w:tab/>
        <w:t>央行加速推进数字货币</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全球各国央行数字货币推进迅速，据火币研究院报告显示，目前全球约</w:t>
      </w:r>
      <w:r>
        <w:rPr>
          <w:rFonts w:ascii="Times New Roman" w:eastAsia="Times New Roman" w:hAnsi="Times New Roman" w:cs="Times New Roman"/>
          <w:color w:val="000000"/>
          <w:spacing w:val="0"/>
          <w:w w:val="100"/>
          <w:position w:val="0"/>
        </w:rPr>
        <w:t>80%</w:t>
      </w:r>
      <w:r>
        <w:rPr>
          <w:color w:val="000000"/>
          <w:spacing w:val="0"/>
          <w:w w:val="100"/>
          <w:position w:val="0"/>
        </w:rPr>
        <w:t>央行正在从事</w:t>
      </w:r>
      <w:r>
        <w:rPr>
          <w:rFonts w:ascii="Times New Roman" w:eastAsia="Times New Roman" w:hAnsi="Times New Roman" w:cs="Times New Roman"/>
          <w:color w:val="000000"/>
          <w:spacing w:val="0"/>
          <w:w w:val="100"/>
          <w:position w:val="0"/>
        </w:rPr>
        <w:t>CBDC</w:t>
      </w:r>
      <w:r>
        <w:rPr>
          <w:color w:val="000000"/>
          <w:spacing w:val="0"/>
          <w:w w:val="100"/>
          <w:position w:val="0"/>
        </w:rPr>
        <w:t>的研究、实验与开 发，</w:t>
      </w:r>
      <w:r>
        <w:rPr>
          <w:rFonts w:ascii="Times New Roman" w:eastAsia="Times New Roman" w:hAnsi="Times New Roman" w:cs="Times New Roman"/>
          <w:color w:val="000000"/>
          <w:spacing w:val="0"/>
          <w:w w:val="100"/>
          <w:position w:val="0"/>
        </w:rPr>
        <w:t>10%</w:t>
      </w:r>
      <w:r>
        <w:rPr>
          <w:color w:val="000000"/>
          <w:spacing w:val="0"/>
          <w:w w:val="100"/>
          <w:position w:val="0"/>
        </w:rPr>
        <w:t>的国家已上线试点项目。中国央行数字货币</w:t>
      </w:r>
      <w:r>
        <w:rPr>
          <w:rFonts w:ascii="Times New Roman" w:eastAsia="Times New Roman" w:hAnsi="Times New Roman" w:cs="Times New Roman"/>
          <w:color w:val="000000"/>
          <w:spacing w:val="0"/>
          <w:w w:val="100"/>
          <w:position w:val="0"/>
        </w:rPr>
        <w:t>DCEP</w:t>
      </w:r>
      <w:r>
        <w:rPr>
          <w:color w:val="000000"/>
          <w:spacing w:val="0"/>
          <w:w w:val="100"/>
          <w:position w:val="0"/>
        </w:rPr>
        <w:t>已在深圳、苏州、成都、雄安等开展内测，随着央行数字货币 的稳步推进，建设数字人民币生态的需求随之而来，由指定运营机构、商业银行或其他商业机构的共同合作的情况下，要实 现数字货币和流通中现金等同的效应，实现对普惠金融需求的满足，同时也带来了一系列的关于支付产品的设计创新、场景 拓展、市场推广、系统开发、业务处理、运维服务等的机遇和挑战。</w:t>
      </w:r>
    </w:p>
    <w:p>
      <w:pPr>
        <w:pStyle w:val="Style34"/>
        <w:keepNext w:val="0"/>
        <w:keepLines w:val="0"/>
        <w:widowControl w:val="0"/>
        <w:shd w:val="clear" w:color="auto" w:fill="auto"/>
        <w:tabs>
          <w:tab w:pos="760" w:val="left"/>
        </w:tabs>
        <w:bidi w:val="0"/>
        <w:spacing w:before="0" w:after="0" w:line="312" w:lineRule="exact"/>
        <w:ind w:left="0" w:right="0"/>
        <w:jc w:val="left"/>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3</w:t>
      </w:r>
      <w:r>
        <w:rPr>
          <w:color w:val="000000"/>
          <w:spacing w:val="0"/>
          <w:w w:val="100"/>
          <w:position w:val="0"/>
        </w:rPr>
        <w:t>）</w:t>
        <w:tab/>
        <w:t>区块链技术带来产业创新发展</w:t>
      </w:r>
    </w:p>
    <w:p>
      <w:pPr>
        <w:pStyle w:val="Style34"/>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根据中国互联网金融协会发布的《中国区块链金融与应用研究发展报告（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）》显示，在金融科技创新中，大约有 </w:t>
      </w:r>
      <w:r>
        <w:rPr>
          <w:rFonts w:ascii="Times New Roman" w:eastAsia="Times New Roman" w:hAnsi="Times New Roman" w:cs="Times New Roman"/>
          <w:color w:val="000000"/>
          <w:spacing w:val="0"/>
          <w:w w:val="100"/>
          <w:position w:val="0"/>
        </w:rPr>
        <w:t>32.9%</w:t>
      </w:r>
      <w:r>
        <w:rPr>
          <w:color w:val="000000"/>
          <w:spacing w:val="0"/>
          <w:w w:val="100"/>
          <w:position w:val="0"/>
        </w:rPr>
        <w:t>的项目涉及到区块链技术在供应链金融场景中的应用。</w:t>
      </w:r>
    </w:p>
    <w:p>
      <w:pPr>
        <w:pStyle w:val="Style34"/>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目前，全球主要国家都在加快布局区块链技术发展。我国在区块链领域拥有良好基础，加快推动区块链技术和产业创 新发展，积极推进区块链和经济社会融合发展。区块链技术应用已延伸到数字金融、物联网、智能制造、供应链管理、数字 资产交易等多个领域，区块链技术的集成应用在新的技术革新和产业变革中起重要作用。</w:t>
      </w:r>
    </w:p>
    <w:p>
      <w:pPr>
        <w:pStyle w:val="Style34"/>
        <w:keepNext w:val="0"/>
        <w:keepLines w:val="0"/>
        <w:widowControl w:val="0"/>
        <w:shd w:val="clear" w:color="auto" w:fill="auto"/>
        <w:bidi w:val="0"/>
        <w:spacing w:before="0" w:after="0" w:line="313" w:lineRule="exact"/>
        <w:ind w:left="0" w:right="0" w:firstLine="30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4</w:t>
      </w:r>
      <w:r>
        <w:rPr>
          <w:color w:val="000000"/>
          <w:spacing w:val="0"/>
          <w:w w:val="100"/>
          <w:position w:val="0"/>
        </w:rPr>
        <w:t>）智能化云平台运维服务升级增效</w:t>
      </w:r>
    </w:p>
    <w:p>
      <w:pPr>
        <w:pStyle w:val="Style3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随着金融科技的发展，金融新基建是金融科技发展的基础保障，在数字货币、区块链、</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人工智能等新一代信息技 术的发展驱动下，存量设备的改造升级是必然的选择，催生了新的维保市场的需求。而金融设备厂商由于拥有服务链条中最 为核心的自助设备，对于服务市场拥有专业化、规模化、技术先进、经验丰富、原厂保障的在位优势，充分的备件资源与其 通用性，使公司能拓展多品牌多区域的金融设备维保市场。随着新一代信息技术的深入发展，服务体系升级改善，纵向和横 向不同纬度的拓展了金融服务的需求，同时为延伸拓展多领域创新业务提供了技术护航。</w:t>
      </w:r>
    </w:p>
    <w:p>
      <w:pPr>
        <w:pStyle w:val="Style34"/>
        <w:keepNext w:val="0"/>
        <w:keepLines w:val="0"/>
        <w:widowControl w:val="0"/>
        <w:shd w:val="clear" w:color="auto" w:fill="auto"/>
        <w:bidi w:val="0"/>
        <w:spacing w:before="0" w:after="0" w:line="313" w:lineRule="exact"/>
        <w:ind w:left="0" w:right="0" w:firstLine="280"/>
        <w:jc w:val="left"/>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5</w:t>
      </w:r>
      <w:r>
        <w:rPr>
          <w:color w:val="000000"/>
          <w:spacing w:val="0"/>
          <w:w w:val="100"/>
          <w:position w:val="0"/>
        </w:rPr>
        <w:t>）租赁业务稳定增长</w:t>
      </w:r>
    </w:p>
    <w:p>
      <w:pPr>
        <w:pStyle w:val="Style34"/>
        <w:keepNext w:val="0"/>
        <w:keepLines w:val="0"/>
        <w:widowControl w:val="0"/>
        <w:shd w:val="clear" w:color="auto" w:fill="auto"/>
        <w:bidi w:val="0"/>
        <w:spacing w:before="0" w:after="0" w:line="318" w:lineRule="exact"/>
        <w:ind w:left="0" w:right="0" w:firstLine="460"/>
        <w:jc w:val="both"/>
      </w:pPr>
      <w:r>
        <w:rPr>
          <w:color w:val="000000"/>
          <w:spacing w:val="0"/>
          <w:w w:val="100"/>
          <w:position w:val="0"/>
        </w:rPr>
        <w:t>公司自有物业御银科技园和小炬人创芯园物业的对外出租运营带来新的创收。物业所处于商业旺地天河智慧城核心区 域和黄埔区国家级加速器侧，成熟的智慧社区，商业配套，地铁等便利的交通触达。黄埔区内蓬勃向上的科技发展趋势，加 上我们自主研发的智能园区运营管理平台和核心团队，依托现有的大数据、人工智能、区块链、电子货币等新一代信息技术 的赋能，结合我们产业链的资源优势，以提供产学研技术平台为主的科研服务产业，已吸引了无数高端信息企业聚集天河智 慧城和黄埔区两大板块。从目前区域发展及综合市场情况而言，由于政策、交通、配套等完善，所处位置优势十分明显，我 司的产业园运营专业化和智能化优势，带来旺盛的市场需求，也给租赁业务的稳定增长更多的确定性。</w:t>
      </w:r>
    </w:p>
    <w:p>
      <w:pPr>
        <w:pStyle w:val="Style34"/>
        <w:keepNext w:val="0"/>
        <w:keepLines w:val="0"/>
        <w:widowControl w:val="0"/>
        <w:shd w:val="clear" w:color="auto" w:fill="auto"/>
        <w:bidi w:val="0"/>
        <w:spacing w:before="0" w:after="0" w:line="318" w:lineRule="exact"/>
        <w:ind w:left="0" w:right="0"/>
        <w:jc w:val="both"/>
      </w:pPr>
      <w:bookmarkStart w:id="236" w:name="bookmark236"/>
      <w:r>
        <w:rPr>
          <w:rFonts w:ascii="Times New Roman" w:eastAsia="Times New Roman" w:hAnsi="Times New Roman" w:cs="Times New Roman"/>
          <w:color w:val="000000"/>
          <w:spacing w:val="0"/>
          <w:w w:val="100"/>
          <w:position w:val="0"/>
        </w:rPr>
        <w:t>2</w:t>
      </w:r>
      <w:bookmarkEnd w:id="236"/>
      <w:r>
        <w:rPr>
          <w:color w:val="000000"/>
          <w:spacing w:val="0"/>
          <w:w w:val="100"/>
          <w:position w:val="0"/>
        </w:rPr>
        <w:t>、</w:t>
      </w:r>
      <w:r>
        <w:rPr>
          <w:rFonts w:ascii="Times New Roman" w:eastAsia="Times New Roman" w:hAnsi="Times New Roman" w:cs="Times New Roman"/>
          <w:color w:val="000000"/>
          <w:spacing w:val="0"/>
          <w:w w:val="100"/>
          <w:position w:val="0"/>
        </w:rPr>
        <w:t>ATM</w:t>
      </w:r>
      <w:r>
        <w:rPr>
          <w:color w:val="000000"/>
          <w:spacing w:val="0"/>
          <w:w w:val="100"/>
          <w:position w:val="0"/>
        </w:rPr>
        <w:t>行业竞争格局</w:t>
      </w:r>
    </w:p>
    <w:p>
      <w:pPr>
        <w:pStyle w:val="Style34"/>
        <w:keepNext w:val="0"/>
        <w:keepLines w:val="0"/>
        <w:widowControl w:val="0"/>
        <w:shd w:val="clear" w:color="auto" w:fill="auto"/>
        <w:bidi w:val="0"/>
        <w:spacing w:before="0" w:after="0" w:line="293" w:lineRule="exact"/>
        <w:ind w:left="0" w:right="0" w:firstLine="460"/>
        <w:jc w:val="both"/>
      </w:pPr>
      <w:r>
        <w:rPr>
          <w:color w:val="000000"/>
          <w:spacing w:val="0"/>
          <w:w w:val="100"/>
          <w:position w:val="0"/>
        </w:rPr>
        <w:t>在金融科技的发展完善中，国家对自主安全可控技术支持力度不断加强，国产</w:t>
      </w:r>
      <w:r>
        <w:rPr>
          <w:rFonts w:ascii="Times New Roman" w:eastAsia="Times New Roman" w:hAnsi="Times New Roman" w:cs="Times New Roman"/>
          <w:color w:val="000000"/>
          <w:spacing w:val="0"/>
          <w:w w:val="100"/>
          <w:position w:val="0"/>
        </w:rPr>
        <w:t>ATM</w:t>
      </w:r>
      <w:r>
        <w:rPr>
          <w:color w:val="000000"/>
          <w:spacing w:val="0"/>
          <w:w w:val="100"/>
          <w:position w:val="0"/>
        </w:rPr>
        <w:t>厂商主导了国内市场，主要的设备 供应商有：本公司、广电运通、恒银金融、怡化、中钞科堡、东方通信、中电等。</w:t>
      </w:r>
    </w:p>
    <w:p>
      <w:pPr>
        <w:pStyle w:val="Style34"/>
        <w:keepNext w:val="0"/>
        <w:keepLines w:val="0"/>
        <w:widowControl w:val="0"/>
        <w:shd w:val="clear" w:color="auto" w:fill="auto"/>
        <w:bidi w:val="0"/>
        <w:spacing w:before="0" w:after="0" w:line="312" w:lineRule="exact"/>
        <w:ind w:left="0" w:right="0" w:firstLine="460"/>
        <w:jc w:val="both"/>
      </w:pPr>
      <w:bookmarkStart w:id="237" w:name="bookmark237"/>
      <w:r>
        <w:rPr>
          <w:rFonts w:ascii="Times New Roman" w:eastAsia="Times New Roman" w:hAnsi="Times New Roman" w:cs="Times New Roman"/>
          <w:color w:val="000000"/>
          <w:spacing w:val="0"/>
          <w:w w:val="100"/>
          <w:position w:val="0"/>
        </w:rPr>
        <w:t>3</w:t>
      </w:r>
      <w:bookmarkEnd w:id="237"/>
      <w:r>
        <w:rPr>
          <w:color w:val="000000"/>
          <w:spacing w:val="0"/>
          <w:w w:val="100"/>
          <w:position w:val="0"/>
        </w:rPr>
        <w:t>、公司发展战略及年度经营计划</w:t>
      </w:r>
    </w:p>
    <w:p>
      <w:pPr>
        <w:pStyle w:val="Style34"/>
        <w:keepNext w:val="0"/>
        <w:keepLines w:val="0"/>
        <w:widowControl w:val="0"/>
        <w:shd w:val="clear" w:color="auto" w:fill="auto"/>
        <w:tabs>
          <w:tab w:pos="660" w:val="left"/>
        </w:tabs>
        <w:bidi w:val="0"/>
        <w:spacing w:before="0" w:after="0" w:line="312" w:lineRule="exact"/>
        <w:ind w:left="0" w:right="0" w:firstLine="28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公司发展战略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全球金融市场正在发生巨变，金融科技对金融行业的影响日益加深，随之带来的是无限机遇。根据权威机构金融稳定理 事会</w:t>
      </w:r>
      <w:r>
        <w:rPr>
          <w:rFonts w:ascii="Times New Roman" w:eastAsia="Times New Roman" w:hAnsi="Times New Roman" w:cs="Times New Roman"/>
          <w:color w:val="000000"/>
          <w:spacing w:val="0"/>
          <w:w w:val="100"/>
          <w:position w:val="0"/>
        </w:rPr>
        <w:t>FSB</w:t>
      </w:r>
      <w:r>
        <w:rPr>
          <w:color w:val="000000"/>
          <w:spacing w:val="0"/>
          <w:w w:val="100"/>
          <w:position w:val="0"/>
        </w:rPr>
        <w:t>的定义，金融科技是指技术带来的金融创新，它能创造新的模式、业务、流程与产品，涵盖前端产业与后台技术， 是金融领域基础设施发展的重要影响因素。</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为进一步应对全新市场环境与市场化改革的挑战，公司始终坚守</w:t>
      </w:r>
      <w:r>
        <w:rPr>
          <w:rFonts w:ascii="Times New Roman" w:eastAsia="Times New Roman" w:hAnsi="Times New Roman" w:cs="Times New Roman"/>
          <w:color w:val="000000"/>
          <w:spacing w:val="0"/>
          <w:w w:val="100"/>
          <w:position w:val="0"/>
        </w:rPr>
        <w:t>“</w:t>
      </w:r>
      <w:r>
        <w:rPr>
          <w:color w:val="000000"/>
          <w:spacing w:val="0"/>
          <w:w w:val="100"/>
          <w:position w:val="0"/>
        </w:rPr>
        <w:t>诚实务实、专业专注、自主创新、稳健规范</w:t>
      </w:r>
      <w:r>
        <w:rPr>
          <w:rFonts w:ascii="Times New Roman" w:eastAsia="Times New Roman" w:hAnsi="Times New Roman" w:cs="Times New Roman"/>
          <w:color w:val="000000"/>
          <w:spacing w:val="0"/>
          <w:w w:val="100"/>
          <w:position w:val="0"/>
        </w:rPr>
        <w:t>”</w:t>
      </w:r>
      <w:r>
        <w:rPr>
          <w:color w:val="000000"/>
          <w:spacing w:val="0"/>
          <w:w w:val="100"/>
          <w:position w:val="0"/>
        </w:rPr>
        <w:t>的企业 精神，全力打造高质量的金融服务品牌；同时，以科技创新作为公司发展主线，坚持自主研发、自主创新。深入挖掘产业升 级的市场潜力，深化全产业链布局，全力推进服务领域，积极探索拓展延伸市场价值链。紧密围绕金融科技为金融服务赋能 的机遇，抓住金融市场基础设施迎来数字化与智能化升级的新契机，公司积极推进改革和管理创新，调整产品结构，多元化 发展，提高企业的核心竞争力，寻求公司转型发展的更大机遇。</w:t>
      </w:r>
    </w:p>
    <w:p>
      <w:pPr>
        <w:pStyle w:val="Style34"/>
        <w:keepNext w:val="0"/>
        <w:keepLines w:val="0"/>
        <w:widowControl w:val="0"/>
        <w:shd w:val="clear" w:color="auto" w:fill="auto"/>
        <w:tabs>
          <w:tab w:pos="660" w:val="left"/>
        </w:tabs>
        <w:bidi w:val="0"/>
        <w:spacing w:before="0" w:after="0" w:line="313" w:lineRule="exact"/>
        <w:ind w:left="0" w:right="0" w:firstLine="280"/>
        <w:jc w:val="left"/>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p>
    <w:p>
      <w:pPr>
        <w:pStyle w:val="Style34"/>
        <w:keepNext w:val="0"/>
        <w:keepLines w:val="0"/>
        <w:widowControl w:val="0"/>
        <w:shd w:val="clear" w:color="auto" w:fill="auto"/>
        <w:bidi w:val="0"/>
        <w:spacing w:before="0" w:after="0" w:line="313"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年，公司将围绕金融科技、产业运营等主要领域，从公司战略、组织发展、研发创新等方面进行业态布局，抓好 各项经营管理工作：</w:t>
      </w:r>
    </w:p>
    <w:p>
      <w:pPr>
        <w:pStyle w:val="Style34"/>
        <w:keepNext w:val="0"/>
        <w:keepLines w:val="0"/>
        <w:widowControl w:val="0"/>
        <w:numPr>
          <w:ilvl w:val="0"/>
          <w:numId w:val="3"/>
        </w:numPr>
        <w:shd w:val="clear" w:color="auto" w:fill="auto"/>
        <w:tabs>
          <w:tab w:pos="702" w:val="left"/>
        </w:tabs>
        <w:bidi w:val="0"/>
        <w:spacing w:before="0" w:after="0" w:line="313" w:lineRule="exact"/>
        <w:ind w:left="0" w:right="0"/>
        <w:jc w:val="both"/>
      </w:pPr>
      <w:bookmarkStart w:id="240" w:name="bookmark240"/>
      <w:bookmarkEnd w:id="240"/>
      <w:r>
        <w:rPr>
          <w:color w:val="000000"/>
          <w:spacing w:val="0"/>
          <w:w w:val="100"/>
          <w:position w:val="0"/>
        </w:rPr>
        <w:t>积极布局，探索寻求转型</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公司将按照市场和政策导向，抓住银行业的创新变革和转型升级的时代机遇。借助大数据、人工智能、区块链、物联 网等新一代信息技术的优势，在不断优化公司体系基础上，开展战略升级研讨，在持续的研发创新、客户服务、品牌影响力 等方面继续努力前行，追求卓越，使公司在市场竞争中不断发展壮大。积极布局新业态的发展，深入挖掘产业升级的市场潜 力，实现价值链延伸。在新技术、新产业、新业态、新模式方面进行探索</w:t>
      </w:r>
      <w:r>
        <w:rPr>
          <w:color w:val="000000"/>
          <w:spacing w:val="0"/>
          <w:w w:val="100"/>
          <w:position w:val="0"/>
        </w:rPr>
        <w:t>，</w:t>
      </w:r>
      <w:r>
        <w:rPr>
          <w:color w:val="000000"/>
          <w:spacing w:val="0"/>
          <w:w w:val="100"/>
          <w:position w:val="0"/>
        </w:rPr>
        <w:t>寻求公司的转型发展</w:t>
      </w:r>
      <w:r>
        <w:rPr>
          <w:rFonts w:ascii="Times New Roman" w:eastAsia="Times New Roman" w:hAnsi="Times New Roman" w:cs="Times New Roman"/>
          <w:color w:val="000000"/>
          <w:spacing w:val="0"/>
          <w:w w:val="100"/>
          <w:position w:val="0"/>
        </w:rPr>
        <w:t>,</w:t>
      </w:r>
      <w:r>
        <w:rPr>
          <w:color w:val="000000"/>
          <w:spacing w:val="0"/>
          <w:w w:val="100"/>
          <w:position w:val="0"/>
        </w:rPr>
        <w:t>以提高公司的盈利能力及可 持续发展能力。</w:t>
      </w:r>
    </w:p>
    <w:p>
      <w:pPr>
        <w:pStyle w:val="Style34"/>
        <w:keepNext w:val="0"/>
        <w:keepLines w:val="0"/>
        <w:widowControl w:val="0"/>
        <w:numPr>
          <w:ilvl w:val="0"/>
          <w:numId w:val="3"/>
        </w:numPr>
        <w:shd w:val="clear" w:color="auto" w:fill="auto"/>
        <w:tabs>
          <w:tab w:pos="702" w:val="left"/>
        </w:tabs>
        <w:bidi w:val="0"/>
        <w:spacing w:before="0" w:after="0" w:line="313" w:lineRule="exact"/>
        <w:ind w:left="0" w:right="0"/>
        <w:jc w:val="both"/>
      </w:pPr>
      <w:bookmarkStart w:id="241" w:name="bookmark241"/>
      <w:bookmarkEnd w:id="241"/>
      <w:r>
        <w:rPr>
          <w:color w:val="000000"/>
          <w:spacing w:val="0"/>
          <w:w w:val="100"/>
          <w:position w:val="0"/>
        </w:rPr>
        <w:t>区块链技术的研究</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公司作为金链盟核心成员企业，积极参与行业技术交流和互动，区块链具备的数据可追溯、不可篡改、智能合约自动执 行等技术特点，使其在金融领域方面有天然的结合能力。同时，区块链技术具有防止篡改、事中留痕、事后审计、安全防 护等特点，有利于提升电子证据的可信度和真实性。区块链与电子数据存证的结合，可以降低电子数据存证成本，提高存证 效率，为司法存证、知识产权、电子合同管理等业务赋能。</w:t>
      </w:r>
    </w:p>
    <w:p>
      <w:pPr>
        <w:pStyle w:val="Style34"/>
        <w:keepNext w:val="0"/>
        <w:keepLines w:val="0"/>
        <w:widowControl w:val="0"/>
        <w:shd w:val="clear" w:color="auto" w:fill="auto"/>
        <w:bidi w:val="0"/>
        <w:spacing w:before="0" w:after="140" w:line="313" w:lineRule="exact"/>
        <w:ind w:left="0" w:right="0" w:firstLine="460"/>
        <w:jc w:val="left"/>
      </w:pPr>
      <w:r>
        <w:rPr>
          <w:color w:val="000000"/>
          <w:spacing w:val="0"/>
          <w:w w:val="100"/>
          <w:position w:val="0"/>
        </w:rPr>
        <w:t>公司在网络研究、加密协议研究、智能合约等方面积极寻找应用场景并投入研发资源，在公司的智能园区管理系统上, 借助区块链技术，以及自身积累的智能硬件研发优势，在智能门禁、视频监控、停车场系统、租赁合同签订及存档、线上支 付结算相关租赁及物业管理费用等方面开展测试及使用，逐步实现将园区用户、流动人员和车辆的出入信息等数据上链，实 现全程轨迹追踪管理。通过人脸识别技术的使用，实现权限及支付管理；优化区块链智能合约，使用智能合约真正的既智能 又能实现合约功能，应用于与承租企业的合同管理，使用智能化的电子合同，结合第三方监管，使合同对多方实现实际意义 的合同约束，将合同数据以及签约数据进行脱敏上链，辅助于智能合约手段，实现合同数据防篡改和永久性存储，并能按约 自动执行与销毁。通过研发创新，实现了智能园区管理系统的差异化、人性化、智能化、提升效率的同时，提升客户和员工 满意度，实现公司通过技术手段创新创收的目标。</w:t>
      </w:r>
    </w:p>
    <w:p>
      <w:pPr>
        <w:pStyle w:val="Style34"/>
        <w:keepNext w:val="0"/>
        <w:keepLines w:val="0"/>
        <w:widowControl w:val="0"/>
        <w:numPr>
          <w:ilvl w:val="0"/>
          <w:numId w:val="3"/>
        </w:numPr>
        <w:shd w:val="clear" w:color="auto" w:fill="auto"/>
        <w:bidi w:val="0"/>
        <w:spacing w:before="0" w:after="80" w:line="240" w:lineRule="auto"/>
        <w:ind w:left="0" w:right="0" w:firstLine="460"/>
        <w:jc w:val="both"/>
      </w:pPr>
      <w:bookmarkStart w:id="242" w:name="bookmark242"/>
      <w:bookmarkEnd w:id="242"/>
      <w:r>
        <w:rPr>
          <w:color w:val="000000"/>
          <w:spacing w:val="0"/>
          <w:w w:val="100"/>
          <w:position w:val="0"/>
        </w:rPr>
        <w:t>数字货币技术的研究</w:t>
      </w:r>
    </w:p>
    <w:p>
      <w:pPr>
        <w:pStyle w:val="Style34"/>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国际清算银行</w:t>
      </w:r>
      <w:r>
        <w:rPr>
          <w:rFonts w:ascii="Times New Roman" w:eastAsia="Times New Roman" w:hAnsi="Times New Roman" w:cs="Times New Roman"/>
          <w:color w:val="000000"/>
          <w:spacing w:val="0"/>
          <w:w w:val="100"/>
          <w:position w:val="0"/>
        </w:rPr>
        <w:t>BIS</w:t>
      </w:r>
      <w:r>
        <w:rPr>
          <w:color w:val="000000"/>
          <w:spacing w:val="0"/>
          <w:w w:val="100"/>
          <w:position w:val="0"/>
        </w:rPr>
        <w:t>的调查结果显示，目前各国的中央银行基本都在探索法定数字货币，中国人民银行更是自</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年开 </w:t>
      </w:r>
      <w:r>
        <w:rPr>
          <w:color w:val="000000"/>
          <w:spacing w:val="0"/>
          <w:w w:val="100"/>
          <w:position w:val="0"/>
        </w:rPr>
        <w:t>始研究法定数字货币，经过多年的探索，已进入试点及封闭测试阶段。公司通过多年的研发积累和市场沉淀，将继续加大研 发投入在央行数字货币的相关领域，紧紧围绕央行法定数字货币的推进积极进行生态布局。除了拓展数字货币钱包在自助设 备上的应用之外，自助设备可以通过安全通讯模块、生物特征识别模块等与多种软件钱包或硬件钱包进行数字货币的交互， 实现数字货币的转移、存储、交易；为数字货币与银行账户之间的兑换、数字货币与现金之间的兑换提供多场景化解决方 案。探讨现阶段数字货币相关的技术的实用性对现实多交易场景中的技术解决方案等。</w:t>
      </w:r>
    </w:p>
    <w:p>
      <w:pPr>
        <w:pStyle w:val="Style34"/>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在数字人民币的生态建设中，公司将加大在基础设施研发、流通环节安全性考量、普惠金融需求等应用场景多元化的 方面进行持续的研发投入。</w:t>
      </w:r>
    </w:p>
    <w:p>
      <w:pPr>
        <w:pStyle w:val="Style34"/>
        <w:keepNext w:val="0"/>
        <w:keepLines w:val="0"/>
        <w:widowControl w:val="0"/>
        <w:numPr>
          <w:ilvl w:val="0"/>
          <w:numId w:val="3"/>
        </w:numPr>
        <w:shd w:val="clear" w:color="auto" w:fill="auto"/>
        <w:tabs>
          <w:tab w:pos="773" w:val="left"/>
        </w:tabs>
        <w:bidi w:val="0"/>
        <w:spacing w:before="0" w:after="0" w:line="312" w:lineRule="exact"/>
        <w:ind w:left="0" w:right="0" w:firstLine="460"/>
        <w:jc w:val="both"/>
      </w:pPr>
      <w:bookmarkStart w:id="243" w:name="bookmark243"/>
      <w:bookmarkEnd w:id="243"/>
      <w:r>
        <w:rPr>
          <w:color w:val="000000"/>
          <w:spacing w:val="0"/>
          <w:w w:val="100"/>
          <w:position w:val="0"/>
        </w:rPr>
        <w:t>智能化的云平台售后体系</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公司前瞻性的自主研发的售后服务云平台系统，通过对产品从物料到生产、发货、运输、安装、上线调试、运维管理 等一系列产品生命周期全过程管理，依托大量运营数据的提炼，从而分析业务流程的合理性，人员、财物、资产的使用效率， 产品周转的时效性、存货周转的效率等全方位的透析，不断提出改善方案，通过改善方案再次触发平台系统继续开发的新需 求，逐渐形成一套研发</w:t>
      </w:r>
      <w:r>
        <w:rPr>
          <w:rFonts w:ascii="Times New Roman" w:eastAsia="Times New Roman" w:hAnsi="Times New Roman" w:cs="Times New Roman"/>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rPr>
        <w:t>-</w:t>
      </w:r>
      <w:r>
        <w:rPr>
          <w:color w:val="000000"/>
          <w:spacing w:val="0"/>
          <w:w w:val="100"/>
          <w:position w:val="0"/>
        </w:rPr>
        <w:t>反馈</w:t>
      </w:r>
      <w:r>
        <w:rPr>
          <w:rFonts w:ascii="Times New Roman" w:eastAsia="Times New Roman" w:hAnsi="Times New Roman" w:cs="Times New Roman"/>
          <w:color w:val="000000"/>
          <w:spacing w:val="0"/>
          <w:w w:val="100"/>
          <w:position w:val="0"/>
        </w:rPr>
        <w:t>-</w:t>
      </w:r>
      <w:r>
        <w:rPr>
          <w:color w:val="000000"/>
          <w:spacing w:val="0"/>
          <w:w w:val="100"/>
          <w:position w:val="0"/>
        </w:rPr>
        <w:t>提炼</w:t>
      </w:r>
      <w:r>
        <w:rPr>
          <w:rFonts w:ascii="Times New Roman" w:eastAsia="Times New Roman" w:hAnsi="Times New Roman" w:cs="Times New Roman"/>
          <w:color w:val="000000"/>
          <w:spacing w:val="0"/>
          <w:w w:val="100"/>
          <w:position w:val="0"/>
        </w:rPr>
        <w:t>-</w:t>
      </w:r>
      <w:r>
        <w:rPr>
          <w:color w:val="000000"/>
          <w:spacing w:val="0"/>
          <w:w w:val="100"/>
          <w:position w:val="0"/>
        </w:rPr>
        <w:t>完善</w:t>
      </w:r>
      <w:r>
        <w:rPr>
          <w:rFonts w:ascii="Times New Roman" w:eastAsia="Times New Roman" w:hAnsi="Times New Roman" w:cs="Times New Roman"/>
          <w:color w:val="000000"/>
          <w:spacing w:val="0"/>
          <w:w w:val="100"/>
          <w:position w:val="0"/>
        </w:rPr>
        <w:t>-</w:t>
      </w:r>
      <w:r>
        <w:rPr>
          <w:color w:val="000000"/>
          <w:spacing w:val="0"/>
          <w:w w:val="100"/>
          <w:position w:val="0"/>
        </w:rPr>
        <w:t>升级的一套循环体系，通过全体团队的各种改善措施，在确保提供高品质服务 的同时，进一步优化维修流程，降低一线人员的无效往返频率，提升大家工作的饱和度，提升个人绩效水平，提升客户满意 度，同事最大程度的降低整体运行成本。最大程度上缓解一线人员、管理人员的压力，充分释放生产力；加大备件运输管理 的系列支撑件研发投入。在减轻物流成本的同时，努力提高备件在运输过程中的良好率，提高备件周转效率；建立智能化备 件仓储体系，完成对备件全生命周期管理；全面实现一线维修人员轨迹管理以及智能派单，确保维修工程师的单人效率持续 提升；全面修改绩效考核制度，提升员工的工作积极性；在现有金融业务的基础上提供更多的有偿服务，确保公司收入稳步 增加。</w:t>
      </w:r>
    </w:p>
    <w:p>
      <w:pPr>
        <w:pStyle w:val="Style34"/>
        <w:keepNext w:val="0"/>
        <w:keepLines w:val="0"/>
        <w:widowControl w:val="0"/>
        <w:numPr>
          <w:ilvl w:val="0"/>
          <w:numId w:val="3"/>
        </w:numPr>
        <w:shd w:val="clear" w:color="auto" w:fill="auto"/>
        <w:tabs>
          <w:tab w:pos="773" w:val="left"/>
        </w:tabs>
        <w:bidi w:val="0"/>
        <w:spacing w:before="0" w:after="0" w:line="312" w:lineRule="exact"/>
        <w:ind w:left="0" w:right="0" w:firstLine="460"/>
        <w:jc w:val="both"/>
      </w:pPr>
      <w:bookmarkStart w:id="244" w:name="bookmark244"/>
      <w:bookmarkEnd w:id="244"/>
      <w:r>
        <w:rPr>
          <w:color w:val="000000"/>
          <w:spacing w:val="0"/>
          <w:w w:val="100"/>
          <w:position w:val="0"/>
        </w:rPr>
        <w:t>物业租赁运营系统化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提高闲置物业租赁管理的标准化服务、数字化运营、智能化服务，提高内部运营管理水平，提高租赁业务和物业管理的 标准化、专业化水平，将区块链技术运用于智能化物业运营管理业务中。</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公司积极进行产业园规划布局，利用自有物业和自有软硬件研发团队的优势，研发出了一套处于行业技术领先的智能园 区管理系统，已经投入到自有物业的运营中，从流动人员轨迹管理、门禁权限管理、监控安全管理、智能化物业服务、车辆 进出及缴费管理、设备能耗管理等多领域线上无触化、智能化的处理方式，快速高效的实现了园区管理的赋能。</w:t>
      </w:r>
    </w:p>
    <w:p>
      <w:pPr>
        <w:pStyle w:val="Style34"/>
        <w:keepNext w:val="0"/>
        <w:keepLines w:val="0"/>
        <w:widowControl w:val="0"/>
        <w:shd w:val="clear" w:color="auto" w:fill="auto"/>
        <w:bidi w:val="0"/>
        <w:spacing w:before="0" w:after="0"/>
        <w:ind w:left="0" w:right="0" w:firstLine="460"/>
        <w:jc w:val="both"/>
      </w:pPr>
      <w:bookmarkStart w:id="245" w:name="bookmark245"/>
      <w:r>
        <w:rPr>
          <w:rFonts w:ascii="Times New Roman" w:eastAsia="Times New Roman" w:hAnsi="Times New Roman" w:cs="Times New Roman"/>
          <w:color w:val="000000"/>
          <w:spacing w:val="0"/>
          <w:w w:val="100"/>
          <w:position w:val="0"/>
        </w:rPr>
        <w:t>4</w:t>
      </w:r>
      <w:bookmarkEnd w:id="245"/>
      <w:r>
        <w:rPr>
          <w:color w:val="000000"/>
          <w:spacing w:val="0"/>
          <w:w w:val="100"/>
          <w:position w:val="0"/>
        </w:rPr>
        <w:t>、为实现未来发展战略所需求的资金、使用计划及资金来源情况</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公司经营活动产生的现金流入量稳健，可以满足公司目前对未来发展战略规划中对资金的大部分需求。同时公司将继续 实行稳健的财务政策，且公司主要客户均为国内外知名、信誉良好的企业，其财务管理制度较为健全，资金链条健康，能满 足其日常生产经营所需的流动资金，客户良好的财务状况有利于公司资金的及时回笼。公司目前资产结构稳健、偿债能力较 强、信贷资信良好、融资渠道畅通，公司的资金来源充足且能保证满足公司及子公司的战略发展需要。</w:t>
      </w:r>
    </w:p>
    <w:p>
      <w:pPr>
        <w:pStyle w:val="Style34"/>
        <w:keepNext w:val="0"/>
        <w:keepLines w:val="0"/>
        <w:widowControl w:val="0"/>
        <w:shd w:val="clear" w:color="auto" w:fill="auto"/>
        <w:bidi w:val="0"/>
        <w:spacing w:before="0" w:after="0"/>
        <w:ind w:left="0" w:right="0" w:firstLine="560"/>
        <w:jc w:val="both"/>
      </w:pPr>
      <w:bookmarkStart w:id="246" w:name="bookmark246"/>
      <w:r>
        <w:rPr>
          <w:rFonts w:ascii="Times New Roman" w:eastAsia="Times New Roman" w:hAnsi="Times New Roman" w:cs="Times New Roman"/>
          <w:color w:val="000000"/>
          <w:spacing w:val="0"/>
          <w:w w:val="100"/>
          <w:position w:val="0"/>
        </w:rPr>
        <w:t>5</w:t>
      </w:r>
      <w:bookmarkEnd w:id="246"/>
      <w:r>
        <w:rPr>
          <w:color w:val="000000"/>
          <w:spacing w:val="0"/>
          <w:w w:val="100"/>
          <w:position w:val="0"/>
        </w:rPr>
        <w:t>、对公司未来发展战略和经营目标的实现产生不利影响的风险因素</w:t>
      </w:r>
    </w:p>
    <w:p>
      <w:pPr>
        <w:pStyle w:val="Style34"/>
        <w:keepNext w:val="0"/>
        <w:keepLines w:val="0"/>
        <w:widowControl w:val="0"/>
        <w:numPr>
          <w:ilvl w:val="0"/>
          <w:numId w:val="5"/>
        </w:numPr>
        <w:shd w:val="clear" w:color="auto" w:fill="auto"/>
        <w:tabs>
          <w:tab w:pos="906" w:val="left"/>
        </w:tabs>
        <w:bidi w:val="0"/>
        <w:spacing w:before="0" w:after="0"/>
        <w:ind w:left="0" w:right="0" w:firstLine="560"/>
        <w:jc w:val="both"/>
      </w:pPr>
      <w:bookmarkStart w:id="247" w:name="bookmark247"/>
      <w:bookmarkEnd w:id="247"/>
      <w:r>
        <w:rPr>
          <w:color w:val="000000"/>
          <w:spacing w:val="0"/>
          <w:w w:val="100"/>
          <w:position w:val="0"/>
        </w:rPr>
        <w:t>行业风险</w:t>
      </w:r>
    </w:p>
    <w:p>
      <w:pPr>
        <w:pStyle w:val="Style34"/>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随着移动支付的普及，现金交易场景加剧萎缩化，这个是行业发展必然的趋势，公司在现金模块自主研发技术方面的 核心竞争优势在未来的行业竞争格局中无法更好的发挥。但正因为公司提前投入自主研发资源，经过长时间的积累已经形成 了在区块链、人工智能等方面的技术储备，这些技术在未来金融科技业态发展中依然能发挥很大的效益和优势，也为公司进 一步改善产品结构，调整战略方向，积极整合优质资源，寻求行业生态伙伴的长期合作共赢，更好的服务好行业客户。</w:t>
      </w:r>
    </w:p>
    <w:p>
      <w:pPr>
        <w:pStyle w:val="Style34"/>
        <w:keepNext w:val="0"/>
        <w:keepLines w:val="0"/>
        <w:widowControl w:val="0"/>
        <w:numPr>
          <w:ilvl w:val="0"/>
          <w:numId w:val="5"/>
        </w:numPr>
        <w:shd w:val="clear" w:color="auto" w:fill="auto"/>
        <w:tabs>
          <w:tab w:pos="906" w:val="left"/>
        </w:tabs>
        <w:bidi w:val="0"/>
        <w:spacing w:before="0" w:after="0"/>
        <w:ind w:left="0" w:right="0" w:firstLine="560"/>
        <w:jc w:val="both"/>
      </w:pPr>
      <w:bookmarkStart w:id="248" w:name="bookmark248"/>
      <w:bookmarkEnd w:id="248"/>
      <w:r>
        <w:rPr>
          <w:color w:val="000000"/>
          <w:spacing w:val="0"/>
          <w:w w:val="100"/>
          <w:position w:val="0"/>
        </w:rPr>
        <w:t>市场风险</w:t>
      </w:r>
    </w:p>
    <w:p>
      <w:pPr>
        <w:pStyle w:val="Style34"/>
        <w:keepNext w:val="0"/>
        <w:keepLines w:val="0"/>
        <w:widowControl w:val="0"/>
        <w:shd w:val="clear" w:color="auto" w:fill="auto"/>
        <w:bidi w:val="0"/>
        <w:spacing w:before="0" w:after="100" w:line="313" w:lineRule="exact"/>
        <w:ind w:left="0" w:right="0"/>
        <w:jc w:val="both"/>
      </w:pPr>
      <w:r>
        <w:rPr>
          <w:color w:val="000000"/>
          <w:spacing w:val="0"/>
          <w:w w:val="100"/>
          <w:position w:val="0"/>
        </w:rPr>
        <w:t>基于银行业客户的严谨性特征，标准化需求的硬件产品是行业的特性，这也导致各设备商推出产品同质化严重、市场竞 争激烈，设备价格持续下行、维保服务价格也出现过度竞争下滑的现象，而且受互联网、大数据、人工智能、区块链等新一 代信息技术的发展，为了更好的服务好客户，银行业也面临转型调整，线下自助银行网点更趋于无人化，存量银行网点转型 及业务标准流程规划完善中，银行等金融机构对于新型智能设备的需求仍不稳定，导致市场可能受到较大冲击。为此，公司 进一步调整和优化行业结构和产品结构，利用生物技术、人工智能等场景嵌入，依托全方位监测管理的云平台综合维保服务， 为智慧银行建设提供了技术支撑，推动银行由传统业务转向数字化、轻型化、综合化的智慧银行。</w:t>
      </w:r>
    </w:p>
    <w:p>
      <w:pPr>
        <w:pStyle w:val="Style34"/>
        <w:keepNext w:val="0"/>
        <w:keepLines w:val="0"/>
        <w:widowControl w:val="0"/>
        <w:numPr>
          <w:ilvl w:val="0"/>
          <w:numId w:val="5"/>
        </w:numPr>
        <w:shd w:val="clear" w:color="auto" w:fill="auto"/>
        <w:tabs>
          <w:tab w:pos="906" w:val="left"/>
        </w:tabs>
        <w:bidi w:val="0"/>
        <w:spacing w:before="0" w:after="0"/>
        <w:ind w:left="0" w:right="0" w:firstLine="560"/>
        <w:jc w:val="both"/>
      </w:pPr>
      <w:bookmarkStart w:id="249" w:name="bookmark249"/>
      <w:bookmarkEnd w:id="249"/>
      <w:r>
        <w:rPr>
          <w:color w:val="000000"/>
          <w:spacing w:val="0"/>
          <w:w w:val="100"/>
          <w:position w:val="0"/>
        </w:rPr>
        <w:t>证券投资风险</w:t>
      </w:r>
    </w:p>
    <w:p>
      <w:pPr>
        <w:pStyle w:val="Style34"/>
        <w:keepNext w:val="0"/>
        <w:keepLines w:val="0"/>
        <w:widowControl w:val="0"/>
        <w:shd w:val="clear" w:color="auto" w:fill="auto"/>
        <w:bidi w:val="0"/>
        <w:spacing w:before="0" w:after="60" w:line="313" w:lineRule="exact"/>
        <w:ind w:left="0" w:right="0"/>
        <w:jc w:val="both"/>
      </w:pPr>
      <w:r>
        <w:rPr>
          <w:color w:val="000000"/>
          <w:spacing w:val="0"/>
          <w:w w:val="100"/>
          <w:position w:val="0"/>
        </w:rPr>
        <w:t>为充分提升公司资金使用效率，公司闲置资金投资于股票二级市场。公司的证券投资存在不确定因素，具有以下有关风</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险：</w:t>
      </w:r>
    </w:p>
    <w:p>
      <w:pPr>
        <w:pStyle w:val="Style34"/>
        <w:keepNext w:val="0"/>
        <w:keepLines w:val="0"/>
        <w:widowControl w:val="0"/>
        <w:numPr>
          <w:ilvl w:val="0"/>
          <w:numId w:val="7"/>
        </w:numPr>
        <w:shd w:val="clear" w:color="auto" w:fill="auto"/>
        <w:tabs>
          <w:tab w:pos="718" w:val="left"/>
        </w:tabs>
        <w:bidi w:val="0"/>
        <w:spacing w:before="0" w:after="0" w:line="312" w:lineRule="exact"/>
        <w:ind w:left="0" w:right="0" w:firstLine="360"/>
        <w:jc w:val="both"/>
      </w:pPr>
      <w:bookmarkStart w:id="250" w:name="bookmark250"/>
      <w:bookmarkEnd w:id="250"/>
      <w:r>
        <w:rPr>
          <w:color w:val="000000"/>
          <w:spacing w:val="0"/>
          <w:w w:val="100"/>
          <w:position w:val="0"/>
        </w:rPr>
        <w:t>证券市场受国内外政治局势、新技术的迭代、宏观经济形势、财政及货币政策、汇率及资金面等变化的影响较大，公 司证券投资会受到市场波动的影响。</w:t>
      </w:r>
    </w:p>
    <w:p>
      <w:pPr>
        <w:pStyle w:val="Style34"/>
        <w:keepNext w:val="0"/>
        <w:keepLines w:val="0"/>
        <w:widowControl w:val="0"/>
        <w:numPr>
          <w:ilvl w:val="0"/>
          <w:numId w:val="7"/>
        </w:numPr>
        <w:shd w:val="clear" w:color="auto" w:fill="auto"/>
        <w:tabs>
          <w:tab w:pos="733" w:val="left"/>
        </w:tabs>
        <w:bidi w:val="0"/>
        <w:spacing w:before="0" w:after="0" w:line="312" w:lineRule="exact"/>
        <w:ind w:left="0" w:right="0" w:firstLine="360"/>
        <w:jc w:val="left"/>
      </w:pPr>
      <w:bookmarkStart w:id="251" w:name="bookmark251"/>
      <w:bookmarkEnd w:id="251"/>
      <w:r>
        <w:rPr>
          <w:color w:val="000000"/>
          <w:spacing w:val="0"/>
          <w:w w:val="100"/>
          <w:position w:val="0"/>
        </w:rPr>
        <w:t>公司将根据经济形势以及金融市场的变化适时适量的介入，公司证券投资的实际收益不可预期。</w:t>
      </w:r>
    </w:p>
    <w:p>
      <w:pPr>
        <w:pStyle w:val="Style34"/>
        <w:keepNext w:val="0"/>
        <w:keepLines w:val="0"/>
        <w:widowControl w:val="0"/>
        <w:numPr>
          <w:ilvl w:val="0"/>
          <w:numId w:val="7"/>
        </w:numPr>
        <w:shd w:val="clear" w:color="auto" w:fill="auto"/>
        <w:bidi w:val="0"/>
        <w:spacing w:before="0" w:after="0" w:line="313" w:lineRule="exact"/>
        <w:ind w:left="0" w:right="0" w:firstLine="460"/>
        <w:jc w:val="both"/>
      </w:pPr>
      <w:bookmarkStart w:id="252" w:name="bookmark252"/>
      <w:bookmarkEnd w:id="252"/>
      <w:r>
        <w:rPr>
          <w:color w:val="000000"/>
          <w:spacing w:val="0"/>
          <w:w w:val="100"/>
          <w:position w:val="0"/>
        </w:rPr>
        <w:t>公司相关工作人员的操作风险。</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针对证券投资风险，公司拟采取的措施如下：</w:t>
      </w:r>
    </w:p>
    <w:p>
      <w:pPr>
        <w:pStyle w:val="Style34"/>
        <w:keepNext w:val="0"/>
        <w:keepLines w:val="0"/>
        <w:widowControl w:val="0"/>
        <w:numPr>
          <w:ilvl w:val="0"/>
          <w:numId w:val="9"/>
        </w:numPr>
        <w:shd w:val="clear" w:color="auto" w:fill="auto"/>
        <w:tabs>
          <w:tab w:pos="728" w:val="left"/>
        </w:tabs>
        <w:bidi w:val="0"/>
        <w:spacing w:before="0" w:after="0" w:line="313" w:lineRule="exact"/>
        <w:ind w:left="0" w:right="0" w:firstLine="360"/>
        <w:jc w:val="both"/>
      </w:pPr>
      <w:bookmarkStart w:id="253" w:name="bookmark253"/>
      <w:bookmarkEnd w:id="253"/>
      <w:r>
        <w:rPr>
          <w:color w:val="000000"/>
          <w:spacing w:val="0"/>
          <w:w w:val="100"/>
          <w:position w:val="0"/>
        </w:rPr>
        <w:t>公司严格按照《深圳证券交易所股票上市规则》、《深圳证券交易所上市公司规范运作指引》及公司《证券投资管理 制度》等相关规定进行证券投资操作，规范管理，控制风险。</w:t>
      </w:r>
    </w:p>
    <w:p>
      <w:pPr>
        <w:pStyle w:val="Style34"/>
        <w:keepNext w:val="0"/>
        <w:keepLines w:val="0"/>
        <w:widowControl w:val="0"/>
        <w:numPr>
          <w:ilvl w:val="0"/>
          <w:numId w:val="9"/>
        </w:numPr>
        <w:shd w:val="clear" w:color="auto" w:fill="auto"/>
        <w:tabs>
          <w:tab w:pos="728" w:val="left"/>
        </w:tabs>
        <w:bidi w:val="0"/>
        <w:spacing w:before="0" w:after="0" w:line="313" w:lineRule="exact"/>
        <w:ind w:left="0" w:right="0" w:firstLine="360"/>
        <w:jc w:val="both"/>
      </w:pPr>
      <w:bookmarkStart w:id="254" w:name="bookmark254"/>
      <w:bookmarkEnd w:id="254"/>
      <w:r>
        <w:rPr>
          <w:color w:val="000000"/>
          <w:spacing w:val="0"/>
          <w:w w:val="100"/>
          <w:position w:val="0"/>
        </w:rPr>
        <w:t>参与和实施证券投资计划的人员须具备较强的证券投资理论知识及丰富的证券投资管理经验，保证公司在证券投资前 进行严格和科学的论证，为正确决策提供合理建议。密切关注经济形势以及金融市场的变化，审慎进行证券投资。</w:t>
      </w:r>
    </w:p>
    <w:p>
      <w:pPr>
        <w:pStyle w:val="Style34"/>
        <w:keepNext w:val="0"/>
        <w:keepLines w:val="0"/>
        <w:widowControl w:val="0"/>
        <w:numPr>
          <w:ilvl w:val="0"/>
          <w:numId w:val="9"/>
        </w:numPr>
        <w:shd w:val="clear" w:color="auto" w:fill="auto"/>
        <w:tabs>
          <w:tab w:pos="728" w:val="left"/>
        </w:tabs>
        <w:bidi w:val="0"/>
        <w:spacing w:before="0" w:after="0" w:line="313" w:lineRule="exact"/>
        <w:ind w:left="0" w:right="0" w:firstLine="360"/>
        <w:jc w:val="both"/>
      </w:pPr>
      <w:bookmarkStart w:id="255" w:name="bookmark255"/>
      <w:bookmarkEnd w:id="255"/>
      <w:r>
        <w:rPr>
          <w:color w:val="000000"/>
          <w:spacing w:val="0"/>
          <w:w w:val="100"/>
          <w:position w:val="0"/>
        </w:rPr>
        <w:t>为防范风险，投资前应汇集各方信息加强市场分析及调研，投资操作人员应建立投资盈亏情况台账，定期报送公司董 事长，并抄报财务总监、董事会秘书。</w:t>
      </w:r>
    </w:p>
    <w:p>
      <w:pPr>
        <w:pStyle w:val="Style34"/>
        <w:keepNext w:val="0"/>
        <w:keepLines w:val="0"/>
        <w:widowControl w:val="0"/>
        <w:numPr>
          <w:ilvl w:val="0"/>
          <w:numId w:val="9"/>
        </w:numPr>
        <w:shd w:val="clear" w:color="auto" w:fill="auto"/>
        <w:tabs>
          <w:tab w:pos="728" w:val="left"/>
        </w:tabs>
        <w:bidi w:val="0"/>
        <w:spacing w:before="0" w:after="0" w:line="313" w:lineRule="exact"/>
        <w:ind w:left="0" w:right="0" w:firstLine="360"/>
        <w:jc w:val="both"/>
      </w:pPr>
      <w:bookmarkStart w:id="256" w:name="bookmark256"/>
      <w:bookmarkEnd w:id="256"/>
      <w:r>
        <w:rPr>
          <w:color w:val="000000"/>
          <w:spacing w:val="0"/>
          <w:w w:val="100"/>
          <w:position w:val="0"/>
        </w:rPr>
        <w:t>公司审计部负责证券投资情况的日常监督，每季度对资金使用情况进行审计和核实，对存在的问题应立即向董事长汇 报。公司董事会审计委员会有权随时调查跟踪公司证券投资情况，以此加强对公司证券投资项目的前期与跟踪管理，控制风 险。独立董事、公司监事会有权对公司证券投资情况进行定期或不定期的检查，如发现违规操作情况，可提议召开董事会审 议停止公司的证券投资活动。</w:t>
      </w:r>
    </w:p>
    <w:p>
      <w:pPr>
        <w:pStyle w:val="Style34"/>
        <w:keepNext w:val="0"/>
        <w:keepLines w:val="0"/>
        <w:widowControl w:val="0"/>
        <w:numPr>
          <w:ilvl w:val="0"/>
          <w:numId w:val="9"/>
        </w:numPr>
        <w:shd w:val="clear" w:color="auto" w:fill="auto"/>
        <w:tabs>
          <w:tab w:pos="733" w:val="left"/>
        </w:tabs>
        <w:bidi w:val="0"/>
        <w:spacing w:before="0" w:after="340" w:line="313" w:lineRule="exact"/>
        <w:ind w:left="0" w:right="0" w:firstLine="360"/>
        <w:jc w:val="both"/>
      </w:pPr>
      <w:bookmarkStart w:id="257" w:name="bookmark257"/>
      <w:bookmarkEnd w:id="257"/>
      <w:r>
        <w:rPr>
          <w:color w:val="000000"/>
          <w:spacing w:val="0"/>
          <w:w w:val="100"/>
          <w:position w:val="0"/>
        </w:rPr>
        <w:t>在定期报告中，对短期理财事项及其收益情况进行披露，接受公众投资者的监督。</w:t>
      </w:r>
    </w:p>
    <w:p>
      <w:pPr>
        <w:pStyle w:val="Style30"/>
        <w:keepNext/>
        <w:keepLines/>
        <w:widowControl w:val="0"/>
        <w:shd w:val="clear" w:color="auto" w:fill="auto"/>
        <w:bidi w:val="0"/>
        <w:spacing w:before="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十、接待调研、沟通、采访等活动</w:t>
      </w:r>
      <w:bookmarkEnd w:id="258"/>
      <w:bookmarkEnd w:id="259"/>
      <w:bookmarkEnd w:id="260"/>
    </w:p>
    <w:p>
      <w:pPr>
        <w:pStyle w:val="Style38"/>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80" w:line="313" w:lineRule="exact"/>
        <w:ind w:left="0" w:right="0" w:firstLine="0"/>
        <w:jc w:val="left"/>
        <w:sectPr>
          <w:footnotePr>
            <w:pos w:val="pageBottom"/>
            <w:numFmt w:val="decimal"/>
            <w:numRestart w:val="continuous"/>
          </w:footnotePr>
          <w:pgSz w:w="11900" w:h="16840"/>
          <w:pgMar w:top="1350" w:right="1063" w:bottom="1456" w:left="1060" w:header="0" w:footer="3" w:gutter="0"/>
          <w:cols w:space="720"/>
          <w:noEndnote/>
          <w:rtlGutter w:val="0"/>
          <w:docGrid w:linePitch="360"/>
        </w:sectPr>
      </w:pPr>
      <w:r>
        <w:rPr>
          <w:color w:val="000000"/>
          <w:spacing w:val="0"/>
          <w:w w:val="100"/>
          <w:position w:val="0"/>
        </w:rPr>
        <w:t>公司报告期内未发生接待调研、沟通、采访等活动。</w:t>
      </w:r>
    </w:p>
    <w:p>
      <w:pPr>
        <w:pStyle w:val="Style16"/>
        <w:keepNext/>
        <w:keepLines/>
        <w:widowControl w:val="0"/>
        <w:shd w:val="clear" w:color="auto" w:fill="auto"/>
        <w:bidi w:val="0"/>
        <w:spacing w:before="540" w:line="240" w:lineRule="auto"/>
        <w:ind w:left="0" w:right="0" w:firstLine="0"/>
        <w:jc w:val="center"/>
      </w:pPr>
      <w:bookmarkStart w:id="265" w:name="bookmark265"/>
      <w:bookmarkStart w:id="266" w:name="bookmark266"/>
      <w:bookmarkStart w:id="267" w:name="bookmark267"/>
      <w:bookmarkStart w:id="268" w:name="bookmark268"/>
      <w:r>
        <w:rPr>
          <w:color w:val="000000"/>
          <w:spacing w:val="0"/>
          <w:w w:val="100"/>
          <w:position w:val="0"/>
        </w:rPr>
        <w:t>第五节重要事项</w:t>
      </w:r>
      <w:bookmarkEnd w:id="266"/>
      <w:bookmarkEnd w:id="267"/>
      <w:bookmarkEnd w:id="268"/>
      <w:bookmarkEnd w:id="265"/>
    </w:p>
    <w:p>
      <w:pPr>
        <w:pStyle w:val="Style30"/>
        <w:keepNext/>
        <w:keepLines/>
        <w:widowControl w:val="0"/>
        <w:shd w:val="clear" w:color="auto" w:fill="auto"/>
        <w:bidi w:val="0"/>
        <w:spacing w:before="0" w:after="24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一</w:t>
      </w:r>
      <w:bookmarkEnd w:id="271"/>
      <w:r>
        <w:rPr>
          <w:color w:val="000000"/>
          <w:spacing w:val="0"/>
          <w:w w:val="100"/>
          <w:position w:val="0"/>
          <w:sz w:val="24"/>
          <w:szCs w:val="24"/>
        </w:rPr>
        <w:t>、公司普通股利润分配及资本公积金转增股本情况</w:t>
      </w:r>
      <w:bookmarkEnd w:id="269"/>
      <w:bookmarkEnd w:id="270"/>
      <w:bookmarkEnd w:id="272"/>
    </w:p>
    <w:p>
      <w:pPr>
        <w:pStyle w:val="Style34"/>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4"/>
        <w:keepNext w:val="0"/>
        <w:keepLines w:val="0"/>
        <w:widowControl w:val="0"/>
        <w:shd w:val="clear" w:color="auto" w:fill="auto"/>
        <w:tabs>
          <w:tab w:pos="334" w:val="left"/>
        </w:tabs>
        <w:bidi w:val="0"/>
        <w:spacing w:before="0" w:after="0" w:line="317" w:lineRule="exact"/>
        <w:ind w:left="0" w:right="0" w:firstLine="0"/>
        <w:jc w:val="left"/>
      </w:pPr>
      <w:bookmarkStart w:id="273" w:name="bookmark273"/>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年度实现净利润</w:t>
      </w:r>
      <w:r>
        <w:rPr>
          <w:rFonts w:ascii="Times New Roman" w:eastAsia="Times New Roman" w:hAnsi="Times New Roman" w:cs="Times New Roman"/>
          <w:color w:val="000000"/>
          <w:spacing w:val="0"/>
          <w:w w:val="100"/>
          <w:position w:val="0"/>
        </w:rPr>
        <w:t>21,330.95</w:t>
      </w:r>
      <w:r>
        <w:rPr>
          <w:color w:val="000000"/>
          <w:spacing w:val="0"/>
          <w:w w:val="100"/>
          <w:position w:val="0"/>
        </w:rPr>
        <w:t>万元， 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2,133.09</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rPr>
        <w:t>44,942.00</w:t>
      </w:r>
      <w:r>
        <w:rPr>
          <w:color w:val="000000"/>
          <w:spacing w:val="0"/>
          <w:w w:val="100"/>
          <w:position w:val="0"/>
        </w:rPr>
        <w:t xml:space="preserve">万元，年末可供股东分配的利润为 </w:t>
      </w:r>
      <w:r>
        <w:rPr>
          <w:rFonts w:ascii="Times New Roman" w:eastAsia="Times New Roman" w:hAnsi="Times New Roman" w:cs="Times New Roman"/>
          <w:color w:val="000000"/>
          <w:spacing w:val="0"/>
          <w:w w:val="100"/>
          <w:position w:val="0"/>
        </w:rPr>
        <w:t xml:space="preserve">64,139.85 </w:t>
      </w:r>
      <w:r>
        <w:rPr>
          <w:color w:val="000000"/>
          <w:spacing w:val="0"/>
          <w:w w:val="100"/>
          <w:position w:val="0"/>
        </w:rPr>
        <w:t>万元。</w:t>
      </w:r>
    </w:p>
    <w:p>
      <w:pPr>
        <w:pStyle w:val="Style34"/>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年度利润分配及资本公积金转增预案如下：</w:t>
      </w:r>
    </w:p>
    <w:p>
      <w:pPr>
        <w:pStyle w:val="Style34"/>
        <w:keepNext w:val="0"/>
        <w:keepLines w:val="0"/>
        <w:widowControl w:val="0"/>
        <w:shd w:val="clear" w:color="auto" w:fill="auto"/>
        <w:bidi w:val="0"/>
        <w:spacing w:before="0" w:after="0" w:line="317" w:lineRule="exact"/>
        <w:ind w:left="0" w:right="0"/>
        <w:jc w:val="left"/>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1</w:t>
      </w:r>
      <w:r>
        <w:rPr>
          <w:color w:val="000000"/>
          <w:spacing w:val="0"/>
          <w:w w:val="100"/>
          <w:position w:val="0"/>
        </w:rPr>
        <w:t>） 利润分配预案：以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761,191,294</w:t>
      </w:r>
      <w:r>
        <w:rPr>
          <w:color w:val="000000"/>
          <w:spacing w:val="0"/>
          <w:w w:val="100"/>
          <w:position w:val="0"/>
        </w:rPr>
        <w:t>股为基数，拟按每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0.10</w:t>
      </w:r>
      <w:r>
        <w:rPr>
          <w:color w:val="000000"/>
          <w:spacing w:val="0"/>
          <w:w w:val="100"/>
          <w:position w:val="0"/>
        </w:rPr>
        <w:t xml:space="preserve">元（含税），共 计 </w:t>
      </w:r>
      <w:r>
        <w:rPr>
          <w:rFonts w:ascii="Times New Roman" w:eastAsia="Times New Roman" w:hAnsi="Times New Roman" w:cs="Times New Roman"/>
          <w:color w:val="000000"/>
          <w:spacing w:val="0"/>
          <w:w w:val="100"/>
          <w:position w:val="0"/>
        </w:rPr>
        <w:t xml:space="preserve">7,611,912.94 </w:t>
      </w:r>
      <w:r>
        <w:rPr>
          <w:color w:val="000000"/>
          <w:spacing w:val="0"/>
          <w:w w:val="100"/>
          <w:position w:val="0"/>
        </w:rPr>
        <w:t>元；</w:t>
      </w:r>
    </w:p>
    <w:p>
      <w:pPr>
        <w:pStyle w:val="Style34"/>
        <w:keepNext w:val="0"/>
        <w:keepLines w:val="0"/>
        <w:widowControl w:val="0"/>
        <w:shd w:val="clear" w:color="auto" w:fill="auto"/>
        <w:tabs>
          <w:tab w:pos="820" w:val="left"/>
        </w:tabs>
        <w:bidi w:val="0"/>
        <w:spacing w:before="0" w:after="0" w:line="317" w:lineRule="exact"/>
        <w:ind w:left="0" w:right="0"/>
        <w:jc w:val="left"/>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2</w:t>
      </w:r>
      <w:r>
        <w:rPr>
          <w:color w:val="000000"/>
          <w:spacing w:val="0"/>
          <w:w w:val="100"/>
          <w:position w:val="0"/>
        </w:rPr>
        <w:t>）</w:t>
        <w:tab/>
        <w:t>资本公积金转增股本预案：不送股，不进行资本公积转增股本。</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76" w:name="bookmark276"/>
      <w:r>
        <w:rPr>
          <w:rFonts w:ascii="Times New Roman" w:eastAsia="Times New Roman" w:hAnsi="Times New Roman" w:cs="Times New Roman"/>
          <w:color w:val="000000"/>
          <w:spacing w:val="0"/>
          <w:w w:val="100"/>
          <w:position w:val="0"/>
        </w:rPr>
        <w:t>2</w:t>
      </w:r>
      <w:bookmarkEnd w:id="276"/>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0" w:line="317" w:lineRule="exact"/>
        <w:ind w:left="0" w:right="0" w:firstLine="4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rPr>
        <w:t>2019</w:t>
      </w:r>
      <w:r>
        <w:rPr>
          <w:color w:val="000000"/>
          <w:spacing w:val="0"/>
          <w:w w:val="100"/>
          <w:position w:val="0"/>
        </w:rPr>
        <w:t>年度实现净利润</w:t>
      </w:r>
      <w:r>
        <w:rPr>
          <w:rFonts w:ascii="Times New Roman" w:eastAsia="Times New Roman" w:hAnsi="Times New Roman" w:cs="Times New Roman"/>
          <w:color w:val="000000"/>
          <w:spacing w:val="0"/>
          <w:w w:val="100"/>
          <w:position w:val="0"/>
        </w:rPr>
        <w:t>4,079.56</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407.95</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rPr>
        <w:t>38,743.61</w:t>
      </w:r>
      <w:r>
        <w:rPr>
          <w:color w:val="000000"/>
          <w:spacing w:val="0"/>
          <w:w w:val="100"/>
          <w:position w:val="0"/>
        </w:rPr>
        <w:t>万元，加会计政策变更对年初未分配利润影 响额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,526.78</w:t>
      </w:r>
      <w:r>
        <w:rPr>
          <w:color w:val="000000"/>
          <w:spacing w:val="0"/>
          <w:w w:val="100"/>
          <w:position w:val="0"/>
        </w:rPr>
        <w:t>万元，年末可供股东分配的利润为</w:t>
      </w:r>
      <w:r>
        <w:rPr>
          <w:rFonts w:ascii="Times New Roman" w:eastAsia="Times New Roman" w:hAnsi="Times New Roman" w:cs="Times New Roman"/>
          <w:color w:val="000000"/>
          <w:spacing w:val="0"/>
          <w:w w:val="100"/>
          <w:position w:val="0"/>
        </w:rPr>
        <w:t>44,942.00</w:t>
      </w:r>
      <w:r>
        <w:rPr>
          <w:color w:val="000000"/>
          <w:spacing w:val="0"/>
          <w:w w:val="100"/>
          <w:position w:val="0"/>
        </w:rPr>
        <w:t>万元。</w:t>
      </w:r>
    </w:p>
    <w:p>
      <w:pPr>
        <w:pStyle w:val="Style34"/>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结合公司</w:t>
      </w:r>
      <w:r>
        <w:rPr>
          <w:rFonts w:ascii="Times New Roman" w:eastAsia="Times New Roman" w:hAnsi="Times New Roman" w:cs="Times New Roman"/>
          <w:color w:val="000000"/>
          <w:spacing w:val="0"/>
          <w:w w:val="100"/>
          <w:position w:val="0"/>
        </w:rPr>
        <w:t>2020</w:t>
      </w:r>
      <w:r>
        <w:rPr>
          <w:color w:val="000000"/>
          <w:spacing w:val="0"/>
          <w:w w:val="100"/>
          <w:position w:val="0"/>
        </w:rPr>
        <w:t>年度发展规划及资金使用安排，公司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2019</w:t>
      </w:r>
      <w:r>
        <w:rPr>
          <w:color w:val="000000"/>
          <w:spacing w:val="0"/>
          <w:w w:val="100"/>
          <w:position w:val="0"/>
        </w:rPr>
        <w:t>年度不进行利润分配，也不进行资 本公积金转增股本，公司未分配利润结转下一年度。</w:t>
      </w:r>
    </w:p>
    <w:p>
      <w:pPr>
        <w:pStyle w:val="Style34"/>
        <w:keepNext w:val="0"/>
        <w:keepLines w:val="0"/>
        <w:widowControl w:val="0"/>
        <w:shd w:val="clear" w:color="auto" w:fill="auto"/>
        <w:tabs>
          <w:tab w:pos="354" w:val="left"/>
        </w:tabs>
        <w:bidi w:val="0"/>
        <w:spacing w:before="0" w:after="0" w:line="317" w:lineRule="exact"/>
        <w:ind w:left="0" w:right="0" w:firstLine="0"/>
        <w:jc w:val="left"/>
      </w:pPr>
      <w:bookmarkStart w:id="277" w:name="bookmark277"/>
      <w:r>
        <w:rPr>
          <w:rFonts w:ascii="Times New Roman" w:eastAsia="Times New Roman" w:hAnsi="Times New Roman" w:cs="Times New Roman"/>
          <w:color w:val="000000"/>
          <w:spacing w:val="0"/>
          <w:w w:val="100"/>
          <w:position w:val="0"/>
        </w:rPr>
        <w:t>3</w:t>
      </w:r>
      <w:bookmarkEnd w:id="27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年度利润分配及资本公积金转增股本预案</w:t>
      </w:r>
    </w:p>
    <w:p>
      <w:pPr>
        <w:pStyle w:val="Style34"/>
        <w:keepNext w:val="0"/>
        <w:keepLines w:val="0"/>
        <w:widowControl w:val="0"/>
        <w:shd w:val="clear" w:color="auto" w:fill="auto"/>
        <w:bidi w:val="0"/>
        <w:spacing w:before="0" w:after="0" w:line="317" w:lineRule="exact"/>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年度经营情况经立信会计师事务所（特殊普通合伙）有限公司审计，母公司</w:t>
      </w:r>
      <w:r>
        <w:rPr>
          <w:rFonts w:ascii="Times New Roman" w:eastAsia="Times New Roman" w:hAnsi="Times New Roman" w:cs="Times New Roman"/>
          <w:color w:val="000000"/>
          <w:spacing w:val="0"/>
          <w:w w:val="100"/>
          <w:position w:val="0"/>
        </w:rPr>
        <w:t>2018</w:t>
      </w:r>
      <w:r>
        <w:rPr>
          <w:color w:val="000000"/>
          <w:spacing w:val="0"/>
          <w:w w:val="100"/>
          <w:position w:val="0"/>
        </w:rPr>
        <w:t>年度实现净利润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,512.87</w:t>
      </w:r>
      <w:r>
        <w:rPr>
          <w:color w:val="000000"/>
          <w:spacing w:val="0"/>
          <w:w w:val="100"/>
          <w:position w:val="0"/>
        </w:rPr>
        <w:t>万元，按 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r>
        <w:rPr>
          <w:rFonts w:ascii="Times New Roman" w:eastAsia="Times New Roman" w:hAnsi="Times New Roman" w:cs="Times New Roman"/>
          <w:color w:val="000000"/>
          <w:spacing w:val="0"/>
          <w:w w:val="100"/>
          <w:position w:val="0"/>
        </w:rPr>
        <w:t>151.28</w:t>
      </w:r>
      <w:r>
        <w:rPr>
          <w:color w:val="000000"/>
          <w:spacing w:val="0"/>
          <w:w w:val="100"/>
          <w:position w:val="0"/>
        </w:rPr>
        <w:t>万元，加年初未分配利润</w:t>
      </w:r>
      <w:r>
        <w:rPr>
          <w:rFonts w:ascii="Times New Roman" w:eastAsia="Times New Roman" w:hAnsi="Times New Roman" w:cs="Times New Roman"/>
          <w:color w:val="000000"/>
          <w:spacing w:val="0"/>
          <w:w w:val="100"/>
          <w:position w:val="0"/>
        </w:rPr>
        <w:t>38,523.80</w:t>
      </w:r>
      <w:r>
        <w:rPr>
          <w:color w:val="000000"/>
          <w:spacing w:val="0"/>
          <w:w w:val="100"/>
          <w:position w:val="0"/>
        </w:rPr>
        <w:t>万元，减除</w:t>
      </w:r>
      <w:r>
        <w:rPr>
          <w:rFonts w:ascii="Times New Roman" w:eastAsia="Times New Roman" w:hAnsi="Times New Roman" w:cs="Times New Roman"/>
          <w:color w:val="000000"/>
          <w:spacing w:val="0"/>
          <w:w w:val="100"/>
          <w:position w:val="0"/>
        </w:rPr>
        <w:t>2018</w:t>
      </w:r>
      <w:r>
        <w:rPr>
          <w:color w:val="000000"/>
          <w:spacing w:val="0"/>
          <w:w w:val="100"/>
          <w:position w:val="0"/>
        </w:rPr>
        <w:t>年度现金分红</w:t>
      </w:r>
      <w:r>
        <w:rPr>
          <w:rFonts w:ascii="Times New Roman" w:eastAsia="Times New Roman" w:hAnsi="Times New Roman" w:cs="Times New Roman"/>
          <w:color w:val="000000"/>
          <w:spacing w:val="0"/>
          <w:w w:val="100"/>
          <w:position w:val="0"/>
        </w:rPr>
        <w:t>1,141.78</w:t>
      </w:r>
      <w:r>
        <w:rPr>
          <w:color w:val="000000"/>
          <w:spacing w:val="0"/>
          <w:w w:val="100"/>
          <w:position w:val="0"/>
        </w:rPr>
        <w:t>万元， 年末可供股东分配的利润为</w:t>
      </w:r>
      <w:r>
        <w:rPr>
          <w:rFonts w:ascii="Times New Roman" w:eastAsia="Times New Roman" w:hAnsi="Times New Roman" w:cs="Times New Roman"/>
          <w:color w:val="000000"/>
          <w:spacing w:val="0"/>
          <w:w w:val="100"/>
          <w:position w:val="0"/>
        </w:rPr>
        <w:t>38,743.6</w:t>
      </w:r>
      <w:r>
        <w:rPr>
          <w:rFonts w:ascii="Times New Roman" w:eastAsia="Times New Roman" w:hAnsi="Times New Roman" w:cs="Times New Roman"/>
          <w:color w:val="000000"/>
          <w:spacing w:val="0"/>
          <w:w w:val="100"/>
          <w:position w:val="0"/>
        </w:rPr>
        <w:t>1</w:t>
      </w:r>
      <w:r>
        <w:rPr>
          <w:color w:val="000000"/>
          <w:spacing w:val="0"/>
          <w:w w:val="100"/>
          <w:position w:val="0"/>
        </w:rPr>
        <w:t>万元。</w:t>
      </w:r>
    </w:p>
    <w:p>
      <w:pPr>
        <w:pStyle w:val="Style34"/>
        <w:keepNext w:val="0"/>
        <w:keepLines w:val="0"/>
        <w:widowControl w:val="0"/>
        <w:shd w:val="clear" w:color="auto" w:fill="auto"/>
        <w:bidi w:val="0"/>
        <w:spacing w:before="0" w:after="0" w:line="317" w:lineRule="exact"/>
        <w:ind w:left="0" w:right="0" w:firstLine="480"/>
        <w:jc w:val="left"/>
      </w:pPr>
      <w:r>
        <w:rPr>
          <w:color w:val="000000"/>
          <w:spacing w:val="0"/>
          <w:w w:val="100"/>
          <w:position w:val="0"/>
        </w:rPr>
        <w:t>结合公司</w:t>
      </w:r>
      <w:r>
        <w:rPr>
          <w:rFonts w:ascii="Times New Roman" w:eastAsia="Times New Roman" w:hAnsi="Times New Roman" w:cs="Times New Roman"/>
          <w:color w:val="000000"/>
          <w:spacing w:val="0"/>
          <w:w w:val="100"/>
          <w:position w:val="0"/>
        </w:rPr>
        <w:t>2019</w:t>
      </w:r>
      <w:r>
        <w:rPr>
          <w:color w:val="000000"/>
          <w:spacing w:val="0"/>
          <w:w w:val="100"/>
          <w:position w:val="0"/>
        </w:rPr>
        <w:t>年度发展规划及资金使用安排，公司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年度利润分配预案为：</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年度不进行利润分配，也不进行资 本公积金转增股本，公司未分配利润结转下一年度。</w:t>
      </w:r>
    </w:p>
    <w:p>
      <w:pPr>
        <w:pStyle w:val="Style34"/>
        <w:keepNext w:val="0"/>
        <w:keepLines w:val="0"/>
        <w:widowControl w:val="0"/>
        <w:shd w:val="clear" w:color="auto" w:fill="auto"/>
        <w:bidi w:val="0"/>
        <w:spacing w:before="0" w:after="120" w:line="317" w:lineRule="exact"/>
        <w:ind w:left="0" w:right="0"/>
        <w:jc w:val="left"/>
      </w:pPr>
      <w:r>
        <w:rPr>
          <w:color w:val="000000"/>
          <w:spacing w:val="0"/>
          <w:w w:val="100"/>
          <w:position w:val="0"/>
        </w:rPr>
        <w:t>公司近三年（包括本报告期）普通股现金分红情况表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6" w:lineRule="exact"/>
              <w:ind w:left="0" w:right="0" w:firstLine="0"/>
              <w:jc w:val="center"/>
            </w:pPr>
            <w:r>
              <w:rPr>
                <w:rFonts w:ascii="SimSun" w:eastAsia="SimSun" w:hAnsi="SimSun" w:cs="SimSun"/>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140"/>
              <w:jc w:val="left"/>
            </w:pPr>
            <w:r>
              <w:rPr>
                <w:rFonts w:ascii="SimSun" w:eastAsia="SimSun" w:hAnsi="SimSun" w:cs="SimSun"/>
                <w:color w:val="000000"/>
                <w:spacing w:val="0"/>
                <w:w w:val="100"/>
                <w:position w:val="0"/>
              </w:rPr>
              <w:t>以其他方式</w:t>
            </w:r>
          </w:p>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现金分红总额 （含其他方</w:t>
            </w:r>
          </w:p>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7,611,912.94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71,756,896.38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65,651,712.07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-94,817,582.68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r>
        <w:br w:type="page"/>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二</w:t>
      </w:r>
      <w:bookmarkEnd w:id="280"/>
      <w:r>
        <w:rPr>
          <w:color w:val="000000"/>
          <w:spacing w:val="0"/>
          <w:w w:val="100"/>
          <w:position w:val="0"/>
          <w:sz w:val="24"/>
          <w:szCs w:val="24"/>
        </w:rPr>
        <w:t>、本报告期利润分配及资本公积金转增股本情况</w:t>
      </w:r>
      <w:bookmarkEnd w:id="278"/>
      <w:bookmarkEnd w:id="279"/>
      <w:bookmarkEnd w:id="28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641,398,506.25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公司发展阶段属成熟期且无重大资金支出安排的，进行利润分配时，现金分红在本次利润分配中所占比例最低应达到</w:t>
            </w:r>
            <w:r>
              <w:rPr>
                <w:color w:val="000000"/>
                <w:spacing w:val="0"/>
                <w:w w:val="100"/>
                <w:position w:val="0"/>
              </w:rPr>
              <w:t>80</w:t>
            </w:r>
            <w:r>
              <w:rPr>
                <w:rFonts w:ascii="SimSun" w:eastAsia="SimSun" w:hAnsi="SimSun" w:cs="SimSun"/>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）利润分配预案：以</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日的总股本</w:t>
            </w:r>
            <w:r>
              <w:rPr>
                <w:color w:val="000000"/>
                <w:spacing w:val="0"/>
                <w:w w:val="100"/>
                <w:position w:val="0"/>
              </w:rPr>
              <w:t>761,191,294</w:t>
            </w:r>
            <w:r>
              <w:rPr>
                <w:rFonts w:ascii="SimSun" w:eastAsia="SimSun" w:hAnsi="SimSun" w:cs="SimSun"/>
                <w:color w:val="000000"/>
                <w:spacing w:val="0"/>
                <w:w w:val="100"/>
                <w:position w:val="0"/>
              </w:rPr>
              <w:t>股为基数，拟按每</w:t>
            </w:r>
            <w:r>
              <w:rPr>
                <w:color w:val="000000"/>
                <w:spacing w:val="0"/>
                <w:w w:val="100"/>
                <w:position w:val="0"/>
              </w:rPr>
              <w:t>10</w:t>
            </w:r>
            <w:r>
              <w:rPr>
                <w:rFonts w:ascii="SimSun" w:eastAsia="SimSun" w:hAnsi="SimSun" w:cs="SimSun"/>
                <w:color w:val="000000"/>
                <w:spacing w:val="0"/>
                <w:w w:val="100"/>
                <w:position w:val="0"/>
              </w:rPr>
              <w:t>股派发现金股利</w:t>
            </w:r>
            <w:r>
              <w:rPr>
                <w:color w:val="000000"/>
                <w:spacing w:val="0"/>
                <w:w w:val="100"/>
                <w:position w:val="0"/>
              </w:rPr>
              <w:t>0.10</w:t>
            </w:r>
            <w:r>
              <w:rPr>
                <w:rFonts w:ascii="SimSun" w:eastAsia="SimSun" w:hAnsi="SimSun" w:cs="SimSun"/>
                <w:color w:val="000000"/>
                <w:spacing w:val="0"/>
                <w:w w:val="100"/>
                <w:position w:val="0"/>
              </w:rPr>
              <w:t>元（含税）， 共计</w:t>
            </w:r>
            <w:r>
              <w:rPr>
                <w:color w:val="000000"/>
                <w:spacing w:val="0"/>
                <w:w w:val="100"/>
                <w:position w:val="0"/>
              </w:rPr>
              <w:t>7,611,912.94</w:t>
            </w:r>
            <w:r>
              <w:rPr>
                <w:rFonts w:ascii="SimSun" w:eastAsia="SimSun" w:hAnsi="SimSun" w:cs="SimSun"/>
                <w:color w:val="000000"/>
                <w:spacing w:val="0"/>
                <w:w w:val="100"/>
                <w:position w:val="0"/>
              </w:rPr>
              <w:t>元；（</w:t>
            </w:r>
            <w:r>
              <w:rPr>
                <w:color w:val="000000"/>
                <w:spacing w:val="0"/>
                <w:w w:val="100"/>
                <w:position w:val="0"/>
              </w:rPr>
              <w:t>2</w:t>
            </w:r>
            <w:r>
              <w:rPr>
                <w:rFonts w:ascii="SimSun" w:eastAsia="SimSun" w:hAnsi="SimSun" w:cs="SimSun"/>
                <w:color w:val="000000"/>
                <w:spacing w:val="0"/>
                <w:w w:val="100"/>
                <w:position w:val="0"/>
              </w:rPr>
              <w:t>）资本公积金转增股本预案：不送股，不进行资本公积转增股本。</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三</w:t>
      </w:r>
      <w:bookmarkEnd w:id="284"/>
      <w:r>
        <w:rPr>
          <w:color w:val="000000"/>
          <w:spacing w:val="0"/>
          <w:w w:val="100"/>
          <w:position w:val="0"/>
          <w:sz w:val="24"/>
          <w:szCs w:val="24"/>
        </w:rPr>
        <w:t>、承诺事项履行情况</w:t>
      </w:r>
      <w:bookmarkEnd w:id="282"/>
      <w:bookmarkEnd w:id="283"/>
      <w:bookmarkEnd w:id="285"/>
    </w:p>
    <w:p>
      <w:pPr>
        <w:pStyle w:val="Style38"/>
        <w:keepNext/>
        <w:keepLines/>
        <w:widowControl w:val="0"/>
        <w:shd w:val="clear" w:color="auto" w:fill="auto"/>
        <w:bidi w:val="0"/>
        <w:spacing w:before="0" w:after="360" w:line="31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、公司实际控制人、股东、关联方、收购人以及公司等承诺相关方在报告期内履行完毕及截至报告期末 尚未履行完毕的承诺事项</w:t>
      </w:r>
      <w:bookmarkEnd w:id="286"/>
      <w:bookmarkEnd w:id="287"/>
      <w:bookmarkEnd w:id="289"/>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9"/>
        <w:gridCol w:w="706"/>
        <w:gridCol w:w="994"/>
        <w:gridCol w:w="3542"/>
        <w:gridCol w:w="994"/>
        <w:gridCol w:w="994"/>
        <w:gridCol w:w="64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履行情</w:t>
            </w:r>
          </w:p>
          <w:p>
            <w:pPr>
              <w:pStyle w:val="Style2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收购报告书或权益变</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首次公开发行或再融</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本人目前不存在自营、与他人共同经营或为 他人经营与发行人相同、相似业务的情形。 除发行人及发行人的控股子公司外，本人目 前并未直接或间接控制任何其他企业；（</w:t>
            </w:r>
            <w:r>
              <w:rPr>
                <w:color w:val="000000"/>
                <w:spacing w:val="0"/>
                <w:w w:val="100"/>
                <w:position w:val="0"/>
              </w:rPr>
              <w:t>2</w:t>
            </w:r>
            <w:r>
              <w:rPr>
                <w:rFonts w:ascii="SimSun" w:eastAsia="SimSun" w:hAnsi="SimSun" w:cs="SimSun"/>
                <w:color w:val="000000"/>
                <w:spacing w:val="0"/>
                <w:w w:val="100"/>
                <w:position w:val="0"/>
              </w:rPr>
              <w:t>） 在本人直接或间接持有发行人股权的相关期 间内，本人将不会采取参股、控股、联营、 合营、合作或者其他任何方式直接或间接从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 xml:space="preserve">年 </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至从发行人 离职后三年 期间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正在履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bl>
    <w:p>
      <w:pPr>
        <w:spacing w:lineRule="exact" w:line="1"/>
        <w:rPr>
          <w:sz w:val="2"/>
          <w:szCs w:val="2"/>
        </w:rPr>
      </w:pPr>
      <w:r>
        <w:br w:type="page"/>
      </w:r>
    </w:p>
    <w:tbl>
      <w:tblPr>
        <w:tblOverlap w:val="never"/>
        <w:jc w:val="center"/>
        <w:tblLayout w:type="fixed"/>
      </w:tblPr>
      <w:tblGrid>
        <w:gridCol w:w="1709"/>
        <w:gridCol w:w="706"/>
        <w:gridCol w:w="994"/>
        <w:gridCol w:w="3542"/>
        <w:gridCol w:w="994"/>
        <w:gridCol w:w="994"/>
        <w:gridCol w:w="638"/>
      </w:tblGrid>
      <w:tr>
        <w:trPr>
          <w:trHeight w:val="5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事与发行人现在和将来业务范围相同、相似 或构成实质竞争的业务，也不会协助、促使 或代表任何第三方以任何方式直接或间接从 事与发行人现在和将来业务范围相同、相似 或构成实质竞争的业务；并将促使本人控制 的其他企业（如有）比照前述规定履行不竞 争的义务；（</w:t>
            </w:r>
            <w:r>
              <w:rPr>
                <w:color w:val="000000"/>
                <w:spacing w:val="0"/>
                <w:w w:val="100"/>
                <w:position w:val="0"/>
              </w:rPr>
              <w:t>3</w:t>
            </w:r>
            <w:r>
              <w:rPr>
                <w:rFonts w:ascii="SimSun" w:eastAsia="SimSun" w:hAnsi="SimSun" w:cs="SimSun"/>
                <w:color w:val="000000"/>
                <w:spacing w:val="0"/>
                <w:w w:val="100"/>
                <w:position w:val="0"/>
              </w:rPr>
              <w:t>）如因国家政策调整等不可抗 力原因导致本人或本人控制的其他企业（如 有）将来从事的业务与发行人之间的同业竞 争可能构成或不可避免时，则本人将在发行 人提出异议后及时转让或终止上述业务或促 使本人控制的其他企业及时转让或终止上述 业务；如发行人进一步要求，发行人并享有 上述业务在同等条件下的优先受让权；（</w:t>
            </w:r>
            <w:r>
              <w:rPr>
                <w:color w:val="000000"/>
                <w:spacing w:val="0"/>
                <w:w w:val="100"/>
                <w:position w:val="0"/>
              </w:rPr>
              <w:t>4</w:t>
            </w:r>
            <w:r>
              <w:rPr>
                <w:rFonts w:ascii="SimSun" w:eastAsia="SimSun" w:hAnsi="SimSun" w:cs="SimSun"/>
                <w:color w:val="000000"/>
                <w:spacing w:val="0"/>
                <w:w w:val="100"/>
                <w:position w:val="0"/>
              </w:rPr>
              <w:t>） 如本人违反上述承诺，发行人及发行人其他 股东有权根据本承诺书依法申请强制本人履 行上述承诺，并赔偿发行人及发行人其他股 东因此遭受的全部损失；同时本人因违反上 述承诺所取得的利益归发行人所有。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广州御 银科技 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在公司盈利状态良好且现金流能够满足公司 正常经营和可持续发展的前提下，如无重大 投资计划或重大现金支出等事项发生，公司 原则上应当采取现金方式分配股利，公司最 近三年以现金方式累计分配的利润不少于最 近三年实现的年均可分配利润的百分之三 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经营期间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正在履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行中</w:t>
            </w:r>
          </w:p>
        </w:tc>
      </w:tr>
      <w:tr>
        <w:trPr>
          <w:trHeight w:val="403" w:hRule="exact"/>
        </w:trPr>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gridSpan w:val="5"/>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如承诺超期未履行完毕的，应当详细说明未完成履行的具体原因及下一步的工作计划</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59" w:line="1" w:lineRule="exact"/>
      </w:pPr>
    </w:p>
    <w:p>
      <w:pPr>
        <w:pStyle w:val="Style38"/>
        <w:keepNext/>
        <w:keepLines/>
        <w:widowControl w:val="0"/>
        <w:shd w:val="clear" w:color="auto" w:fill="auto"/>
        <w:bidi w:val="0"/>
        <w:spacing w:before="0" w:line="317" w:lineRule="exact"/>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、公司资产或项目存在盈利预测，且报告期仍处在盈利预测期间，公司就资产或项目达到原盈利预测及 其原因做出说明</w:t>
      </w:r>
      <w:bookmarkEnd w:id="290"/>
      <w:bookmarkEnd w:id="291"/>
      <w:bookmarkEnd w:id="293"/>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8" w:val="left"/>
        </w:tabs>
        <w:bidi w:val="0"/>
        <w:spacing w:before="0" w:line="240" w:lineRule="auto"/>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w:t>
        <w:tab/>
        <w:t>控股股东及其关联方对上市公司的非经营性占用资金情况</w:t>
      </w:r>
      <w:bookmarkEnd w:id="294"/>
      <w:bookmarkEnd w:id="295"/>
      <w:bookmarkEnd w:id="297"/>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8"/>
      <w:bookmarkEnd w:id="299"/>
      <w:bookmarkEnd w:id="301"/>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20" w:line="240" w:lineRule="auto"/>
        <w:ind w:left="0" w:right="0" w:firstLine="0"/>
        <w:jc w:val="both"/>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、与上年度财务报告相比，会计政策、会计估计和核算方法发生变化的情况说明</w:t>
      </w:r>
      <w:bookmarkEnd w:id="302"/>
      <w:bookmarkEnd w:id="303"/>
      <w:bookmarkEnd w:id="305"/>
    </w:p>
    <w:p>
      <w:pPr>
        <w:pStyle w:val="Style3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firstLine="0"/>
        <w:jc w:val="both"/>
      </w:pPr>
      <w:bookmarkStart w:id="306" w:name="bookmark306"/>
      <w:r>
        <w:rPr>
          <w:color w:val="000000"/>
          <w:spacing w:val="0"/>
          <w:w w:val="100"/>
          <w:position w:val="0"/>
        </w:rPr>
        <w:t>1</w:t>
      </w:r>
      <w:bookmarkEnd w:id="306"/>
      <w:r>
        <w:rPr>
          <w:color w:val="000000"/>
          <w:spacing w:val="0"/>
          <w:w w:val="100"/>
          <w:position w:val="0"/>
        </w:rPr>
        <w:t>、重要会计政策变更</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22"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号——收入》。修订后的准则规定，首次执行该准则应当根据累积影响数 调整当年年初留存收益及财务报表其他相关项目金额，对可比期间信息不予调整。</w:t>
      </w:r>
    </w:p>
    <w:p>
      <w:pPr>
        <w:pStyle w:val="Style34"/>
        <w:keepNext w:val="0"/>
        <w:keepLines w:val="0"/>
        <w:widowControl w:val="0"/>
        <w:shd w:val="clear" w:color="auto" w:fill="auto"/>
        <w:bidi w:val="0"/>
        <w:spacing w:before="0" w:after="80" w:line="322" w:lineRule="exact"/>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日起执行新收入准则。根据准则的规定，本公司仅对在首次执行日尚未完成的合同的累积影响数调</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419"/>
        <w:gridCol w:w="1277"/>
        <w:gridCol w:w="1699"/>
        <w:gridCol w:w="1982"/>
        <w:gridCol w:w="2141"/>
      </w:tblGrid>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会计政策变更的内容和原因</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受影响的报表项目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日余额的影响金额</w:t>
            </w:r>
          </w:p>
        </w:tc>
      </w:tr>
      <w:tr>
        <w:trPr>
          <w:trHeight w:val="4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将与履约义务相关的预收款项 重分类至合同负债</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-37,243,402.34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-34,026,938.73</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32,994,773.43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30,118,416.67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4,248,628.91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3,908,522.06</w:t>
            </w:r>
          </w:p>
        </w:tc>
      </w:tr>
      <w:tr>
        <w:trPr>
          <w:trHeight w:val="34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售后免保服务作为单项履 约义务确认收入</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6,700,600.00</w:t>
            </w:r>
          </w:p>
        </w:tc>
      </w:tr>
      <w:tr>
        <w:trPr>
          <w:trHeight w:val="36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-6,700,600.00</w:t>
            </w:r>
          </w:p>
        </w:tc>
      </w:tr>
    </w:tbl>
    <w:p>
      <w:pPr>
        <w:widowControl w:val="0"/>
        <w:spacing w:after="319" w:line="1" w:lineRule="exact"/>
      </w:pP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bl>
      <w:tblPr>
        <w:tblOverlap w:val="never"/>
        <w:jc w:val="center"/>
        <w:tblLayout w:type="fixed"/>
      </w:tblPr>
      <w:tblGrid>
        <w:gridCol w:w="3571"/>
        <w:gridCol w:w="2818"/>
        <w:gridCol w:w="3130"/>
      </w:tblGrid>
      <w:tr>
        <w:trPr>
          <w:trHeight w:val="43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受影响的资产负债表项目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日余额的影响金额</w:t>
            </w:r>
          </w:p>
        </w:tc>
      </w:tr>
      <w:tr>
        <w:trPr>
          <w:trHeight w:val="4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10,715,839.39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10,424,311.24</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-7,871,757.35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-7,582,965.05</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-2,373,200.00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-2,372,400.00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876,806.51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876,806.51</w:t>
            </w:r>
          </w:p>
        </w:tc>
      </w:tr>
    </w:tbl>
    <w:p>
      <w:pPr>
        <w:widowControl w:val="0"/>
        <w:spacing w:after="319" w:line="1" w:lineRule="exact"/>
      </w:pPr>
    </w:p>
    <w:tbl>
      <w:tblPr>
        <w:tblOverlap w:val="never"/>
        <w:jc w:val="center"/>
        <w:tblLayout w:type="fixed"/>
      </w:tblPr>
      <w:tblGrid>
        <w:gridCol w:w="3552"/>
        <w:gridCol w:w="2837"/>
        <w:gridCol w:w="3130"/>
      </w:tblGrid>
      <w:tr>
        <w:trPr>
          <w:trHeight w:val="43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受影响的利润表项目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年度发生额的影响金额</w:t>
            </w:r>
          </w:p>
        </w:tc>
      </w:tr>
      <w:tr>
        <w:trPr>
          <w:trHeight w:val="4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3,052,911.45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2,982,447.30</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5,699,132.92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5,601,615.74</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-388,132.92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-363,815.74</w:t>
            </w:r>
          </w:p>
        </w:tc>
      </w:tr>
    </w:tbl>
    <w:p>
      <w:pPr>
        <w:pStyle w:val="Style32"/>
        <w:keepNext w:val="0"/>
        <w:keepLines w:val="0"/>
        <w:widowControl w:val="0"/>
        <w:shd w:val="clear" w:color="auto" w:fill="auto"/>
        <w:bidi w:val="0"/>
        <w:spacing w:before="0" w:after="80" w:line="240" w:lineRule="auto"/>
        <w:ind w:left="35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2"/>
        <w:keepNext w:val="0"/>
        <w:keepLines w:val="0"/>
        <w:widowControl w:val="0"/>
        <w:shd w:val="clear" w:color="auto" w:fill="auto"/>
        <w:bidi w:val="0"/>
        <w:spacing w:before="0" w:after="0" w:line="240" w:lineRule="auto"/>
        <w:ind w:left="35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34"/>
        <w:keepNext w:val="0"/>
        <w:keepLines w:val="0"/>
        <w:widowControl w:val="0"/>
        <w:numPr>
          <w:ilvl w:val="0"/>
          <w:numId w:val="11"/>
        </w:numPr>
        <w:shd w:val="clear" w:color="auto" w:fill="auto"/>
        <w:tabs>
          <w:tab w:pos="853" w:val="left"/>
        </w:tabs>
        <w:bidi w:val="0"/>
        <w:spacing w:before="0" w:after="0" w:line="317" w:lineRule="exact"/>
        <w:ind w:left="0" w:right="0" w:firstLine="480"/>
        <w:jc w:val="left"/>
      </w:pPr>
      <w:bookmarkStart w:id="307" w:name="bookmark307"/>
      <w:bookmarkEnd w:id="307"/>
      <w:r>
        <w:rPr>
          <w:color w:val="000000"/>
          <w:spacing w:val="0"/>
          <w:w w:val="100"/>
          <w:position w:val="0"/>
        </w:rPr>
        <w:t>关联方的认定</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号明确了以下情形构成关联方：企业与其所属企业集团的其他成员单位（包括母公司和子公司）的合营企业或 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 两方以上的企业不构成关联方，并补充说明了联营企业包括联营企业及其子公司，合营企业包括合营企业及其子公司。</w:t>
      </w:r>
    </w:p>
    <w:p>
      <w:pPr>
        <w:pStyle w:val="Style34"/>
        <w:keepNext w:val="0"/>
        <w:keepLines w:val="0"/>
        <w:widowControl w:val="0"/>
        <w:numPr>
          <w:ilvl w:val="0"/>
          <w:numId w:val="11"/>
        </w:numPr>
        <w:shd w:val="clear" w:color="auto" w:fill="auto"/>
        <w:tabs>
          <w:tab w:pos="853" w:val="left"/>
        </w:tabs>
        <w:bidi w:val="0"/>
        <w:spacing w:before="0" w:after="0" w:line="317" w:lineRule="exact"/>
        <w:ind w:left="0" w:right="0" w:firstLine="480"/>
        <w:jc w:val="left"/>
      </w:pPr>
      <w:bookmarkStart w:id="308" w:name="bookmark308"/>
      <w:bookmarkEnd w:id="308"/>
      <w:r>
        <w:rPr>
          <w:color w:val="000000"/>
          <w:spacing w:val="0"/>
          <w:w w:val="100"/>
          <w:position w:val="0"/>
        </w:rPr>
        <w:t>业务的定义</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 化非同一控制下取得组合是否构成业务的判断等问题。</w:t>
      </w:r>
    </w:p>
    <w:p>
      <w:pPr>
        <w:pStyle w:val="Style34"/>
        <w:keepNext w:val="0"/>
        <w:keepLines w:val="0"/>
        <w:widowControl w:val="0"/>
        <w:shd w:val="clear" w:color="auto" w:fill="auto"/>
        <w:bidi w:val="0"/>
        <w:spacing w:before="0" w:after="320" w:line="240" w:lineRule="auto"/>
        <w:ind w:left="0" w:right="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号未对本公司财务状况和经营成果</w:t>
      </w:r>
    </w:p>
    <w:p>
      <w:pPr>
        <w:pStyle w:val="Style34"/>
        <w:keepNext w:val="0"/>
        <w:keepLines w:val="0"/>
        <w:widowControl w:val="0"/>
        <w:shd w:val="clear" w:color="auto" w:fill="auto"/>
        <w:bidi w:val="0"/>
        <w:spacing w:before="0" w:after="0" w:line="312" w:lineRule="exact"/>
        <w:ind w:left="0" w:right="0" w:firstLine="400"/>
        <w:jc w:val="left"/>
      </w:pPr>
      <w:r>
        <w:rPr>
          <w:color w:val="000000"/>
          <w:spacing w:val="0"/>
          <w:w w:val="100"/>
          <w:position w:val="0"/>
        </w:rPr>
        <w:t>产生重大影响。</w:t>
      </w:r>
    </w:p>
    <w:p>
      <w:pPr>
        <w:pStyle w:val="Style34"/>
        <w:keepNext w:val="0"/>
        <w:keepLines w:val="0"/>
        <w:widowControl w:val="0"/>
        <w:shd w:val="clear" w:color="auto" w:fill="auto"/>
        <w:bidi w:val="0"/>
        <w:spacing w:before="0" w:after="0" w:line="312" w:lineRule="exact"/>
        <w:ind w:left="0" w:right="0" w:firstLine="0"/>
        <w:jc w:val="left"/>
      </w:pPr>
      <w:bookmarkStart w:id="309" w:name="bookmark309"/>
      <w:r>
        <w:rPr>
          <w:color w:val="000000"/>
          <w:spacing w:val="0"/>
          <w:w w:val="100"/>
          <w:position w:val="0"/>
        </w:rPr>
        <w:t>2</w:t>
      </w:r>
      <w:bookmarkEnd w:id="309"/>
      <w:r>
        <w:rPr>
          <w:color w:val="000000"/>
          <w:spacing w:val="0"/>
          <w:w w:val="100"/>
          <w:position w:val="0"/>
        </w:rPr>
        <w:t>、重要会计估计变更</w:t>
      </w:r>
    </w:p>
    <w:p>
      <w:pPr>
        <w:pStyle w:val="Style34"/>
        <w:keepNext w:val="0"/>
        <w:keepLines w:val="0"/>
        <w:widowControl w:val="0"/>
        <w:shd w:val="clear" w:color="auto" w:fill="auto"/>
        <w:bidi w:val="0"/>
        <w:spacing w:before="0" w:after="360" w:line="312" w:lineRule="exact"/>
        <w:ind w:left="0" w:right="0" w:firstLine="280"/>
        <w:jc w:val="left"/>
      </w:pPr>
      <w:r>
        <w:rPr>
          <w:color w:val="000000"/>
          <w:spacing w:val="0"/>
          <w:w w:val="100"/>
          <w:position w:val="0"/>
        </w:rPr>
        <w:t>本报告期公司重要会计估计未发生变更。</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10" w:name="bookmark310"/>
      <w:bookmarkStart w:id="311" w:name="bookmark311"/>
      <w:bookmarkStart w:id="312" w:name="bookmark312"/>
      <w:bookmarkStart w:id="313" w:name="bookmark313"/>
      <w:r>
        <w:rPr>
          <w:color w:val="000000"/>
          <w:spacing w:val="0"/>
          <w:w w:val="100"/>
          <w:position w:val="0"/>
          <w:sz w:val="24"/>
          <w:szCs w:val="24"/>
        </w:rPr>
        <w:t>七</w:t>
      </w:r>
      <w:bookmarkEnd w:id="312"/>
      <w:r>
        <w:rPr>
          <w:color w:val="000000"/>
          <w:spacing w:val="0"/>
          <w:w w:val="100"/>
          <w:position w:val="0"/>
          <w:sz w:val="24"/>
          <w:szCs w:val="24"/>
        </w:rPr>
        <w:t>、</w:t>
        <w:tab/>
        <w:t>报告期内发生重大会计差错更正需追溯重述的情况说明</w:t>
      </w:r>
      <w:bookmarkEnd w:id="310"/>
      <w:bookmarkEnd w:id="311"/>
      <w:bookmarkEnd w:id="313"/>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公司报告期无重大会计差错更正需追溯重述的情况。</w:t>
      </w:r>
    </w:p>
    <w:p>
      <w:pPr>
        <w:pStyle w:val="Style30"/>
        <w:keepNext/>
        <w:keepLines/>
        <w:widowControl w:val="0"/>
        <w:shd w:val="clear" w:color="auto" w:fill="auto"/>
        <w:tabs>
          <w:tab w:pos="522" w:val="left"/>
        </w:tabs>
        <w:bidi w:val="0"/>
        <w:spacing w:before="0" w:after="360" w:line="240" w:lineRule="auto"/>
        <w:ind w:left="0" w:right="0" w:firstLine="0"/>
        <w:jc w:val="both"/>
      </w:pPr>
      <w:bookmarkStart w:id="314" w:name="bookmark314"/>
      <w:bookmarkStart w:id="315" w:name="bookmark315"/>
      <w:bookmarkStart w:id="316" w:name="bookmark316"/>
      <w:bookmarkStart w:id="317" w:name="bookmark317"/>
      <w:r>
        <w:rPr>
          <w:color w:val="000000"/>
          <w:spacing w:val="0"/>
          <w:w w:val="100"/>
          <w:position w:val="0"/>
          <w:sz w:val="24"/>
          <w:szCs w:val="24"/>
        </w:rPr>
        <w:t>八</w:t>
      </w:r>
      <w:bookmarkEnd w:id="316"/>
      <w:r>
        <w:rPr>
          <w:color w:val="000000"/>
          <w:spacing w:val="0"/>
          <w:w w:val="100"/>
          <w:position w:val="0"/>
          <w:sz w:val="24"/>
          <w:szCs w:val="24"/>
        </w:rPr>
        <w:t>、</w:t>
        <w:tab/>
        <w:t>与上年度财务报告相比，合并报表范围发生变化的情况说明</w:t>
      </w:r>
      <w:bookmarkEnd w:id="314"/>
      <w:bookmarkEnd w:id="315"/>
      <w:bookmarkEnd w:id="317"/>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北京广粤科技有限公司（以下简称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北京广粤</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日注册成立，注册资本为人民币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万元，其中，罗 灿裕认缴出资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.05</w:t>
      </w:r>
      <w:r>
        <w:rPr>
          <w:color w:val="000000"/>
          <w:spacing w:val="0"/>
          <w:w w:val="100"/>
          <w:position w:val="0"/>
        </w:rPr>
        <w:t>万元，持有北京广粤</w:t>
      </w:r>
      <w:r>
        <w:rPr>
          <w:rFonts w:ascii="Times New Roman" w:eastAsia="Times New Roman" w:hAnsi="Times New Roman" w:cs="Times New Roman"/>
          <w:color w:val="000000"/>
          <w:spacing w:val="0"/>
          <w:w w:val="100"/>
          <w:position w:val="0"/>
        </w:rPr>
        <w:t>0.05%</w:t>
      </w:r>
      <w:r>
        <w:rPr>
          <w:color w:val="000000"/>
          <w:spacing w:val="0"/>
          <w:w w:val="100"/>
          <w:position w:val="0"/>
        </w:rPr>
        <w:t>的股权，广州杰萃投资有限公司（以下简称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杰萃</w:t>
      </w:r>
      <w:r>
        <w:rPr>
          <w:rFonts w:ascii="Times New Roman" w:eastAsia="Times New Roman" w:hAnsi="Times New Roman" w:cs="Times New Roman"/>
          <w:color w:val="000000"/>
          <w:spacing w:val="0"/>
          <w:w w:val="100"/>
          <w:position w:val="0"/>
        </w:rPr>
        <w:t>”</w:t>
      </w:r>
      <w:r>
        <w:rPr>
          <w:color w:val="000000"/>
          <w:spacing w:val="0"/>
          <w:w w:val="100"/>
          <w:position w:val="0"/>
        </w:rPr>
        <w:t>）认缴出资</w:t>
      </w:r>
      <w:r>
        <w:rPr>
          <w:rFonts w:ascii="Times New Roman" w:eastAsia="Times New Roman" w:hAnsi="Times New Roman" w:cs="Times New Roman"/>
          <w:color w:val="000000"/>
          <w:spacing w:val="0"/>
          <w:w w:val="100"/>
          <w:position w:val="0"/>
        </w:rPr>
        <w:t>99.95</w:t>
      </w:r>
      <w:r>
        <w:rPr>
          <w:color w:val="000000"/>
          <w:spacing w:val="0"/>
          <w:w w:val="100"/>
          <w:position w:val="0"/>
        </w:rPr>
        <w:t>万元，持有 北京广粤</w:t>
      </w:r>
      <w:r>
        <w:rPr>
          <w:rFonts w:ascii="Times New Roman" w:eastAsia="Times New Roman" w:hAnsi="Times New Roman" w:cs="Times New Roman"/>
          <w:color w:val="000000"/>
          <w:spacing w:val="0"/>
          <w:w w:val="100"/>
          <w:position w:val="0"/>
        </w:rPr>
        <w:t>99.95%</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日，原股东杰萃、罗灿裕与本公司签订股权转让合同，同意杰萃将其持有北京广粤 </w:t>
      </w:r>
      <w:r>
        <w:rPr>
          <w:rFonts w:ascii="Times New Roman" w:eastAsia="Times New Roman" w:hAnsi="Times New Roman" w:cs="Times New Roman"/>
          <w:color w:val="000000"/>
          <w:spacing w:val="0"/>
          <w:w w:val="100"/>
          <w:position w:val="0"/>
        </w:rPr>
        <w:t>99.95%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999,500.00</w:t>
      </w:r>
      <w:r>
        <w:rPr>
          <w:color w:val="000000"/>
          <w:spacing w:val="0"/>
          <w:w w:val="100"/>
          <w:position w:val="0"/>
        </w:rPr>
        <w:t>元的价格转让给本公司、罗灿裕将其持有北京广粤</w:t>
      </w:r>
      <w:r>
        <w:rPr>
          <w:rFonts w:ascii="Times New Roman" w:eastAsia="Times New Roman" w:hAnsi="Times New Roman" w:cs="Times New Roman"/>
          <w:color w:val="000000"/>
          <w:spacing w:val="0"/>
          <w:w w:val="100"/>
          <w:position w:val="0"/>
        </w:rPr>
        <w:t>0.05%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500.00</w:t>
      </w:r>
      <w:r>
        <w:rPr>
          <w:color w:val="000000"/>
          <w:spacing w:val="0"/>
          <w:w w:val="100"/>
          <w:position w:val="0"/>
        </w:rPr>
        <w:t>元的价格转 让给本公司，本公司已于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日支付上述全部股权转让款。按照合同约定，上述股权转让款支付完成后本公司即可 取得北京广粤</w:t>
      </w:r>
      <w:r>
        <w:rPr>
          <w:rFonts w:ascii="Times New Roman" w:eastAsia="Times New Roman" w:hAnsi="Times New Roman" w:cs="Times New Roman"/>
          <w:color w:val="000000"/>
          <w:spacing w:val="0"/>
          <w:w w:val="100"/>
          <w:position w:val="0"/>
        </w:rPr>
        <w:t>100%</w:t>
      </w:r>
      <w:r>
        <w:rPr>
          <w:color w:val="000000"/>
          <w:spacing w:val="0"/>
          <w:w w:val="100"/>
          <w:position w:val="0"/>
        </w:rPr>
        <w:t>股权，北京广粤纳入合并范围。</w:t>
      </w:r>
    </w:p>
    <w:p>
      <w:pPr>
        <w:pStyle w:val="Style30"/>
        <w:keepNext/>
        <w:keepLines/>
        <w:widowControl w:val="0"/>
        <w:shd w:val="clear" w:color="auto" w:fill="auto"/>
        <w:tabs>
          <w:tab w:pos="522" w:val="left"/>
        </w:tabs>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sz w:val="24"/>
          <w:szCs w:val="24"/>
        </w:rPr>
        <w:t>九</w:t>
      </w:r>
      <w:bookmarkEnd w:id="320"/>
      <w:r>
        <w:rPr>
          <w:color w:val="000000"/>
          <w:spacing w:val="0"/>
          <w:w w:val="100"/>
          <w:position w:val="0"/>
          <w:sz w:val="24"/>
          <w:szCs w:val="24"/>
        </w:rPr>
        <w:t>、</w:t>
        <w:tab/>
        <w:t>聘任、解聘会计师事务所情况</w:t>
      </w:r>
      <w:bookmarkEnd w:id="318"/>
      <w:bookmarkEnd w:id="319"/>
      <w:bookmarkEnd w:id="321"/>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张宁、漆江燕</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十、年度报告披露后面临退市情况</w:t>
      </w:r>
      <w:bookmarkEnd w:id="322"/>
      <w:bookmarkEnd w:id="323"/>
      <w:bookmarkEnd w:id="324"/>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十一、破产重整相关事项</w:t>
      </w:r>
      <w:bookmarkEnd w:id="325"/>
      <w:bookmarkEnd w:id="326"/>
      <w:bookmarkEnd w:id="32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十二、重大诉讼、仲裁事项</w:t>
      </w:r>
      <w:bookmarkEnd w:id="328"/>
      <w:bookmarkEnd w:id="329"/>
      <w:bookmarkEnd w:id="33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30"/>
        <w:keepNext/>
        <w:keepLines/>
        <w:widowControl w:val="0"/>
        <w:shd w:val="clear" w:color="auto" w:fill="auto"/>
        <w:bidi w:val="0"/>
        <w:spacing w:before="0" w:after="36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十三、处罚及整改情况</w:t>
      </w:r>
      <w:bookmarkEnd w:id="331"/>
      <w:bookmarkEnd w:id="332"/>
      <w:bookmarkEnd w:id="333"/>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十四、公司及其控股股东、实际控制人的诚信状况</w:t>
      </w:r>
      <w:bookmarkEnd w:id="334"/>
      <w:bookmarkEnd w:id="335"/>
      <w:bookmarkEnd w:id="336"/>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r>
        <w:rPr>
          <w:color w:val="000000"/>
          <w:spacing w:val="0"/>
          <w:w w:val="100"/>
          <w:position w:val="0"/>
          <w:sz w:val="24"/>
          <w:szCs w:val="24"/>
        </w:rPr>
        <w:t>十五、公司股权激励计划、员工持股计划或其他员工激励措施的实施情况</w:t>
      </w:r>
      <w:bookmarkEnd w:id="337"/>
      <w:bookmarkEnd w:id="338"/>
      <w:bookmarkEnd w:id="339"/>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6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十六、重大关联交易</w:t>
      </w:r>
      <w:bookmarkEnd w:id="340"/>
      <w:bookmarkEnd w:id="341"/>
      <w:bookmarkEnd w:id="342"/>
    </w:p>
    <w:p>
      <w:pPr>
        <w:pStyle w:val="Style38"/>
        <w:keepNext/>
        <w:keepLines/>
        <w:widowControl w:val="0"/>
        <w:shd w:val="clear" w:color="auto" w:fill="auto"/>
        <w:tabs>
          <w:tab w:pos="368" w:val="left"/>
        </w:tabs>
        <w:bidi w:val="0"/>
        <w:spacing w:before="0" w:after="3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与日常经营相关的关联交易</w:t>
      </w:r>
      <w:bookmarkEnd w:id="343"/>
      <w:bookmarkEnd w:id="344"/>
      <w:bookmarkEnd w:id="346"/>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w:t>
        <w:tab/>
        <w:t>资产或股权收购、出售发生的关联交易</w:t>
      </w:r>
      <w:bookmarkEnd w:id="347"/>
      <w:bookmarkEnd w:id="348"/>
      <w:bookmarkEnd w:id="350"/>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共同对外投资的关联交易</w:t>
      </w:r>
      <w:bookmarkEnd w:id="351"/>
      <w:bookmarkEnd w:id="352"/>
      <w:bookmarkEnd w:id="354"/>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关联债权债务往来</w:t>
      </w:r>
      <w:bookmarkEnd w:id="355"/>
      <w:bookmarkEnd w:id="356"/>
      <w:bookmarkEnd w:id="358"/>
    </w:p>
    <w:p>
      <w:pPr>
        <w:pStyle w:val="Style34"/>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5</w:t>
      </w:r>
      <w:bookmarkEnd w:id="361"/>
      <w:r>
        <w:rPr>
          <w:color w:val="000000"/>
          <w:spacing w:val="0"/>
          <w:w w:val="100"/>
          <w:position w:val="0"/>
        </w:rPr>
        <w:t>、</w:t>
        <w:tab/>
        <w:t>其他重大关联交易</w:t>
      </w:r>
      <w:bookmarkEnd w:id="359"/>
      <w:bookmarkEnd w:id="360"/>
      <w:bookmarkEnd w:id="362"/>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60" w:line="240" w:lineRule="auto"/>
        <w:ind w:left="0" w:right="0" w:firstLine="0"/>
        <w:jc w:val="left"/>
      </w:pPr>
      <w:bookmarkStart w:id="363" w:name="bookmark363"/>
      <w:bookmarkStart w:id="364" w:name="bookmark364"/>
      <w:bookmarkStart w:id="365" w:name="bookmark365"/>
      <w:r>
        <w:rPr>
          <w:color w:val="000000"/>
          <w:spacing w:val="0"/>
          <w:w w:val="100"/>
          <w:position w:val="0"/>
          <w:sz w:val="24"/>
          <w:szCs w:val="24"/>
        </w:rPr>
        <w:t>十七、重大合同及其履行情况</w:t>
      </w:r>
      <w:bookmarkEnd w:id="363"/>
      <w:bookmarkEnd w:id="364"/>
      <w:bookmarkEnd w:id="365"/>
    </w:p>
    <w:p>
      <w:pPr>
        <w:pStyle w:val="Style38"/>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、托管、承包、租赁事项情况</w:t>
      </w:r>
      <w:bookmarkEnd w:id="366"/>
      <w:bookmarkEnd w:id="367"/>
      <w:bookmarkEnd w:id="369"/>
    </w:p>
    <w:p>
      <w:pPr>
        <w:pStyle w:val="Style41"/>
        <w:keepNext/>
        <w:keepLines/>
        <w:widowControl w:val="0"/>
        <w:shd w:val="clear" w:color="auto" w:fill="auto"/>
        <w:tabs>
          <w:tab w:pos="488"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0"/>
      <w:bookmarkEnd w:id="371"/>
      <w:bookmarkEnd w:id="37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88"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4"/>
      <w:bookmarkEnd w:id="375"/>
      <w:bookmarkEnd w:id="37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88" w:val="left"/>
        </w:tabs>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8"/>
      <w:bookmarkEnd w:id="379"/>
      <w:bookmarkEnd w:id="381"/>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租赁情况说明</w:t>
      </w:r>
    </w:p>
    <w:tbl>
      <w:tblPr>
        <w:tblOverlap w:val="never"/>
        <w:jc w:val="left"/>
        <w:tblLayout w:type="fixed"/>
      </w:tblPr>
      <w:tblGrid>
        <w:gridCol w:w="3547"/>
        <w:gridCol w:w="4829"/>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租赁资产价值</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ATM</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1,362,974.16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80" w:right="0" w:firstLine="0"/>
              <w:jc w:val="left"/>
            </w:pPr>
            <w:r>
              <w:rPr>
                <w:color w:val="000000"/>
                <w:spacing w:val="0"/>
                <w:w w:val="100"/>
                <w:position w:val="0"/>
              </w:rPr>
              <w:t>424,136,291.09</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80" w:right="0" w:firstLine="0"/>
              <w:jc w:val="left"/>
            </w:pPr>
            <w:r>
              <w:rPr>
                <w:color w:val="000000"/>
                <w:spacing w:val="0"/>
                <w:w w:val="100"/>
                <w:position w:val="0"/>
              </w:rPr>
              <w:t>425,499,265.25</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重大担保</w:t>
      </w:r>
      <w:bookmarkEnd w:id="382"/>
      <w:bookmarkEnd w:id="383"/>
      <w:bookmarkEnd w:id="385"/>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委托他人进行现金资产管理情况</w:t>
      </w:r>
      <w:bookmarkEnd w:id="386"/>
      <w:bookmarkEnd w:id="387"/>
      <w:bookmarkEnd w:id="389"/>
    </w:p>
    <w:p>
      <w:pPr>
        <w:pStyle w:val="Style41"/>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w:t>
      </w:r>
      <w:bookmarkEnd w:id="39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0"/>
      <w:bookmarkEnd w:id="391"/>
      <w:bookmarkEnd w:id="393"/>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32"/>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872"/>
        <w:gridCol w:w="1963"/>
        <w:gridCol w:w="1982"/>
        <w:gridCol w:w="1910"/>
        <w:gridCol w:w="184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逾期未收回的金额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51,304.2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872"/>
        <w:gridCol w:w="1963"/>
        <w:gridCol w:w="1982"/>
        <w:gridCol w:w="1910"/>
        <w:gridCol w:w="184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449,648.59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500,952.79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单项金额重大或安全性较低、流动性较差、不保本的高风险委托理财具体情况</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394" w:name="bookmark394"/>
      <w:bookmarkStart w:id="395" w:name="bookmark395"/>
      <w:bookmarkStart w:id="396" w:name="bookmark396"/>
      <w:bookmarkStart w:id="397" w:name="bookmark397"/>
      <w:r>
        <w:rPr>
          <w:color w:val="000000"/>
          <w:spacing w:val="0"/>
          <w:w w:val="100"/>
          <w:position w:val="0"/>
        </w:rPr>
        <w:t>（</w:t>
      </w:r>
      <w:bookmarkEnd w:id="39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4"/>
      <w:bookmarkEnd w:id="395"/>
      <w:bookmarkEnd w:id="397"/>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38"/>
        <w:keepNext/>
        <w:keepLines/>
        <w:widowControl w:val="0"/>
        <w:shd w:val="clear" w:color="auto" w:fill="auto"/>
        <w:tabs>
          <w:tab w:pos="378" w:val="left"/>
        </w:tabs>
        <w:bidi w:val="0"/>
        <w:spacing w:before="0" w:after="3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日常经营重大合同</w:t>
      </w:r>
      <w:bookmarkEnd w:id="398"/>
      <w:bookmarkEnd w:id="399"/>
      <w:bookmarkEnd w:id="401"/>
    </w:p>
    <w:p>
      <w:pPr>
        <w:pStyle w:val="Style34"/>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其他重大合同</w:t>
      </w:r>
      <w:bookmarkEnd w:id="402"/>
      <w:bookmarkEnd w:id="403"/>
      <w:bookmarkEnd w:id="405"/>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30"/>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十八、社会责任情况</w:t>
      </w:r>
      <w:bookmarkEnd w:id="406"/>
      <w:bookmarkEnd w:id="407"/>
      <w:bookmarkEnd w:id="408"/>
    </w:p>
    <w:p>
      <w:pPr>
        <w:pStyle w:val="Style38"/>
        <w:keepNext/>
        <w:keepLines/>
        <w:widowControl w:val="0"/>
        <w:shd w:val="clear" w:color="auto" w:fill="auto"/>
        <w:bidi w:val="0"/>
        <w:spacing w:before="0" w:after="2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、履行社会责任情况</w:t>
      </w:r>
      <w:bookmarkEnd w:id="409"/>
      <w:bookmarkEnd w:id="410"/>
      <w:bookmarkEnd w:id="412"/>
    </w:p>
    <w:p>
      <w:pPr>
        <w:pStyle w:val="Style34"/>
        <w:keepNext w:val="0"/>
        <w:keepLines w:val="0"/>
        <w:widowControl w:val="0"/>
        <w:shd w:val="clear" w:color="auto" w:fill="auto"/>
        <w:tabs>
          <w:tab w:pos="820" w:val="left"/>
        </w:tabs>
        <w:bidi w:val="0"/>
        <w:spacing w:before="0" w:after="0" w:line="313" w:lineRule="exact"/>
        <w:ind w:left="0" w:right="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w:t>
        <w:tab/>
        <w:t>股东和债权人权益保护</w:t>
      </w:r>
    </w:p>
    <w:p>
      <w:pPr>
        <w:pStyle w:val="Style3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公司始终坚持将保护股东作为一切经营管理活动的前提，重视股东特别是中小股东的利益，维护债权人的合法权益， 公司根据《公司法》、《证券法》、《上市公司治理准则》、《深圳证券交易所中小板上市公司规范运作指引》等法律法规, 不断完善公司治理，建立了较为完善的内控体系，形成了以股东大会、董事会、监事会及管理层为主体结构的决策与经营体 系，规范公司运作，严格履行信息披露义务，确保信息披露的真实、准确、及时、完整和公平，确保公司所有股东能够以平 等的机会获得公司信息，保障全体股东的合法权益。同时，公司通过投资者电话、传真、电子邮箱和建立投资者关系互动平 台等多种方式与投资者进行沟通交流，提高了公司的透明度和诚信度。</w:t>
      </w:r>
    </w:p>
    <w:p>
      <w:pPr>
        <w:pStyle w:val="Style34"/>
        <w:keepNext w:val="0"/>
        <w:keepLines w:val="0"/>
        <w:widowControl w:val="0"/>
        <w:shd w:val="clear" w:color="auto" w:fill="auto"/>
        <w:tabs>
          <w:tab w:pos="820" w:val="left"/>
        </w:tabs>
        <w:bidi w:val="0"/>
        <w:spacing w:before="0" w:after="0" w:line="313" w:lineRule="exact"/>
        <w:ind w:left="0" w:right="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rPr>
        <w:t>2</w:t>
      </w:r>
      <w:r>
        <w:rPr>
          <w:color w:val="000000"/>
          <w:spacing w:val="0"/>
          <w:w w:val="100"/>
          <w:position w:val="0"/>
        </w:rPr>
        <w:t>）</w:t>
        <w:tab/>
        <w:t>关怀员工重视员工权益</w:t>
      </w:r>
    </w:p>
    <w:p>
      <w:pPr>
        <w:pStyle w:val="Style34"/>
        <w:keepNext w:val="0"/>
        <w:keepLines w:val="0"/>
        <w:widowControl w:val="0"/>
        <w:shd w:val="clear" w:color="auto" w:fill="auto"/>
        <w:bidi w:val="0"/>
        <w:spacing w:before="0" w:after="0" w:line="313" w:lineRule="exact"/>
        <w:ind w:left="0" w:right="0" w:firstLine="460"/>
        <w:jc w:val="left"/>
      </w:pPr>
      <w:r>
        <w:rPr>
          <w:color w:val="000000"/>
          <w:spacing w:val="0"/>
          <w:w w:val="100"/>
          <w:position w:val="0"/>
        </w:rPr>
        <w:t>公司坚持以人为本，将人才战略作为企业发展的重点，重视储备和培养人才。公司严格遵守《劳动法》、《劳动合同 法》等相关法律法规，努力营造融洽、宽松的工作氛围，不断改善员工的工作条件和生活环境。公司不定期组织员工进行知 识和技能的培训，鼓励在职教育，提升员工素质，实现员工与企业的共同成长。</w:t>
      </w:r>
    </w:p>
    <w:p>
      <w:pPr>
        <w:pStyle w:val="Style34"/>
        <w:keepNext w:val="0"/>
        <w:keepLines w:val="0"/>
        <w:widowControl w:val="0"/>
        <w:shd w:val="clear" w:color="auto" w:fill="auto"/>
        <w:tabs>
          <w:tab w:pos="820" w:val="left"/>
        </w:tabs>
        <w:bidi w:val="0"/>
        <w:spacing w:before="0" w:after="40" w:line="313" w:lineRule="exact"/>
        <w:ind w:left="0" w:right="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rPr>
        <w:t>3</w:t>
      </w:r>
      <w:r>
        <w:rPr>
          <w:color w:val="000000"/>
          <w:spacing w:val="0"/>
          <w:w w:val="100"/>
          <w:position w:val="0"/>
        </w:rPr>
        <w:t>）</w:t>
        <w:tab/>
        <w:t>供应商、客户和消费者权益保护</w:t>
      </w:r>
    </w:p>
    <w:p>
      <w:pPr>
        <w:pStyle w:val="Style34"/>
        <w:keepNext w:val="0"/>
        <w:keepLines w:val="0"/>
        <w:widowControl w:val="0"/>
        <w:shd w:val="clear" w:color="auto" w:fill="auto"/>
        <w:bidi w:val="0"/>
        <w:spacing w:before="0" w:after="300" w:line="314" w:lineRule="exact"/>
        <w:ind w:left="0" w:right="0" w:firstLine="460"/>
        <w:jc w:val="left"/>
      </w:pPr>
      <w:r>
        <w:rPr>
          <w:color w:val="000000"/>
          <w:spacing w:val="0"/>
          <w:w w:val="100"/>
          <w:position w:val="0"/>
        </w:rPr>
        <w:t>供应商、客户和消费者权益保护，公司一直遵循</w:t>
      </w:r>
      <w:r>
        <w:rPr>
          <w:rFonts w:ascii="Times New Roman" w:eastAsia="Times New Roman" w:hAnsi="Times New Roman" w:cs="Times New Roman"/>
          <w:color w:val="000000"/>
          <w:spacing w:val="0"/>
          <w:w w:val="100"/>
          <w:position w:val="0"/>
        </w:rPr>
        <w:t>“</w:t>
      </w:r>
      <w:r>
        <w:rPr>
          <w:color w:val="000000"/>
          <w:spacing w:val="0"/>
          <w:w w:val="100"/>
          <w:position w:val="0"/>
        </w:rPr>
        <w:t>自愿、平等、互利</w:t>
      </w:r>
      <w:r>
        <w:rPr>
          <w:rFonts w:ascii="Times New Roman" w:eastAsia="Times New Roman" w:hAnsi="Times New Roman" w:cs="Times New Roman"/>
          <w:color w:val="000000"/>
          <w:spacing w:val="0"/>
          <w:w w:val="100"/>
          <w:position w:val="0"/>
        </w:rPr>
        <w:t>”</w:t>
      </w:r>
      <w:r>
        <w:rPr>
          <w:color w:val="000000"/>
          <w:spacing w:val="0"/>
          <w:w w:val="100"/>
          <w:position w:val="0"/>
        </w:rPr>
        <w:t>的原则，积极构建和发展与供应商、客户的战略 合作伙伴关系，注重与各相关方的沟通与协调，共同构筑信任与合作的平台，切实履行公司对供应商、对客户、对消费者 的社会责任。公司与供应商和客户合同履约良好，各方的权益都得到了应有的保护。</w:t>
      </w:r>
    </w:p>
    <w:p>
      <w:pPr>
        <w:pStyle w:val="Style38"/>
        <w:keepNext/>
        <w:keepLines/>
        <w:widowControl w:val="0"/>
        <w:shd w:val="clear" w:color="auto" w:fill="auto"/>
        <w:tabs>
          <w:tab w:pos="364" w:val="left"/>
        </w:tabs>
        <w:bidi w:val="0"/>
        <w:spacing w:before="0" w:after="260" w:line="240" w:lineRule="auto"/>
        <w:ind w:left="0" w:right="0" w:firstLine="0"/>
        <w:jc w:val="both"/>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报告期内公司未开展精准扶贫工作、也暂无精准扶贫规划。</w:t>
      </w:r>
    </w:p>
    <w:p>
      <w:pPr>
        <w:pStyle w:val="Style38"/>
        <w:keepNext/>
        <w:keepLines/>
        <w:widowControl w:val="0"/>
        <w:shd w:val="clear" w:color="auto" w:fill="auto"/>
        <w:tabs>
          <w:tab w:pos="364" w:val="left"/>
        </w:tabs>
        <w:bidi w:val="0"/>
        <w:spacing w:before="0" w:after="260" w:line="240" w:lineRule="auto"/>
        <w:ind w:left="0" w:right="0" w:firstLine="0"/>
        <w:jc w:val="both"/>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环境保护相关的情况</w:t>
      </w:r>
      <w:bookmarkEnd w:id="420"/>
      <w:bookmarkEnd w:id="421"/>
      <w:bookmarkEnd w:id="423"/>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3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上市公司及其子公司不属于环境保护部门公布的重点排污单位。</w:t>
      </w:r>
    </w:p>
    <w:p>
      <w:pPr>
        <w:pStyle w:val="Style30"/>
        <w:keepNext/>
        <w:keepLines/>
        <w:widowControl w:val="0"/>
        <w:shd w:val="clear" w:color="auto" w:fill="auto"/>
        <w:bidi w:val="0"/>
        <w:spacing w:before="0" w:after="260" w:line="240" w:lineRule="auto"/>
        <w:ind w:left="0" w:right="0" w:firstLine="0"/>
        <w:jc w:val="both"/>
      </w:pPr>
      <w:bookmarkStart w:id="424" w:name="bookmark424"/>
      <w:bookmarkStart w:id="425" w:name="bookmark425"/>
      <w:bookmarkStart w:id="426" w:name="bookmark426"/>
      <w:r>
        <w:rPr>
          <w:color w:val="000000"/>
          <w:spacing w:val="0"/>
          <w:w w:val="100"/>
          <w:position w:val="0"/>
          <w:sz w:val="24"/>
          <w:szCs w:val="24"/>
        </w:rPr>
        <w:t>十九、其他重大事项的说明</w:t>
      </w:r>
      <w:bookmarkEnd w:id="424"/>
      <w:bookmarkEnd w:id="425"/>
      <w:bookmarkEnd w:id="426"/>
    </w:p>
    <w:p>
      <w:pPr>
        <w:pStyle w:val="Style3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tabs>
          <w:tab w:pos="696" w:val="left"/>
        </w:tabs>
        <w:bidi w:val="0"/>
        <w:spacing w:before="0" w:after="0" w:line="313" w:lineRule="exact"/>
        <w:ind w:left="0" w:right="0"/>
        <w:jc w:val="both"/>
      </w:pPr>
      <w:bookmarkStart w:id="427" w:name="bookmark427"/>
      <w:r>
        <w:rPr>
          <w:rFonts w:ascii="Times New Roman" w:eastAsia="Times New Roman" w:hAnsi="Times New Roman" w:cs="Times New Roman"/>
          <w:color w:val="000000"/>
          <w:spacing w:val="0"/>
          <w:w w:val="100"/>
          <w:position w:val="0"/>
        </w:rPr>
        <w:t>1</w:t>
      </w:r>
      <w:bookmarkEnd w:id="427"/>
      <w:r>
        <w:rPr>
          <w:color w:val="000000"/>
          <w:spacing w:val="0"/>
          <w:w w:val="100"/>
          <w:position w:val="0"/>
        </w:rPr>
        <w:t>、</w:t>
        <w:tab/>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日，杨文江先生持有公司股份</w:t>
      </w:r>
      <w:r>
        <w:rPr>
          <w:rFonts w:ascii="Times New Roman" w:eastAsia="Times New Roman" w:hAnsi="Times New Roman" w:cs="Times New Roman"/>
          <w:color w:val="000000"/>
          <w:spacing w:val="0"/>
          <w:w w:val="100"/>
          <w:position w:val="0"/>
        </w:rPr>
        <w:t>145,192,825</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19.07%</w:t>
      </w:r>
      <w:r>
        <w:rPr>
          <w:color w:val="000000"/>
          <w:spacing w:val="0"/>
          <w:w w:val="100"/>
          <w:position w:val="0"/>
        </w:rPr>
        <w:t>。其中，累计存放于华安证 券客户信用交易担保证券账户的公司股份为</w:t>
      </w:r>
      <w:r>
        <w:rPr>
          <w:rFonts w:ascii="Times New Roman" w:eastAsia="Times New Roman" w:hAnsi="Times New Roman" w:cs="Times New Roman"/>
          <w:color w:val="000000"/>
          <w:spacing w:val="0"/>
          <w:w w:val="100"/>
          <w:position w:val="0"/>
        </w:rPr>
        <w:t>118,279,426</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81.46%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15.54%</w:t>
      </w:r>
      <w:r>
        <w:rPr>
          <w:color w:val="000000"/>
          <w:spacing w:val="0"/>
          <w:w w:val="100"/>
          <w:position w:val="0"/>
        </w:rPr>
        <w:t>；累 计已质押的公司股份为</w:t>
      </w:r>
      <w:r>
        <w:rPr>
          <w:rFonts w:ascii="Times New Roman" w:eastAsia="Times New Roman" w:hAnsi="Times New Roman" w:cs="Times New Roman"/>
          <w:color w:val="000000"/>
          <w:spacing w:val="0"/>
          <w:w w:val="100"/>
          <w:position w:val="0"/>
        </w:rPr>
        <w:t>15,190,000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10.46%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34"/>
        <w:keepNext w:val="0"/>
        <w:keepLines w:val="0"/>
        <w:widowControl w:val="0"/>
        <w:shd w:val="clear" w:color="auto" w:fill="auto"/>
        <w:tabs>
          <w:tab w:pos="691" w:val="left"/>
        </w:tabs>
        <w:bidi w:val="0"/>
        <w:spacing w:before="0" w:after="0" w:line="313" w:lineRule="exact"/>
        <w:ind w:left="0" w:right="0"/>
        <w:jc w:val="both"/>
      </w:pPr>
      <w:bookmarkStart w:id="428" w:name="bookmark428"/>
      <w:r>
        <w:rPr>
          <w:rFonts w:ascii="Times New Roman" w:eastAsia="Times New Roman" w:hAnsi="Times New Roman" w:cs="Times New Roman"/>
          <w:color w:val="000000"/>
          <w:spacing w:val="0"/>
          <w:w w:val="100"/>
          <w:position w:val="0"/>
        </w:rPr>
        <w:t>2</w:t>
      </w:r>
      <w:bookmarkEnd w:id="428"/>
      <w:r>
        <w:rPr>
          <w:color w:val="000000"/>
          <w:spacing w:val="0"/>
          <w:w w:val="100"/>
          <w:position w:val="0"/>
        </w:rPr>
        <w:t>、</w:t>
        <w:tab/>
        <w:t>依据实际经营具体情况，为满足提高资金效率及公司未来战略布局规划的需要，公司于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 董事会第十次会议以现场表决方式审议通过了《关于对全资子公司减资的议案》，拟减少全资子公司自动柜员机科技注册资 本</w:t>
      </w:r>
      <w:r>
        <w:rPr>
          <w:rFonts w:ascii="Times New Roman" w:eastAsia="Times New Roman" w:hAnsi="Times New Roman" w:cs="Times New Roman"/>
          <w:color w:val="000000"/>
          <w:spacing w:val="0"/>
          <w:w w:val="100"/>
          <w:position w:val="0"/>
        </w:rPr>
        <w:t>10,000</w:t>
      </w:r>
      <w:r>
        <w:rPr>
          <w:color w:val="000000"/>
          <w:spacing w:val="0"/>
          <w:w w:val="100"/>
          <w:position w:val="0"/>
        </w:rPr>
        <w:t>万元人民币及全资子公司御银信息减少注册资本</w:t>
      </w:r>
      <w:r>
        <w:rPr>
          <w:rFonts w:ascii="Times New Roman" w:eastAsia="Times New Roman" w:hAnsi="Times New Roman" w:cs="Times New Roman"/>
          <w:color w:val="000000"/>
          <w:spacing w:val="0"/>
          <w:w w:val="100"/>
          <w:position w:val="0"/>
        </w:rPr>
        <w:t>9,000</w:t>
      </w:r>
      <w:r>
        <w:rPr>
          <w:color w:val="000000"/>
          <w:spacing w:val="0"/>
          <w:w w:val="100"/>
          <w:position w:val="0"/>
        </w:rPr>
        <w:t>万元人民币。本次减资完成后，自动柜员机科技的注册资本将 减至</w:t>
      </w:r>
      <w:r>
        <w:rPr>
          <w:rFonts w:ascii="Times New Roman" w:eastAsia="Times New Roman" w:hAnsi="Times New Roman" w:cs="Times New Roman"/>
          <w:color w:val="000000"/>
          <w:spacing w:val="0"/>
          <w:w w:val="100"/>
          <w:position w:val="0"/>
        </w:rPr>
        <w:t>10,000</w:t>
      </w:r>
      <w:r>
        <w:rPr>
          <w:color w:val="000000"/>
          <w:spacing w:val="0"/>
          <w:w w:val="100"/>
          <w:position w:val="0"/>
        </w:rPr>
        <w:t>万元人民币，御银信息的注册资本将减至</w:t>
      </w:r>
      <w:r>
        <w:rPr>
          <w:rFonts w:ascii="Times New Roman" w:eastAsia="Times New Roman" w:hAnsi="Times New Roman" w:cs="Times New Roman"/>
          <w:color w:val="000000"/>
          <w:spacing w:val="0"/>
          <w:w w:val="100"/>
          <w:position w:val="0"/>
        </w:rPr>
        <w:t>1,000</w:t>
      </w:r>
      <w:r>
        <w:rPr>
          <w:color w:val="000000"/>
          <w:spacing w:val="0"/>
          <w:w w:val="100"/>
          <w:position w:val="0"/>
        </w:rPr>
        <w:t>万元人民币。截止报告批准报出日，自动柜员机科技和御银信息已 完成了工商变更登记手续，并取得了广州市工商行政管理局换发的《营业执照》；详见巨潮资讯网</w:t>
      </w:r>
      <w:r>
        <w:fldChar w:fldCharType="begin"/>
      </w:r>
      <w:r>
        <w:rPr/>
        <w:instrText> HYPERLINK "http://www.cnmfo.com.cn" </w:instrText>
      </w:r>
      <w:r>
        <w:fldChar w:fldCharType="separate"/>
      </w:r>
      <w:r>
        <w:rPr>
          <w:rFonts w:ascii="Times New Roman" w:eastAsia="Times New Roman" w:hAnsi="Times New Roman" w:cs="Times New Roman"/>
          <w:color w:val="000000"/>
          <w:spacing w:val="0"/>
          <w:w w:val="100"/>
          <w:position w:val="0"/>
        </w:rPr>
        <w:t>http://www.cnmfo.com.cn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的《关于全资子公司完成工商注册登记的公告》，公告编号</w:t>
      </w:r>
      <w:r>
        <w:rPr>
          <w:rFonts w:ascii="Times New Roman" w:eastAsia="Times New Roman" w:hAnsi="Times New Roman" w:cs="Times New Roman"/>
          <w:color w:val="000000"/>
          <w:spacing w:val="0"/>
          <w:w w:val="100"/>
          <w:position w:val="0"/>
        </w:rPr>
        <w:t>2020-022</w:t>
      </w:r>
      <w:r>
        <w:rPr>
          <w:color w:val="000000"/>
          <w:spacing w:val="0"/>
          <w:w w:val="100"/>
          <w:position w:val="0"/>
        </w:rPr>
        <w:t>。</w:t>
      </w:r>
    </w:p>
    <w:p>
      <w:pPr>
        <w:pStyle w:val="Style34"/>
        <w:keepNext w:val="0"/>
        <w:keepLines w:val="0"/>
        <w:widowControl w:val="0"/>
        <w:shd w:val="clear" w:color="auto" w:fill="auto"/>
        <w:tabs>
          <w:tab w:pos="700" w:val="left"/>
        </w:tabs>
        <w:bidi w:val="0"/>
        <w:spacing w:before="0" w:after="0" w:line="311" w:lineRule="exact"/>
        <w:ind w:left="0" w:right="0"/>
        <w:jc w:val="both"/>
      </w:pPr>
      <w:bookmarkStart w:id="429" w:name="bookmark429"/>
      <w:r>
        <w:rPr>
          <w:rFonts w:ascii="Times New Roman" w:eastAsia="Times New Roman" w:hAnsi="Times New Roman" w:cs="Times New Roman"/>
          <w:color w:val="000000"/>
          <w:spacing w:val="0"/>
          <w:w w:val="100"/>
          <w:position w:val="0"/>
        </w:rPr>
        <w:t>3</w:t>
      </w:r>
      <w:bookmarkEnd w:id="429"/>
      <w:r>
        <w:rPr>
          <w:color w:val="000000"/>
          <w:spacing w:val="0"/>
          <w:w w:val="100"/>
          <w:position w:val="0"/>
        </w:rPr>
        <w:t>、</w:t>
        <w:tab/>
        <w:t>为支持天成智合及御新智合的持续健康发展，拓展业务创造必要的条件，提升未来效益，公司于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 的第六届董事会第十次会议以现场表决方式审议通过了《关于对全资子公司增资的议案》，将通过现金出资方式对全资子公 司天成智合及御新智合分别增资</w:t>
      </w:r>
      <w:r>
        <w:rPr>
          <w:rFonts w:ascii="Times New Roman" w:eastAsia="Times New Roman" w:hAnsi="Times New Roman" w:cs="Times New Roman"/>
          <w:color w:val="000000"/>
          <w:spacing w:val="0"/>
          <w:w w:val="100"/>
          <w:position w:val="0"/>
        </w:rPr>
        <w:t>2,900</w:t>
      </w:r>
      <w:r>
        <w:rPr>
          <w:color w:val="000000"/>
          <w:spacing w:val="0"/>
          <w:w w:val="100"/>
          <w:position w:val="0"/>
        </w:rPr>
        <w:t>万元人民币。本次增资完成后，天成智合及御新智合的注册资本均将增至</w:t>
      </w:r>
      <w:r>
        <w:rPr>
          <w:rFonts w:ascii="Times New Roman" w:eastAsia="Times New Roman" w:hAnsi="Times New Roman" w:cs="Times New Roman"/>
          <w:color w:val="000000"/>
          <w:spacing w:val="0"/>
          <w:w w:val="100"/>
          <w:position w:val="0"/>
        </w:rPr>
        <w:t>3,000</w:t>
      </w:r>
      <w:r>
        <w:rPr>
          <w:color w:val="000000"/>
          <w:spacing w:val="0"/>
          <w:w w:val="100"/>
          <w:position w:val="0"/>
        </w:rPr>
        <w:t>万元人 民币。截止报告批准报出日，天成智合及御新智合已完成了工商变更登记手续，并取得了北京市工商行政管理局换发的《营 业执照》。详见巨潮资讯网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的《关于对全资子公司增资的公告》，公告编号</w:t>
      </w:r>
      <w:r>
        <w:rPr>
          <w:rFonts w:ascii="Times New Roman" w:eastAsia="Times New Roman" w:hAnsi="Times New Roman" w:cs="Times New Roman"/>
          <w:color w:val="000000"/>
          <w:spacing w:val="0"/>
          <w:w w:val="100"/>
          <w:position w:val="0"/>
        </w:rPr>
        <w:t>2020-014</w:t>
      </w:r>
      <w:r>
        <w:rPr>
          <w:color w:val="000000"/>
          <w:spacing w:val="0"/>
          <w:w w:val="100"/>
          <w:position w:val="0"/>
        </w:rPr>
        <w:t>。</w:t>
      </w:r>
    </w:p>
    <w:p>
      <w:pPr>
        <w:pStyle w:val="Style34"/>
        <w:keepNext w:val="0"/>
        <w:keepLines w:val="0"/>
        <w:widowControl w:val="0"/>
        <w:shd w:val="clear" w:color="auto" w:fill="auto"/>
        <w:tabs>
          <w:tab w:pos="700" w:val="left"/>
        </w:tabs>
        <w:bidi w:val="0"/>
        <w:spacing w:before="0" w:after="360" w:line="312" w:lineRule="exact"/>
        <w:ind w:left="0" w:right="0"/>
        <w:jc w:val="both"/>
      </w:pPr>
      <w:bookmarkStart w:id="430" w:name="bookmark430"/>
      <w:r>
        <w:rPr>
          <w:rFonts w:ascii="Times New Roman" w:eastAsia="Times New Roman" w:hAnsi="Times New Roman" w:cs="Times New Roman"/>
          <w:color w:val="000000"/>
          <w:spacing w:val="0"/>
          <w:w w:val="100"/>
          <w:position w:val="0"/>
        </w:rPr>
        <w:t>4</w:t>
      </w:r>
      <w:bookmarkEnd w:id="430"/>
      <w:r>
        <w:rPr>
          <w:color w:val="000000"/>
          <w:spacing w:val="0"/>
          <w:w w:val="100"/>
          <w:position w:val="0"/>
        </w:rPr>
        <w:t>、</w:t>
        <w:tab/>
        <w:t xml:space="preserve">为进一步提升御新科技及御新赢创的资金实力和综合实力，提升了业务发展能力，促进公司持续快速发展，公司于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日召开的第六届董事会第十二次会议审议通过了《关于对全资子公司增资的议案》，公司同意通过现金出资方 式对全资子公司御新科技及御新赢创分别增资</w:t>
      </w:r>
      <w:r>
        <w:rPr>
          <w:rFonts w:ascii="Times New Roman" w:eastAsia="Times New Roman" w:hAnsi="Times New Roman" w:cs="Times New Roman"/>
          <w:color w:val="000000"/>
          <w:spacing w:val="0"/>
          <w:w w:val="100"/>
          <w:position w:val="0"/>
        </w:rPr>
        <w:t>2,000</w:t>
      </w:r>
      <w:r>
        <w:rPr>
          <w:color w:val="000000"/>
          <w:spacing w:val="0"/>
          <w:w w:val="100"/>
          <w:position w:val="0"/>
        </w:rPr>
        <w:t>万元人民币。截止报告批准报出日，御新科技和御新赢创已完成了工商 变更登记手续，并取得了北京市工商行政管理局颁发的《营业执照》。详见巨潮资讯网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的《关于全</w:t>
      </w:r>
      <w:r>
        <w:rPr>
          <w:color w:val="000000"/>
          <w:spacing w:val="0"/>
          <w:w w:val="100"/>
          <w:position w:val="0"/>
        </w:rPr>
        <w:t xml:space="preserve"> 资子公司增资的公告》，公告编号</w:t>
      </w:r>
      <w:r>
        <w:rPr>
          <w:rFonts w:ascii="Times New Roman" w:eastAsia="Times New Roman" w:hAnsi="Times New Roman" w:cs="Times New Roman"/>
          <w:color w:val="000000"/>
          <w:spacing w:val="0"/>
          <w:w w:val="100"/>
          <w:position w:val="0"/>
        </w:rPr>
        <w:t>2020-037</w:t>
      </w:r>
      <w:r>
        <w:rPr>
          <w:color w:val="000000"/>
          <w:spacing w:val="0"/>
          <w:w w:val="100"/>
          <w:position w:val="0"/>
        </w:rPr>
        <w:t>。</w:t>
      </w:r>
    </w:p>
    <w:p>
      <w:pPr>
        <w:pStyle w:val="Style30"/>
        <w:keepNext/>
        <w:keepLines/>
        <w:widowControl w:val="0"/>
        <w:shd w:val="clear" w:color="auto" w:fill="auto"/>
        <w:bidi w:val="0"/>
        <w:spacing w:before="0" w:after="360" w:line="240" w:lineRule="auto"/>
        <w:ind w:left="0" w:right="0" w:firstLine="0"/>
        <w:jc w:val="both"/>
      </w:pPr>
      <w:bookmarkStart w:id="431" w:name="bookmark431"/>
      <w:bookmarkStart w:id="432" w:name="bookmark432"/>
      <w:bookmarkStart w:id="433" w:name="bookmark433"/>
      <w:r>
        <w:rPr>
          <w:color w:val="000000"/>
          <w:spacing w:val="0"/>
          <w:w w:val="100"/>
          <w:position w:val="0"/>
          <w:sz w:val="24"/>
          <w:szCs w:val="24"/>
        </w:rPr>
        <w:t>二十、公司子公司重大事项</w:t>
      </w:r>
      <w:bookmarkEnd w:id="431"/>
      <w:bookmarkEnd w:id="432"/>
      <w:bookmarkEnd w:id="433"/>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65"/>
        <w:gridCol w:w="3403"/>
        <w:gridCol w:w="4685"/>
      </w:tblGrid>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重要事项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披露索引</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广州御银信息科技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减少全资子公司御银信息注册资本</w:t>
            </w:r>
            <w:r>
              <w:rPr>
                <w:color w:val="000000"/>
                <w:spacing w:val="0"/>
                <w:w w:val="100"/>
                <w:position w:val="0"/>
              </w:rPr>
              <w:t>9,000</w:t>
            </w:r>
            <w:r>
              <w:rPr>
                <w:rFonts w:ascii="SimSun" w:eastAsia="SimSun" w:hAnsi="SimSun" w:cs="SimSun"/>
                <w:color w:val="000000"/>
                <w:spacing w:val="0"/>
                <w:w w:val="100"/>
                <w:position w:val="0"/>
              </w:rPr>
              <w:t>万 元人民币；本次减资完成后，御银信息的注 册资本将减至</w:t>
            </w:r>
            <w:r>
              <w:rPr>
                <w:color w:val="000000"/>
                <w:spacing w:val="0"/>
                <w:w w:val="100"/>
                <w:position w:val="0"/>
              </w:rPr>
              <w:t>1,000</w:t>
            </w:r>
            <w:r>
              <w:rPr>
                <w:rFonts w:ascii="SimSun" w:eastAsia="SimSun" w:hAnsi="SimSun" w:cs="SimSun"/>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券时报》、《中国证券报》、《上海证券报》的《关于对全 资子公司减资的公告》，公告编号</w:t>
            </w:r>
            <w:r>
              <w:rPr>
                <w:color w:val="000000"/>
                <w:spacing w:val="0"/>
                <w:w w:val="100"/>
                <w:position w:val="0"/>
              </w:rPr>
              <w:t>2020-013</w:t>
            </w:r>
            <w:r>
              <w:rPr>
                <w:rFonts w:ascii="SimSun" w:eastAsia="SimSun" w:hAnsi="SimSun" w:cs="SimSun"/>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北京天成智合科技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通过现金出资方式对全资子公司天成智合</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增资</w:t>
            </w:r>
            <w:r>
              <w:rPr>
                <w:color w:val="000000"/>
                <w:spacing w:val="0"/>
                <w:w w:val="100"/>
                <w:position w:val="0"/>
              </w:rPr>
              <w:t>2,900</w:t>
            </w:r>
            <w:r>
              <w:rPr>
                <w:rFonts w:ascii="SimSun" w:eastAsia="SimSun" w:hAnsi="SimSun" w:cs="SimSun"/>
                <w:color w:val="000000"/>
                <w:spacing w:val="0"/>
                <w:w w:val="100"/>
                <w:position w:val="0"/>
              </w:rPr>
              <w:t>万元人民币。本次增资完成后，注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券时报》、《中国证券报》、《上海证券报》的《关于对全</w:t>
            </w:r>
          </w:p>
        </w:tc>
      </w:tr>
    </w:tbl>
    <w:p>
      <w:pPr>
        <w:spacing w:lineRule="exact" w:line="1"/>
        <w:rPr>
          <w:sz w:val="2"/>
          <w:szCs w:val="2"/>
        </w:rPr>
      </w:pPr>
      <w:r>
        <w:br w:type="page"/>
      </w:r>
    </w:p>
    <w:tbl>
      <w:tblPr>
        <w:tblOverlap w:val="never"/>
        <w:jc w:val="center"/>
        <w:tblLayout w:type="fixed"/>
      </w:tblPr>
      <w:tblGrid>
        <w:gridCol w:w="1565"/>
        <w:gridCol w:w="3403"/>
        <w:gridCol w:w="4685"/>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册资本将增至</w:t>
            </w:r>
            <w:r>
              <w:rPr>
                <w:color w:val="000000"/>
                <w:spacing w:val="0"/>
                <w:w w:val="100"/>
                <w:position w:val="0"/>
              </w:rPr>
              <w:t>3,000</w:t>
            </w:r>
            <w:r>
              <w:rPr>
                <w:rFonts w:ascii="SimSun" w:eastAsia="SimSun" w:hAnsi="SimSun" w:cs="SimSun"/>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资子公司增资的公告》，公告编号</w:t>
            </w:r>
            <w:r>
              <w:rPr>
                <w:color w:val="000000"/>
                <w:spacing w:val="0"/>
                <w:w w:val="100"/>
                <w:position w:val="0"/>
              </w:rPr>
              <w:t>2020-014</w:t>
            </w:r>
            <w:r>
              <w:rPr>
                <w:rFonts w:ascii="SimSun" w:eastAsia="SimSun" w:hAnsi="SimSun" w:cs="SimSun"/>
                <w:color w:val="000000"/>
                <w:spacing w:val="0"/>
                <w:w w:val="100"/>
                <w:position w:val="0"/>
              </w:rPr>
              <w:t>。</w:t>
            </w:r>
          </w:p>
        </w:tc>
      </w:tr>
      <w:tr>
        <w:trPr>
          <w:trHeight w:val="974"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北京御新智合科技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通过现金出资方式对全资子公司御新智合 增资</w:t>
            </w:r>
            <w:r>
              <w:rPr>
                <w:color w:val="000000"/>
                <w:spacing w:val="0"/>
                <w:w w:val="100"/>
                <w:position w:val="0"/>
              </w:rPr>
              <w:t>2,900</w:t>
            </w:r>
            <w:r>
              <w:rPr>
                <w:rFonts w:ascii="SimSun" w:eastAsia="SimSun" w:hAnsi="SimSun" w:cs="SimSun"/>
                <w:color w:val="000000"/>
                <w:spacing w:val="0"/>
                <w:w w:val="100"/>
                <w:position w:val="0"/>
              </w:rPr>
              <w:t>万元人民币。本次增资完成后，注 册资本将增至</w:t>
            </w:r>
            <w:r>
              <w:rPr>
                <w:color w:val="000000"/>
                <w:spacing w:val="0"/>
                <w:w w:val="100"/>
                <w:position w:val="0"/>
              </w:rPr>
              <w:t>3,000</w:t>
            </w:r>
            <w:r>
              <w:rPr>
                <w:rFonts w:ascii="SimSun" w:eastAsia="SimSun" w:hAnsi="SimSun" w:cs="SimSun"/>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券时报》、《中国证券报》、《上海证券报》的《关于对全 资子公司增资的公告》，公告编号</w:t>
            </w:r>
            <w:r>
              <w:rPr>
                <w:color w:val="000000"/>
                <w:spacing w:val="0"/>
                <w:w w:val="100"/>
                <w:position w:val="0"/>
              </w:rPr>
              <w:t>2020-014</w:t>
            </w:r>
            <w:r>
              <w:rPr>
                <w:rFonts w:ascii="SimSun" w:eastAsia="SimSun" w:hAnsi="SimSun" w:cs="SimSun"/>
                <w:color w:val="000000"/>
                <w:spacing w:val="0"/>
                <w:w w:val="100"/>
                <w:position w:val="0"/>
              </w:rPr>
              <w:t>。</w:t>
            </w:r>
          </w:p>
        </w:tc>
      </w:tr>
      <w:tr>
        <w:trPr>
          <w:trHeight w:val="1282"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广州御银自动柜员</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 xml:space="preserve">减少全资子公司自动柜员机科技注册资本 </w:t>
            </w:r>
            <w:r>
              <w:rPr>
                <w:color w:val="000000"/>
                <w:spacing w:val="0"/>
                <w:w w:val="100"/>
                <w:position w:val="0"/>
              </w:rPr>
              <w:t>10,000</w:t>
            </w:r>
            <w:r>
              <w:rPr>
                <w:rFonts w:ascii="SimSun" w:eastAsia="SimSun" w:hAnsi="SimSun" w:cs="SimSun"/>
                <w:color w:val="000000"/>
                <w:spacing w:val="0"/>
                <w:w w:val="100"/>
                <w:position w:val="0"/>
              </w:rPr>
              <w:t>万元人民币及。本次减资完成后，自 动柜员机科技的注册资本将减至</w:t>
            </w:r>
            <w:r>
              <w:rPr>
                <w:color w:val="000000"/>
                <w:spacing w:val="0"/>
                <w:w w:val="100"/>
                <w:position w:val="0"/>
              </w:rPr>
              <w:t>10,000</w:t>
            </w:r>
            <w:r>
              <w:rPr>
                <w:rFonts w:ascii="SimSun" w:eastAsia="SimSun" w:hAnsi="SimSun" w:cs="SimSun"/>
                <w:color w:val="000000"/>
                <w:spacing w:val="0"/>
                <w:w w:val="100"/>
                <w:position w:val="0"/>
              </w:rPr>
              <w:t>万元 人民币。</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券时报》、《中国证券报》、《上海证券报》的《关于全资 子公司完成工商注册登记的公告》</w:t>
            </w:r>
            <w:r>
              <w:rPr>
                <w:rFonts w:ascii="SimSun" w:eastAsia="SimSun" w:hAnsi="SimSun" w:cs="SimSun"/>
                <w:i/>
                <w:iCs/>
                <w:color w:val="000000"/>
                <w:spacing w:val="0"/>
                <w:w w:val="100"/>
                <w:position w:val="0"/>
              </w:rPr>
              <w:t>，</w:t>
            </w:r>
            <w:r>
              <w:rPr>
                <w:rFonts w:ascii="SimSun" w:eastAsia="SimSun" w:hAnsi="SimSun" w:cs="SimSun"/>
                <w:color w:val="000000"/>
                <w:spacing w:val="0"/>
                <w:w w:val="100"/>
                <w:position w:val="0"/>
              </w:rPr>
              <w:t>公告编号</w:t>
            </w:r>
            <w:r>
              <w:rPr>
                <w:color w:val="000000"/>
                <w:spacing w:val="0"/>
                <w:w w:val="100"/>
                <w:position w:val="0"/>
              </w:rPr>
              <w:t>2020-022</w:t>
            </w:r>
            <w:r>
              <w:rPr>
                <w:rFonts w:ascii="SimSun" w:eastAsia="SimSun" w:hAnsi="SimSun" w:cs="SimSun"/>
                <w:color w:val="000000"/>
                <w:spacing w:val="0"/>
                <w:w w:val="100"/>
                <w:position w:val="0"/>
              </w:rPr>
              <w:t>。</w:t>
            </w:r>
          </w:p>
        </w:tc>
      </w:tr>
      <w:tr>
        <w:trPr>
          <w:trHeight w:val="970"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北京御新科技有限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通过现金出资方式对全资子公司御新科技 增资</w:t>
            </w:r>
            <w:r>
              <w:rPr>
                <w:color w:val="000000"/>
                <w:spacing w:val="0"/>
                <w:w w:val="100"/>
                <w:position w:val="0"/>
              </w:rPr>
              <w:t>2,000</w:t>
            </w:r>
            <w:r>
              <w:rPr>
                <w:rFonts w:ascii="SimSun" w:eastAsia="SimSun" w:hAnsi="SimSun" w:cs="SimSun"/>
                <w:color w:val="000000"/>
                <w:spacing w:val="0"/>
                <w:w w:val="100"/>
                <w:position w:val="0"/>
              </w:rPr>
              <w:t>万元人民币。本次增资完成后，注 册资本将增至</w:t>
            </w:r>
            <w:r>
              <w:rPr>
                <w:color w:val="000000"/>
                <w:spacing w:val="0"/>
                <w:w w:val="100"/>
                <w:position w:val="0"/>
              </w:rPr>
              <w:t>2,100</w:t>
            </w:r>
            <w:r>
              <w:rPr>
                <w:rFonts w:ascii="SimSun" w:eastAsia="SimSun" w:hAnsi="SimSun" w:cs="SimSun"/>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券时报》、《中国证券报》、《上海证券报》的《关于全资 子公司增资的公告》，公告编号</w:t>
            </w:r>
            <w:r>
              <w:rPr>
                <w:color w:val="000000"/>
                <w:spacing w:val="0"/>
                <w:w w:val="100"/>
                <w:position w:val="0"/>
              </w:rPr>
              <w:t>2020-037</w:t>
            </w:r>
            <w:r>
              <w:rPr>
                <w:rFonts w:ascii="SimSun" w:eastAsia="SimSun" w:hAnsi="SimSun" w:cs="SimSun"/>
                <w:color w:val="000000"/>
                <w:spacing w:val="0"/>
                <w:w w:val="100"/>
                <w:position w:val="0"/>
              </w:rPr>
              <w:t>。</w:t>
            </w:r>
          </w:p>
        </w:tc>
      </w:tr>
      <w:tr>
        <w:trPr>
          <w:trHeight w:val="979"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北京御新赢创科技 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通过现金出资方式对全资子公司御新赢创 增资</w:t>
            </w:r>
            <w:r>
              <w:rPr>
                <w:color w:val="000000"/>
                <w:spacing w:val="0"/>
                <w:w w:val="100"/>
                <w:position w:val="0"/>
              </w:rPr>
              <w:t>2,000</w:t>
            </w:r>
            <w:r>
              <w:rPr>
                <w:rFonts w:ascii="SimSun" w:eastAsia="SimSun" w:hAnsi="SimSun" w:cs="SimSun"/>
                <w:color w:val="000000"/>
                <w:spacing w:val="0"/>
                <w:w w:val="100"/>
                <w:position w:val="0"/>
              </w:rPr>
              <w:t>万元人民币。本次增资完成后，注 册资本将增至</w:t>
            </w:r>
            <w:r>
              <w:rPr>
                <w:color w:val="000000"/>
                <w:spacing w:val="0"/>
                <w:w w:val="100"/>
                <w:position w:val="0"/>
              </w:rPr>
              <w:t>2,100</w:t>
            </w:r>
            <w:r>
              <w:rPr>
                <w:rFonts w:ascii="SimSun" w:eastAsia="SimSun" w:hAnsi="SimSun" w:cs="SimSun"/>
                <w:color w:val="000000"/>
                <w:spacing w:val="0"/>
                <w:w w:val="100"/>
                <w:position w:val="0"/>
              </w:rPr>
              <w:t>万元人民币。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w:t>
            </w:r>
            <w:r>
              <w:rPr>
                <w:rFonts w:ascii="SimSun" w:eastAsia="SimSun" w:hAnsi="SimSun" w:cs="SimSun"/>
                <w:color w:val="000000"/>
                <w:spacing w:val="0"/>
                <w:w w:val="100"/>
                <w:position w:val="0"/>
              </w:rPr>
              <w:t xml:space="preserve"> 券时报》、《中国证券报》、《上海证券报》的《关于全资 子公司增资的公告》，公告编号</w:t>
            </w:r>
            <w:r>
              <w:rPr>
                <w:color w:val="000000"/>
                <w:spacing w:val="0"/>
                <w:w w:val="100"/>
                <w:position w:val="0"/>
              </w:rPr>
              <w:t>2020-037</w:t>
            </w: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16"/>
        <w:keepNext/>
        <w:keepLines/>
        <w:widowControl w:val="0"/>
        <w:shd w:val="clear" w:color="auto" w:fill="auto"/>
        <w:bidi w:val="0"/>
        <w:spacing w:before="0" w:after="520" w:line="240" w:lineRule="auto"/>
        <w:ind w:left="0" w:right="0" w:firstLine="0"/>
        <w:jc w:val="center"/>
      </w:pPr>
      <w:bookmarkStart w:id="434" w:name="bookmark434"/>
      <w:bookmarkStart w:id="435" w:name="bookmark435"/>
      <w:bookmarkStart w:id="436" w:name="bookmark436"/>
      <w:bookmarkStart w:id="437" w:name="bookmark437"/>
      <w:r>
        <w:rPr>
          <w:color w:val="000000"/>
          <w:spacing w:val="0"/>
          <w:w w:val="100"/>
          <w:position w:val="0"/>
        </w:rPr>
        <w:t>第六节股份变动及股东情况</w:t>
      </w:r>
      <w:bookmarkEnd w:id="435"/>
      <w:bookmarkEnd w:id="436"/>
      <w:bookmarkEnd w:id="437"/>
      <w:bookmarkEnd w:id="434"/>
    </w:p>
    <w:p>
      <w:pPr>
        <w:pStyle w:val="Style30"/>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一</w:t>
      </w:r>
      <w:bookmarkEnd w:id="440"/>
      <w:r>
        <w:rPr>
          <w:color w:val="000000"/>
          <w:spacing w:val="0"/>
          <w:w w:val="100"/>
          <w:position w:val="0"/>
          <w:sz w:val="24"/>
          <w:szCs w:val="24"/>
        </w:rPr>
        <w:t>、股份变动情况</w:t>
      </w:r>
      <w:bookmarkEnd w:id="438"/>
      <w:bookmarkEnd w:id="439"/>
      <w:bookmarkEnd w:id="441"/>
    </w:p>
    <w:p>
      <w:pPr>
        <w:pStyle w:val="Style38"/>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、股份变动情况</w:t>
      </w:r>
      <w:bookmarkEnd w:id="442"/>
      <w:bookmarkEnd w:id="443"/>
      <w:bookmarkEnd w:id="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公积金转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761,191,2</w:t>
            </w:r>
          </w:p>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、限售股份变动情况</w:t>
      </w:r>
      <w:bookmarkEnd w:id="446"/>
      <w:bookmarkEnd w:id="447"/>
      <w:bookmarkEnd w:id="44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17"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二</w:t>
      </w:r>
      <w:bookmarkEnd w:id="452"/>
      <w:r>
        <w:rPr>
          <w:color w:val="000000"/>
          <w:spacing w:val="0"/>
          <w:w w:val="100"/>
          <w:position w:val="0"/>
          <w:sz w:val="24"/>
          <w:szCs w:val="24"/>
        </w:rPr>
        <w:t>、</w:t>
        <w:tab/>
        <w:t>证券发行与上市情况</w:t>
      </w:r>
      <w:bookmarkEnd w:id="450"/>
      <w:bookmarkEnd w:id="451"/>
      <w:bookmarkEnd w:id="453"/>
    </w:p>
    <w:p>
      <w:pPr>
        <w:pStyle w:val="Style38"/>
        <w:keepNext/>
        <w:keepLines/>
        <w:widowControl w:val="0"/>
        <w:shd w:val="clear" w:color="auto" w:fill="auto"/>
        <w:tabs>
          <w:tab w:pos="384"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w:t>
        <w:tab/>
        <w:t>报告期内证券发行（不含优先股）情况</w:t>
      </w:r>
      <w:bookmarkEnd w:id="454"/>
      <w:bookmarkEnd w:id="455"/>
      <w:bookmarkEnd w:id="457"/>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4" w:val="left"/>
        </w:tabs>
        <w:bidi w:val="0"/>
        <w:spacing w:before="0" w:after="36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w:t>
        <w:tab/>
        <w:t>公司股份总数及股东结构的变动、公司资产和负债结构的变动情况说明</w:t>
      </w:r>
      <w:bookmarkEnd w:id="458"/>
      <w:bookmarkEnd w:id="459"/>
      <w:bookmarkEnd w:id="461"/>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tabs>
          <w:tab w:pos="384" w:val="left"/>
        </w:tabs>
        <w:bidi w:val="0"/>
        <w:spacing w:before="0" w:after="36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w:t>
        <w:tab/>
        <w:t>现存的内部职工股情况</w:t>
      </w:r>
      <w:bookmarkEnd w:id="462"/>
      <w:bookmarkEnd w:id="463"/>
      <w:bookmarkEnd w:id="46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6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三</w:t>
      </w:r>
      <w:bookmarkEnd w:id="468"/>
      <w:r>
        <w:rPr>
          <w:color w:val="000000"/>
          <w:spacing w:val="0"/>
          <w:w w:val="100"/>
          <w:position w:val="0"/>
          <w:sz w:val="24"/>
          <w:szCs w:val="24"/>
        </w:rPr>
        <w:t>、</w:t>
        <w:tab/>
        <w:t>股东和实际控制人情况</w:t>
      </w:r>
      <w:bookmarkEnd w:id="466"/>
      <w:bookmarkEnd w:id="467"/>
      <w:bookmarkEnd w:id="469"/>
    </w:p>
    <w:p>
      <w:pPr>
        <w:pStyle w:val="Style38"/>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1</w:t>
      </w:r>
      <w:bookmarkEnd w:id="472"/>
      <w:r>
        <w:rPr>
          <w:color w:val="000000"/>
          <w:spacing w:val="0"/>
          <w:w w:val="100"/>
          <w:position w:val="0"/>
        </w:rPr>
        <w:t>、公司股东数量及持股情况</w:t>
      </w:r>
      <w:bookmarkEnd w:id="470"/>
      <w:bookmarkEnd w:id="471"/>
      <w:bookmarkEnd w:id="47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0"/>
        <w:gridCol w:w="811"/>
        <w:gridCol w:w="763"/>
        <w:gridCol w:w="336"/>
        <w:gridCol w:w="456"/>
        <w:gridCol w:w="787"/>
        <w:gridCol w:w="216"/>
        <w:gridCol w:w="624"/>
        <w:gridCol w:w="442"/>
        <w:gridCol w:w="907"/>
        <w:gridCol w:w="422"/>
        <w:gridCol w:w="931"/>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107,069</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113,215</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报告期末表决权 恢复的优先股股 东总数（如有）（参 见注</w:t>
            </w:r>
            <w:r>
              <w:rPr>
                <w:color w:val="000000"/>
                <w:spacing w:val="0"/>
                <w:w w:val="100"/>
                <w:position w:val="0"/>
              </w:rPr>
              <w:t>8</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年度报告披露日 前上一月末表决 权恢复的优先股 股东总数（如有）</w:t>
            </w:r>
          </w:p>
          <w:p>
            <w:pPr>
              <w:pStyle w:val="Style2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杨文江</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145,192,8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-7,552,48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145,192,8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15,190,000</w:t>
            </w:r>
          </w:p>
        </w:tc>
      </w:tr>
      <w:tr>
        <w:trPr>
          <w:trHeight w:val="403" w:hRule="exact"/>
        </w:trPr>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蔡晓东</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4,562,510</w:t>
            </w: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4,562,510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4,562,510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92"/>
        <w:gridCol w:w="782"/>
        <w:gridCol w:w="792"/>
        <w:gridCol w:w="787"/>
        <w:gridCol w:w="840"/>
        <w:gridCol w:w="1349"/>
        <w:gridCol w:w="1354"/>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杨明锐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2,868,800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1,895,500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杨淞文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2,783,100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1,306,700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高静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1,987,300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1,987,300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王建峰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1,504,500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邹涵文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1,314,100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邬剑升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1,250,100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张一彬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战略投资者或一般法人因配售新股 成为前</w:t>
            </w:r>
            <w:r>
              <w:rPr>
                <w:color w:val="000000"/>
                <w:spacing w:val="0"/>
                <w:w w:val="100"/>
                <w:position w:val="0"/>
              </w:rPr>
              <w:t>10</w:t>
            </w:r>
            <w:r>
              <w:rPr>
                <w:rFonts w:ascii="SimSun" w:eastAsia="SimSun" w:hAnsi="SimSun" w:cs="SimSun"/>
                <w:color w:val="000000"/>
                <w:spacing w:val="0"/>
                <w:w w:val="100"/>
                <w:position w:val="0"/>
              </w:rPr>
              <w:t>名股东的情况（如有）（参 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公司未知前十名股东之间是否存在关联关系，也未知是否属于《上市公司股东持股变 动信息披露管理办法》中规定的一致行动人。</w:t>
            </w:r>
          </w:p>
        </w:tc>
      </w:tr>
      <w:tr>
        <w:trPr>
          <w:trHeight w:val="710"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杨文江</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145,192,825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145,192,825</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蔡晓东</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4,562,510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4,562,510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杨明锐</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2,868,800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杨淞文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2,783,100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高静</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1,987,300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王建峰</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1,504,500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邹涵文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1,320,000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周婷</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1,314,100</w:t>
            </w:r>
          </w:p>
        </w:tc>
      </w:tr>
      <w:tr>
        <w:trPr>
          <w:trHeight w:val="398"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邬剑升</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1,250,100</w:t>
            </w:r>
          </w:p>
        </w:tc>
      </w:tr>
      <w:tr>
        <w:trPr>
          <w:trHeight w:val="403"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张一彬</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1,193,600</w:t>
            </w:r>
          </w:p>
        </w:tc>
      </w:tr>
      <w:tr>
        <w:trPr>
          <w:trHeight w:val="1339" w:hRule="exact"/>
        </w:trPr>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 及前</w:t>
            </w:r>
            <w:r>
              <w:rPr>
                <w:color w:val="000000"/>
                <w:spacing w:val="0"/>
                <w:w w:val="100"/>
                <w:position w:val="0"/>
              </w:rPr>
              <w:t>10</w:t>
            </w:r>
            <w:r>
              <w:rPr>
                <w:rFonts w:ascii="SimSun" w:eastAsia="SimSun" w:hAnsi="SimSun" w:cs="SimSun"/>
                <w:color w:val="000000"/>
                <w:spacing w:val="0"/>
                <w:w w:val="100"/>
                <w:position w:val="0"/>
              </w:rPr>
              <w:t>名无限售流通股股东和前</w:t>
            </w:r>
            <w:r>
              <w:rPr>
                <w:color w:val="000000"/>
                <w:spacing w:val="0"/>
                <w:w w:val="100"/>
                <w:position w:val="0"/>
              </w:rPr>
              <w:t xml:space="preserve">10 </w:t>
            </w:r>
            <w:r>
              <w:rPr>
                <w:rFonts w:ascii="SimSun" w:eastAsia="SimSun" w:hAnsi="SimSun" w:cs="SimSun"/>
                <w:color w:val="000000"/>
                <w:spacing w:val="0"/>
                <w:w w:val="100"/>
                <w:position w:val="0"/>
              </w:rPr>
              <w:t>名股东之间关联关系或一致行动的 说明</w:t>
            </w:r>
          </w:p>
        </w:tc>
        <w:tc>
          <w:tcPr>
            <w:gridSpan w:val="7"/>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公司未知前十名股东之间是否存在关联关系，也未知是否属于《上市公司股东持股变 动信息披露管理办法》中规定的一致行动人。</w:t>
            </w:r>
          </w:p>
        </w:tc>
      </w:tr>
      <w:tr>
        <w:trPr>
          <w:trHeight w:val="1622"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 务情况说明（如有）（参见注</w:t>
            </w:r>
            <w:r>
              <w:rPr>
                <w:color w:val="000000"/>
                <w:spacing w:val="0"/>
                <w:w w:val="100"/>
                <w:position w:val="0"/>
              </w:rPr>
              <w:t>4</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公司股东杨文江通过信用交易担保证券账户持有本公司股票</w:t>
            </w:r>
            <w:r>
              <w:rPr>
                <w:color w:val="000000"/>
                <w:spacing w:val="0"/>
                <w:w w:val="100"/>
                <w:position w:val="0"/>
              </w:rPr>
              <w:t>118,279,426</w:t>
            </w:r>
            <w:r>
              <w:rPr>
                <w:rFonts w:ascii="SimSun" w:eastAsia="SimSun" w:hAnsi="SimSun" w:cs="SimSun"/>
                <w:color w:val="000000"/>
                <w:spacing w:val="0"/>
                <w:w w:val="100"/>
                <w:position w:val="0"/>
              </w:rPr>
              <w:t>股，通过普 通证券账户持有本公司股票</w:t>
            </w:r>
            <w:r>
              <w:rPr>
                <w:color w:val="000000"/>
                <w:spacing w:val="0"/>
                <w:w w:val="100"/>
                <w:position w:val="0"/>
              </w:rPr>
              <w:t>26,913,399</w:t>
            </w:r>
            <w:r>
              <w:rPr>
                <w:rFonts w:ascii="SimSun" w:eastAsia="SimSun" w:hAnsi="SimSun" w:cs="SimSun"/>
                <w:color w:val="000000"/>
                <w:spacing w:val="0"/>
                <w:w w:val="100"/>
                <w:position w:val="0"/>
              </w:rPr>
              <w:t>股，合计持有本公司股票</w:t>
            </w:r>
            <w:r>
              <w:rPr>
                <w:color w:val="000000"/>
                <w:spacing w:val="0"/>
                <w:w w:val="100"/>
                <w:position w:val="0"/>
              </w:rPr>
              <w:t>145,192,825</w:t>
            </w:r>
            <w:r>
              <w:rPr>
                <w:rFonts w:ascii="SimSun" w:eastAsia="SimSun" w:hAnsi="SimSun" w:cs="SimSun"/>
                <w:color w:val="000000"/>
                <w:spacing w:val="0"/>
                <w:w w:val="100"/>
                <w:position w:val="0"/>
              </w:rPr>
              <w:t>股，占 本公司总股本的</w:t>
            </w:r>
            <w:r>
              <w:rPr>
                <w:color w:val="000000"/>
                <w:spacing w:val="0"/>
                <w:w w:val="100"/>
                <w:position w:val="0"/>
              </w:rPr>
              <w:t>19.07%</w:t>
            </w:r>
            <w:r>
              <w:rPr>
                <w:rFonts w:ascii="SimSun" w:eastAsia="SimSun" w:hAnsi="SimSun" w:cs="SimSun"/>
                <w:color w:val="000000"/>
                <w:spacing w:val="0"/>
                <w:w w:val="100"/>
                <w:position w:val="0"/>
              </w:rPr>
              <w:t xml:space="preserve">；公司股东蔡晓东通过信用交易担保证券账户持有本公司股票 </w:t>
            </w:r>
            <w:r>
              <w:rPr>
                <w:color w:val="000000"/>
                <w:spacing w:val="0"/>
                <w:w w:val="100"/>
                <w:position w:val="0"/>
              </w:rPr>
              <w:t>4,562,510</w:t>
            </w:r>
            <w:r>
              <w:rPr>
                <w:rFonts w:ascii="SimSun" w:eastAsia="SimSun" w:hAnsi="SimSun" w:cs="SimSun"/>
                <w:color w:val="000000"/>
                <w:spacing w:val="0"/>
                <w:w w:val="100"/>
                <w:position w:val="0"/>
              </w:rPr>
              <w:t>股，占本公司总股本的</w:t>
            </w:r>
            <w:r>
              <w:rPr>
                <w:color w:val="000000"/>
                <w:spacing w:val="0"/>
                <w:w w:val="100"/>
                <w:position w:val="0"/>
              </w:rPr>
              <w:t>0.60%</w:t>
            </w:r>
            <w:r>
              <w:rPr>
                <w:rFonts w:ascii="SimSun" w:eastAsia="SimSun" w:hAnsi="SimSun" w:cs="SimSun"/>
                <w:color w:val="000000"/>
                <w:spacing w:val="0"/>
                <w:w w:val="100"/>
                <w:position w:val="0"/>
              </w:rPr>
              <w:t>；公司股东杨淞文通过信用交易担保证券账户 持有本公司股票</w:t>
            </w:r>
            <w:r>
              <w:rPr>
                <w:color w:val="000000"/>
                <w:spacing w:val="0"/>
                <w:w w:val="100"/>
                <w:position w:val="0"/>
              </w:rPr>
              <w:t>2,783,100</w:t>
            </w:r>
            <w:r>
              <w:rPr>
                <w:rFonts w:ascii="SimSun" w:eastAsia="SimSun" w:hAnsi="SimSun" w:cs="SimSun"/>
                <w:color w:val="000000"/>
                <w:spacing w:val="0"/>
                <w:w w:val="100"/>
                <w:position w:val="0"/>
              </w:rPr>
              <w:t>股，占本公司总股本的</w:t>
            </w:r>
            <w:r>
              <w:rPr>
                <w:color w:val="000000"/>
                <w:spacing w:val="0"/>
                <w:w w:val="100"/>
                <w:position w:val="0"/>
              </w:rPr>
              <w:t xml:space="preserve">0.38% </w:t>
            </w:r>
            <w:r>
              <w:rPr>
                <w:rFonts w:ascii="SimSun" w:eastAsia="SimSun" w:hAnsi="SimSun" w:cs="SimSun"/>
                <w:color w:val="000000"/>
                <w:spacing w:val="0"/>
                <w:w w:val="100"/>
                <w:position w:val="0"/>
              </w:rPr>
              <w:t>；公司股东高静通过信用交</w:t>
            </w:r>
          </w:p>
        </w:tc>
      </w:tr>
    </w:tbl>
    <w:p>
      <w:pPr>
        <w:spacing w:lineRule="exact" w:line="1"/>
        <w:rPr>
          <w:sz w:val="2"/>
          <w:szCs w:val="2"/>
        </w:rPr>
      </w:pPr>
      <w:r>
        <w:br w:type="page"/>
      </w:r>
    </w:p>
    <w:tbl>
      <w:tblPr>
        <w:tblOverlap w:val="never"/>
        <w:jc w:val="center"/>
        <w:tblLayout w:type="fixed"/>
      </w:tblPr>
      <w:tblGrid>
        <w:gridCol w:w="2885"/>
        <w:gridCol w:w="6696"/>
      </w:tblGrid>
      <w:tr>
        <w:trPr>
          <w:trHeight w:val="224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易担保证券账户持有本公司股票</w:t>
            </w:r>
            <w:r>
              <w:rPr>
                <w:color w:val="000000"/>
                <w:spacing w:val="0"/>
                <w:w w:val="100"/>
                <w:position w:val="0"/>
              </w:rPr>
              <w:t>1,987,300</w:t>
            </w:r>
            <w:r>
              <w:rPr>
                <w:rFonts w:ascii="SimSun" w:eastAsia="SimSun" w:hAnsi="SimSun" w:cs="SimSun"/>
                <w:color w:val="000000"/>
                <w:spacing w:val="0"/>
                <w:w w:val="100"/>
                <w:position w:val="0"/>
              </w:rPr>
              <w:t>股，占本公司总股本的</w:t>
            </w:r>
            <w:r>
              <w:rPr>
                <w:color w:val="000000"/>
                <w:spacing w:val="0"/>
                <w:w w:val="100"/>
                <w:position w:val="0"/>
              </w:rPr>
              <w:t>0.26%</w:t>
            </w:r>
            <w:r>
              <w:rPr>
                <w:rFonts w:ascii="SimSun" w:eastAsia="SimSun" w:hAnsi="SimSun" w:cs="SimSun"/>
                <w:color w:val="000000"/>
                <w:spacing w:val="0"/>
                <w:w w:val="100"/>
                <w:position w:val="0"/>
              </w:rPr>
              <w:t>；公司股东王 建峰通过信用交易担保证券账户持有本公司股票</w:t>
            </w:r>
            <w:r>
              <w:rPr>
                <w:color w:val="000000"/>
                <w:spacing w:val="0"/>
                <w:w w:val="100"/>
                <w:position w:val="0"/>
              </w:rPr>
              <w:t>1,100,000</w:t>
            </w:r>
            <w:r>
              <w:rPr>
                <w:rFonts w:ascii="SimSun" w:eastAsia="SimSun" w:hAnsi="SimSun" w:cs="SimSun"/>
                <w:color w:val="000000"/>
                <w:spacing w:val="0"/>
                <w:w w:val="100"/>
                <w:position w:val="0"/>
              </w:rPr>
              <w:t>股，通过普通证券账户持 有本公司股票</w:t>
            </w:r>
            <w:r>
              <w:rPr>
                <w:color w:val="000000"/>
                <w:spacing w:val="0"/>
                <w:w w:val="100"/>
                <w:position w:val="0"/>
              </w:rPr>
              <w:t>404,500</w:t>
            </w:r>
            <w:r>
              <w:rPr>
                <w:rFonts w:ascii="SimSun" w:eastAsia="SimSun" w:hAnsi="SimSun" w:cs="SimSun"/>
                <w:color w:val="000000"/>
                <w:spacing w:val="0"/>
                <w:w w:val="100"/>
                <w:position w:val="0"/>
              </w:rPr>
              <w:t>股，合计持有本公司股票</w:t>
            </w:r>
            <w:r>
              <w:rPr>
                <w:color w:val="000000"/>
                <w:spacing w:val="0"/>
                <w:w w:val="100"/>
                <w:position w:val="0"/>
              </w:rPr>
              <w:t>1,504,500</w:t>
            </w:r>
            <w:r>
              <w:rPr>
                <w:rFonts w:ascii="SimSun" w:eastAsia="SimSun" w:hAnsi="SimSun" w:cs="SimSun"/>
                <w:color w:val="000000"/>
                <w:spacing w:val="0"/>
                <w:w w:val="100"/>
                <w:position w:val="0"/>
              </w:rPr>
              <w:t xml:space="preserve">股，占本公司总股本的 </w:t>
            </w:r>
            <w:r>
              <w:rPr>
                <w:color w:val="000000"/>
                <w:spacing w:val="0"/>
                <w:w w:val="100"/>
                <w:position w:val="0"/>
              </w:rPr>
              <w:t>0.20%</w:t>
            </w:r>
            <w:r>
              <w:rPr>
                <w:rFonts w:ascii="SimSun" w:eastAsia="SimSun" w:hAnsi="SimSun" w:cs="SimSun"/>
                <w:color w:val="000000"/>
                <w:spacing w:val="0"/>
                <w:w w:val="100"/>
                <w:position w:val="0"/>
              </w:rPr>
              <w:t>；公司股东邬剑升通过信用交易担保证券账户持有本公司股票</w:t>
            </w:r>
            <w:r>
              <w:rPr>
                <w:color w:val="000000"/>
                <w:spacing w:val="0"/>
                <w:w w:val="100"/>
                <w:position w:val="0"/>
              </w:rPr>
              <w:t>1,250,100</w:t>
            </w:r>
            <w:r>
              <w:rPr>
                <w:rFonts w:ascii="SimSun" w:eastAsia="SimSun" w:hAnsi="SimSun" w:cs="SimSun"/>
                <w:color w:val="000000"/>
                <w:spacing w:val="0"/>
                <w:w w:val="100"/>
                <w:position w:val="0"/>
              </w:rPr>
              <w:t>股，占 本公司总股本的</w:t>
            </w:r>
            <w:r>
              <w:rPr>
                <w:color w:val="000000"/>
                <w:spacing w:val="0"/>
                <w:w w:val="100"/>
                <w:position w:val="0"/>
              </w:rPr>
              <w:t>0.16%</w:t>
            </w:r>
            <w:r>
              <w:rPr>
                <w:rFonts w:ascii="SimSun" w:eastAsia="SimSun" w:hAnsi="SimSun" w:cs="SimSun"/>
                <w:color w:val="000000"/>
                <w:spacing w:val="0"/>
                <w:w w:val="100"/>
                <w:position w:val="0"/>
              </w:rPr>
              <w:t xml:space="preserve">；公司股东张一彬通过信用交易担保证券账户持有本公司股票 </w:t>
            </w:r>
            <w:r>
              <w:rPr>
                <w:color w:val="000000"/>
                <w:spacing w:val="0"/>
                <w:w w:val="100"/>
                <w:position w:val="0"/>
              </w:rPr>
              <w:t>1,100,000</w:t>
            </w:r>
            <w:r>
              <w:rPr>
                <w:rFonts w:ascii="SimSun" w:eastAsia="SimSun" w:hAnsi="SimSun" w:cs="SimSun"/>
                <w:color w:val="000000"/>
                <w:spacing w:val="0"/>
                <w:w w:val="100"/>
                <w:position w:val="0"/>
              </w:rPr>
              <w:t>股，通过普通证券账户持有本公司股票</w:t>
            </w:r>
            <w:r>
              <w:rPr>
                <w:color w:val="000000"/>
                <w:spacing w:val="0"/>
                <w:w w:val="100"/>
                <w:position w:val="0"/>
              </w:rPr>
              <w:t>93,600</w:t>
            </w:r>
            <w:r>
              <w:rPr>
                <w:rFonts w:ascii="SimSun" w:eastAsia="SimSun" w:hAnsi="SimSun" w:cs="SimSun"/>
                <w:color w:val="000000"/>
                <w:spacing w:val="0"/>
                <w:w w:val="100"/>
                <w:position w:val="0"/>
              </w:rPr>
              <w:t xml:space="preserve">股，合计持有本公司股票 </w:t>
            </w:r>
            <w:r>
              <w:rPr>
                <w:color w:val="000000"/>
                <w:spacing w:val="0"/>
                <w:w w:val="100"/>
                <w:position w:val="0"/>
              </w:rPr>
              <w:t>1,193,600</w:t>
            </w:r>
            <w:r>
              <w:rPr>
                <w:rFonts w:ascii="SimSun" w:eastAsia="SimSun" w:hAnsi="SimSun" w:cs="SimSun"/>
                <w:color w:val="000000"/>
                <w:spacing w:val="0"/>
                <w:w w:val="100"/>
                <w:position w:val="0"/>
              </w:rPr>
              <w:t>股，占本公司总股本的</w:t>
            </w:r>
            <w:r>
              <w:rPr>
                <w:color w:val="000000"/>
                <w:spacing w:val="0"/>
                <w:w w:val="100"/>
                <w:position w:val="0"/>
              </w:rPr>
              <w:t>0.16%</w:t>
            </w:r>
            <w:r>
              <w:rPr>
                <w:rFonts w:ascii="SimSun" w:eastAsia="SimSun" w:hAnsi="SimSun" w:cs="SimSun"/>
                <w:color w:val="000000"/>
                <w:spacing w:val="0"/>
                <w:w w:val="100"/>
                <w:position w:val="0"/>
              </w:rPr>
              <w:t>。</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8"/>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2</w:t>
      </w:r>
      <w:bookmarkEnd w:id="476"/>
      <w:r>
        <w:rPr>
          <w:color w:val="000000"/>
          <w:spacing w:val="0"/>
          <w:w w:val="100"/>
          <w:position w:val="0"/>
        </w:rPr>
        <w:t>、公司控股股东情况</w:t>
      </w:r>
      <w:bookmarkEnd w:id="474"/>
      <w:bookmarkEnd w:id="475"/>
      <w:bookmarkEnd w:id="47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8"/>
        <w:keepNext/>
        <w:keepLines/>
        <w:widowControl w:val="0"/>
        <w:shd w:val="clear" w:color="auto" w:fill="auto"/>
        <w:bidi w:val="0"/>
        <w:spacing w:before="0" w:after="36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3</w:t>
      </w:r>
      <w:bookmarkEnd w:id="480"/>
      <w:r>
        <w:rPr>
          <w:color w:val="000000"/>
          <w:spacing w:val="0"/>
          <w:w w:val="100"/>
          <w:position w:val="0"/>
        </w:rPr>
        <w:t>、公司实际控制人及其一致行动人</w:t>
      </w:r>
      <w:bookmarkEnd w:id="478"/>
      <w:bookmarkEnd w:id="479"/>
      <w:bookmarkEnd w:id="481"/>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120078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0415" cy="1200785"/>
                    </a:xfrm>
                    <a:prstGeom prst="rect"/>
                  </pic:spPr>
                </pic:pic>
              </a:graphicData>
            </a:graphic>
          </wp:inline>
        </w:drawing>
      </w:r>
    </w:p>
    <w:p>
      <w:pPr>
        <w:widowControl w:val="0"/>
        <w:spacing w:after="3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实际控制人通过信托或其他资产管理方式控制公司</w:t>
      </w:r>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2"/>
      <w:bookmarkEnd w:id="483"/>
      <w:bookmarkEnd w:id="485"/>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after="3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5</w:t>
      </w:r>
      <w:bookmarkEnd w:id="488"/>
      <w:r>
        <w:rPr>
          <w:color w:val="000000"/>
          <w:spacing w:val="0"/>
          <w:w w:val="100"/>
          <w:position w:val="0"/>
        </w:rPr>
        <w:t>、</w:t>
        <w:tab/>
        <w:t>控股股东、实际控制人、重组方及其他承诺主体股份限制减持情况</w:t>
      </w:r>
      <w:bookmarkEnd w:id="486"/>
      <w:bookmarkEnd w:id="487"/>
      <w:bookmarkEnd w:id="489"/>
    </w:p>
    <w:p>
      <w:pPr>
        <w:pStyle w:val="Style3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3" w:right="1059" w:bottom="1441" w:left="106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2696210</wp:posOffset>
                </wp:positionH>
                <wp:positionV relativeFrom="paragraph">
                  <wp:posOffset>0</wp:posOffset>
                </wp:positionV>
                <wp:extent cx="2164080" cy="243840"/>
                <wp:wrapTopAndBottom/>
                <wp:docPr id="13" name="Shape 13"/>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bookmarkEnd w:id="490"/>
                          </w:p>
                        </w:txbxContent>
                      </wps:txbx>
                      <wps:bodyPr wrap="none" lIns="0" tIns="0" rIns="0" bIns="0">
                        <a:noAutoFit/>
                      </wps:bodyPr>
                    </wps:wsp>
                  </a:graphicData>
                </a:graphic>
              </wp:anchor>
            </w:drawing>
          </mc:Choice>
          <mc:Fallback>
            <w:pict>
              <v:shape id="_x0000_s1039" type="#_x0000_t202" style="position:absolute;margin-left:212.30000000000001pt;margin-top:0;width:170.4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490" w:name="bookmark490"/>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bookmarkEnd w:id="490"/>
                    </w:p>
                  </w:txbxContent>
                </v:textbox>
                <w10:wrap type="topAndBottom" anchorx="page"/>
              </v:shape>
            </w:pict>
          </mc:Fallback>
        </mc:AlternateConten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3" w:bottom="1930" w:left="1107" w:header="0" w:footer="3" w:gutter="0"/>
          <w:cols w:space="720"/>
          <w:noEndnote/>
          <w:rtlGutter w:val="0"/>
          <w:docGrid w:linePitch="360"/>
        </w:sectPr>
      </w:pPr>
      <w:r>
        <w:rPr>
          <w:color w:val="000000"/>
          <w:spacing w:val="0"/>
          <w:w w:val="100"/>
          <w:position w:val="0"/>
        </w:rPr>
        <w:t>报告期公司不存在优先股。</w:t>
      </w:r>
    </w:p>
    <w:p>
      <w:pPr>
        <w:pStyle w:val="Style16"/>
        <w:keepNext/>
        <w:keepLines/>
        <w:widowControl w:val="0"/>
        <w:shd w:val="clear" w:color="auto" w:fill="auto"/>
        <w:bidi w:val="0"/>
        <w:spacing w:before="0" w:line="240" w:lineRule="auto"/>
        <w:ind w:left="0" w:right="0" w:firstLine="0"/>
        <w:jc w:val="center"/>
      </w:pPr>
      <w:bookmarkStart w:id="494" w:name="bookmark494"/>
      <w:bookmarkStart w:id="495" w:name="bookmark495"/>
      <w:bookmarkStart w:id="496" w:name="bookmark496"/>
      <w:bookmarkStart w:id="497" w:name="bookmark497"/>
      <w:r>
        <w:rPr>
          <w:color w:val="000000"/>
          <w:spacing w:val="0"/>
          <w:w w:val="100"/>
          <w:position w:val="0"/>
        </w:rPr>
        <w:t>第八节可转换公司债券相关情况</w:t>
      </w:r>
      <w:bookmarkEnd w:id="495"/>
      <w:bookmarkEnd w:id="496"/>
      <w:bookmarkEnd w:id="497"/>
      <w:bookmarkEnd w:id="494"/>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报告期公司不存在可转换公司债券。</w:t>
      </w:r>
    </w:p>
    <w:p>
      <w:pPr>
        <w:pStyle w:val="Style16"/>
        <w:keepNext/>
        <w:keepLines/>
        <w:widowControl w:val="0"/>
        <w:shd w:val="clear" w:color="auto" w:fill="auto"/>
        <w:bidi w:val="0"/>
        <w:spacing w:before="540" w:after="520" w:line="240" w:lineRule="auto"/>
        <w:ind w:left="0" w:right="0" w:firstLine="0"/>
        <w:jc w:val="center"/>
      </w:pPr>
      <w:bookmarkStart w:id="498" w:name="bookmark498"/>
      <w:bookmarkStart w:id="499" w:name="bookmark499"/>
      <w:bookmarkStart w:id="500" w:name="bookmark500"/>
      <w:bookmarkStart w:id="501" w:name="bookmark501"/>
      <w:r>
        <w:rPr>
          <w:color w:val="000000"/>
          <w:spacing w:val="0"/>
          <w:w w:val="100"/>
          <w:position w:val="0"/>
        </w:rPr>
        <w:t>第九节董事、监事、高级管理人员和员工情况</w:t>
      </w:r>
      <w:bookmarkEnd w:id="499"/>
      <w:bookmarkEnd w:id="500"/>
      <w:bookmarkEnd w:id="501"/>
      <w:bookmarkEnd w:id="498"/>
    </w:p>
    <w:p>
      <w:pPr>
        <w:pStyle w:val="Style30"/>
        <w:keepNext/>
        <w:keepLines/>
        <w:widowControl w:val="0"/>
        <w:shd w:val="clear" w:color="auto" w:fill="auto"/>
        <w:bidi w:val="0"/>
        <w:spacing w:before="0" w:after="320" w:line="240" w:lineRule="auto"/>
        <w:ind w:left="0" w:right="0" w:firstLine="240"/>
        <w:jc w:val="left"/>
      </w:pPr>
      <w:bookmarkStart w:id="502" w:name="bookmark502"/>
      <w:bookmarkStart w:id="503" w:name="bookmark503"/>
      <w:bookmarkStart w:id="504" w:name="bookmark504"/>
      <w:r>
        <w:rPr>
          <w:color w:val="000000"/>
          <w:spacing w:val="0"/>
          <w:w w:val="100"/>
          <w:position w:val="0"/>
          <w:sz w:val="24"/>
          <w:szCs w:val="24"/>
        </w:rPr>
        <w:t>、董事、监事和高级管理人员持股变动</w:t>
      </w:r>
      <w:bookmarkEnd w:id="502"/>
      <w:bookmarkEnd w:id="503"/>
      <w:bookmarkEnd w:id="504"/>
    </w:p>
    <w:tbl>
      <w:tblPr>
        <w:tblOverlap w:val="never"/>
        <w:jc w:val="center"/>
        <w:tblLayout w:type="fixed"/>
      </w:tblPr>
      <w:tblGrid>
        <w:gridCol w:w="715"/>
        <w:gridCol w:w="850"/>
        <w:gridCol w:w="427"/>
        <w:gridCol w:w="422"/>
        <w:gridCol w:w="427"/>
        <w:gridCol w:w="1560"/>
        <w:gridCol w:w="1560"/>
        <w:gridCol w:w="706"/>
        <w:gridCol w:w="850"/>
        <w:gridCol w:w="854"/>
        <w:gridCol w:w="566"/>
        <w:gridCol w:w="643"/>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任职 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期初持 股数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center"/>
            </w:pPr>
            <w:r>
              <w:rPr>
                <w:rFonts w:ascii="SimSun" w:eastAsia="SimSun" w:hAnsi="SimSun" w:cs="SimSun"/>
                <w:color w:val="000000"/>
                <w:spacing w:val="0"/>
                <w:w w:val="100"/>
                <w:position w:val="0"/>
              </w:rPr>
              <w:t>本期增持 股份数量</w:t>
            </w:r>
          </w:p>
          <w:p>
            <w:pPr>
              <w:pStyle w:val="Style27"/>
              <w:keepNext w:val="0"/>
              <w:keepLines w:val="0"/>
              <w:widowControl w:val="0"/>
              <w:shd w:val="clear" w:color="auto" w:fill="auto"/>
              <w:bidi w:val="0"/>
              <w:spacing w:before="0" w:after="0" w:line="307" w:lineRule="exact"/>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98" w:lineRule="exact"/>
              <w:ind w:left="0" w:right="0" w:firstLine="0"/>
              <w:jc w:val="right"/>
            </w:pPr>
            <w:r>
              <w:rPr>
                <w:rFonts w:ascii="SimSun" w:eastAsia="SimSun" w:hAnsi="SimSun" w:cs="SimSun"/>
                <w:color w:val="000000"/>
                <w:spacing w:val="0"/>
                <w:w w:val="100"/>
                <w:position w:val="0"/>
              </w:rPr>
              <w:t>本期减持 股份数量</w:t>
            </w:r>
          </w:p>
          <w:p>
            <w:pPr>
              <w:pStyle w:val="Style27"/>
              <w:keepNext w:val="0"/>
              <w:keepLines w:val="0"/>
              <w:widowControl w:val="0"/>
              <w:shd w:val="clear" w:color="auto" w:fill="auto"/>
              <w:bidi w:val="0"/>
              <w:spacing w:before="0" w:after="0" w:line="298" w:lineRule="exact"/>
              <w:ind w:left="0" w:right="0" w:firstLine="14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 增减 变动 （股）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期末持 股数 （股）</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董事；财</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监事会主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副总经 理、董事 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二</w:t>
      </w:r>
      <w:bookmarkEnd w:id="507"/>
      <w:r>
        <w:rPr>
          <w:color w:val="000000"/>
          <w:spacing w:val="0"/>
          <w:w w:val="100"/>
          <w:position w:val="0"/>
          <w:sz w:val="24"/>
          <w:szCs w:val="24"/>
        </w:rPr>
        <w:t>、公司董事、监事、高级管理人员变动情况</w:t>
      </w:r>
      <w:bookmarkEnd w:id="505"/>
      <w:bookmarkEnd w:id="506"/>
      <w:bookmarkEnd w:id="508"/>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因工作原因辞去公司董事会秘书职务，辞职后谭骅先 生在公司仍担任董事长、总经理的职务</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20</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聘任周用芳女士担任公司董事会秘书</w:t>
            </w:r>
          </w:p>
        </w:tc>
      </w:tr>
    </w:tbl>
    <w:p>
      <w:pPr>
        <w:pStyle w:val="Style30"/>
        <w:keepNext/>
        <w:keepLines/>
        <w:widowControl w:val="0"/>
        <w:shd w:val="clear" w:color="auto" w:fill="auto"/>
        <w:bidi w:val="0"/>
        <w:spacing w:before="0" w:after="26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三</w:t>
      </w:r>
      <w:bookmarkEnd w:id="511"/>
      <w:r>
        <w:rPr>
          <w:color w:val="000000"/>
          <w:spacing w:val="0"/>
          <w:w w:val="100"/>
          <w:position w:val="0"/>
          <w:sz w:val="24"/>
          <w:szCs w:val="24"/>
        </w:rPr>
        <w:t>、任职情况</w:t>
      </w:r>
      <w:bookmarkEnd w:id="509"/>
      <w:bookmarkEnd w:id="510"/>
      <w:bookmarkEnd w:id="512"/>
    </w:p>
    <w:p>
      <w:pPr>
        <w:pStyle w:val="Style34"/>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4"/>
        <w:keepNext w:val="0"/>
        <w:keepLines w:val="0"/>
        <w:widowControl w:val="0"/>
        <w:shd w:val="clear" w:color="auto" w:fill="auto"/>
        <w:tabs>
          <w:tab w:pos="752" w:val="left"/>
        </w:tabs>
        <w:bidi w:val="0"/>
        <w:spacing w:before="0" w:after="0"/>
        <w:ind w:left="0" w:right="0"/>
        <w:jc w:val="both"/>
      </w:pPr>
      <w:bookmarkStart w:id="513" w:name="bookmark513"/>
      <w:r>
        <w:rPr>
          <w:rFonts w:ascii="Times New Roman" w:eastAsia="Times New Roman" w:hAnsi="Times New Roman" w:cs="Times New Roman"/>
          <w:color w:val="000000"/>
          <w:spacing w:val="0"/>
          <w:w w:val="100"/>
          <w:position w:val="0"/>
        </w:rPr>
        <w:t>1</w:t>
      </w:r>
      <w:bookmarkEnd w:id="513"/>
      <w:r>
        <w:rPr>
          <w:color w:val="000000"/>
          <w:spacing w:val="0"/>
          <w:w w:val="100"/>
          <w:position w:val="0"/>
        </w:rPr>
        <w:t>、</w:t>
        <w:tab/>
        <w:t>董事</w:t>
      </w:r>
    </w:p>
    <w:p>
      <w:pPr>
        <w:pStyle w:val="Style34"/>
        <w:keepNext w:val="0"/>
        <w:keepLines w:val="0"/>
        <w:widowControl w:val="0"/>
        <w:shd w:val="clear" w:color="auto" w:fill="auto"/>
        <w:tabs>
          <w:tab w:pos="891" w:val="left"/>
        </w:tabs>
        <w:bidi w:val="0"/>
        <w:spacing w:before="0" w:after="0" w:line="316" w:lineRule="exact"/>
        <w:ind w:left="0" w:right="0"/>
        <w:jc w:val="both"/>
      </w:pPr>
      <w:bookmarkStart w:id="514" w:name="bookmark514"/>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w:t>
        <w:tab/>
        <w:t>谭骅先生：男，</w:t>
      </w:r>
      <w:r>
        <w:rPr>
          <w:rFonts w:ascii="Times New Roman" w:eastAsia="Times New Roman" w:hAnsi="Times New Roman" w:cs="Times New Roman"/>
          <w:color w:val="000000"/>
          <w:spacing w:val="0"/>
          <w:w w:val="100"/>
          <w:position w:val="0"/>
        </w:rPr>
        <w:t>1972</w:t>
      </w:r>
      <w:r>
        <w:rPr>
          <w:color w:val="000000"/>
          <w:spacing w:val="0"/>
          <w:w w:val="100"/>
          <w:position w:val="0"/>
        </w:rPr>
        <w:t>年生，武汉大学工商管理硕士，经济师。曾任职于中国农业银行，有丰富的金融投资及企业 管理经验。现任本公司董事长、总经理。</w:t>
      </w:r>
    </w:p>
    <w:p>
      <w:pPr>
        <w:pStyle w:val="Style34"/>
        <w:keepNext w:val="0"/>
        <w:keepLines w:val="0"/>
        <w:widowControl w:val="0"/>
        <w:shd w:val="clear" w:color="auto" w:fill="auto"/>
        <w:tabs>
          <w:tab w:pos="877" w:val="left"/>
        </w:tabs>
        <w:bidi w:val="0"/>
        <w:spacing w:before="0" w:after="0" w:line="316" w:lineRule="exact"/>
        <w:ind w:left="0" w:right="0"/>
        <w:jc w:val="both"/>
      </w:pPr>
      <w:bookmarkStart w:id="515" w:name="bookmark515"/>
      <w:r>
        <w:rPr>
          <w:color w:val="000000"/>
          <w:spacing w:val="0"/>
          <w:w w:val="100"/>
          <w:position w:val="0"/>
        </w:rPr>
        <w:t>（</w:t>
      </w:r>
      <w:bookmarkEnd w:id="515"/>
      <w:r>
        <w:rPr>
          <w:rFonts w:ascii="Times New Roman" w:eastAsia="Times New Roman" w:hAnsi="Times New Roman" w:cs="Times New Roman"/>
          <w:color w:val="000000"/>
          <w:spacing w:val="0"/>
          <w:w w:val="100"/>
          <w:position w:val="0"/>
        </w:rPr>
        <w:t>2</w:t>
      </w:r>
      <w:r>
        <w:rPr>
          <w:color w:val="000000"/>
          <w:spacing w:val="0"/>
          <w:w w:val="100"/>
          <w:position w:val="0"/>
        </w:rPr>
        <w:t>）</w:t>
        <w:tab/>
        <w:t>陈国军：男，</w:t>
      </w:r>
      <w:r>
        <w:rPr>
          <w:rFonts w:ascii="Times New Roman" w:eastAsia="Times New Roman" w:hAnsi="Times New Roman" w:cs="Times New Roman"/>
          <w:color w:val="000000"/>
          <w:spacing w:val="0"/>
          <w:w w:val="100"/>
          <w:position w:val="0"/>
        </w:rPr>
        <w:t>1978</w:t>
      </w:r>
      <w:r>
        <w:rPr>
          <w:color w:val="000000"/>
          <w:spacing w:val="0"/>
          <w:w w:val="100"/>
          <w:position w:val="0"/>
        </w:rPr>
        <w:t>年生，本科学历，中国注册会计师。曾任中山大学达安基因股份有限公司财务主管，广东大地 电影院线有限公司财务经理。现任公司董事、财务总监。</w:t>
      </w:r>
    </w:p>
    <w:p>
      <w:pPr>
        <w:pStyle w:val="Style34"/>
        <w:keepNext w:val="0"/>
        <w:keepLines w:val="0"/>
        <w:widowControl w:val="0"/>
        <w:shd w:val="clear" w:color="auto" w:fill="auto"/>
        <w:tabs>
          <w:tab w:pos="820" w:val="left"/>
        </w:tabs>
        <w:bidi w:val="0"/>
        <w:spacing w:before="0" w:after="0" w:line="316" w:lineRule="exact"/>
        <w:ind w:left="0" w:right="0"/>
        <w:jc w:val="both"/>
      </w:pPr>
      <w:bookmarkStart w:id="516" w:name="bookmark516"/>
      <w:r>
        <w:rPr>
          <w:color w:val="000000"/>
          <w:spacing w:val="0"/>
          <w:w w:val="100"/>
          <w:position w:val="0"/>
        </w:rPr>
        <w:t>（</w:t>
      </w:r>
      <w:bookmarkEnd w:id="516"/>
      <w:r>
        <w:rPr>
          <w:rFonts w:ascii="Times New Roman" w:eastAsia="Times New Roman" w:hAnsi="Times New Roman" w:cs="Times New Roman"/>
          <w:color w:val="000000"/>
          <w:spacing w:val="0"/>
          <w:w w:val="100"/>
          <w:position w:val="0"/>
        </w:rPr>
        <w:t>3</w:t>
      </w:r>
      <w:r>
        <w:rPr>
          <w:color w:val="000000"/>
          <w:spacing w:val="0"/>
          <w:w w:val="100"/>
          <w:position w:val="0"/>
        </w:rPr>
        <w:t>）</w:t>
        <w:tab/>
        <w:t>梁行先生：男，</w:t>
      </w:r>
      <w:r>
        <w:rPr>
          <w:rFonts w:ascii="Times New Roman" w:eastAsia="Times New Roman" w:hAnsi="Times New Roman" w:cs="Times New Roman"/>
          <w:color w:val="000000"/>
          <w:spacing w:val="0"/>
          <w:w w:val="100"/>
          <w:position w:val="0"/>
        </w:rPr>
        <w:t>1973</w:t>
      </w:r>
      <w:r>
        <w:rPr>
          <w:color w:val="000000"/>
          <w:spacing w:val="0"/>
          <w:w w:val="100"/>
          <w:position w:val="0"/>
        </w:rPr>
        <w:t>年生，工商管理硕士。现任公司董事，广州好易达家居网络科技有限公司执行董事。</w:t>
      </w:r>
    </w:p>
    <w:p>
      <w:pPr>
        <w:pStyle w:val="Style34"/>
        <w:keepNext w:val="0"/>
        <w:keepLines w:val="0"/>
        <w:widowControl w:val="0"/>
        <w:shd w:val="clear" w:color="auto" w:fill="auto"/>
        <w:tabs>
          <w:tab w:pos="901" w:val="left"/>
        </w:tabs>
        <w:bidi w:val="0"/>
        <w:spacing w:before="0" w:after="0" w:line="316" w:lineRule="exact"/>
        <w:ind w:left="0" w:right="0"/>
        <w:jc w:val="both"/>
      </w:pPr>
      <w:bookmarkStart w:id="517" w:name="bookmark517"/>
      <w:r>
        <w:rPr>
          <w:color w:val="000000"/>
          <w:spacing w:val="0"/>
          <w:w w:val="100"/>
          <w:position w:val="0"/>
        </w:rPr>
        <w:t>（</w:t>
      </w:r>
      <w:bookmarkEnd w:id="517"/>
      <w:r>
        <w:rPr>
          <w:rFonts w:ascii="Times New Roman" w:eastAsia="Times New Roman" w:hAnsi="Times New Roman" w:cs="Times New Roman"/>
          <w:color w:val="000000"/>
          <w:spacing w:val="0"/>
          <w:w w:val="100"/>
          <w:position w:val="0"/>
        </w:rPr>
        <w:t>4</w:t>
      </w:r>
      <w:r>
        <w:rPr>
          <w:color w:val="000000"/>
          <w:spacing w:val="0"/>
          <w:w w:val="100"/>
          <w:position w:val="0"/>
        </w:rPr>
        <w:t>）</w:t>
        <w:tab/>
        <w:t>张华先生：男，</w:t>
      </w:r>
      <w:r>
        <w:rPr>
          <w:rFonts w:ascii="Times New Roman" w:eastAsia="Times New Roman" w:hAnsi="Times New Roman" w:cs="Times New Roman"/>
          <w:color w:val="000000"/>
          <w:spacing w:val="0"/>
          <w:w w:val="100"/>
          <w:position w:val="0"/>
        </w:rPr>
        <w:t>1965</w:t>
      </w:r>
      <w:r>
        <w:rPr>
          <w:color w:val="000000"/>
          <w:spacing w:val="0"/>
          <w:w w:val="100"/>
          <w:position w:val="0"/>
        </w:rPr>
        <w:t>年生，经济学硕士。曾在国家开发银行广东省分行、广东金手指投资顾问有限公司、广州市 宝鑫控股集团有限公司、君华集团有限公司、广州市英智财华投资有限公司、广州德瑞投资有限责任公司、深圳东盈瑞通投 资管理合伙企业（有限合伙）等单位工作任职。现任上海尔罗投资管理服务中心（普通合伙）任总经理，公司独立董事，珠 海太川云社区技术股份有限公司独立董事，广东省高速公路发展股份有限公司独立董事。</w:t>
      </w:r>
    </w:p>
    <w:p>
      <w:pPr>
        <w:pStyle w:val="Style34"/>
        <w:keepNext w:val="0"/>
        <w:keepLines w:val="0"/>
        <w:widowControl w:val="0"/>
        <w:shd w:val="clear" w:color="auto" w:fill="auto"/>
        <w:tabs>
          <w:tab w:pos="886" w:val="left"/>
        </w:tabs>
        <w:bidi w:val="0"/>
        <w:spacing w:before="0" w:after="100" w:line="316" w:lineRule="exact"/>
        <w:ind w:left="0" w:right="0"/>
        <w:jc w:val="both"/>
      </w:pPr>
      <w:bookmarkStart w:id="518" w:name="bookmark518"/>
      <w:r>
        <w:rPr>
          <w:color w:val="000000"/>
          <w:spacing w:val="0"/>
          <w:w w:val="100"/>
          <w:position w:val="0"/>
        </w:rPr>
        <w:t>（</w:t>
      </w:r>
      <w:bookmarkEnd w:id="518"/>
      <w:r>
        <w:rPr>
          <w:rFonts w:ascii="Times New Roman" w:eastAsia="Times New Roman" w:hAnsi="Times New Roman" w:cs="Times New Roman"/>
          <w:color w:val="000000"/>
          <w:spacing w:val="0"/>
          <w:w w:val="100"/>
          <w:position w:val="0"/>
        </w:rPr>
        <w:t>5</w:t>
      </w:r>
      <w:r>
        <w:rPr>
          <w:color w:val="000000"/>
          <w:spacing w:val="0"/>
          <w:w w:val="100"/>
          <w:position w:val="0"/>
        </w:rPr>
        <w:t>）</w:t>
        <w:tab/>
        <w:t>刘国常先生：男，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月出生，博士学历，会计学教授。曾于郑州航空工业管理学院、暨南大学任教。现任公 司独立董事，广东财经大学会计学院教授，广东省内部审计协会副会长，广州市审计学会副会长，广州博济医药股份有限公 司独立董事。</w:t>
      </w:r>
    </w:p>
    <w:p>
      <w:pPr>
        <w:pStyle w:val="Style34"/>
        <w:keepNext w:val="0"/>
        <w:keepLines w:val="0"/>
        <w:widowControl w:val="0"/>
        <w:shd w:val="clear" w:color="auto" w:fill="auto"/>
        <w:tabs>
          <w:tab w:pos="752" w:val="left"/>
        </w:tabs>
        <w:bidi w:val="0"/>
        <w:spacing w:before="0" w:after="0"/>
        <w:ind w:left="0" w:right="0"/>
        <w:jc w:val="both"/>
      </w:pPr>
      <w:bookmarkStart w:id="519" w:name="bookmark519"/>
      <w:r>
        <w:rPr>
          <w:rFonts w:ascii="Times New Roman" w:eastAsia="Times New Roman" w:hAnsi="Times New Roman" w:cs="Times New Roman"/>
          <w:color w:val="000000"/>
          <w:spacing w:val="0"/>
          <w:w w:val="100"/>
          <w:position w:val="0"/>
        </w:rPr>
        <w:t>2</w:t>
      </w:r>
      <w:bookmarkEnd w:id="519"/>
      <w:r>
        <w:rPr>
          <w:color w:val="000000"/>
          <w:spacing w:val="0"/>
          <w:w w:val="100"/>
          <w:position w:val="0"/>
        </w:rPr>
        <w:t>、</w:t>
        <w:tab/>
        <w:t>监事</w:t>
      </w:r>
    </w:p>
    <w:p>
      <w:pPr>
        <w:pStyle w:val="Style34"/>
        <w:keepNext w:val="0"/>
        <w:keepLines w:val="0"/>
        <w:widowControl w:val="0"/>
        <w:shd w:val="clear" w:color="auto" w:fill="auto"/>
        <w:tabs>
          <w:tab w:pos="891" w:val="left"/>
        </w:tabs>
        <w:bidi w:val="0"/>
        <w:spacing w:before="0" w:after="0" w:line="316" w:lineRule="exact"/>
        <w:ind w:left="0" w:right="0"/>
        <w:jc w:val="both"/>
      </w:pPr>
      <w:bookmarkStart w:id="520" w:name="bookmark520"/>
      <w:r>
        <w:rPr>
          <w:color w:val="000000"/>
          <w:spacing w:val="0"/>
          <w:w w:val="100"/>
          <w:position w:val="0"/>
        </w:rPr>
        <w:t>（</w:t>
      </w:r>
      <w:bookmarkEnd w:id="520"/>
      <w:r>
        <w:rPr>
          <w:rFonts w:ascii="Times New Roman" w:eastAsia="Times New Roman" w:hAnsi="Times New Roman" w:cs="Times New Roman"/>
          <w:color w:val="000000"/>
          <w:spacing w:val="0"/>
          <w:w w:val="100"/>
          <w:position w:val="0"/>
        </w:rPr>
        <w:t>1</w:t>
      </w:r>
      <w:r>
        <w:rPr>
          <w:color w:val="000000"/>
          <w:spacing w:val="0"/>
          <w:w w:val="100"/>
          <w:position w:val="0"/>
        </w:rPr>
        <w:t>）</w:t>
        <w:tab/>
        <w:t>梁晓芹女士：女，</w:t>
      </w:r>
      <w:r>
        <w:rPr>
          <w:rFonts w:ascii="Times New Roman" w:eastAsia="Times New Roman" w:hAnsi="Times New Roman" w:cs="Times New Roman"/>
          <w:color w:val="000000"/>
          <w:spacing w:val="0"/>
          <w:w w:val="100"/>
          <w:position w:val="0"/>
        </w:rPr>
        <w:t>1977</w:t>
      </w:r>
      <w:r>
        <w:rPr>
          <w:color w:val="000000"/>
          <w:spacing w:val="0"/>
          <w:w w:val="100"/>
          <w:position w:val="0"/>
        </w:rPr>
        <w:t>年生，贸易经济和工业分析双专业本科学历。人力资源高级管理师、经济师。</w:t>
      </w:r>
      <w:r>
        <w:rPr>
          <w:rFonts w:ascii="Times New Roman" w:eastAsia="Times New Roman" w:hAnsi="Times New Roman" w:cs="Times New Roman"/>
          <w:color w:val="000000"/>
          <w:spacing w:val="0"/>
          <w:w w:val="100"/>
          <w:position w:val="0"/>
        </w:rPr>
        <w:t>2001</w:t>
      </w:r>
      <w:r>
        <w:rPr>
          <w:color w:val="000000"/>
          <w:spacing w:val="0"/>
          <w:w w:val="100"/>
          <w:position w:val="0"/>
        </w:rPr>
        <w:t>年加入 公司，现任公司人力行政中心总监，第六届监事会主席。</w:t>
      </w:r>
    </w:p>
    <w:p>
      <w:pPr>
        <w:pStyle w:val="Style34"/>
        <w:keepNext w:val="0"/>
        <w:keepLines w:val="0"/>
        <w:widowControl w:val="0"/>
        <w:shd w:val="clear" w:color="auto" w:fill="auto"/>
        <w:tabs>
          <w:tab w:pos="820" w:val="left"/>
        </w:tabs>
        <w:bidi w:val="0"/>
        <w:spacing w:before="0" w:after="0" w:line="316" w:lineRule="exact"/>
        <w:ind w:left="0" w:right="0"/>
        <w:jc w:val="both"/>
      </w:pPr>
      <w:bookmarkStart w:id="521" w:name="bookmark521"/>
      <w:r>
        <w:rPr>
          <w:color w:val="000000"/>
          <w:spacing w:val="0"/>
          <w:w w:val="100"/>
          <w:position w:val="0"/>
        </w:rPr>
        <w:t>（</w:t>
      </w:r>
      <w:bookmarkEnd w:id="521"/>
      <w:r>
        <w:rPr>
          <w:rFonts w:ascii="Times New Roman" w:eastAsia="Times New Roman" w:hAnsi="Times New Roman" w:cs="Times New Roman"/>
          <w:color w:val="000000"/>
          <w:spacing w:val="0"/>
          <w:w w:val="100"/>
          <w:position w:val="0"/>
        </w:rPr>
        <w:t>2</w:t>
      </w:r>
      <w:r>
        <w:rPr>
          <w:color w:val="000000"/>
          <w:spacing w:val="0"/>
          <w:w w:val="100"/>
          <w:position w:val="0"/>
        </w:rPr>
        <w:t>）</w:t>
        <w:tab/>
        <w:t>龚穗娟女士：女，</w:t>
      </w:r>
      <w:r>
        <w:rPr>
          <w:rFonts w:ascii="Times New Roman" w:eastAsia="Times New Roman" w:hAnsi="Times New Roman" w:cs="Times New Roman"/>
          <w:color w:val="000000"/>
          <w:spacing w:val="0"/>
          <w:w w:val="100"/>
          <w:position w:val="0"/>
        </w:rPr>
        <w:t>1973</w:t>
      </w:r>
      <w:r>
        <w:rPr>
          <w:color w:val="000000"/>
          <w:spacing w:val="0"/>
          <w:w w:val="100"/>
          <w:position w:val="0"/>
        </w:rPr>
        <w:t>年生，大专学历。现任公司股东代表监事，广州利讯汽车配件有限公司财务经理。</w:t>
      </w:r>
    </w:p>
    <w:p>
      <w:pPr>
        <w:pStyle w:val="Style34"/>
        <w:keepNext w:val="0"/>
        <w:keepLines w:val="0"/>
        <w:widowControl w:val="0"/>
        <w:shd w:val="clear" w:color="auto" w:fill="auto"/>
        <w:tabs>
          <w:tab w:pos="896" w:val="left"/>
        </w:tabs>
        <w:bidi w:val="0"/>
        <w:spacing w:before="0" w:after="0" w:line="316" w:lineRule="exact"/>
        <w:ind w:left="0" w:right="0"/>
        <w:jc w:val="both"/>
      </w:pPr>
      <w:bookmarkStart w:id="522" w:name="bookmark522"/>
      <w:r>
        <w:rPr>
          <w:color w:val="000000"/>
          <w:spacing w:val="0"/>
          <w:w w:val="100"/>
          <w:position w:val="0"/>
        </w:rPr>
        <w:t>（</w:t>
      </w:r>
      <w:bookmarkEnd w:id="522"/>
      <w:r>
        <w:rPr>
          <w:rFonts w:ascii="Times New Roman" w:eastAsia="Times New Roman" w:hAnsi="Times New Roman" w:cs="Times New Roman"/>
          <w:color w:val="000000"/>
          <w:spacing w:val="0"/>
          <w:w w:val="100"/>
          <w:position w:val="0"/>
        </w:rPr>
        <w:t>3</w:t>
      </w:r>
      <w:r>
        <w:rPr>
          <w:color w:val="000000"/>
          <w:spacing w:val="0"/>
          <w:w w:val="100"/>
          <w:position w:val="0"/>
        </w:rPr>
        <w:t>）</w:t>
        <w:tab/>
        <w:t>张成虎先生：男，</w:t>
      </w:r>
      <w:r>
        <w:rPr>
          <w:rFonts w:ascii="Times New Roman" w:eastAsia="Times New Roman" w:hAnsi="Times New Roman" w:cs="Times New Roman"/>
          <w:color w:val="000000"/>
          <w:spacing w:val="0"/>
          <w:w w:val="100"/>
          <w:position w:val="0"/>
        </w:rPr>
        <w:t>1975</w:t>
      </w:r>
      <w:r>
        <w:rPr>
          <w:color w:val="000000"/>
          <w:spacing w:val="0"/>
          <w:w w:val="100"/>
          <w:position w:val="0"/>
        </w:rPr>
        <w:t>年生，高中学历。曾就职广州宝龙集团有限公司行政部工作。现任公司物业管理部副经理、 职工代表监事。</w:t>
      </w:r>
    </w:p>
    <w:p>
      <w:pPr>
        <w:pStyle w:val="Style34"/>
        <w:keepNext w:val="0"/>
        <w:keepLines w:val="0"/>
        <w:widowControl w:val="0"/>
        <w:shd w:val="clear" w:color="auto" w:fill="auto"/>
        <w:tabs>
          <w:tab w:pos="752" w:val="left"/>
        </w:tabs>
        <w:bidi w:val="0"/>
        <w:spacing w:before="0" w:after="0" w:line="316" w:lineRule="exact"/>
        <w:ind w:left="0" w:right="0"/>
        <w:jc w:val="left"/>
      </w:pPr>
      <w:bookmarkStart w:id="523" w:name="bookmark523"/>
      <w:r>
        <w:rPr>
          <w:rFonts w:ascii="Times New Roman" w:eastAsia="Times New Roman" w:hAnsi="Times New Roman" w:cs="Times New Roman"/>
          <w:color w:val="000000"/>
          <w:spacing w:val="0"/>
          <w:w w:val="100"/>
          <w:position w:val="0"/>
        </w:rPr>
        <w:t>3</w:t>
      </w:r>
      <w:bookmarkEnd w:id="523"/>
      <w:r>
        <w:rPr>
          <w:color w:val="000000"/>
          <w:spacing w:val="0"/>
          <w:w w:val="100"/>
          <w:position w:val="0"/>
        </w:rPr>
        <w:t>、</w:t>
        <w:tab/>
        <w:t>高级管理人员</w:t>
      </w:r>
    </w:p>
    <w:p>
      <w:pPr>
        <w:pStyle w:val="Style34"/>
        <w:keepNext w:val="0"/>
        <w:keepLines w:val="0"/>
        <w:widowControl w:val="0"/>
        <w:shd w:val="clear" w:color="auto" w:fill="auto"/>
        <w:tabs>
          <w:tab w:pos="820" w:val="left"/>
        </w:tabs>
        <w:bidi w:val="0"/>
        <w:spacing w:before="0" w:after="0" w:line="316" w:lineRule="exact"/>
        <w:ind w:left="0" w:right="0"/>
        <w:jc w:val="left"/>
      </w:pPr>
      <w:bookmarkStart w:id="524" w:name="bookmark524"/>
      <w:r>
        <w:rPr>
          <w:color w:val="000000"/>
          <w:spacing w:val="0"/>
          <w:w w:val="100"/>
          <w:position w:val="0"/>
        </w:rPr>
        <w:t>（</w:t>
      </w:r>
      <w:bookmarkEnd w:id="524"/>
      <w:r>
        <w:rPr>
          <w:rFonts w:ascii="Times New Roman" w:eastAsia="Times New Roman" w:hAnsi="Times New Roman" w:cs="Times New Roman"/>
          <w:color w:val="000000"/>
          <w:spacing w:val="0"/>
          <w:w w:val="100"/>
          <w:position w:val="0"/>
        </w:rPr>
        <w:t>1</w:t>
      </w:r>
      <w:r>
        <w:rPr>
          <w:color w:val="000000"/>
          <w:spacing w:val="0"/>
          <w:w w:val="100"/>
          <w:position w:val="0"/>
        </w:rPr>
        <w:t>）</w:t>
        <w:tab/>
        <w:t>谭骅先生：公司总经理（简历见前述董事介绍）</w:t>
      </w:r>
    </w:p>
    <w:p>
      <w:pPr>
        <w:pStyle w:val="Style34"/>
        <w:keepNext w:val="0"/>
        <w:keepLines w:val="0"/>
        <w:widowControl w:val="0"/>
        <w:shd w:val="clear" w:color="auto" w:fill="auto"/>
        <w:tabs>
          <w:tab w:pos="820" w:val="left"/>
        </w:tabs>
        <w:bidi w:val="0"/>
        <w:spacing w:before="0" w:after="0" w:line="316" w:lineRule="exact"/>
        <w:ind w:left="0" w:right="0"/>
        <w:jc w:val="left"/>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2</w:t>
      </w:r>
      <w:r>
        <w:rPr>
          <w:color w:val="000000"/>
          <w:spacing w:val="0"/>
          <w:w w:val="100"/>
          <w:position w:val="0"/>
        </w:rPr>
        <w:t>）</w:t>
        <w:tab/>
        <w:t>陈国军先生：财务总监（简历见前述董事介绍）</w:t>
      </w:r>
    </w:p>
    <w:p>
      <w:pPr>
        <w:pStyle w:val="Style34"/>
        <w:keepNext w:val="0"/>
        <w:keepLines w:val="0"/>
        <w:widowControl w:val="0"/>
        <w:shd w:val="clear" w:color="auto" w:fill="auto"/>
        <w:bidi w:val="0"/>
        <w:spacing w:before="0" w:after="0" w:line="316" w:lineRule="exact"/>
        <w:ind w:left="0" w:right="0"/>
        <w:jc w:val="left"/>
      </w:pPr>
      <w:bookmarkStart w:id="526" w:name="bookmark526"/>
      <w:r>
        <w:rPr>
          <w:color w:val="000000"/>
          <w:spacing w:val="0"/>
          <w:w w:val="100"/>
          <w:position w:val="0"/>
        </w:rPr>
        <w:t>（</w:t>
      </w:r>
      <w:bookmarkEnd w:id="526"/>
      <w:r>
        <w:rPr>
          <w:rFonts w:ascii="Times New Roman" w:eastAsia="Times New Roman" w:hAnsi="Times New Roman" w:cs="Times New Roman"/>
          <w:color w:val="000000"/>
          <w:spacing w:val="0"/>
          <w:w w:val="100"/>
          <w:position w:val="0"/>
        </w:rPr>
        <w:t>3</w:t>
      </w:r>
      <w:r>
        <w:rPr>
          <w:color w:val="000000"/>
          <w:spacing w:val="0"/>
          <w:w w:val="100"/>
          <w:position w:val="0"/>
        </w:rPr>
        <w:t>） 周用芳女士：女，</w:t>
      </w:r>
      <w:r>
        <w:rPr>
          <w:rFonts w:ascii="Times New Roman" w:eastAsia="Times New Roman" w:hAnsi="Times New Roman" w:cs="Times New Roman"/>
          <w:color w:val="000000"/>
          <w:spacing w:val="0"/>
          <w:w w:val="100"/>
          <w:position w:val="0"/>
        </w:rPr>
        <w:t>1979</w:t>
      </w:r>
      <w:r>
        <w:rPr>
          <w:color w:val="000000"/>
          <w:spacing w:val="0"/>
          <w:w w:val="100"/>
          <w:position w:val="0"/>
        </w:rPr>
        <w:t>年生，本科学历，会计师、审计师、国际注册内部审计师</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。曾在广州番禺得意精 密电子工业有限公司、广州百客蛮好酒店管理有限公司、广州万宝集团有限公司等单位任职，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月加入广州御银科技 股份有限公司，现任公司副总经理、董事会秘书。</w:t>
      </w:r>
    </w:p>
    <w:p>
      <w:pPr>
        <w:pStyle w:val="Style34"/>
        <w:keepNext w:val="0"/>
        <w:keepLines w:val="0"/>
        <w:widowControl w:val="0"/>
        <w:shd w:val="clear" w:color="auto" w:fill="auto"/>
        <w:tabs>
          <w:tab w:pos="906" w:val="left"/>
        </w:tabs>
        <w:bidi w:val="0"/>
        <w:spacing w:before="0" w:after="0" w:line="316" w:lineRule="exact"/>
        <w:ind w:left="0" w:right="0"/>
        <w:jc w:val="left"/>
      </w:pPr>
      <w:bookmarkStart w:id="527" w:name="bookmark527"/>
      <w:r>
        <w:rPr>
          <w:color w:val="000000"/>
          <w:spacing w:val="0"/>
          <w:w w:val="100"/>
          <w:position w:val="0"/>
        </w:rPr>
        <w:t>（</w:t>
      </w:r>
      <w:bookmarkEnd w:id="527"/>
      <w:r>
        <w:rPr>
          <w:rFonts w:ascii="Times New Roman" w:eastAsia="Times New Roman" w:hAnsi="Times New Roman" w:cs="Times New Roman"/>
          <w:color w:val="000000"/>
          <w:spacing w:val="0"/>
          <w:w w:val="100"/>
          <w:position w:val="0"/>
        </w:rPr>
        <w:t>4</w:t>
      </w:r>
      <w:r>
        <w:rPr>
          <w:color w:val="000000"/>
          <w:spacing w:val="0"/>
          <w:w w:val="100"/>
          <w:position w:val="0"/>
        </w:rPr>
        <w:t>）</w:t>
        <w:tab/>
        <w:t>徐德银先生：男，</w:t>
      </w:r>
      <w:r>
        <w:rPr>
          <w:rFonts w:ascii="Times New Roman" w:eastAsia="Times New Roman" w:hAnsi="Times New Roman" w:cs="Times New Roman"/>
          <w:color w:val="000000"/>
          <w:spacing w:val="0"/>
          <w:w w:val="100"/>
          <w:position w:val="0"/>
        </w:rPr>
        <w:t>1976</w:t>
      </w:r>
      <w:r>
        <w:rPr>
          <w:color w:val="000000"/>
          <w:spacing w:val="0"/>
          <w:w w:val="100"/>
          <w:position w:val="0"/>
        </w:rPr>
        <w:t>年生，本科学历。曾任职于雅思商务、广东金宇恒科技有限公司，担任研发中心经理。现 任公司副总经理。</w:t>
      </w:r>
    </w:p>
    <w:p>
      <w:pPr>
        <w:pStyle w:val="Style34"/>
        <w:keepNext w:val="0"/>
        <w:keepLines w:val="0"/>
        <w:widowControl w:val="0"/>
        <w:shd w:val="clear" w:color="auto" w:fill="auto"/>
        <w:tabs>
          <w:tab w:pos="820" w:val="left"/>
        </w:tabs>
        <w:bidi w:val="0"/>
        <w:spacing w:before="0" w:after="140" w:line="316" w:lineRule="exact"/>
        <w:ind w:left="0" w:right="0"/>
        <w:jc w:val="left"/>
      </w:pPr>
      <w:bookmarkStart w:id="528" w:name="bookmark528"/>
      <w:r>
        <w:rPr>
          <w:color w:val="000000"/>
          <w:spacing w:val="0"/>
          <w:w w:val="100"/>
          <w:position w:val="0"/>
        </w:rPr>
        <w:t>（</w:t>
      </w:r>
      <w:bookmarkEnd w:id="528"/>
      <w:r>
        <w:rPr>
          <w:rFonts w:ascii="Times New Roman" w:eastAsia="Times New Roman" w:hAnsi="Times New Roman" w:cs="Times New Roman"/>
          <w:color w:val="000000"/>
          <w:spacing w:val="0"/>
          <w:w w:val="100"/>
          <w:position w:val="0"/>
        </w:rPr>
        <w:t>5</w:t>
      </w:r>
      <w:r>
        <w:rPr>
          <w:color w:val="000000"/>
          <w:spacing w:val="0"/>
          <w:w w:val="100"/>
          <w:position w:val="0"/>
        </w:rPr>
        <w:t>）</w:t>
        <w:tab/>
        <w:t>李克福先生：男，</w:t>
      </w:r>
      <w:r>
        <w:rPr>
          <w:rFonts w:ascii="Times New Roman" w:eastAsia="Times New Roman" w:hAnsi="Times New Roman" w:cs="Times New Roman"/>
          <w:color w:val="000000"/>
          <w:spacing w:val="0"/>
          <w:w w:val="100"/>
          <w:position w:val="0"/>
        </w:rPr>
        <w:t>1968</w:t>
      </w:r>
      <w:r>
        <w:rPr>
          <w:color w:val="000000"/>
          <w:spacing w:val="0"/>
          <w:w w:val="100"/>
          <w:position w:val="0"/>
        </w:rPr>
        <w:t>年生，本科学历。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月加入公司，现任公司副总经理。</w:t>
      </w: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034"/>
        <w:gridCol w:w="994"/>
        <w:gridCol w:w="1498"/>
        <w:gridCol w:w="1478"/>
        <w:gridCol w:w="1358"/>
      </w:tblGrid>
      <w:tr>
        <w:trPr>
          <w:trHeight w:val="44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在股东单位是否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广州花都稠州村镇银行股份有限公司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佛山海晟金融租赁股份有限公司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8"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在股东单位任职情况的说明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2736"/>
        <w:gridCol w:w="1277"/>
        <w:gridCol w:w="1584"/>
        <w:gridCol w:w="1536"/>
        <w:gridCol w:w="1205"/>
      </w:tblGrid>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在其他单位担 任的职务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在其他单位是 否领取报酬津</w:t>
            </w:r>
          </w:p>
        </w:tc>
      </w:tr>
    </w:tbl>
    <w:p>
      <w:pPr>
        <w:spacing w:lineRule="exact" w:line="1"/>
        <w:rPr>
          <w:sz w:val="2"/>
          <w:szCs w:val="2"/>
        </w:rPr>
      </w:pPr>
      <w:r>
        <w:br w:type="page"/>
      </w:r>
    </w:p>
    <w:tbl>
      <w:tblPr>
        <w:tblOverlap w:val="never"/>
        <w:jc w:val="center"/>
        <w:tblLayout w:type="fixed"/>
      </w:tblPr>
      <w:tblGrid>
        <w:gridCol w:w="1238"/>
        <w:gridCol w:w="2736"/>
        <w:gridCol w:w="1277"/>
        <w:gridCol w:w="1584"/>
        <w:gridCol w:w="1536"/>
        <w:gridCol w:w="12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广州御银自动柜员机技术有限公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广州御银自动柜员机科技有限公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广州同位素智能科技有限公司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广州御银金融电子设备有限公司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法人代表人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广州御新软件有限公司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御银科技（香港）有限公司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广州御商信息科技有限公司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广州御泰信息科技有限公司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龚穗娟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广州利讯汽车配件有限公司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财务经理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广州市好易达家居网络科技有限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首席执行官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广东财经大学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教授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广州博济医药股份有限公司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广东威创视讯技术股份有限公司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上海尔罗投资管理服务中心（普通 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珠海太川云社区技术股份有限公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广东省高速公路发展股份有限公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张成虎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北京御新赢创科技有限公司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法定代表人兼 执行董事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30"/>
                <w:szCs w:val="30"/>
              </w:rPr>
            </w:pPr>
            <w:r>
              <w:rPr>
                <w:rFonts w:ascii="SimSun" w:eastAsia="SimSun" w:hAnsi="SimSun" w:cs="SimSun"/>
                <w:color w:val="000000"/>
                <w:spacing w:val="0"/>
                <w:w w:val="100"/>
                <w:position w:val="0"/>
                <w:sz w:val="30"/>
                <w:szCs w:val="30"/>
                <w:vertAlign w:val="subscript"/>
              </w:rPr>
              <w:t>否</w:t>
            </w:r>
          </w:p>
        </w:tc>
      </w:tr>
    </w:tbl>
    <w:p>
      <w:pPr>
        <w:spacing w:lineRule="exact" w:line="1"/>
        <w:rPr>
          <w:sz w:val="2"/>
          <w:szCs w:val="2"/>
        </w:rPr>
      </w:pPr>
      <w:r>
        <w:br w:type="page"/>
      </w:r>
    </w:p>
    <w:tbl>
      <w:tblPr>
        <w:tblOverlap w:val="never"/>
        <w:jc w:val="center"/>
        <w:tblLayout w:type="fixed"/>
      </w:tblPr>
      <w:tblGrid>
        <w:gridCol w:w="1238"/>
        <w:gridCol w:w="2736"/>
        <w:gridCol w:w="1277"/>
        <w:gridCol w:w="1584"/>
        <w:gridCol w:w="1536"/>
        <w:gridCol w:w="1205"/>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法定代表人兼 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403" w:hRule="exact"/>
        </w:trPr>
        <w:tc>
          <w:tcPr>
            <w:gridSpan w:val="3"/>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w:t>
            </w:r>
          </w:p>
        </w:tc>
      </w:tr>
    </w:tbl>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四</w:t>
      </w:r>
      <w:bookmarkEnd w:id="531"/>
      <w:r>
        <w:rPr>
          <w:color w:val="000000"/>
          <w:spacing w:val="0"/>
          <w:w w:val="100"/>
          <w:position w:val="0"/>
          <w:sz w:val="24"/>
          <w:szCs w:val="24"/>
        </w:rPr>
        <w:t>、董事、监事、高级管理人员报酬情况</w:t>
      </w:r>
      <w:bookmarkEnd w:id="529"/>
      <w:bookmarkEnd w:id="530"/>
      <w:bookmarkEnd w:id="532"/>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在公司任职的内部董事、监事和高级管理人员报酬依据公司盈利水平及董事、监事、高级管理人员的职责履行情况并结 合行业平均水平综合确定。根据《公司法》、《公司章程》和《董事会薪酬和考核委员会工作制度》的相关规定，关于董事、 监事和高级管理人员报酬的议案经公司董事会、股东大会审议批准，公司独立董事津贴为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年（税前），外部董事津贴 为</w:t>
      </w:r>
      <w:r>
        <w:rPr>
          <w:rFonts w:ascii="Times New Roman" w:eastAsia="Times New Roman" w:hAnsi="Times New Roman" w:cs="Times New Roman"/>
          <w:color w:val="000000"/>
          <w:spacing w:val="0"/>
          <w:w w:val="100"/>
          <w:position w:val="0"/>
        </w:rPr>
        <w:t>3.6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年（税前），独立与外部董事津贴均按具体任职时间及规定发放。董事、监事、高级管理人员为参加会议发生的 差旅费、办公费等由于履职产生的费用均由公司承担。</w:t>
      </w:r>
    </w:p>
    <w:p>
      <w:pPr>
        <w:pStyle w:val="Style3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2"/>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董事、财务总监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242.74</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after="32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五</w:t>
      </w:r>
      <w:bookmarkEnd w:id="535"/>
      <w:r>
        <w:rPr>
          <w:color w:val="000000"/>
          <w:spacing w:val="0"/>
          <w:w w:val="100"/>
          <w:position w:val="0"/>
          <w:sz w:val="24"/>
          <w:szCs w:val="24"/>
        </w:rPr>
        <w:t>、公司员工情况</w:t>
      </w:r>
      <w:bookmarkEnd w:id="533"/>
      <w:bookmarkEnd w:id="534"/>
      <w:bookmarkEnd w:id="536"/>
    </w:p>
    <w:p>
      <w:pPr>
        <w:pStyle w:val="Style38"/>
        <w:keepNext/>
        <w:keepLines/>
        <w:widowControl w:val="0"/>
        <w:shd w:val="clear" w:color="auto" w:fill="auto"/>
        <w:bidi w:val="0"/>
        <w:spacing w:before="0" w:after="32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、员工数量、专业构成及教育程度</w:t>
      </w:r>
      <w:bookmarkEnd w:id="537"/>
      <w:bookmarkEnd w:id="538"/>
      <w:bookmarkEnd w:id="540"/>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105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276</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480" w:right="0" w:firstLine="0"/>
              <w:jc w:val="both"/>
            </w:pPr>
            <w:r>
              <w:rPr>
                <w:color w:val="000000"/>
                <w:spacing w:val="0"/>
                <w:w w:val="100"/>
                <w:position w:val="0"/>
              </w:rPr>
              <w:t>276</w:t>
            </w:r>
          </w:p>
        </w:tc>
      </w:tr>
    </w:tbl>
    <w:p>
      <w:pPr>
        <w:widowControl w:val="0"/>
        <w:spacing w:after="319" w:line="1" w:lineRule="exact"/>
      </w:pPr>
    </w:p>
    <w:p>
      <w:pPr>
        <w:pStyle w:val="Style38"/>
        <w:keepNext/>
        <w:keepLines/>
        <w:widowControl w:val="0"/>
        <w:shd w:val="clear" w:color="auto" w:fill="auto"/>
        <w:tabs>
          <w:tab w:pos="378" w:val="left"/>
        </w:tabs>
        <w:bidi w:val="0"/>
        <w:spacing w:before="0" w:after="26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w:t>
        <w:tab/>
        <w:t>薪酬政策</w:t>
      </w:r>
      <w:bookmarkEnd w:id="541"/>
      <w:bookmarkEnd w:id="542"/>
      <w:bookmarkEnd w:id="544"/>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公司依据经营发展情况，在公平客观的情况下，根据市场行情，本着薪酬与个人能力和工作业绩相符合的原则，来确定 公司薪酬体系，以等级化的薪酬激发员工工作积极性。制定具有激励性的绩效考核政策，根据公司经营战略发展目标，确定 各部门的绩效目标，再将部门目标分解至各岗位员工，依据部门及员工绩效目标达成情况对部门及员工个人进行绩效考核， 绩效考核与奖金发放、薪酬等级评定、职位升迁、培训发展等挂钩。同时，公司为员工提供完善的福利待遇，如餐费津贴、 交通班车、生日活动费用及庆生</w:t>
      </w:r>
      <w:r>
        <w:rPr>
          <w:rFonts w:ascii="Times New Roman" w:eastAsia="Times New Roman" w:hAnsi="Times New Roman" w:cs="Times New Roman"/>
          <w:color w:val="000000"/>
          <w:spacing w:val="0"/>
          <w:w w:val="100"/>
          <w:position w:val="0"/>
        </w:rPr>
        <w:t>party</w:t>
      </w:r>
      <w:r>
        <w:rPr>
          <w:color w:val="000000"/>
          <w:spacing w:val="0"/>
          <w:w w:val="100"/>
          <w:position w:val="0"/>
        </w:rPr>
        <w:t>、</w:t>
      </w:r>
      <w:r>
        <w:rPr>
          <w:color w:val="000000"/>
          <w:spacing w:val="0"/>
          <w:w w:val="100"/>
          <w:position w:val="0"/>
        </w:rPr>
        <w:t>生日礼金、团队活动费用、年度旅游、结婚礼金、生育礼金等，传统节假日公司会 发放礼金或礼品给全体员工等，提高员工的归属感和对企业文化的认同感。</w:t>
      </w:r>
    </w:p>
    <w:p>
      <w:pPr>
        <w:pStyle w:val="Style38"/>
        <w:keepNext/>
        <w:keepLines/>
        <w:widowControl w:val="0"/>
        <w:shd w:val="clear" w:color="auto" w:fill="auto"/>
        <w:tabs>
          <w:tab w:pos="378" w:val="left"/>
        </w:tabs>
        <w:bidi w:val="0"/>
        <w:spacing w:before="0" w:after="26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w:t>
        <w:tab/>
        <w:t>培训计划</w:t>
      </w:r>
      <w:bookmarkEnd w:id="545"/>
      <w:bookmarkEnd w:id="546"/>
      <w:bookmarkEnd w:id="548"/>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公司高度重视各级员工的培养与发展，通过人力资源组织发展的建设工作，链接战略与执行，在确保人才基础培养的同 </w:t>
      </w:r>
      <w:r>
        <w:rPr>
          <w:color w:val="000000"/>
          <w:spacing w:val="0"/>
          <w:w w:val="100"/>
          <w:position w:val="0"/>
        </w:rPr>
        <w:t>时，结合战略充分与业务部门沟通，依托现状，搭建企业内部人力资源的多向发展通道和多维度的人才培养计划。</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在培训方式上，采用内外相结合的模式，用内部培训强化系统与规范，以外部培训提升专业与管理。培训内容方面，从 基础的安全、法规、质量、文化、素养、认知、体系、执行、标准化作业，到提升的专业、管理、系统、绩效改善等，持续 对生产一线、工程技术、研发科研、职能业务及各级管理人员开展多角度、多元化的培养，力求一方面夯实基础，提高员工 的综合素质，另一方面，满足不断变化的外部商业环境，促进企业的可持续发展。</w:t>
      </w:r>
    </w:p>
    <w:p>
      <w:pPr>
        <w:pStyle w:val="Style38"/>
        <w:keepNext/>
        <w:keepLines/>
        <w:widowControl w:val="0"/>
        <w:shd w:val="clear" w:color="auto" w:fill="auto"/>
        <w:bidi w:val="0"/>
        <w:spacing w:before="0" w:after="36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、劳务外包情况</w:t>
      </w:r>
      <w:bookmarkEnd w:id="549"/>
      <w:bookmarkEnd w:id="550"/>
      <w:bookmarkEnd w:id="552"/>
    </w:p>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362,280.40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14,465,562.38</w:t>
            </w:r>
          </w:p>
        </w:tc>
      </w:tr>
    </w:tbl>
    <w:p>
      <w:pPr>
        <w:sectPr>
          <w:footnotePr>
            <w:pos w:val="pageBottom"/>
            <w:numFmt w:val="decimal"/>
            <w:numRestart w:val="continuous"/>
          </w:footnotePr>
          <w:pgSz w:w="11900" w:h="16840"/>
          <w:pgMar w:top="1383" w:right="1054" w:bottom="1508" w:left="1072"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553" w:name="bookmark553"/>
      <w:bookmarkStart w:id="554" w:name="bookmark554"/>
      <w:bookmarkStart w:id="555" w:name="bookmark555"/>
      <w:bookmarkStart w:id="556" w:name="bookmark556"/>
      <w:r>
        <w:rPr>
          <w:color w:val="000000"/>
          <w:spacing w:val="0"/>
          <w:w w:val="100"/>
          <w:position w:val="0"/>
        </w:rPr>
        <w:t>第十节公司治理</w:t>
      </w:r>
      <w:bookmarkEnd w:id="554"/>
      <w:bookmarkEnd w:id="555"/>
      <w:bookmarkEnd w:id="556"/>
      <w:bookmarkEnd w:id="553"/>
    </w:p>
    <w:p>
      <w:pPr>
        <w:pStyle w:val="Style30"/>
        <w:keepNext/>
        <w:keepLines/>
        <w:widowControl w:val="0"/>
        <w:shd w:val="clear" w:color="auto" w:fill="auto"/>
        <w:bidi w:val="0"/>
        <w:spacing w:before="0" w:after="26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一</w:t>
      </w:r>
      <w:bookmarkEnd w:id="559"/>
      <w:r>
        <w:rPr>
          <w:color w:val="000000"/>
          <w:spacing w:val="0"/>
          <w:w w:val="100"/>
          <w:position w:val="0"/>
          <w:sz w:val="24"/>
          <w:szCs w:val="24"/>
        </w:rPr>
        <w:t>、公司治理的基本状况</w:t>
      </w:r>
      <w:bookmarkEnd w:id="557"/>
      <w:bookmarkEnd w:id="558"/>
      <w:bookmarkEnd w:id="560"/>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报告期内，公司严格按照《公司法》、《证券法》、《上市公司治理准则》、《深圳证券交易所中小企业板上市公司 规范运作指引》及《深圳证券交易所股票上市规则》等法律法规的要求规范运作，不断优化公司治理结构，建立健全公司治 理及内部控制的各项规章制度，持续深入开展公司治理活动，促进公司规范运作，提高公司治理水平。同时，加强信息披露, 积极开展投资者关系管理，维护公司及股东的利益，确保公司规范、健康发展。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截止报告期末，公司治理实际情况与《公司法》和中国证监会相关规定的要求不存在差异。公司今后将继续加强信息披 露工作，强化公司治理工作，完善内部控制制度，促进公司可持续发展。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报告期内，公司治理各项具体工作如下：</w:t>
      </w:r>
    </w:p>
    <w:p>
      <w:pPr>
        <w:pStyle w:val="Style34"/>
        <w:keepNext w:val="0"/>
        <w:keepLines w:val="0"/>
        <w:widowControl w:val="0"/>
        <w:shd w:val="clear" w:color="auto" w:fill="auto"/>
        <w:tabs>
          <w:tab w:pos="698" w:val="left"/>
        </w:tabs>
        <w:bidi w:val="0"/>
        <w:spacing w:before="0" w:after="0" w:line="312" w:lineRule="exact"/>
        <w:ind w:left="0" w:right="0"/>
        <w:jc w:val="both"/>
      </w:pPr>
      <w:bookmarkStart w:id="561" w:name="bookmark561"/>
      <w:r>
        <w:rPr>
          <w:rFonts w:ascii="Times New Roman" w:eastAsia="Times New Roman" w:hAnsi="Times New Roman" w:cs="Times New Roman"/>
          <w:color w:val="000000"/>
          <w:spacing w:val="0"/>
          <w:w w:val="100"/>
          <w:position w:val="0"/>
        </w:rPr>
        <w:t>1</w:t>
      </w:r>
      <w:bookmarkEnd w:id="561"/>
      <w:r>
        <w:rPr>
          <w:color w:val="000000"/>
          <w:spacing w:val="0"/>
          <w:w w:val="100"/>
          <w:position w:val="0"/>
        </w:rPr>
        <w:t>、</w:t>
        <w:tab/>
        <w:t>关于股东与股东大会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公司严格按照《上市公司股东大会规则》、《公司章程》、公司《股东大会议事规则》等法律法规的要求召集、召开股 东大会，平等对待所有股东，保证股东对公司重大事项的知情权与参与权，确保股东特别是中小股东能够充分行使股东权利。</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2" w:name="bookmark562"/>
      <w:r>
        <w:rPr>
          <w:rFonts w:ascii="Times New Roman" w:eastAsia="Times New Roman" w:hAnsi="Times New Roman" w:cs="Times New Roman"/>
          <w:color w:val="000000"/>
          <w:spacing w:val="0"/>
          <w:w w:val="100"/>
          <w:position w:val="0"/>
        </w:rPr>
        <w:t>2</w:t>
      </w:r>
      <w:bookmarkEnd w:id="562"/>
      <w:r>
        <w:rPr>
          <w:color w:val="000000"/>
          <w:spacing w:val="0"/>
          <w:w w:val="100"/>
          <w:position w:val="0"/>
        </w:rPr>
        <w:t>、</w:t>
        <w:tab/>
        <w:t>关于公司与控股股东</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公司控股股东严格规范自己的行为，依法行使股东权利并承担相应义务，无超越股东权限直接或间接干预公司的决策和 经营活动的行为；公司在业务、人员、资产、机构、财务上独立于控股股东。控股股东不存在非经营性占用上市公司资金行 为。控股股东没有损害公司及其他股东的权利，公司董事会、监事会和相关内部机构均独立运作。公司也不存在为控股股东 提供担保的情形。</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3" w:name="bookmark563"/>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关于董事与董事会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公司严格按照《公司法》、《公司章程》规定的选聘程序选举董事；目前董事会由</w:t>
      </w:r>
      <w:r>
        <w:rPr>
          <w:rFonts w:ascii="Times New Roman" w:eastAsia="Times New Roman" w:hAnsi="Times New Roman" w:cs="Times New Roman"/>
          <w:color w:val="000000"/>
          <w:spacing w:val="0"/>
          <w:w w:val="100"/>
          <w:position w:val="0"/>
        </w:rPr>
        <w:t>5</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名，董 事会成员的人数、人员构成符合法律法规和《公司章程》的要求。公司董事会会议的召集、召开和表决程序符合《深圳证券 交易所股票上市规则》、《公司章程》及《董事会议事规则》的相关规定；公司全体董事能够依据《董事会议事规则》、《中 小企业板块上市公司董事行为指引》等要求认真履行诚实守信，认真出席董事会和股东大会，执行股东大会决议，并依法行 使职权。董事会下设战略委员会、审计委员会、薪酬与考核委员会和提名委员会四个专门委员会，各尽其责，大大提高了董 事会的办事效率。全体董事积极参加交易所和监管机构组织的相关培训，熟悉新的法律法规要求，做到勤勉尽责，进一步维 护公司和全体股东的利益。</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4" w:name="bookmark564"/>
      <w:r>
        <w:rPr>
          <w:rFonts w:ascii="Times New Roman" w:eastAsia="Times New Roman" w:hAnsi="Times New Roman" w:cs="Times New Roman"/>
          <w:color w:val="000000"/>
          <w:spacing w:val="0"/>
          <w:w w:val="100"/>
          <w:position w:val="0"/>
        </w:rPr>
        <w:t>4</w:t>
      </w:r>
      <w:bookmarkEnd w:id="564"/>
      <w:r>
        <w:rPr>
          <w:color w:val="000000"/>
          <w:spacing w:val="0"/>
          <w:w w:val="100"/>
          <w:position w:val="0"/>
        </w:rPr>
        <w:t>、</w:t>
        <w:tab/>
        <w:t>关于监事与监事会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公司严格按照《公司法》、《公司章程》等有关规定选举监事，公司监事会由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名监事组成，其中股东监事</w:t>
      </w:r>
      <w:r>
        <w:rPr>
          <w:rFonts w:ascii="Times New Roman" w:eastAsia="Times New Roman" w:hAnsi="Times New Roman" w:cs="Times New Roman"/>
          <w:color w:val="000000"/>
          <w:spacing w:val="0"/>
          <w:w w:val="100"/>
          <w:position w:val="0"/>
        </w:rPr>
        <w:t>2</w:t>
      </w:r>
      <w:r>
        <w:rPr>
          <w:color w:val="000000"/>
          <w:spacing w:val="0"/>
          <w:w w:val="100"/>
          <w:position w:val="0"/>
        </w:rPr>
        <w:t>名、职工代 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名。监事会的人数及结构符合法律法规和公司章程的要求。监事会严格按照《公司章程》、《监事会议事规则》、</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《深圳证券交易所股票上市规则》的要求履行职责，认真出席监事会和股东大会，列席董事会，监事会独立的行使监督职权, 各位监事能够认真履行职责，对公司重大事项、财务状况以及董事、高管人员履行职责情况进行监督，对全体股东负责。</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5" w:name="bookmark565"/>
      <w:r>
        <w:rPr>
          <w:rFonts w:ascii="Times New Roman" w:eastAsia="Times New Roman" w:hAnsi="Times New Roman" w:cs="Times New Roman"/>
          <w:color w:val="000000"/>
          <w:spacing w:val="0"/>
          <w:w w:val="100"/>
          <w:position w:val="0"/>
        </w:rPr>
        <w:t>5</w:t>
      </w:r>
      <w:bookmarkEnd w:id="565"/>
      <w:r>
        <w:rPr>
          <w:color w:val="000000"/>
          <w:spacing w:val="0"/>
          <w:w w:val="100"/>
          <w:position w:val="0"/>
        </w:rPr>
        <w:t>、</w:t>
        <w:tab/>
        <w:t>关于绩效评价和激励约束机制</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公司根据自身业务、经营情况，建立了合理的绩效评价与激励体系，将经营管理层和员工的收入与企业经营业绩相挂钩, 公司高级管理人员的聘任公开、透明，高管薪酬由薪酬考核委员会核定并经董事会审核通过。</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6" w:name="bookmark566"/>
      <w:r>
        <w:rPr>
          <w:rFonts w:ascii="Times New Roman" w:eastAsia="Times New Roman" w:hAnsi="Times New Roman" w:cs="Times New Roman"/>
          <w:color w:val="000000"/>
          <w:spacing w:val="0"/>
          <w:w w:val="100"/>
          <w:position w:val="0"/>
        </w:rPr>
        <w:t>6</w:t>
      </w:r>
      <w:bookmarkEnd w:id="566"/>
      <w:r>
        <w:rPr>
          <w:color w:val="000000"/>
          <w:spacing w:val="0"/>
          <w:w w:val="100"/>
          <w:position w:val="0"/>
        </w:rPr>
        <w:t>、</w:t>
        <w:tab/>
        <w:t>关于相关利益者</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公司在注重企业经营的同时，充分尊重和维护利益相关者的合法权利，诚信对待供应商和客户，加强与各方的沟通和合 作，努力实现公司、股东、员工、客户、供应商、最终用户、社会等各方利益的协调平衡，共同推动公司持续、稳健发展。</w:t>
      </w:r>
    </w:p>
    <w:p>
      <w:pPr>
        <w:pStyle w:val="Style34"/>
        <w:keepNext w:val="0"/>
        <w:keepLines w:val="0"/>
        <w:widowControl w:val="0"/>
        <w:shd w:val="clear" w:color="auto" w:fill="auto"/>
        <w:tabs>
          <w:tab w:pos="718" w:val="left"/>
        </w:tabs>
        <w:bidi w:val="0"/>
        <w:spacing w:before="0" w:after="0" w:line="312" w:lineRule="exact"/>
        <w:ind w:left="0" w:right="0"/>
        <w:jc w:val="both"/>
      </w:pPr>
      <w:bookmarkStart w:id="567" w:name="bookmark567"/>
      <w:r>
        <w:rPr>
          <w:rFonts w:ascii="Times New Roman" w:eastAsia="Times New Roman" w:hAnsi="Times New Roman" w:cs="Times New Roman"/>
          <w:color w:val="000000"/>
          <w:spacing w:val="0"/>
          <w:w w:val="100"/>
          <w:position w:val="0"/>
        </w:rPr>
        <w:t>7</w:t>
      </w:r>
      <w:bookmarkEnd w:id="567"/>
      <w:r>
        <w:rPr>
          <w:color w:val="000000"/>
          <w:spacing w:val="0"/>
          <w:w w:val="100"/>
          <w:position w:val="0"/>
        </w:rPr>
        <w:t>、</w:t>
        <w:tab/>
        <w:t>关于信息披露与透明度</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公司严格按照《深圳证券交易所股票上市规则》等相关法律法规及《信息披露管理制度》、《投资者关系管理制度》等 制度的要求，真实、准确、完整、及时、公平地履行信息披露义务。公司指定《证券时报》、《中国证券报》、《上海证券 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为公司信息披露的报纸和网站，通过网上说明会、投资者关系互动平台、电话接 </w:t>
      </w:r>
      <w:r>
        <w:rPr>
          <w:color w:val="000000"/>
          <w:spacing w:val="0"/>
          <w:w w:val="100"/>
          <w:position w:val="0"/>
        </w:rPr>
        <w:t>听、专用电子信箱、接待投资者和调研机构的来访和咨询等多种方式，与投资者进行沟通、交流，提高公司运作的公开性和 透明度，确保公司所有股东以平等的机会获取公司信息。</w:t>
      </w:r>
    </w:p>
    <w:p>
      <w:pPr>
        <w:pStyle w:val="Style34"/>
        <w:keepNext w:val="0"/>
        <w:keepLines w:val="0"/>
        <w:widowControl w:val="0"/>
        <w:shd w:val="clear" w:color="auto" w:fill="auto"/>
        <w:bidi w:val="0"/>
        <w:spacing w:before="0" w:after="0"/>
        <w:ind w:left="0" w:right="0"/>
        <w:jc w:val="left"/>
      </w:pPr>
      <w:bookmarkStart w:id="568" w:name="bookmark568"/>
      <w:r>
        <w:rPr>
          <w:rFonts w:ascii="Times New Roman" w:eastAsia="Times New Roman" w:hAnsi="Times New Roman" w:cs="Times New Roman"/>
          <w:color w:val="000000"/>
          <w:spacing w:val="0"/>
          <w:w w:val="100"/>
          <w:position w:val="0"/>
        </w:rPr>
        <w:t>8</w:t>
      </w:r>
      <w:bookmarkEnd w:id="568"/>
      <w:r>
        <w:rPr>
          <w:color w:val="000000"/>
          <w:spacing w:val="0"/>
          <w:w w:val="100"/>
          <w:position w:val="0"/>
        </w:rPr>
        <w:t>、内部审计制度</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公司设立了内审部，配置了专职审计人员，在董事会审计委员会的指导下对公司及子公司的经济运行质量、经济效益、 内控的制度和执行、各项费用的使用以及资产情况进行审计和监督。报告期内，结合公司的实际情况，按照各项规章制度的 规定，在内部审计制度的指导下，顺利完成了本年度的内部审计工作。同时，对对会计师事务所审计工作进行检查和监督， 对审计中遇到的相关事项进行沟通和交流，按计划完成了各项工作。</w:t>
      </w:r>
    </w:p>
    <w:p>
      <w:pPr>
        <w:pStyle w:val="Style34"/>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85"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公司相对于控股股东在业务、人员、资产、机构、财务等方面的独立情况</w:t>
      </w:r>
      <w:bookmarkEnd w:id="569"/>
      <w:bookmarkEnd w:id="570"/>
      <w:bookmarkEnd w:id="572"/>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报告期内，公司严格按照《公司法》、《证券法》等法律法规的要求规范运作，公司与控股股东在业务、人员、资产、 机构、财务等方面完全分开，具有独立完整的业务及自主经营能力。公司所有的生产经营或重大事项均根据《公司章程》及 相关制度的规定由经营层、董事会、股东大会讨论确定，不存在受控于控股股东的情形。</w:t>
      </w:r>
    </w:p>
    <w:p>
      <w:pPr>
        <w:pStyle w:val="Style34"/>
        <w:keepNext w:val="0"/>
        <w:keepLines w:val="0"/>
        <w:widowControl w:val="0"/>
        <w:shd w:val="clear" w:color="auto" w:fill="auto"/>
        <w:tabs>
          <w:tab w:pos="644" w:val="left"/>
        </w:tabs>
        <w:bidi w:val="0"/>
        <w:spacing w:before="0" w:after="0" w:line="313" w:lineRule="exact"/>
        <w:ind w:left="0" w:right="0"/>
        <w:jc w:val="both"/>
      </w:pPr>
      <w:bookmarkStart w:id="573" w:name="bookmark573"/>
      <w:r>
        <w:rPr>
          <w:rFonts w:ascii="Times New Roman" w:eastAsia="Times New Roman" w:hAnsi="Times New Roman" w:cs="Times New Roman"/>
          <w:color w:val="000000"/>
          <w:spacing w:val="0"/>
          <w:w w:val="100"/>
          <w:position w:val="0"/>
        </w:rPr>
        <w:t>1</w:t>
      </w:r>
      <w:bookmarkEnd w:id="573"/>
      <w:r>
        <w:rPr>
          <w:color w:val="000000"/>
          <w:spacing w:val="0"/>
          <w:w w:val="100"/>
          <w:position w:val="0"/>
        </w:rPr>
        <w:t>、</w:t>
        <w:tab/>
        <w:t>业务独立情况：公司业务独立于控股股东、实际控制人及其控制的其他企业，拥有独立完整的研发、生产、采购、 销售和服务系统，具备独立面向市场经营的能力，不依赖于股东或其它任何关联方，与控股股东、实际控制人及其控制的其 他企业不存在同业竞争或者显失公平的关联交易。</w:t>
      </w:r>
    </w:p>
    <w:p>
      <w:pPr>
        <w:pStyle w:val="Style34"/>
        <w:keepNext w:val="0"/>
        <w:keepLines w:val="0"/>
        <w:widowControl w:val="0"/>
        <w:shd w:val="clear" w:color="auto" w:fill="auto"/>
        <w:tabs>
          <w:tab w:pos="644" w:val="left"/>
        </w:tabs>
        <w:bidi w:val="0"/>
        <w:spacing w:before="0" w:after="0" w:line="313" w:lineRule="exact"/>
        <w:ind w:left="0" w:right="0"/>
        <w:jc w:val="both"/>
      </w:pPr>
      <w:bookmarkStart w:id="574" w:name="bookmark574"/>
      <w:r>
        <w:rPr>
          <w:rFonts w:ascii="Times New Roman" w:eastAsia="Times New Roman" w:hAnsi="Times New Roman" w:cs="Times New Roman"/>
          <w:color w:val="000000"/>
          <w:spacing w:val="0"/>
          <w:w w:val="100"/>
          <w:position w:val="0"/>
        </w:rPr>
        <w:t>2</w:t>
      </w:r>
      <w:bookmarkEnd w:id="574"/>
      <w:r>
        <w:rPr>
          <w:color w:val="000000"/>
          <w:spacing w:val="0"/>
          <w:w w:val="100"/>
          <w:position w:val="0"/>
        </w:rPr>
        <w:t>、</w:t>
        <w:tab/>
        <w:t>人员独立情况：公司人员、劳动、人事及工资关系完全独立。公司拥有独立的员工队伍，并已建立完善的劳动用工 和人事管理制度，拥有独立的劳动用工权利，不存在受控股股东干涉的现象。公司董事、监事、高级管理人员的任职，均严 格按照《公司法》、《公司章程》的有关规定经选举产生和聘任。公司董事长、总经理、副总经理、财务负责人、董事会秘 书等高级管理人员未在控股股东及其控制的其他企业担任除董事、监事以外的任何职务，未在控股股东及其控制的其他企业 领取薪酬。</w:t>
      </w:r>
    </w:p>
    <w:p>
      <w:pPr>
        <w:pStyle w:val="Style34"/>
        <w:keepNext w:val="0"/>
        <w:keepLines w:val="0"/>
        <w:widowControl w:val="0"/>
        <w:shd w:val="clear" w:color="auto" w:fill="auto"/>
        <w:bidi w:val="0"/>
        <w:spacing w:before="0" w:after="0" w:line="313" w:lineRule="exact"/>
        <w:ind w:left="0" w:right="0"/>
        <w:jc w:val="both"/>
      </w:pPr>
      <w:bookmarkStart w:id="575" w:name="bookmark575"/>
      <w:r>
        <w:rPr>
          <w:rFonts w:ascii="Times New Roman" w:eastAsia="Times New Roman" w:hAnsi="Times New Roman" w:cs="Times New Roman"/>
          <w:color w:val="000000"/>
          <w:spacing w:val="0"/>
          <w:w w:val="100"/>
          <w:position w:val="0"/>
        </w:rPr>
        <w:t>3</w:t>
      </w:r>
      <w:bookmarkEnd w:id="575"/>
      <w:r>
        <w:rPr>
          <w:color w:val="000000"/>
          <w:spacing w:val="0"/>
          <w:w w:val="100"/>
          <w:position w:val="0"/>
        </w:rPr>
        <w:t>、 资产独立情况：公司与控股股东其关联方之间的资产产权界定清晰。公司拥有独立于控股股东的生产经营场所，拥 有独立完整的资产结构，拥有独立的生产系统、采购系统、销售系统、服务系统以及配套设施、土地使用权、房屋所有权等 资产，对全部资产拥有完整的控制支配权，不存在为控股股东提供担保的情形。公司不存在资产、资金被控股股东、实际控 制人及其控制的其他企业违规占用而损害公司利益的情况。</w:t>
      </w:r>
    </w:p>
    <w:p>
      <w:pPr>
        <w:pStyle w:val="Style34"/>
        <w:keepNext w:val="0"/>
        <w:keepLines w:val="0"/>
        <w:widowControl w:val="0"/>
        <w:shd w:val="clear" w:color="auto" w:fill="auto"/>
        <w:tabs>
          <w:tab w:pos="644" w:val="left"/>
        </w:tabs>
        <w:bidi w:val="0"/>
        <w:spacing w:before="0" w:after="0" w:line="313" w:lineRule="exact"/>
        <w:ind w:left="0" w:right="0"/>
        <w:jc w:val="both"/>
      </w:pPr>
      <w:bookmarkStart w:id="576" w:name="bookmark576"/>
      <w:r>
        <w:rPr>
          <w:rFonts w:ascii="Times New Roman" w:eastAsia="Times New Roman" w:hAnsi="Times New Roman" w:cs="Times New Roman"/>
          <w:color w:val="000000"/>
          <w:spacing w:val="0"/>
          <w:w w:val="100"/>
          <w:position w:val="0"/>
        </w:rPr>
        <w:t>4</w:t>
      </w:r>
      <w:bookmarkEnd w:id="576"/>
      <w:r>
        <w:rPr>
          <w:color w:val="000000"/>
          <w:spacing w:val="0"/>
          <w:w w:val="100"/>
          <w:position w:val="0"/>
        </w:rPr>
        <w:t>、</w:t>
        <w:tab/>
        <w:t>机构独立情况：公司根据《公司法》和《公司章程》及其他有关法律法规的规定，建立健全的法人治理机构、组织 结构，设立了股东大会、董事会、监事会以及经营管理层，并制定了相关议事规则和工作细则。公司建立了适合公司生产经 营所需的独立完整的组织机构，公司机构及生产经营场所与控股股东完全分开，独立于控股股东和其他关联方，具有健全的 内部经营管理机构，独立行使经营管理职权，公司及其职能部门与控股股东及其职能部门之间不存在上下级关系，不存在与 控股股东及其下属企业机构混同或从属的情形。</w:t>
      </w:r>
    </w:p>
    <w:p>
      <w:pPr>
        <w:pStyle w:val="Style34"/>
        <w:keepNext w:val="0"/>
        <w:keepLines w:val="0"/>
        <w:widowControl w:val="0"/>
        <w:shd w:val="clear" w:color="auto" w:fill="auto"/>
        <w:tabs>
          <w:tab w:pos="654" w:val="left"/>
        </w:tabs>
        <w:bidi w:val="0"/>
        <w:spacing w:before="0" w:after="0" w:line="313" w:lineRule="exact"/>
        <w:ind w:left="0" w:right="0"/>
        <w:jc w:val="both"/>
      </w:pPr>
      <w:bookmarkStart w:id="577" w:name="bookmark577"/>
      <w:r>
        <w:rPr>
          <w:rFonts w:ascii="Times New Roman" w:eastAsia="Times New Roman" w:hAnsi="Times New Roman" w:cs="Times New Roman"/>
          <w:color w:val="000000"/>
          <w:spacing w:val="0"/>
          <w:w w:val="100"/>
          <w:position w:val="0"/>
        </w:rPr>
        <w:t>5</w:t>
      </w:r>
      <w:bookmarkEnd w:id="577"/>
      <w:r>
        <w:rPr>
          <w:color w:val="000000"/>
          <w:spacing w:val="0"/>
          <w:w w:val="100"/>
          <w:position w:val="0"/>
        </w:rPr>
        <w:t>、</w:t>
        <w:tab/>
        <w:t>财务独立情况：公司设有独立的财务会计部门和内部审计部门，配备独立的财务会计人员及内部审计人员，不存在 控股股东及其控制的其它企业兼职的情况。公司制定了独立的财务管理制度和内部审计制度，并建立了独立的会计核算体系， 独立进行财务决策，并严格实施内部审计制度；公司开设了独立银行账户，独立支配自有资金和资产，依法进行纳税申报和 履行纳税义务，独立对外签订合同，不存在与控股股东、实际控制人及其控制的其它企业共用银行账户的情形。不存在控股 股东任意干预公司资金运用及占用公司资金的情况。</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综上所述，公司与控股股东在业务、人员、资产、机构、财务等方面完全分开，具有独立完整的业务及自主经营能力。</w:t>
      </w:r>
    </w:p>
    <w:p>
      <w:pPr>
        <w:pStyle w:val="Style30"/>
        <w:keepNext/>
        <w:keepLines/>
        <w:widowControl w:val="0"/>
        <w:shd w:val="clear" w:color="auto" w:fill="auto"/>
        <w:tabs>
          <w:tab w:pos="585" w:val="left"/>
        </w:tabs>
        <w:bidi w:val="0"/>
        <w:spacing w:before="0" w:after="360" w:line="240" w:lineRule="auto"/>
        <w:ind w:left="0" w:right="0" w:firstLine="0"/>
        <w:jc w:val="both"/>
      </w:pPr>
      <w:bookmarkStart w:id="578" w:name="bookmark578"/>
      <w:bookmarkStart w:id="579" w:name="bookmark579"/>
      <w:bookmarkStart w:id="580" w:name="bookmark580"/>
      <w:bookmarkStart w:id="581" w:name="bookmark581"/>
      <w:r>
        <w:rPr>
          <w:color w:val="000000"/>
          <w:spacing w:val="0"/>
          <w:w w:val="100"/>
          <w:position w:val="0"/>
          <w:sz w:val="24"/>
          <w:szCs w:val="24"/>
        </w:rPr>
        <w:t>三</w:t>
      </w:r>
      <w:bookmarkEnd w:id="580"/>
      <w:r>
        <w:rPr>
          <w:color w:val="000000"/>
          <w:spacing w:val="0"/>
          <w:w w:val="100"/>
          <w:position w:val="0"/>
          <w:sz w:val="24"/>
          <w:szCs w:val="24"/>
        </w:rPr>
        <w:t>、</w:t>
        <w:tab/>
        <w:t>同业竞争情况</w:t>
      </w:r>
      <w:bookmarkEnd w:id="578"/>
      <w:bookmarkEnd w:id="579"/>
      <w:bookmarkEnd w:id="581"/>
    </w:p>
    <w:p>
      <w:pPr>
        <w:pStyle w:val="Style34"/>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四</w:t>
      </w:r>
      <w:bookmarkEnd w:id="584"/>
      <w:r>
        <w:rPr>
          <w:color w:val="000000"/>
          <w:spacing w:val="0"/>
          <w:w w:val="100"/>
          <w:position w:val="0"/>
          <w:sz w:val="24"/>
          <w:szCs w:val="24"/>
        </w:rPr>
        <w:t>、报告期内召开的年度股东大会和临时股东大会的有关情况</w:t>
      </w:r>
      <w:bookmarkEnd w:id="582"/>
      <w:bookmarkEnd w:id="583"/>
      <w:bookmarkEnd w:id="585"/>
    </w:p>
    <w:p>
      <w:pPr>
        <w:pStyle w:val="Style38"/>
        <w:keepNext/>
        <w:keepLines/>
        <w:widowControl w:val="0"/>
        <w:shd w:val="clear" w:color="auto" w:fill="auto"/>
        <w:bidi w:val="0"/>
        <w:spacing w:before="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、本报告期股东大会情况</w:t>
      </w:r>
      <w:bookmarkEnd w:id="586"/>
      <w:bookmarkEnd w:id="587"/>
      <w:bookmarkEnd w:id="589"/>
    </w:p>
    <w:tbl>
      <w:tblPr>
        <w:tblOverlap w:val="never"/>
        <w:jc w:val="center"/>
        <w:tblLayout w:type="fixed"/>
      </w:tblPr>
      <w:tblGrid>
        <w:gridCol w:w="859"/>
        <w:gridCol w:w="989"/>
        <w:gridCol w:w="1421"/>
        <w:gridCol w:w="1555"/>
        <w:gridCol w:w="1560"/>
        <w:gridCol w:w="319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165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年度 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年度股东大</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具体内容详见巨潮资讯网</w:t>
            </w:r>
          </w:p>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t>
            </w:r>
            <w:r>
              <w:rPr>
                <w:color w:val="000000"/>
                <w:spacing w:val="0"/>
                <w:w w:val="100"/>
                <w:position w:val="0"/>
              </w:rPr>
              <w:t>:</w:t>
            </w:r>
            <w:r>
              <w:rPr>
                <w:color w:val="000000"/>
                <w:spacing w:val="0"/>
                <w:w w:val="100"/>
                <w:position w:val="0"/>
              </w:rPr>
              <w:t>//www.cninfo,.com.cn</w:t>
            </w:r>
            <w:r>
              <w:rPr>
                <w:rFonts w:ascii="SimSun" w:eastAsia="SimSun" w:hAnsi="SimSun" w:cs="SimSun"/>
                <w:color w:val="000000"/>
                <w:spacing w:val="0"/>
                <w:w w:val="100"/>
                <w:position w:val="0"/>
              </w:rPr>
              <w:t>)及《证券时</w:t>
            </w:r>
            <w:r>
              <w:rPr>
                <w:rFonts w:ascii="SimSun" w:eastAsia="SimSun" w:hAnsi="SimSun" w:cs="SimSun"/>
                <w:color w:val="000000"/>
                <w:spacing w:val="0"/>
                <w:w w:val="100"/>
                <w:position w:val="0"/>
              </w:rPr>
              <w:t xml:space="preserve"> 报》、《中国证券报》、《上海证券报》 的《</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rPr>
              <w:t>年度股东大会决议公告》(公 告编号</w:t>
            </w:r>
            <w:r>
              <w:rPr>
                <w:color w:val="000000"/>
                <w:spacing w:val="0"/>
                <w:w w:val="100"/>
                <w:position w:val="0"/>
              </w:rPr>
              <w:t>2020-020</w:t>
            </w:r>
            <w:r>
              <w:rPr>
                <w:rFonts w:ascii="SimSun" w:eastAsia="SimSun" w:hAnsi="SimSun" w:cs="SimSun"/>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、表决权恢复的优先股股东请求召开临时股东大会</w:t>
      </w:r>
      <w:bookmarkEnd w:id="590"/>
      <w:bookmarkEnd w:id="591"/>
      <w:bookmarkEnd w:id="593"/>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五</w:t>
      </w:r>
      <w:bookmarkEnd w:id="596"/>
      <w:r>
        <w:rPr>
          <w:color w:val="000000"/>
          <w:spacing w:val="0"/>
          <w:w w:val="100"/>
          <w:position w:val="0"/>
          <w:sz w:val="24"/>
          <w:szCs w:val="24"/>
        </w:rPr>
        <w:t>、报告期内独立董事履行职责的情况</w:t>
      </w:r>
      <w:bookmarkEnd w:id="594"/>
      <w:bookmarkEnd w:id="595"/>
      <w:bookmarkEnd w:id="597"/>
    </w:p>
    <w:p>
      <w:pPr>
        <w:pStyle w:val="Style38"/>
        <w:keepNext/>
        <w:keepLines/>
        <w:widowControl w:val="0"/>
        <w:shd w:val="clear" w:color="auto" w:fill="auto"/>
        <w:bidi w:val="0"/>
        <w:spacing w:before="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1</w:t>
      </w:r>
      <w:bookmarkEnd w:id="600"/>
      <w:r>
        <w:rPr>
          <w:color w:val="000000"/>
          <w:spacing w:val="0"/>
          <w:w w:val="100"/>
          <w:position w:val="0"/>
        </w:rPr>
        <w:t>、独立董事出席董事会及股东大会的情况</w:t>
      </w:r>
      <w:bookmarkEnd w:id="598"/>
      <w:bookmarkEnd w:id="599"/>
      <w:bookmarkEnd w:id="601"/>
    </w:p>
    <w:tbl>
      <w:tblPr>
        <w:tblOverlap w:val="never"/>
        <w:jc w:val="center"/>
        <w:tblLayout w:type="fixed"/>
      </w:tblPr>
      <w:tblGrid>
        <w:gridCol w:w="1435"/>
        <w:gridCol w:w="1162"/>
        <w:gridCol w:w="1166"/>
        <w:gridCol w:w="1162"/>
        <w:gridCol w:w="1162"/>
        <w:gridCol w:w="1162"/>
        <w:gridCol w:w="1166"/>
        <w:gridCol w:w="1166"/>
      </w:tblGrid>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pStyle w:val="Style3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连续两次未亲自出席董事会的说明 无</w:t>
      </w:r>
    </w:p>
    <w:p>
      <w:pPr>
        <w:pStyle w:val="Style38"/>
        <w:keepNext/>
        <w:keepLines/>
        <w:widowControl w:val="0"/>
        <w:shd w:val="clear" w:color="auto" w:fill="auto"/>
        <w:tabs>
          <w:tab w:pos="378"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2</w:t>
      </w:r>
      <w:bookmarkEnd w:id="604"/>
      <w:r>
        <w:rPr>
          <w:color w:val="000000"/>
          <w:spacing w:val="0"/>
          <w:w w:val="100"/>
          <w:position w:val="0"/>
        </w:rPr>
        <w:t>、</w:t>
        <w:tab/>
        <w:t>独立董事对公司有关事项提出异议的情况</w:t>
      </w:r>
      <w:bookmarkEnd w:id="602"/>
      <w:bookmarkEnd w:id="603"/>
      <w:bookmarkEnd w:id="605"/>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独立董事履行职责的其他说明</w:t>
      </w:r>
      <w:bookmarkEnd w:id="606"/>
      <w:bookmarkEnd w:id="607"/>
      <w:bookmarkEnd w:id="609"/>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公司独立董事在任职期间严格按照《公司法》、《证券法》、《公司章程》、《独立董事工作制度》和《深圳证券交易 所中小企业板上市公司规范运作指引》等法律法规的规定，勤勉尽责地履行职责，及时了解公司各项运营情况，全面关注公 司的发展，积极参加公司召开的相关会议，利用自己的专业知识做出独立、客观的判断。对关联交易、对外担保、关联方占 </w:t>
      </w:r>
      <w:r>
        <w:rPr>
          <w:color w:val="000000"/>
          <w:spacing w:val="0"/>
          <w:w w:val="100"/>
          <w:position w:val="0"/>
        </w:rPr>
        <w:t>用资金情况、年度利润分配预案、聘请年度报告审计机构、内部控制自我评价等相关事项发表独立意见，对各项议案进行认 真审议，切实维护全体股东尤其是中小股东的合法权益，充分发挥独立董事的独立作用。</w:t>
      </w:r>
    </w:p>
    <w:p>
      <w:pPr>
        <w:pStyle w:val="Style30"/>
        <w:keepNext/>
        <w:keepLines/>
        <w:widowControl w:val="0"/>
        <w:shd w:val="clear" w:color="auto" w:fill="auto"/>
        <w:tabs>
          <w:tab w:pos="571"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六</w:t>
      </w:r>
      <w:bookmarkEnd w:id="612"/>
      <w:r>
        <w:rPr>
          <w:color w:val="000000"/>
          <w:spacing w:val="0"/>
          <w:w w:val="100"/>
          <w:position w:val="0"/>
          <w:sz w:val="24"/>
          <w:szCs w:val="24"/>
        </w:rPr>
        <w:t>、</w:t>
        <w:tab/>
        <w:t>董事会下设专门委员会在报告期内履行职责情况</w:t>
      </w:r>
      <w:bookmarkEnd w:id="610"/>
      <w:bookmarkEnd w:id="611"/>
      <w:bookmarkEnd w:id="613"/>
    </w:p>
    <w:p>
      <w:pPr>
        <w:pStyle w:val="Style34"/>
        <w:keepNext w:val="0"/>
        <w:keepLines w:val="0"/>
        <w:widowControl w:val="0"/>
        <w:shd w:val="clear" w:color="auto" w:fill="auto"/>
        <w:bidi w:val="0"/>
        <w:spacing w:before="0" w:after="80" w:line="314" w:lineRule="exact"/>
        <w:ind w:left="0" w:right="0"/>
        <w:jc w:val="left"/>
      </w:pPr>
      <w:r>
        <w:rPr>
          <w:color w:val="000000"/>
          <w:spacing w:val="0"/>
          <w:w w:val="100"/>
          <w:position w:val="0"/>
        </w:rPr>
        <w:t>公司董事会下设四个专门委员会，分别为审计委员会、提名委员会、薪酬与考核委员会以及战略委员会。</w:t>
      </w:r>
      <w:r>
        <w:rPr>
          <w:rFonts w:ascii="Times New Roman" w:eastAsia="Times New Roman" w:hAnsi="Times New Roman" w:cs="Times New Roman"/>
          <w:color w:val="000000"/>
          <w:spacing w:val="0"/>
          <w:w w:val="100"/>
          <w:position w:val="0"/>
        </w:rPr>
        <w:t>2020</w:t>
      </w:r>
      <w:r>
        <w:rPr>
          <w:color w:val="000000"/>
          <w:spacing w:val="0"/>
          <w:w w:val="100"/>
          <w:position w:val="0"/>
        </w:rPr>
        <w:t>年，各专 门委员会本着勤勉尽责的原则，按照有关法律法规、公司章程及各专门委员会工作细则的有关规定开展相关工作。</w:t>
      </w:r>
    </w:p>
    <w:p>
      <w:pPr>
        <w:pStyle w:val="Style34"/>
        <w:keepNext w:val="0"/>
        <w:keepLines w:val="0"/>
        <w:widowControl w:val="0"/>
        <w:shd w:val="clear" w:color="auto" w:fill="auto"/>
        <w:tabs>
          <w:tab w:pos="714" w:val="left"/>
        </w:tabs>
        <w:bidi w:val="0"/>
        <w:spacing w:before="0" w:after="0"/>
        <w:ind w:left="0" w:right="0"/>
        <w:jc w:val="left"/>
      </w:pPr>
      <w:bookmarkStart w:id="614" w:name="bookmark614"/>
      <w:r>
        <w:rPr>
          <w:rFonts w:ascii="Times New Roman" w:eastAsia="Times New Roman" w:hAnsi="Times New Roman" w:cs="Times New Roman"/>
          <w:color w:val="000000"/>
          <w:spacing w:val="0"/>
          <w:w w:val="100"/>
          <w:position w:val="0"/>
        </w:rPr>
        <w:t>1</w:t>
      </w:r>
      <w:bookmarkEnd w:id="614"/>
      <w:r>
        <w:rPr>
          <w:color w:val="000000"/>
          <w:spacing w:val="0"/>
          <w:w w:val="100"/>
          <w:position w:val="0"/>
        </w:rPr>
        <w:t>、</w:t>
        <w:tab/>
        <w:t>审计委员会履职情况</w:t>
      </w:r>
    </w:p>
    <w:p>
      <w:pPr>
        <w:pStyle w:val="Style34"/>
        <w:keepNext w:val="0"/>
        <w:keepLines w:val="0"/>
        <w:widowControl w:val="0"/>
        <w:shd w:val="clear" w:color="auto" w:fill="auto"/>
        <w:bidi w:val="0"/>
        <w:spacing w:before="0" w:after="80" w:line="314" w:lineRule="exact"/>
        <w:ind w:left="0" w:right="0"/>
        <w:jc w:val="left"/>
      </w:pPr>
      <w:r>
        <w:rPr>
          <w:color w:val="000000"/>
          <w:spacing w:val="0"/>
          <w:w w:val="100"/>
          <w:position w:val="0"/>
        </w:rPr>
        <w:t>报告期内，审计委员会根据《公司法》、《公司章程》、《上市公司治理准则》及公司《董事会审计委员会工作细则》 的有关规定，认真履行职责，与会计师事务所就年度审计报告编制进行沟通与交流，与公司内部审计部门就公司内部控制制 度的完善与执行保持沟通，对会计师事务所的工作进行评价，并向董事会提出续聘议案，审查了公司内部控制制度及其执行 情况，审核了公司所有重要的会计政策，审核了内审部每个季度提供的工作报告和工作计划，定期了解公司财务状况和经营 成果，督促和指导内部审计部门对公司财务管理运行情况进行定期和不定期的检查和评估，委员会认为公司内部控制基本体 现了完整性、合理性，不存在重大缺陷。</w:t>
      </w:r>
    </w:p>
    <w:p>
      <w:pPr>
        <w:pStyle w:val="Style34"/>
        <w:keepNext w:val="0"/>
        <w:keepLines w:val="0"/>
        <w:widowControl w:val="0"/>
        <w:shd w:val="clear" w:color="auto" w:fill="auto"/>
        <w:tabs>
          <w:tab w:pos="734" w:val="left"/>
        </w:tabs>
        <w:bidi w:val="0"/>
        <w:spacing w:before="0" w:after="0"/>
        <w:ind w:left="0" w:right="0"/>
        <w:jc w:val="left"/>
      </w:pPr>
      <w:bookmarkStart w:id="615" w:name="bookmark615"/>
      <w:r>
        <w:rPr>
          <w:rFonts w:ascii="Times New Roman" w:eastAsia="Times New Roman" w:hAnsi="Times New Roman" w:cs="Times New Roman"/>
          <w:color w:val="000000"/>
          <w:spacing w:val="0"/>
          <w:w w:val="100"/>
          <w:position w:val="0"/>
        </w:rPr>
        <w:t>2</w:t>
      </w:r>
      <w:bookmarkEnd w:id="615"/>
      <w:r>
        <w:rPr>
          <w:color w:val="000000"/>
          <w:spacing w:val="0"/>
          <w:w w:val="100"/>
          <w:position w:val="0"/>
        </w:rPr>
        <w:t>、</w:t>
        <w:tab/>
        <w:t>提名委员会履职情况</w:t>
      </w:r>
    </w:p>
    <w:p>
      <w:pPr>
        <w:pStyle w:val="Style34"/>
        <w:keepNext w:val="0"/>
        <w:keepLines w:val="0"/>
        <w:widowControl w:val="0"/>
        <w:shd w:val="clear" w:color="auto" w:fill="auto"/>
        <w:bidi w:val="0"/>
        <w:spacing w:before="0" w:after="80" w:line="314" w:lineRule="exact"/>
        <w:ind w:left="0" w:right="0"/>
        <w:jc w:val="left"/>
      </w:pPr>
      <w:r>
        <w:rPr>
          <w:color w:val="000000"/>
          <w:spacing w:val="0"/>
          <w:w w:val="100"/>
          <w:position w:val="0"/>
        </w:rPr>
        <w:t>报告期内，公司提名委员会召开了两次会议。提名委员会认真履行职责，对公司董事长、总经理、副总经理候选人的任 职资格进行了讨论和审查；同时，结合公司的发展战略和实际情况物色、筛选符合条件的人员，为公司的发展储备各类人才。</w:t>
      </w:r>
    </w:p>
    <w:p>
      <w:pPr>
        <w:pStyle w:val="Style34"/>
        <w:keepNext w:val="0"/>
        <w:keepLines w:val="0"/>
        <w:widowControl w:val="0"/>
        <w:shd w:val="clear" w:color="auto" w:fill="auto"/>
        <w:tabs>
          <w:tab w:pos="734" w:val="left"/>
        </w:tabs>
        <w:bidi w:val="0"/>
        <w:spacing w:before="0" w:after="0"/>
        <w:ind w:left="0" w:right="0"/>
        <w:jc w:val="left"/>
      </w:pPr>
      <w:bookmarkStart w:id="616" w:name="bookmark616"/>
      <w:r>
        <w:rPr>
          <w:rFonts w:ascii="Times New Roman" w:eastAsia="Times New Roman" w:hAnsi="Times New Roman" w:cs="Times New Roman"/>
          <w:color w:val="000000"/>
          <w:spacing w:val="0"/>
          <w:w w:val="100"/>
          <w:position w:val="0"/>
        </w:rPr>
        <w:t>3</w:t>
      </w:r>
      <w:bookmarkEnd w:id="616"/>
      <w:r>
        <w:rPr>
          <w:color w:val="000000"/>
          <w:spacing w:val="0"/>
          <w:w w:val="100"/>
          <w:position w:val="0"/>
        </w:rPr>
        <w:t>、</w:t>
        <w:tab/>
        <w:t>薪酬与考核委员会履职情况</w:t>
      </w:r>
    </w:p>
    <w:p>
      <w:pPr>
        <w:pStyle w:val="Style34"/>
        <w:keepNext w:val="0"/>
        <w:keepLines w:val="0"/>
        <w:widowControl w:val="0"/>
        <w:shd w:val="clear" w:color="auto" w:fill="auto"/>
        <w:bidi w:val="0"/>
        <w:spacing w:before="0" w:after="80" w:line="314" w:lineRule="exact"/>
        <w:ind w:left="0" w:right="0"/>
        <w:jc w:val="left"/>
      </w:pPr>
      <w:r>
        <w:rPr>
          <w:color w:val="000000"/>
          <w:spacing w:val="0"/>
          <w:w w:val="100"/>
          <w:position w:val="0"/>
        </w:rPr>
        <w:t>报告期内，薪酬与考核委员会对公司董事、高级管理人员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年的薪酬情况进行审议，认为报告期内的薪酬支付符合公 司的绩效考核体系，其薪酬总额包括了公司获得的各项报酬，真实反映了报告期公司董事、监事和高级管理人员的薪酬状况。</w:t>
      </w:r>
    </w:p>
    <w:p>
      <w:pPr>
        <w:pStyle w:val="Style34"/>
        <w:keepNext w:val="0"/>
        <w:keepLines w:val="0"/>
        <w:widowControl w:val="0"/>
        <w:shd w:val="clear" w:color="auto" w:fill="auto"/>
        <w:tabs>
          <w:tab w:pos="734" w:val="left"/>
        </w:tabs>
        <w:bidi w:val="0"/>
        <w:spacing w:before="0" w:after="0"/>
        <w:ind w:left="0" w:right="0"/>
        <w:jc w:val="left"/>
      </w:pPr>
      <w:bookmarkStart w:id="617" w:name="bookmark617"/>
      <w:r>
        <w:rPr>
          <w:rFonts w:ascii="Times New Roman" w:eastAsia="Times New Roman" w:hAnsi="Times New Roman" w:cs="Times New Roman"/>
          <w:color w:val="000000"/>
          <w:spacing w:val="0"/>
          <w:w w:val="100"/>
          <w:position w:val="0"/>
        </w:rPr>
        <w:t>4</w:t>
      </w:r>
      <w:bookmarkEnd w:id="617"/>
      <w:r>
        <w:rPr>
          <w:color w:val="000000"/>
          <w:spacing w:val="0"/>
          <w:w w:val="100"/>
          <w:position w:val="0"/>
        </w:rPr>
        <w:t>、</w:t>
        <w:tab/>
        <w:t>战略委员会履职情况</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报告期内，公司战略委员会召开了两次会议。公司战略委员会勤勉尽责地履行职责，结合国内经济形势和公司行业特点， 对公司经营状况和发展前景进行深入地分析，及时对公司战略规划、对外投资等事项进行了研究，提出企业应重点关注的经 营事项，为公司发展规划提出积极的建设性意见。</w:t>
      </w:r>
    </w:p>
    <w:p>
      <w:pPr>
        <w:pStyle w:val="Style30"/>
        <w:keepNext/>
        <w:keepLines/>
        <w:widowControl w:val="0"/>
        <w:shd w:val="clear" w:color="auto" w:fill="auto"/>
        <w:tabs>
          <w:tab w:pos="571" w:val="left"/>
        </w:tabs>
        <w:bidi w:val="0"/>
        <w:spacing w:before="0" w:after="2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七</w:t>
      </w:r>
      <w:bookmarkEnd w:id="620"/>
      <w:r>
        <w:rPr>
          <w:color w:val="000000"/>
          <w:spacing w:val="0"/>
          <w:w w:val="100"/>
          <w:position w:val="0"/>
          <w:sz w:val="24"/>
          <w:szCs w:val="24"/>
        </w:rPr>
        <w:t>、</w:t>
        <w:tab/>
        <w:t>监事会工作情况</w:t>
      </w:r>
      <w:bookmarkEnd w:id="618"/>
      <w:bookmarkEnd w:id="619"/>
      <w:bookmarkEnd w:id="621"/>
    </w:p>
    <w:p>
      <w:pPr>
        <w:pStyle w:val="Style34"/>
        <w:keepNext w:val="0"/>
        <w:keepLines w:val="0"/>
        <w:widowControl w:val="0"/>
        <w:shd w:val="clear" w:color="auto" w:fill="auto"/>
        <w:bidi w:val="0"/>
        <w:spacing w:before="0" w:after="80" w:line="314" w:lineRule="exact"/>
        <w:ind w:left="0" w:right="0" w:firstLine="0"/>
        <w:jc w:val="left"/>
      </w:pPr>
      <w:r>
        <w:rPr>
          <w:color w:val="000000"/>
          <w:spacing w:val="0"/>
          <w:w w:val="100"/>
          <w:position w:val="0"/>
        </w:rPr>
        <w:t>监事会在报告期内的监督活动中发现公司是否存在风险</w:t>
      </w:r>
    </w:p>
    <w:p>
      <w:pPr>
        <w:pStyle w:val="Style3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监事会对报告期内的监督事项无异议。</w:t>
      </w:r>
    </w:p>
    <w:p>
      <w:pPr>
        <w:pStyle w:val="Style30"/>
        <w:keepNext/>
        <w:keepLines/>
        <w:widowControl w:val="0"/>
        <w:shd w:val="clear" w:color="auto" w:fill="auto"/>
        <w:tabs>
          <w:tab w:pos="571"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sz w:val="24"/>
          <w:szCs w:val="24"/>
        </w:rPr>
        <w:t>八</w:t>
      </w:r>
      <w:bookmarkEnd w:id="624"/>
      <w:r>
        <w:rPr>
          <w:color w:val="000000"/>
          <w:spacing w:val="0"/>
          <w:w w:val="100"/>
          <w:position w:val="0"/>
          <w:sz w:val="24"/>
          <w:szCs w:val="24"/>
        </w:rPr>
        <w:t>、</w:t>
        <w:tab/>
        <w:t>高级管理人员的考评及激励情况</w:t>
      </w:r>
      <w:bookmarkEnd w:id="622"/>
      <w:bookmarkEnd w:id="623"/>
      <w:bookmarkEnd w:id="625"/>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公司建立健全的高级管理人员绩效考评体系以及薪酬制度。公司董事会薪酬与考核委员会是对高管人员进行考核以及确 定薪酬分配的管理机构。公司高管人员的分配与考核以企业经济效益为出发点，根据公司年度经营计划和高管人员分管工作 的工作目标，进行综合考核，根据考核结果确定高管人员的年度薪酬分配。薪酬与考核委员会将最终考核结果以及高管人员 的薪酬实施具体方案，经董事会审议批准后，由公司统一实施。报告期内，公司已按照关键业绩指标对高级管理人员的工作 能力、履职情况、责任目标完成情况等进行了考核和评价，其薪酬水平与公司经营业绩紧密挂钩。</w:t>
      </w:r>
    </w:p>
    <w:p>
      <w:pPr>
        <w:pStyle w:val="Style30"/>
        <w:keepNext/>
        <w:keepLines/>
        <w:widowControl w:val="0"/>
        <w:shd w:val="clear" w:color="auto" w:fill="auto"/>
        <w:tabs>
          <w:tab w:pos="571" w:val="left"/>
        </w:tabs>
        <w:bidi w:val="0"/>
        <w:spacing w:before="0" w:after="360" w:line="240" w:lineRule="auto"/>
        <w:ind w:left="0" w:right="0" w:firstLine="0"/>
        <w:jc w:val="both"/>
      </w:pPr>
      <w:bookmarkStart w:id="626" w:name="bookmark626"/>
      <w:bookmarkStart w:id="627" w:name="bookmark627"/>
      <w:bookmarkStart w:id="628" w:name="bookmark628"/>
      <w:bookmarkStart w:id="629" w:name="bookmark629"/>
      <w:r>
        <w:rPr>
          <w:color w:val="000000"/>
          <w:spacing w:val="0"/>
          <w:w w:val="100"/>
          <w:position w:val="0"/>
          <w:sz w:val="24"/>
          <w:szCs w:val="24"/>
        </w:rPr>
        <w:t>九</w:t>
      </w:r>
      <w:bookmarkEnd w:id="628"/>
      <w:r>
        <w:rPr>
          <w:color w:val="000000"/>
          <w:spacing w:val="0"/>
          <w:w w:val="100"/>
          <w:position w:val="0"/>
          <w:sz w:val="24"/>
          <w:szCs w:val="24"/>
        </w:rPr>
        <w:t>、</w:t>
        <w:tab/>
        <w:t>内部控制评价报告</w:t>
      </w:r>
      <w:bookmarkEnd w:id="626"/>
      <w:bookmarkEnd w:id="627"/>
      <w:bookmarkEnd w:id="629"/>
    </w:p>
    <w:p>
      <w:pPr>
        <w:pStyle w:val="Style38"/>
        <w:keepNext/>
        <w:keepLines/>
        <w:widowControl w:val="0"/>
        <w:shd w:val="clear" w:color="auto" w:fill="auto"/>
        <w:bidi w:val="0"/>
        <w:spacing w:before="0" w:after="360" w:line="240" w:lineRule="auto"/>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、报告期内发现的内部控制重大缺陷的具体情况</w:t>
      </w:r>
      <w:bookmarkEnd w:id="630"/>
      <w:bookmarkEnd w:id="631"/>
      <w:bookmarkEnd w:id="633"/>
    </w:p>
    <w:p>
      <w:pPr>
        <w:pStyle w:val="Style34"/>
        <w:keepNext w:val="0"/>
        <w:keepLines w:val="0"/>
        <w:widowControl w:val="0"/>
        <w:shd w:val="clear" w:color="auto" w:fill="auto"/>
        <w:bidi w:val="0"/>
        <w:spacing w:before="0" w:after="26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38"/>
        <w:keepNext/>
        <w:keepLines/>
        <w:widowControl w:val="0"/>
        <w:shd w:val="clear" w:color="auto" w:fill="auto"/>
        <w:bidi w:val="0"/>
        <w:spacing w:before="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、内控自我评价报告</w:t>
      </w:r>
      <w:bookmarkEnd w:id="634"/>
      <w:bookmarkEnd w:id="635"/>
      <w:bookmarkEnd w:id="637"/>
    </w:p>
    <w:tbl>
      <w:tblPr>
        <w:tblOverlap w:val="never"/>
        <w:jc w:val="center"/>
        <w:tblLayout w:type="fixed"/>
      </w:tblPr>
      <w:tblGrid>
        <w:gridCol w:w="3202"/>
        <w:gridCol w:w="3322"/>
        <w:gridCol w:w="305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fldChar w:fldCharType="begin"/>
            </w:r>
            <w:r>
              <w:rPr/>
              <w:instrText> HYPERLINK "http://www.cninfo.com.cn/)%e7%9a%84%e3%80%8a2020%e5%b9%b4%e5%ba%a6%e5%86%85%e9%83%a8%e6%8e%a7%e5%88%b6%e8%87%aa" </w:instrText>
            </w:r>
            <w:r>
              <w:fldChar w:fldCharType="separate"/>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w:t>
            </w:r>
            <w:r>
              <w:rPr>
                <w:color w:val="000000"/>
                <w:spacing w:val="0"/>
                <w:w w:val="100"/>
                <w:position w:val="0"/>
              </w:rPr>
              <w:t>2020</w:t>
            </w:r>
            <w:r>
              <w:rPr>
                <w:rFonts w:ascii="SimSun" w:eastAsia="SimSun" w:hAnsi="SimSun" w:cs="SimSun"/>
                <w:color w:val="000000"/>
                <w:spacing w:val="0"/>
                <w:w w:val="100"/>
                <w:position w:val="0"/>
              </w:rPr>
              <w:t>年度内部控制自</w:t>
            </w:r>
            <w:r>
              <w:fldChar w:fldCharType="end"/>
            </w:r>
            <w:r>
              <w:rPr>
                <w:rFonts w:ascii="SimSun" w:eastAsia="SimSun" w:hAnsi="SimSun" w:cs="SimSun"/>
                <w:color w:val="000000"/>
                <w:spacing w:val="0"/>
                <w:w w:val="100"/>
                <w:position w:val="0"/>
              </w:rPr>
              <w:t xml:space="preserve"> 我评价报告》</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财务报告重大缺陷的迹象包括：①控制环 境无效；②公司董事、监事和高级管理人 员的舞弊行为；③外部审计发现的却未被 公司内部控制识别的当期财务报告中的重 大错报；④已经发现并报告给管理层的重 大缺陷在合理的时间内未加以改正；⑤审 计委员会和审计部门对内部控制的监督无 效。财务报告重要缺陷的迹象包括：①未 依照公认会计准则选择和应用会计政策； ②未建立反舞弊程序和控制措施；③对于 非常规或特殊交易的账务处理没有建立相 应的控制机制或没有实施且没有相应的补 偿性控制；④对于期末财务报告过程的控 制存在一项或多项缺陷且不能合理保证编 制的财务报表达到真实、完整的目标。一 般缺陷：未构成重大缺陷、重要缺陷标准 的其他内部控制缺陷。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445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color w:val="000000"/>
                <w:spacing w:val="0"/>
                <w:w w:val="100"/>
                <w:position w:val="0"/>
              </w:rPr>
              <w:t>2%</w:t>
            </w:r>
            <w:r>
              <w:rPr>
                <w:rFonts w:ascii="SimSun" w:eastAsia="SimSun" w:hAnsi="SimSun" w:cs="SimSun"/>
                <w:color w:val="000000"/>
                <w:spacing w:val="0"/>
                <w:w w:val="100"/>
                <w:position w:val="0"/>
              </w:rPr>
              <w:t xml:space="preserve">, 则认定为一般缺陷；如果超过营业收入的 </w:t>
            </w:r>
            <w:r>
              <w:rPr>
                <w:color w:val="000000"/>
                <w:spacing w:val="0"/>
                <w:w w:val="100"/>
                <w:position w:val="0"/>
              </w:rPr>
              <w:t>4%</w:t>
            </w:r>
            <w:r>
              <w:rPr>
                <w:rFonts w:ascii="SimSun" w:eastAsia="SimSun" w:hAnsi="SimSun" w:cs="SimSun"/>
                <w:color w:val="000000"/>
                <w:spacing w:val="0"/>
                <w:w w:val="100"/>
                <w:position w:val="0"/>
              </w:rPr>
              <w:t>，则认定为重大缺陷。内部控制缺陷可 能导致或导致的损失与资产管理相关的， 以资产总额指标衡量。如果该缺陷单独或 连同其他缺陷可能导致的财务报告错报金 额小于资产总额的</w:t>
            </w:r>
            <w:r>
              <w:rPr>
                <w:color w:val="000000"/>
                <w:spacing w:val="0"/>
                <w:w w:val="100"/>
                <w:position w:val="0"/>
              </w:rPr>
              <w:t>1%</w:t>
            </w:r>
            <w:r>
              <w:rPr>
                <w:rFonts w:ascii="SimSun" w:eastAsia="SimSun" w:hAnsi="SimSun" w:cs="SimSun"/>
                <w:color w:val="000000"/>
                <w:spacing w:val="0"/>
                <w:w w:val="100"/>
                <w:position w:val="0"/>
              </w:rPr>
              <w:t>，则认定为一般缺 陷；如果超过资产总额的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2%</w:t>
            </w:r>
            <w:r>
              <w:rPr>
                <w:rFonts w:ascii="SimSun" w:eastAsia="SimSun" w:hAnsi="SimSun" w:cs="SimSun"/>
                <w:color w:val="000000"/>
                <w:spacing w:val="0"/>
                <w:w w:val="100"/>
                <w:position w:val="0"/>
              </w:rPr>
              <w:t xml:space="preserve">, 则认定为重要缺陷；如果超过资产总额 </w:t>
            </w:r>
            <w:r>
              <w:rPr>
                <w:color w:val="000000"/>
                <w:spacing w:val="0"/>
                <w:w w:val="100"/>
                <w:position w:val="0"/>
              </w:rPr>
              <w:t>2%</w:t>
            </w:r>
            <w:r>
              <w:rPr>
                <w:rFonts w:ascii="SimSun" w:eastAsia="SimSun" w:hAnsi="SimSun" w:cs="SimSun"/>
                <w:color w:val="000000"/>
                <w:spacing w:val="0"/>
                <w:w w:val="100"/>
                <w:position w:val="0"/>
              </w:rPr>
              <w:t>，则认定为重大缺陷。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定量标准以营业收入、资产总额作为衡 量指标。内部控制缺陷可能导致或导致 的损失与利润表相关的，以营业收入指 标衡量。如果该缺陷单独或连同其他缺 陷可能导致的财务报告错报金额小于 营业收入的</w:t>
            </w:r>
            <w:r>
              <w:rPr>
                <w:color w:val="000000"/>
                <w:spacing w:val="0"/>
                <w:w w:val="100"/>
                <w:position w:val="0"/>
              </w:rPr>
              <w:t>2%</w:t>
            </w:r>
            <w:r>
              <w:rPr>
                <w:rFonts w:ascii="SimSun" w:eastAsia="SimSun" w:hAnsi="SimSun" w:cs="SimSun"/>
                <w:color w:val="000000"/>
                <w:spacing w:val="0"/>
                <w:w w:val="100"/>
                <w:position w:val="0"/>
              </w:rPr>
              <w:t>,则认定为一般缺陷； 如果超过营业收入的</w:t>
            </w:r>
            <w:r>
              <w:rPr>
                <w:color w:val="000000"/>
                <w:spacing w:val="0"/>
                <w:w w:val="100"/>
                <w:position w:val="0"/>
              </w:rPr>
              <w:t>2%</w:t>
            </w:r>
            <w:r>
              <w:rPr>
                <w:rFonts w:ascii="SimSun" w:eastAsia="SimSun" w:hAnsi="SimSun" w:cs="SimSun"/>
                <w:color w:val="000000"/>
                <w:spacing w:val="0"/>
                <w:w w:val="100"/>
                <w:position w:val="0"/>
              </w:rPr>
              <w:t>但小于</w:t>
            </w:r>
            <w:r>
              <w:rPr>
                <w:color w:val="000000"/>
                <w:spacing w:val="0"/>
                <w:w w:val="100"/>
                <w:position w:val="0"/>
              </w:rPr>
              <w:t>4%</w:t>
            </w:r>
            <w:r>
              <w:rPr>
                <w:rFonts w:ascii="SimSun" w:eastAsia="SimSun" w:hAnsi="SimSun" w:cs="SimSun"/>
                <w:color w:val="000000"/>
                <w:spacing w:val="0"/>
                <w:w w:val="100"/>
                <w:position w:val="0"/>
              </w:rPr>
              <w:t>， 则认定为重要缺陷；如果超过营业收入 的</w:t>
            </w:r>
            <w:r>
              <w:rPr>
                <w:color w:val="000000"/>
                <w:spacing w:val="0"/>
                <w:w w:val="100"/>
                <w:position w:val="0"/>
              </w:rPr>
              <w:t>4%</w:t>
            </w:r>
            <w:r>
              <w:rPr>
                <w:rFonts w:ascii="SimSun" w:eastAsia="SimSun" w:hAnsi="SimSun" w:cs="SimSun"/>
                <w:color w:val="000000"/>
                <w:spacing w:val="0"/>
                <w:w w:val="100"/>
                <w:position w:val="0"/>
              </w:rPr>
              <w:t xml:space="preserve">，则认定为重大缺陷。内部控制 缺陷可能导致或导致的损失与资产管 理相关的，以资产总额指标衡量。如果 该缺陷单独或连同其他缺陷可能导致 的财务报告错报金额小于资产总额的 </w:t>
            </w:r>
            <w:r>
              <w:rPr>
                <w:color w:val="000000"/>
                <w:spacing w:val="0"/>
                <w:w w:val="100"/>
                <w:position w:val="0"/>
              </w:rPr>
              <w:t>1%</w:t>
            </w:r>
            <w:r>
              <w:rPr>
                <w:rFonts w:ascii="SimSun" w:eastAsia="SimSun" w:hAnsi="SimSun" w:cs="SimSun"/>
                <w:color w:val="000000"/>
                <w:spacing w:val="0"/>
                <w:w w:val="100"/>
                <w:position w:val="0"/>
              </w:rPr>
              <w:t>，则认定为一般缺陷；如果超过资</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产总额的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2%</w:t>
            </w:r>
            <w:r>
              <w:rPr>
                <w:rFonts w:ascii="SimSun" w:eastAsia="SimSun" w:hAnsi="SimSun" w:cs="SimSun"/>
                <w:color w:val="000000"/>
                <w:spacing w:val="0"/>
                <w:w w:val="100"/>
                <w:position w:val="0"/>
              </w:rPr>
              <w:t>,则认定为重 要缺陷；如果超过资产总额</w:t>
            </w:r>
            <w:r>
              <w:rPr>
                <w:color w:val="000000"/>
                <w:spacing w:val="0"/>
                <w:w w:val="100"/>
                <w:position w:val="0"/>
              </w:rPr>
              <w:t>2%</w:t>
            </w:r>
            <w:r>
              <w:rPr>
                <w:rFonts w:ascii="SimSun" w:eastAsia="SimSun" w:hAnsi="SimSun" w:cs="SimSun"/>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638" w:name="bookmark638"/>
      <w:bookmarkStart w:id="639" w:name="bookmark639"/>
      <w:bookmarkStart w:id="640" w:name="bookmark640"/>
      <w:r>
        <w:rPr>
          <w:color w:val="000000"/>
          <w:spacing w:val="0"/>
          <w:w w:val="100"/>
          <w:position w:val="0"/>
          <w:sz w:val="24"/>
          <w:szCs w:val="24"/>
        </w:rPr>
        <w:t>十、内部控制审计报告或鉴证报告</w:t>
      </w:r>
      <w:bookmarkEnd w:id="638"/>
      <w:bookmarkEnd w:id="639"/>
      <w:bookmarkEnd w:id="640"/>
    </w:p>
    <w:p>
      <w:pPr>
        <w:pStyle w:val="Style34"/>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8" w:right="1054" w:bottom="1565" w:left="1072"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440" w:line="240" w:lineRule="auto"/>
        <w:ind w:left="0" w:right="0" w:firstLine="0"/>
        <w:jc w:val="center"/>
      </w:pPr>
      <w:bookmarkStart w:id="641" w:name="bookmark641"/>
      <w:bookmarkStart w:id="642" w:name="bookmark642"/>
      <w:bookmarkStart w:id="643" w:name="bookmark643"/>
      <w:bookmarkStart w:id="644" w:name="bookmark644"/>
      <w:r>
        <w:rPr>
          <w:color w:val="000000"/>
          <w:spacing w:val="0"/>
          <w:w w:val="100"/>
          <w:position w:val="0"/>
        </w:rPr>
        <w:t>第十一节公司债券相关情况</w:t>
      </w:r>
      <w:bookmarkEnd w:id="642"/>
      <w:bookmarkEnd w:id="643"/>
      <w:bookmarkEnd w:id="644"/>
      <w:bookmarkEnd w:id="641"/>
    </w:p>
    <w:p>
      <w:pPr>
        <w:pStyle w:val="Style34"/>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6"/>
        <w:keepNext/>
        <w:keepLines/>
        <w:widowControl w:val="0"/>
        <w:shd w:val="clear" w:color="auto" w:fill="auto"/>
        <w:bidi w:val="0"/>
        <w:spacing w:before="520" w:after="560" w:line="240" w:lineRule="auto"/>
        <w:ind w:left="0" w:right="0" w:firstLine="0"/>
        <w:jc w:val="center"/>
      </w:pPr>
      <w:bookmarkStart w:id="645" w:name="bookmark645"/>
      <w:bookmarkStart w:id="646" w:name="bookmark646"/>
      <w:bookmarkStart w:id="647" w:name="bookmark647"/>
      <w:bookmarkStart w:id="648" w:name="bookmark648"/>
      <w:r>
        <w:rPr>
          <w:color w:val="000000"/>
          <w:spacing w:val="0"/>
          <w:w w:val="100"/>
          <w:position w:val="0"/>
        </w:rPr>
        <w:t>第十二节财务报告</w:t>
      </w:r>
      <w:bookmarkEnd w:id="646"/>
      <w:bookmarkEnd w:id="647"/>
      <w:bookmarkEnd w:id="648"/>
      <w:bookmarkEnd w:id="645"/>
    </w:p>
    <w:p>
      <w:pPr>
        <w:pStyle w:val="Style30"/>
        <w:keepNext/>
        <w:keepLines/>
        <w:widowControl w:val="0"/>
        <w:shd w:val="clear" w:color="auto" w:fill="auto"/>
        <w:bidi w:val="0"/>
        <w:spacing w:before="0" w:after="320" w:line="240" w:lineRule="auto"/>
        <w:ind w:left="0" w:right="0" w:firstLine="260"/>
        <w:jc w:val="left"/>
      </w:pPr>
      <w:bookmarkStart w:id="649" w:name="bookmark649"/>
      <w:bookmarkStart w:id="650" w:name="bookmark650"/>
      <w:bookmarkStart w:id="651" w:name="bookmark651"/>
      <w:r>
        <w:rPr>
          <w:color w:val="000000"/>
          <w:spacing w:val="0"/>
          <w:w w:val="100"/>
          <w:position w:val="0"/>
          <w:sz w:val="24"/>
          <w:szCs w:val="24"/>
        </w:rPr>
        <w:t>、审计报告</w:t>
      </w:r>
      <w:bookmarkEnd w:id="649"/>
      <w:bookmarkEnd w:id="650"/>
      <w:bookmarkEnd w:id="65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2021</w:t>
            </w:r>
            <w:r>
              <w:rPr>
                <w:rFonts w:ascii="SimSun" w:eastAsia="SimSun" w:hAnsi="SimSun" w:cs="SimSun"/>
                <w:color w:val="000000"/>
                <w:spacing w:val="0"/>
                <w:w w:val="100"/>
                <w:position w:val="0"/>
              </w:rPr>
              <w:t>】第</w:t>
            </w:r>
            <w:r>
              <w:rPr>
                <w:color w:val="000000"/>
                <w:spacing w:val="0"/>
                <w:w w:val="100"/>
                <w:position w:val="0"/>
              </w:rPr>
              <w:t>ZC10287</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张宁、漆江燕</w:t>
            </w:r>
          </w:p>
        </w:tc>
      </w:tr>
    </w:tbl>
    <w:p>
      <w:pPr>
        <w:pStyle w:val="Style32"/>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4"/>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广州御银科技股份有限公司全体股东：</w:t>
      </w:r>
    </w:p>
    <w:p>
      <w:pPr>
        <w:pStyle w:val="Style34"/>
        <w:keepNext w:val="0"/>
        <w:keepLines w:val="0"/>
        <w:widowControl w:val="0"/>
        <w:shd w:val="clear" w:color="auto" w:fill="auto"/>
        <w:tabs>
          <w:tab w:pos="810" w:val="left"/>
        </w:tabs>
        <w:bidi w:val="0"/>
        <w:spacing w:before="0" w:after="0" w:line="310" w:lineRule="exact"/>
        <w:ind w:left="0" w:right="0"/>
        <w:jc w:val="both"/>
      </w:pPr>
      <w:bookmarkStart w:id="652" w:name="bookmark652"/>
      <w:r>
        <w:rPr>
          <w:color w:val="000000"/>
          <w:spacing w:val="0"/>
          <w:w w:val="100"/>
          <w:position w:val="0"/>
        </w:rPr>
        <w:t>一</w:t>
      </w:r>
      <w:bookmarkEnd w:id="652"/>
      <w:r>
        <w:rPr>
          <w:color w:val="000000"/>
          <w:spacing w:val="0"/>
          <w:w w:val="100"/>
          <w:position w:val="0"/>
        </w:rPr>
        <w:t>、</w:t>
        <w:tab/>
        <w:t>审计意见</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我们审计了广州御银科技股份有限公司（以下简称御银股份）财务报表，包括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年度的合并及母公司利润表、合并及母公司现金流量表、合并及母公司所有者权益变动表以及相关财务报表附注。</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我们认为，后附的财务报表在所有重大方面按照企业会计准则的规定编制，公允反映了御银股份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val="0"/>
        <w:keepLines w:val="0"/>
        <w:widowControl w:val="0"/>
        <w:shd w:val="clear" w:color="auto" w:fill="auto"/>
        <w:tabs>
          <w:tab w:pos="810" w:val="left"/>
        </w:tabs>
        <w:bidi w:val="0"/>
        <w:spacing w:before="0" w:after="0" w:line="310" w:lineRule="exact"/>
        <w:ind w:left="0" w:right="0"/>
        <w:jc w:val="both"/>
      </w:pPr>
      <w:bookmarkStart w:id="653" w:name="bookmark653"/>
      <w:r>
        <w:rPr>
          <w:color w:val="000000"/>
          <w:spacing w:val="0"/>
          <w:w w:val="100"/>
          <w:position w:val="0"/>
        </w:rPr>
        <w:t>二</w:t>
      </w:r>
      <w:bookmarkEnd w:id="653"/>
      <w:r>
        <w:rPr>
          <w:color w:val="000000"/>
          <w:spacing w:val="0"/>
          <w:w w:val="100"/>
          <w:position w:val="0"/>
        </w:rPr>
        <w:t>、</w:t>
        <w:tab/>
        <w:t>形成审计意见的基础</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阐述了我们在这些准则下的责任。按照中国注册会计师职业道德守则，我们独立于御银股份，并履行了职业道德方面的其他 责任。我们相信，我们获取的审计证据是充分、适当的，为发表审计意见提供了基础。</w:t>
      </w:r>
    </w:p>
    <w:p>
      <w:pPr>
        <w:pStyle w:val="Style34"/>
        <w:keepNext w:val="0"/>
        <w:keepLines w:val="0"/>
        <w:widowControl w:val="0"/>
        <w:shd w:val="clear" w:color="auto" w:fill="auto"/>
        <w:tabs>
          <w:tab w:pos="810" w:val="left"/>
        </w:tabs>
        <w:bidi w:val="0"/>
        <w:spacing w:before="0" w:after="0" w:line="310" w:lineRule="exact"/>
        <w:ind w:left="0" w:right="0"/>
        <w:jc w:val="both"/>
      </w:pPr>
      <w:bookmarkStart w:id="654" w:name="bookmark654"/>
      <w:r>
        <w:rPr>
          <w:color w:val="000000"/>
          <w:spacing w:val="0"/>
          <w:w w:val="100"/>
          <w:position w:val="0"/>
        </w:rPr>
        <w:t>三</w:t>
      </w:r>
      <w:bookmarkEnd w:id="654"/>
      <w:r>
        <w:rPr>
          <w:color w:val="000000"/>
          <w:spacing w:val="0"/>
          <w:w w:val="100"/>
          <w:position w:val="0"/>
        </w:rPr>
        <w:t>、</w:t>
        <w:tab/>
        <w:t>关键审计事项</w:t>
      </w:r>
    </w:p>
    <w:p>
      <w:pPr>
        <w:pStyle w:val="Style34"/>
        <w:keepNext w:val="0"/>
        <w:keepLines w:val="0"/>
        <w:widowControl w:val="0"/>
        <w:shd w:val="clear" w:color="auto" w:fill="auto"/>
        <w:bidi w:val="0"/>
        <w:spacing w:before="0" w:after="100" w:line="310"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2"/>
        <w:keepNext w:val="0"/>
        <w:keepLines w:val="0"/>
        <w:widowControl w:val="0"/>
        <w:shd w:val="clear" w:color="auto" w:fill="auto"/>
        <w:bidi w:val="0"/>
        <w:spacing w:before="0" w:after="0" w:line="240" w:lineRule="auto"/>
        <w:ind w:left="552"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680"/>
        <w:gridCol w:w="4834"/>
      </w:tblGrid>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该事项在审计中是如何应对的</w:t>
            </w:r>
          </w:p>
        </w:tc>
      </w:tr>
      <w:tr>
        <w:trPr>
          <w:trHeight w:val="35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（一）以公允价值计量且其变动计入当期损益的金融资产</w:t>
            </w:r>
          </w:p>
        </w:tc>
      </w:tr>
      <w:tr>
        <w:trPr>
          <w:trHeight w:val="442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302" w:lineRule="exact"/>
              <w:ind w:left="0" w:right="0" w:firstLine="0"/>
              <w:jc w:val="both"/>
            </w:pPr>
            <w:r>
              <w:rPr>
                <w:rFonts w:ascii="SimSun" w:eastAsia="SimSun" w:hAnsi="SimSun" w:cs="SimSun"/>
                <w:color w:val="000000"/>
                <w:spacing w:val="0"/>
                <w:w w:val="100"/>
                <w:position w:val="0"/>
              </w:rPr>
              <w:t>以公允价值计量且其变动计入当期损益的金融资产（以下简 称为</w:t>
            </w:r>
            <w:r>
              <w:rPr>
                <w:color w:val="000000"/>
                <w:spacing w:val="0"/>
                <w:w w:val="100"/>
                <w:position w:val="0"/>
              </w:rPr>
              <w:t>“</w:t>
            </w:r>
            <w:r>
              <w:rPr>
                <w:rFonts w:ascii="SimSun" w:eastAsia="SimSun" w:hAnsi="SimSun" w:cs="SimSun"/>
                <w:color w:val="000000"/>
                <w:spacing w:val="0"/>
                <w:w w:val="100"/>
                <w:position w:val="0"/>
              </w:rPr>
              <w:t>金融资产</w:t>
            </w:r>
            <w:r>
              <w:rPr>
                <w:color w:val="000000"/>
                <w:spacing w:val="0"/>
                <w:w w:val="100"/>
                <w:position w:val="0"/>
              </w:rPr>
              <w:t>”</w:t>
            </w:r>
            <w:r>
              <w:rPr>
                <w:rFonts w:ascii="SimSun" w:eastAsia="SimSun" w:hAnsi="SimSun" w:cs="SimSun"/>
                <w:color w:val="000000"/>
                <w:spacing w:val="0"/>
                <w:w w:val="100"/>
                <w:position w:val="0"/>
              </w:rPr>
              <w:t>）的会计政策请参阅财务报表附注三、（十）。 御银股份金融资产包含交易性金融资产和其他非流动金融 资产，具体如下：</w:t>
            </w:r>
          </w:p>
          <w:p>
            <w:pPr>
              <w:pStyle w:val="Style27"/>
              <w:keepNext w:val="0"/>
              <w:keepLines w:val="0"/>
              <w:widowControl w:val="0"/>
              <w:shd w:val="clear" w:color="auto" w:fill="auto"/>
              <w:tabs>
                <w:tab w:pos="259" w:val="left"/>
              </w:tabs>
              <w:bidi w:val="0"/>
              <w:spacing w:before="0" w:after="0" w:line="36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tab/>
              <w:t>交易性金融资产</w:t>
            </w:r>
          </w:p>
          <w:p>
            <w:pPr>
              <w:pStyle w:val="Style27"/>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交易性金融资产为公司在证券交易公司和基金公司购买的 权益工具投资、债务工具投资等金融资产。</w:t>
            </w:r>
          </w:p>
          <w:p>
            <w:pPr>
              <w:pStyle w:val="Style27"/>
              <w:keepNext w:val="0"/>
              <w:keepLines w:val="0"/>
              <w:widowControl w:val="0"/>
              <w:shd w:val="clear" w:color="auto" w:fill="auto"/>
              <w:bidi w:val="0"/>
              <w:spacing w:before="0" w:after="100" w:line="308" w:lineRule="exact"/>
              <w:ind w:left="0" w:right="0" w:firstLine="0"/>
              <w:jc w:val="both"/>
            </w:pPr>
            <w:r>
              <w:rPr>
                <w:rFonts w:ascii="SimSun" w:eastAsia="SimSun" w:hAnsi="SimSun" w:cs="SimSun"/>
                <w:color w:val="000000"/>
                <w:spacing w:val="0"/>
                <w:w w:val="100"/>
                <w:position w:val="0"/>
              </w:rPr>
              <w:t>如财务报表附注五（二）、（四十一）、（四十二）所述， 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日，御银股份持有的交易性金融资产为 </w:t>
            </w:r>
            <w:r>
              <w:rPr>
                <w:color w:val="000000"/>
                <w:spacing w:val="0"/>
                <w:w w:val="100"/>
                <w:position w:val="0"/>
              </w:rPr>
              <w:t>46,319.15</w:t>
            </w:r>
            <w:r>
              <w:rPr>
                <w:rFonts w:ascii="SimSun" w:eastAsia="SimSun" w:hAnsi="SimSun" w:cs="SimSun"/>
                <w:color w:val="000000"/>
                <w:spacing w:val="0"/>
                <w:w w:val="100"/>
                <w:position w:val="0"/>
              </w:rPr>
              <w:t>万元，计入投资收益</w:t>
            </w:r>
            <w:r>
              <w:rPr>
                <w:color w:val="000000"/>
                <w:spacing w:val="0"/>
                <w:w w:val="100"/>
                <w:position w:val="0"/>
              </w:rPr>
              <w:t>3,019.18</w:t>
            </w:r>
            <w:r>
              <w:rPr>
                <w:rFonts w:ascii="SimSun" w:eastAsia="SimSun" w:hAnsi="SimSun" w:cs="SimSun"/>
                <w:color w:val="000000"/>
                <w:spacing w:val="0"/>
                <w:w w:val="100"/>
                <w:position w:val="0"/>
              </w:rPr>
              <w:t>万元，计入公允价值 变动收益</w:t>
            </w:r>
            <w:r>
              <w:rPr>
                <w:color w:val="000000"/>
                <w:spacing w:val="0"/>
                <w:w w:val="100"/>
                <w:position w:val="0"/>
              </w:rPr>
              <w:t>681.12</w:t>
            </w:r>
            <w:r>
              <w:rPr>
                <w:rFonts w:ascii="SimSun" w:eastAsia="SimSun" w:hAnsi="SimSun" w:cs="SimSun"/>
                <w:color w:val="000000"/>
                <w:spacing w:val="0"/>
                <w:w w:val="100"/>
                <w:position w:val="0"/>
              </w:rPr>
              <w:t>万元。</w:t>
            </w:r>
          </w:p>
          <w:p>
            <w:pPr>
              <w:pStyle w:val="Style27"/>
              <w:keepNext w:val="0"/>
              <w:keepLines w:val="0"/>
              <w:widowControl w:val="0"/>
              <w:shd w:val="clear" w:color="auto" w:fill="auto"/>
              <w:tabs>
                <w:tab w:pos="274" w:val="left"/>
              </w:tabs>
              <w:bidi w:val="0"/>
              <w:spacing w:before="0" w:after="0" w:line="36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其他非流动金融资产</w:t>
            </w:r>
          </w:p>
          <w:p>
            <w:pPr>
              <w:pStyle w:val="Style27"/>
              <w:keepNext w:val="0"/>
              <w:keepLines w:val="0"/>
              <w:widowControl w:val="0"/>
              <w:shd w:val="clear" w:color="auto" w:fill="auto"/>
              <w:bidi w:val="0"/>
              <w:spacing w:before="0" w:after="100" w:line="308" w:lineRule="exact"/>
              <w:ind w:left="0" w:right="0" w:firstLine="0"/>
              <w:jc w:val="both"/>
            </w:pPr>
            <w:r>
              <w:rPr>
                <w:rFonts w:ascii="SimSun" w:eastAsia="SimSun" w:hAnsi="SimSun" w:cs="SimSun"/>
                <w:color w:val="000000"/>
                <w:spacing w:val="0"/>
                <w:w w:val="100"/>
                <w:position w:val="0"/>
              </w:rPr>
              <w:t>其他非流动金融资产为公司持有的非上市公司权益工具投 资。</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针对</w:t>
            </w:r>
            <w:r>
              <w:rPr>
                <w:color w:val="000000"/>
                <w:spacing w:val="0"/>
                <w:w w:val="100"/>
                <w:position w:val="0"/>
              </w:rPr>
              <w:t>“</w:t>
            </w:r>
            <w:r>
              <w:rPr>
                <w:rFonts w:ascii="SimSun" w:eastAsia="SimSun" w:hAnsi="SimSun" w:cs="SimSun"/>
                <w:color w:val="000000"/>
                <w:spacing w:val="0"/>
                <w:w w:val="100"/>
                <w:position w:val="0"/>
              </w:rPr>
              <w:t>金融资产</w:t>
            </w:r>
            <w:r>
              <w:rPr>
                <w:color w:val="000000"/>
                <w:spacing w:val="0"/>
                <w:w w:val="100"/>
                <w:position w:val="0"/>
              </w:rPr>
              <w:t>”</w:t>
            </w:r>
            <w:r>
              <w:rPr>
                <w:rFonts w:ascii="SimSun" w:eastAsia="SimSun" w:hAnsi="SimSun" w:cs="SimSun"/>
                <w:color w:val="000000"/>
                <w:spacing w:val="0"/>
                <w:w w:val="100"/>
                <w:position w:val="0"/>
              </w:rPr>
              <w:t>，我们在审计过程中实施了以下审计程序：</w:t>
            </w:r>
          </w:p>
          <w:p>
            <w:pPr>
              <w:pStyle w:val="Style27"/>
              <w:keepNext w:val="0"/>
              <w:keepLines w:val="0"/>
              <w:widowControl w:val="0"/>
              <w:shd w:val="clear" w:color="auto" w:fill="auto"/>
              <w:tabs>
                <w:tab w:pos="259" w:val="left"/>
              </w:tabs>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交易性金融资产</w:t>
            </w:r>
          </w:p>
          <w:p>
            <w:pPr>
              <w:pStyle w:val="Style27"/>
              <w:keepNext w:val="0"/>
              <w:keepLines w:val="0"/>
              <w:widowControl w:val="0"/>
              <w:shd w:val="clear" w:color="auto" w:fill="auto"/>
              <w:tabs>
                <w:tab w:pos="466" w:val="left"/>
              </w:tabs>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了解和评价御银股份买卖公开市场权益工具投资、债务 工具投资等金融资产相关内部控制设计和运行的有效性；</w:t>
            </w:r>
          </w:p>
          <w:p>
            <w:pPr>
              <w:pStyle w:val="Style27"/>
              <w:keepNext w:val="0"/>
              <w:keepLines w:val="0"/>
              <w:widowControl w:val="0"/>
              <w:shd w:val="clear" w:color="auto" w:fill="auto"/>
              <w:tabs>
                <w:tab w:pos="446"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查阅了御银股份重大的对外投资的股东大会、董事会决 议和相关的会议纪要等资料；</w:t>
            </w:r>
          </w:p>
          <w:p>
            <w:pPr>
              <w:pStyle w:val="Style27"/>
              <w:keepNext w:val="0"/>
              <w:keepLines w:val="0"/>
              <w:widowControl w:val="0"/>
              <w:shd w:val="clear" w:color="auto" w:fill="auto"/>
              <w:tabs>
                <w:tab w:pos="451" w:val="left"/>
              </w:tabs>
              <w:bidi w:val="0"/>
              <w:spacing w:before="0" w:after="0" w:line="31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取得御银股份在证券交易公司和基金公司的开户信息、 交易流水和资金流水等重要资料，并将交易流水和资金流水与 御银股份的会计记录抽样进行核对；</w:t>
            </w:r>
          </w:p>
          <w:p>
            <w:pPr>
              <w:pStyle w:val="Style27"/>
              <w:keepNext w:val="0"/>
              <w:keepLines w:val="0"/>
              <w:widowControl w:val="0"/>
              <w:shd w:val="clear" w:color="auto" w:fill="auto"/>
              <w:tabs>
                <w:tab w:pos="466" w:val="left"/>
              </w:tabs>
              <w:bidi w:val="0"/>
              <w:spacing w:before="0" w:after="0" w:line="326"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向御银股份开户的证券交易公司和基金公司询证金融资 产的余额；</w:t>
            </w:r>
          </w:p>
          <w:p>
            <w:pPr>
              <w:pStyle w:val="Style27"/>
              <w:keepNext w:val="0"/>
              <w:keepLines w:val="0"/>
              <w:widowControl w:val="0"/>
              <w:shd w:val="clear" w:color="auto" w:fill="auto"/>
              <w:tabs>
                <w:tab w:pos="350" w:val="left"/>
              </w:tabs>
              <w:bidi w:val="0"/>
              <w:spacing w:before="0" w:after="0" w:line="31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测试金融资产的交易金额和余额是否正确。</w:t>
            </w:r>
          </w:p>
          <w:p>
            <w:pPr>
              <w:pStyle w:val="Style27"/>
              <w:keepNext w:val="0"/>
              <w:keepLines w:val="0"/>
              <w:widowControl w:val="0"/>
              <w:shd w:val="clear" w:color="auto" w:fill="auto"/>
              <w:tabs>
                <w:tab w:pos="274" w:val="left"/>
              </w:tabs>
              <w:bidi w:val="0"/>
              <w:spacing w:before="0" w:after="0" w:line="31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其他非流动金融资产</w:t>
            </w:r>
          </w:p>
          <w:p>
            <w:pPr>
              <w:pStyle w:val="Style2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）了解和评价御银股份对外投资相关内部控制设计和运行</w:t>
            </w:r>
          </w:p>
        </w:tc>
      </w:tr>
    </w:tbl>
    <w:p>
      <w:pPr>
        <w:widowControl w:val="0"/>
        <w:spacing w:line="1" w:lineRule="exact"/>
      </w:pPr>
    </w:p>
    <w:tbl>
      <w:tblPr>
        <w:tblOverlap w:val="never"/>
        <w:jc w:val="center"/>
        <w:tblLayout w:type="fixed"/>
      </w:tblPr>
      <w:tblGrid>
        <w:gridCol w:w="4680"/>
        <w:gridCol w:w="4834"/>
      </w:tblGrid>
      <w:tr>
        <w:trPr>
          <w:trHeight w:val="285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如财务报表附注五（十）、（四十一）、（四十二）所述， 截止</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日，御银股份持有的其他非流动金融资产 为</w:t>
            </w:r>
            <w:r>
              <w:rPr>
                <w:color w:val="000000"/>
                <w:spacing w:val="0"/>
                <w:w w:val="100"/>
                <w:position w:val="0"/>
              </w:rPr>
              <w:t>38,688.57</w:t>
            </w:r>
            <w:r>
              <w:rPr>
                <w:rFonts w:ascii="SimSun" w:eastAsia="SimSun" w:hAnsi="SimSun" w:cs="SimSun"/>
                <w:color w:val="000000"/>
                <w:spacing w:val="0"/>
                <w:w w:val="100"/>
                <w:position w:val="0"/>
              </w:rPr>
              <w:t>万元，计入投资收益</w:t>
            </w:r>
            <w:r>
              <w:rPr>
                <w:color w:val="000000"/>
                <w:spacing w:val="0"/>
                <w:w w:val="100"/>
                <w:position w:val="0"/>
              </w:rPr>
              <w:t>959.26</w:t>
            </w:r>
            <w:r>
              <w:rPr>
                <w:rFonts w:ascii="SimSun" w:eastAsia="SimSun" w:hAnsi="SimSun" w:cs="SimSun"/>
                <w:color w:val="000000"/>
                <w:spacing w:val="0"/>
                <w:w w:val="100"/>
                <w:position w:val="0"/>
              </w:rPr>
              <w:t>万元，计入公允价值 变动收益</w:t>
            </w:r>
            <w:r>
              <w:rPr>
                <w:color w:val="000000"/>
                <w:spacing w:val="0"/>
                <w:w w:val="100"/>
                <w:position w:val="0"/>
              </w:rPr>
              <w:t>931.51</w:t>
            </w:r>
            <w:r>
              <w:rPr>
                <w:rFonts w:ascii="SimSun" w:eastAsia="SimSun" w:hAnsi="SimSun" w:cs="SimSun"/>
                <w:color w:val="000000"/>
                <w:spacing w:val="0"/>
                <w:w w:val="100"/>
                <w:position w:val="0"/>
              </w:rPr>
              <w:t>万元。</w:t>
            </w:r>
          </w:p>
          <w:p>
            <w:pPr>
              <w:pStyle w:val="Style27"/>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rPr>
              <w:t>由于金融资产金额重大，且公允价值需要管理层作出判断， 我们将其确定为关键审计事项。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4" w:lineRule="exact"/>
              <w:ind w:left="0" w:right="0" w:firstLine="0"/>
              <w:jc w:val="left"/>
            </w:pPr>
            <w:r>
              <w:rPr>
                <w:rFonts w:ascii="SimSun" w:eastAsia="SimSun" w:hAnsi="SimSun" w:cs="SimSun"/>
                <w:color w:val="000000"/>
                <w:spacing w:val="0"/>
                <w:w w:val="100"/>
                <w:position w:val="0"/>
              </w:rPr>
              <w:t>的有效性；</w:t>
            </w:r>
          </w:p>
          <w:p>
            <w:pPr>
              <w:pStyle w:val="Style27"/>
              <w:keepNext w:val="0"/>
              <w:keepLines w:val="0"/>
              <w:widowControl w:val="0"/>
              <w:shd w:val="clear" w:color="auto" w:fill="auto"/>
              <w:tabs>
                <w:tab w:pos="451" w:val="left"/>
              </w:tabs>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查阅了御银股份对外投资的股东大会、董事会决议和相 关的会议纪要等资料；</w:t>
            </w:r>
          </w:p>
          <w:p>
            <w:pPr>
              <w:pStyle w:val="Style27"/>
              <w:keepNext w:val="0"/>
              <w:keepLines w:val="0"/>
              <w:widowControl w:val="0"/>
              <w:shd w:val="clear" w:color="auto" w:fill="auto"/>
              <w:tabs>
                <w:tab w:pos="451"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取得公司对外投资的投资合同、出资银行回单等重要资 料与御银股份的会计记录进行核对；</w:t>
            </w:r>
          </w:p>
          <w:p>
            <w:pPr>
              <w:pStyle w:val="Style27"/>
              <w:keepNext w:val="0"/>
              <w:keepLines w:val="0"/>
              <w:widowControl w:val="0"/>
              <w:shd w:val="clear" w:color="auto" w:fill="auto"/>
              <w:tabs>
                <w:tab w:pos="451" w:val="left"/>
              </w:tabs>
              <w:bidi w:val="0"/>
              <w:spacing w:before="0" w:after="0" w:line="322"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查看被投资企业的工商登记信息，与御银股份记录的持 有的被投资企业的权益投资信息进行核对；</w:t>
            </w:r>
          </w:p>
          <w:p>
            <w:pPr>
              <w:pStyle w:val="Style27"/>
              <w:keepNext w:val="0"/>
              <w:keepLines w:val="0"/>
              <w:widowControl w:val="0"/>
              <w:shd w:val="clear" w:color="auto" w:fill="auto"/>
              <w:tabs>
                <w:tab w:pos="451" w:val="left"/>
              </w:tabs>
              <w:bidi w:val="0"/>
              <w:spacing w:before="0" w:after="0" w:line="326"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tab/>
              <w:t>获取公司确定公允价值计量的方法和依据，分析判断其 恰当性。</w:t>
            </w:r>
          </w:p>
        </w:tc>
      </w:tr>
    </w:tbl>
    <w:p>
      <w:pPr>
        <w:pStyle w:val="Style34"/>
        <w:keepNext w:val="0"/>
        <w:keepLines w:val="0"/>
        <w:widowControl w:val="0"/>
        <w:shd w:val="clear" w:color="auto" w:fill="auto"/>
        <w:tabs>
          <w:tab w:pos="815" w:val="left"/>
        </w:tabs>
        <w:bidi w:val="0"/>
        <w:spacing w:before="0" w:after="0" w:line="313" w:lineRule="exact"/>
        <w:ind w:left="0" w:right="0"/>
        <w:jc w:val="both"/>
      </w:pPr>
      <w:bookmarkStart w:id="655" w:name="bookmark655"/>
      <w:r>
        <w:rPr>
          <w:color w:val="000000"/>
          <w:spacing w:val="0"/>
          <w:w w:val="100"/>
          <w:position w:val="0"/>
        </w:rPr>
        <w:t>四</w:t>
      </w:r>
      <w:bookmarkEnd w:id="655"/>
      <w:r>
        <w:rPr>
          <w:color w:val="000000"/>
          <w:spacing w:val="0"/>
          <w:w w:val="100"/>
          <w:position w:val="0"/>
        </w:rPr>
        <w:t>、</w:t>
        <w:tab/>
        <w:t>其他信息</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御银股份管理层（以下简称管理层）对其他信息负责。其他信息包括御银股份</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 财务报表和我们的审计报告。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4"/>
        <w:keepNext w:val="0"/>
        <w:keepLines w:val="0"/>
        <w:widowControl w:val="0"/>
        <w:shd w:val="clear" w:color="auto" w:fill="auto"/>
        <w:tabs>
          <w:tab w:pos="815" w:val="left"/>
        </w:tabs>
        <w:bidi w:val="0"/>
        <w:spacing w:before="0" w:after="0" w:line="313" w:lineRule="exact"/>
        <w:ind w:left="0" w:right="0"/>
        <w:jc w:val="both"/>
      </w:pPr>
      <w:bookmarkStart w:id="656" w:name="bookmark656"/>
      <w:r>
        <w:rPr>
          <w:color w:val="000000"/>
          <w:spacing w:val="0"/>
          <w:w w:val="100"/>
          <w:position w:val="0"/>
        </w:rPr>
        <w:t>五</w:t>
      </w:r>
      <w:bookmarkEnd w:id="656"/>
      <w:r>
        <w:rPr>
          <w:color w:val="000000"/>
          <w:spacing w:val="0"/>
          <w:w w:val="100"/>
          <w:position w:val="0"/>
        </w:rPr>
        <w:t>、</w:t>
        <w:tab/>
        <w:t>管理层和治理层对财务报表的责任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在编制财务报表时，管理层负责评估御银股份的持续经营能力，披露与持续经营相关的事项（如适用），并运用持续经 营假设，除非计划进行清算、终止运营或别无其他现实的选择。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治理层负责监督御银股份的财务报告过程。</w:t>
      </w:r>
    </w:p>
    <w:p>
      <w:pPr>
        <w:pStyle w:val="Style34"/>
        <w:keepNext w:val="0"/>
        <w:keepLines w:val="0"/>
        <w:widowControl w:val="0"/>
        <w:shd w:val="clear" w:color="auto" w:fill="auto"/>
        <w:tabs>
          <w:tab w:pos="815" w:val="left"/>
        </w:tabs>
        <w:bidi w:val="0"/>
        <w:spacing w:before="0" w:after="0" w:line="313" w:lineRule="exact"/>
        <w:ind w:left="0" w:right="0"/>
        <w:jc w:val="both"/>
      </w:pPr>
      <w:bookmarkStart w:id="657" w:name="bookmark657"/>
      <w:r>
        <w:rPr>
          <w:color w:val="000000"/>
          <w:spacing w:val="0"/>
          <w:w w:val="100"/>
          <w:position w:val="0"/>
        </w:rPr>
        <w:t>六</w:t>
      </w:r>
      <w:bookmarkEnd w:id="657"/>
      <w:r>
        <w:rPr>
          <w:color w:val="000000"/>
          <w:spacing w:val="0"/>
          <w:w w:val="100"/>
          <w:position w:val="0"/>
        </w:rPr>
        <w:t>、</w:t>
        <w:tab/>
        <w:t>注册会计师对财务报表审计的责任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4"/>
        <w:keepNext w:val="0"/>
        <w:keepLines w:val="0"/>
        <w:widowControl w:val="0"/>
        <w:shd w:val="clear" w:color="auto" w:fill="auto"/>
        <w:tabs>
          <w:tab w:pos="978" w:val="left"/>
        </w:tabs>
        <w:bidi w:val="0"/>
        <w:spacing w:before="0" w:after="0" w:line="313" w:lineRule="exact"/>
        <w:ind w:left="0" w:right="0"/>
        <w:jc w:val="both"/>
      </w:pPr>
      <w:bookmarkStart w:id="658" w:name="bookmark658"/>
      <w:r>
        <w:rPr>
          <w:color w:val="000000"/>
          <w:spacing w:val="0"/>
          <w:w w:val="100"/>
          <w:position w:val="0"/>
        </w:rPr>
        <w:t>（</w:t>
      </w:r>
      <w:bookmarkEnd w:id="658"/>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4"/>
        <w:keepNext w:val="0"/>
        <w:keepLines w:val="0"/>
        <w:widowControl w:val="0"/>
        <w:shd w:val="clear" w:color="auto" w:fill="auto"/>
        <w:tabs>
          <w:tab w:pos="902" w:val="left"/>
        </w:tabs>
        <w:bidi w:val="0"/>
        <w:spacing w:before="0" w:after="0" w:line="313" w:lineRule="exact"/>
        <w:ind w:left="0" w:right="0"/>
        <w:jc w:val="both"/>
      </w:pPr>
      <w:bookmarkStart w:id="659" w:name="bookmark659"/>
      <w:r>
        <w:rPr>
          <w:color w:val="000000"/>
          <w:spacing w:val="0"/>
          <w:w w:val="100"/>
          <w:position w:val="0"/>
        </w:rPr>
        <w:t>（</w:t>
      </w:r>
      <w:bookmarkEnd w:id="659"/>
      <w:r>
        <w:rPr>
          <w:color w:val="000000"/>
          <w:spacing w:val="0"/>
          <w:w w:val="100"/>
          <w:position w:val="0"/>
        </w:rPr>
        <w:t>二）</w:t>
        <w:tab/>
        <w:t>了解与审计相关的内部控制，以设计恰当的审计程序，但目的并非对内部控制的有效性发表意见。</w:t>
      </w:r>
    </w:p>
    <w:p>
      <w:pPr>
        <w:pStyle w:val="Style34"/>
        <w:keepNext w:val="0"/>
        <w:keepLines w:val="0"/>
        <w:widowControl w:val="0"/>
        <w:shd w:val="clear" w:color="auto" w:fill="auto"/>
        <w:tabs>
          <w:tab w:pos="902" w:val="left"/>
        </w:tabs>
        <w:bidi w:val="0"/>
        <w:spacing w:before="0" w:after="0" w:line="313" w:lineRule="exact"/>
        <w:ind w:left="0" w:right="0"/>
        <w:jc w:val="both"/>
      </w:pPr>
      <w:bookmarkStart w:id="660" w:name="bookmark660"/>
      <w:r>
        <w:rPr>
          <w:color w:val="000000"/>
          <w:spacing w:val="0"/>
          <w:w w:val="100"/>
          <w:position w:val="0"/>
        </w:rPr>
        <w:t>（</w:t>
      </w:r>
      <w:bookmarkEnd w:id="660"/>
      <w:r>
        <w:rPr>
          <w:color w:val="000000"/>
          <w:spacing w:val="0"/>
          <w:w w:val="100"/>
          <w:position w:val="0"/>
        </w:rPr>
        <w:t>三）</w:t>
        <w:tab/>
        <w:t>评价管理层选用会计政策的恰当性和作出会计估计及相关披露的合理性。</w:t>
      </w:r>
    </w:p>
    <w:p>
      <w:pPr>
        <w:pStyle w:val="Style34"/>
        <w:keepNext w:val="0"/>
        <w:keepLines w:val="0"/>
        <w:widowControl w:val="0"/>
        <w:shd w:val="clear" w:color="auto" w:fill="auto"/>
        <w:tabs>
          <w:tab w:pos="978" w:val="left"/>
        </w:tabs>
        <w:bidi w:val="0"/>
        <w:spacing w:before="0" w:after="0" w:line="313" w:lineRule="exact"/>
        <w:ind w:left="0" w:right="0"/>
        <w:jc w:val="both"/>
      </w:pPr>
      <w:bookmarkStart w:id="661" w:name="bookmark661"/>
      <w:r>
        <w:rPr>
          <w:color w:val="000000"/>
          <w:spacing w:val="0"/>
          <w:w w:val="100"/>
          <w:position w:val="0"/>
        </w:rPr>
        <w:t>（</w:t>
      </w:r>
      <w:bookmarkEnd w:id="661"/>
      <w:r>
        <w:rPr>
          <w:color w:val="000000"/>
          <w:spacing w:val="0"/>
          <w:w w:val="100"/>
          <w:position w:val="0"/>
        </w:rPr>
        <w:t>四）</w:t>
        <w:tab/>
        <w:t>对管理层使用持续经营假设的恰当性得出结论。同时，根据获取的审计证据，就可能导致对御银股份持续经营能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于截至审计报告日可获得的信息。然而，未来的事项或情况可能导致御银股份不能持续经营。</w:t>
      </w:r>
    </w:p>
    <w:p>
      <w:pPr>
        <w:pStyle w:val="Style34"/>
        <w:keepNext w:val="0"/>
        <w:keepLines w:val="0"/>
        <w:widowControl w:val="0"/>
        <w:shd w:val="clear" w:color="auto" w:fill="auto"/>
        <w:tabs>
          <w:tab w:pos="902" w:val="left"/>
        </w:tabs>
        <w:bidi w:val="0"/>
        <w:spacing w:before="0" w:after="0" w:line="313" w:lineRule="exact"/>
        <w:ind w:left="0" w:right="0"/>
        <w:jc w:val="both"/>
      </w:pPr>
      <w:bookmarkStart w:id="662" w:name="bookmark662"/>
      <w:r>
        <w:rPr>
          <w:color w:val="000000"/>
          <w:spacing w:val="0"/>
          <w:w w:val="100"/>
          <w:position w:val="0"/>
        </w:rPr>
        <w:t>（</w:t>
      </w:r>
      <w:bookmarkEnd w:id="662"/>
      <w:r>
        <w:rPr>
          <w:color w:val="000000"/>
          <w:spacing w:val="0"/>
          <w:w w:val="100"/>
          <w:position w:val="0"/>
        </w:rPr>
        <w:t>五）</w:t>
        <w:tab/>
        <w:t>评价财务报表的总体列报（包括披露）、结构和内容，并评价财务报表是否公允反映相关交易和事项。</w:t>
      </w:r>
    </w:p>
    <w:p>
      <w:pPr>
        <w:pStyle w:val="Style34"/>
        <w:keepNext w:val="0"/>
        <w:keepLines w:val="0"/>
        <w:widowControl w:val="0"/>
        <w:shd w:val="clear" w:color="auto" w:fill="auto"/>
        <w:tabs>
          <w:tab w:pos="974" w:val="left"/>
        </w:tabs>
        <w:bidi w:val="0"/>
        <w:spacing w:before="0" w:after="0" w:line="313" w:lineRule="exact"/>
        <w:ind w:left="0" w:right="0"/>
        <w:jc w:val="both"/>
      </w:pPr>
      <w:bookmarkStart w:id="663" w:name="bookmark663"/>
      <w:r>
        <w:rPr>
          <w:color w:val="000000"/>
          <w:spacing w:val="0"/>
          <w:w w:val="100"/>
          <w:position w:val="0"/>
        </w:rPr>
        <w:t>（</w:t>
      </w:r>
      <w:bookmarkEnd w:id="663"/>
      <w:r>
        <w:rPr>
          <w:color w:val="000000"/>
          <w:spacing w:val="0"/>
          <w:w w:val="100"/>
          <w:position w:val="0"/>
        </w:rPr>
        <w:t>六）</w:t>
        <w:tab/>
        <w:t>就御银股份中实体或业务活动的财务信息获取充分、适当的审计证据，以对合并财务报表发表审计意见。我们负 责指导、监督和执行集团审计，并对审计意见承担全部责任。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w:t>
        <w:br w:type="page"/>
      </w:r>
      <w:r>
        <w:rPr>
          <w:color w:val="000000"/>
          <w:spacing w:val="0"/>
          <w:w w:val="100"/>
          <w:position w:val="0"/>
        </w:rPr>
        <w:t>有关系和其他事项，以及相关的防范措施（如适用）。</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（此页无正文）</w:t>
      </w:r>
    </w:p>
    <w:p>
      <w:pPr>
        <w:widowControl w:val="0"/>
        <w:spacing w:line="1" w:lineRule="exact"/>
      </w:pPr>
      <w:r>
        <mc:AlternateContent>
          <mc:Choice Requires="wps">
            <w:drawing>
              <wp:anchor distT="774700" distB="0" distL="0" distR="0" simplePos="0" relativeHeight="125829380" behindDoc="0" locked="0" layoutInCell="1" allowOverlap="1">
                <wp:simplePos x="0" y="0"/>
                <wp:positionH relativeFrom="page">
                  <wp:posOffset>1685290</wp:posOffset>
                </wp:positionH>
                <wp:positionV relativeFrom="paragraph">
                  <wp:posOffset>774700</wp:posOffset>
                </wp:positionV>
                <wp:extent cx="941705" cy="323215"/>
                <wp:wrapTopAndBottom/>
                <wp:docPr id="15" name="Shape 15"/>
                <a:graphic xmlns:a="http://schemas.openxmlformats.org/drawingml/2006/main">
                  <a:graphicData uri="http://schemas.microsoft.com/office/word/2010/wordprocessingShape">
                    <wps:wsp>
                      <wps:cNvSpPr txBox="1"/>
                      <wps:spPr>
                        <a:xfrm>
                          <a:ext cx="941705" cy="323215"/>
                        </a:xfrm>
                        <a:prstGeom prst="rect"/>
                        <a:noFill/>
                      </wps:spPr>
                      <wps:txbx>
                        <w:txbxContent>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立信会计师事务所</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041" type="#_x0000_t202" style="position:absolute;margin-left:132.69999999999999pt;margin-top:61.pt;width:74.150000000000006pt;height:25.449999999999999pt;z-index:-125829373;mso-wrap-distance-left:0;mso-wrap-distance-top:61.pt;mso-wrap-distance-right:0;mso-position-horizontal-relative:page" filled="f" stroked="f">
                <v:textbox inset="0,0,0,0">
                  <w:txbxContent>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立信会计师事务所</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774700" distB="179705" distL="0" distR="0" simplePos="0" relativeHeight="125829382" behindDoc="0" locked="0" layoutInCell="1" allowOverlap="1">
                <wp:simplePos x="0" y="0"/>
                <wp:positionH relativeFrom="page">
                  <wp:posOffset>4184650</wp:posOffset>
                </wp:positionH>
                <wp:positionV relativeFrom="paragraph">
                  <wp:posOffset>774700</wp:posOffset>
                </wp:positionV>
                <wp:extent cx="1957070" cy="143510"/>
                <wp:wrapTopAndBottom/>
                <wp:docPr id="17" name="Shape 17"/>
                <a:graphic xmlns:a="http://schemas.openxmlformats.org/drawingml/2006/main">
                  <a:graphicData uri="http://schemas.microsoft.com/office/word/2010/wordprocessingShape">
                    <wps:wsp>
                      <wps:cNvSpPr txBox="1"/>
                      <wps:spPr>
                        <a:xfrm>
                          <a:ext cx="1957070" cy="14351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中国注册会计师：张宁（项目合伙人）</w:t>
                            </w:r>
                          </w:p>
                        </w:txbxContent>
                      </wps:txbx>
                      <wps:bodyPr wrap="none" lIns="0" tIns="0" rIns="0" bIns="0">
                        <a:noAutoFit/>
                      </wps:bodyPr>
                    </wps:wsp>
                  </a:graphicData>
                </a:graphic>
              </wp:anchor>
            </w:drawing>
          </mc:Choice>
          <mc:Fallback>
            <w:pict>
              <v:shape id="_x0000_s1043" type="#_x0000_t202" style="position:absolute;margin-left:329.5pt;margin-top:61.pt;width:154.09999999999999pt;height:11.300000000000001pt;z-index:-125829371;mso-wrap-distance-left:0;mso-wrap-distance-top:61.pt;mso-wrap-distance-right:0;mso-wrap-distance-bottom:14.1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中国注册会计师：张宁（项目合伙人）</w:t>
                      </w:r>
                    </w:p>
                  </w:txbxContent>
                </v:textbox>
                <w10:wrap type="topAndBottom" anchorx="page"/>
              </v:shape>
            </w:pict>
          </mc:Fallback>
        </mc:AlternateContent>
      </w:r>
    </w:p>
    <w:p>
      <w:pPr>
        <w:pStyle w:val="Style34"/>
        <w:keepNext w:val="0"/>
        <w:keepLines w:val="0"/>
        <w:widowControl w:val="0"/>
        <w:shd w:val="clear" w:color="auto" w:fill="auto"/>
        <w:bidi w:val="0"/>
        <w:spacing w:before="0" w:after="780" w:line="240" w:lineRule="auto"/>
        <w:ind w:left="5500" w:right="0" w:firstLine="0"/>
        <w:jc w:val="left"/>
      </w:pPr>
      <w:r>
        <w:rPr>
          <w:color w:val="000000"/>
          <w:spacing w:val="0"/>
          <w:w w:val="100"/>
          <w:position w:val="0"/>
        </w:rPr>
        <w:t>中国注册会计师：漆江燕</w:t>
      </w:r>
    </w:p>
    <w:p>
      <w:pPr>
        <w:pStyle w:val="Style34"/>
        <w:keepNext w:val="0"/>
        <w:keepLines w:val="0"/>
        <w:widowControl w:val="0"/>
        <w:shd w:val="clear" w:color="auto" w:fill="auto"/>
        <w:bidi w:val="0"/>
        <w:spacing w:before="0" w:after="0" w:line="240" w:lineRule="auto"/>
        <w:ind w:left="550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 xml:space="preserve">上海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br w:type="page"/>
      </w:r>
    </w:p>
    <w:p>
      <w:pPr>
        <w:pStyle w:val="Style30"/>
        <w:keepNext/>
        <w:keepLines/>
        <w:widowControl w:val="0"/>
        <w:shd w:val="clear" w:color="auto" w:fill="auto"/>
        <w:bidi w:val="0"/>
        <w:spacing w:before="0" w:after="360" w:line="240" w:lineRule="auto"/>
        <w:ind w:left="0" w:right="0" w:firstLine="0"/>
        <w:jc w:val="left"/>
      </w:pPr>
      <w:bookmarkStart w:id="664" w:name="bookmark664"/>
      <w:bookmarkStart w:id="665" w:name="bookmark665"/>
      <w:bookmarkStart w:id="666" w:name="bookmark666"/>
      <w:r>
        <w:rPr>
          <w:color w:val="000000"/>
          <w:spacing w:val="0"/>
          <w:w w:val="100"/>
          <w:position w:val="0"/>
          <w:sz w:val="24"/>
          <w:szCs w:val="24"/>
        </w:rPr>
        <w:t>二、财务报表</w:t>
      </w:r>
      <w:bookmarkEnd w:id="664"/>
      <w:bookmarkEnd w:id="665"/>
      <w:bookmarkEnd w:id="66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8"/>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、合并资产负债表</w:t>
      </w:r>
      <w:bookmarkEnd w:id="667"/>
      <w:bookmarkEnd w:id="668"/>
      <w:bookmarkEnd w:id="670"/>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编制单位：广州御银科技股份有限公司</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119,734,134.06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160,027,914.03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463,191,455.04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415,664,143.59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27,487,152.78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56,432,311.35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775,249.59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1,299,932.76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2,638,990.98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4,222,143.64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13,833,389.14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37,919,744.75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9,640,779.78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10,010,147.42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6,546,851.78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4,530,988.81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643,848,003.15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690,107,326.35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8,488,956.41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377,570,619.87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424,136,291.09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430,588,618.53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127,558,631.76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136,495,601.12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114,466,368.42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36,408,272.65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55,303,750.99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60,629,621.71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9,317,807.33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10,127,243.82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16,850,030.89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24,657,294.81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1,834,241.34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1,893,141.74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1,136,352,824.29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1,086,859,370.66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1,780,200,827.44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1,776,966,697.01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26,282,451.04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24,690,241.90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37,243,402.34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10,715,839.39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2,292,435.83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5,118,320.87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2,885,483.59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3,027,566.52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17,898,090.95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45,244,596.58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8,336,694.54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4,410,404.98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4,759,425.37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7,152,200.97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73,170,420.71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126,886,734.16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8,657,564.96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6,773,800.00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890,246.21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1,890,246.21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15,571,880.87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75,060,666.92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142,458,615.03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761,191,294.00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29,679,547.28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30,679,547.28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14,727.19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139,545.03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85,902,615.19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828,351,976.86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777,926,028.96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1,705,140,160.52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1,634,508,081.98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1,705,140,160.52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1,634,508,081.98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1,780,200,827.44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1,776,966,697.01</w:t>
            </w:r>
          </w:p>
        </w:tc>
      </w:tr>
    </w:tbl>
    <w:p>
      <w:pPr>
        <w:pStyle w:val="Style38"/>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9705" simplePos="0" relativeHeight="125829384" behindDoc="0" locked="0" layoutInCell="1" allowOverlap="1">
                <wp:simplePos x="0" y="0"/>
                <wp:positionH relativeFrom="page">
                  <wp:posOffset>708660</wp:posOffset>
                </wp:positionH>
                <wp:positionV relativeFrom="margin">
                  <wp:posOffset>2051050</wp:posOffset>
                </wp:positionV>
                <wp:extent cx="938530" cy="149225"/>
                <wp:wrapTopAndBottom/>
                <wp:docPr id="19" name="Shape 1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法定代表人：谭骅</w:t>
                            </w:r>
                          </w:p>
                        </w:txbxContent>
                      </wps:txbx>
                      <wps:bodyPr wrap="none" lIns="0" tIns="0" rIns="0" bIns="0">
                        <a:noAutoFit/>
                      </wps:bodyPr>
                    </wps:wsp>
                  </a:graphicData>
                </a:graphic>
              </wp:anchor>
            </w:drawing>
          </mc:Choice>
          <mc:Fallback>
            <w:pict>
              <v:shape id="_x0000_s1045" type="#_x0000_t202" style="position:absolute;margin-left:55.800000000000004pt;margin-top:161.5pt;width:73.900000000000006pt;height:11.75pt;z-index:-125829369;mso-wrap-distance-left:9.pt;mso-wrap-distance-top:12.pt;mso-wrap-distance-right:414.15000000000003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法定代表人：谭骅</w:t>
                      </w:r>
                    </w:p>
                  </w:txbxContent>
                </v:textbox>
                <w10:wrap type="topAndBottom" anchorx="page" anchory="margin"/>
              </v:shape>
            </w:pict>
          </mc:Fallback>
        </mc:AlternateContent>
      </w:r>
      <w:r>
        <mc:AlternateContent>
          <mc:Choice Requires="wps">
            <w:drawing>
              <wp:anchor distT="152400" distB="3175" distL="2232660" distR="2571115" simplePos="0" relativeHeight="125829386" behindDoc="0" locked="0" layoutInCell="1" allowOverlap="1">
                <wp:simplePos x="0" y="0"/>
                <wp:positionH relativeFrom="page">
                  <wp:posOffset>2827020</wp:posOffset>
                </wp:positionH>
                <wp:positionV relativeFrom="margin">
                  <wp:posOffset>2051050</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wps:txbx>
                      <wps:bodyPr wrap="none" lIns="0" tIns="0" rIns="0" bIns="0">
                        <a:noAutoFit/>
                      </wps:bodyPr>
                    </wps:wsp>
                  </a:graphicData>
                </a:graphic>
              </wp:anchor>
            </w:drawing>
          </mc:Choice>
          <mc:Fallback>
            <w:pict>
              <v:shape id="_x0000_s1047" type="#_x0000_t202" style="position:absolute;margin-left:222.59999999999999pt;margin-top:161.5pt;width:118.8pt;height:11.5pt;z-index:-125829367;mso-wrap-distance-left:175.80000000000001pt;mso-wrap-distance-top:12.pt;mso-wrap-distance-right:202.45000000000002pt;mso-wrap-distance-bottom:0.25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txbxContent>
                </v:textbox>
                <w10:wrap type="topAndBottom" anchorx="page" anchory="margin"/>
              </v:shape>
            </w:pict>
          </mc:Fallback>
        </mc:AlternateContent>
      </w:r>
      <w:r>
        <mc:AlternateContent>
          <mc:Choice Requires="wps">
            <w:drawing>
              <wp:anchor distT="152400" distB="0" distL="4911725" distR="114300" simplePos="0" relativeHeight="125829388" behindDoc="0" locked="0" layoutInCell="1" allowOverlap="1">
                <wp:simplePos x="0" y="0"/>
                <wp:positionH relativeFrom="page">
                  <wp:posOffset>5506085</wp:posOffset>
                </wp:positionH>
                <wp:positionV relativeFrom="margin">
                  <wp:posOffset>2051050</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wps:txbx>
                      <wps:bodyPr wrap="none" lIns="0" tIns="0" rIns="0" bIns="0">
                        <a:noAutoFit/>
                      </wps:bodyPr>
                    </wps:wsp>
                  </a:graphicData>
                </a:graphic>
              </wp:anchor>
            </w:drawing>
          </mc:Choice>
          <mc:Fallback>
            <w:pict>
              <v:shape id="_x0000_s1049" type="#_x0000_t202" style="position:absolute;margin-left:433.55000000000001pt;margin-top:161.5pt;width:101.3pt;height:11.75pt;z-index:-125829365;mso-wrap-distance-left:386.75pt;mso-wrap-distance-top:12.pt;mso-wrap-distance-right:9.pt;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txbxContent>
                </v:textbox>
                <w10:wrap type="topAndBottom" anchorx="page" anchory="margin"/>
              </v:shape>
            </w:pict>
          </mc:Fallback>
        </mc:AlternateContent>
      </w: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、母公司资产负债表</w:t>
      </w:r>
      <w:bookmarkEnd w:id="671"/>
      <w:bookmarkEnd w:id="672"/>
      <w:bookmarkEnd w:id="67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36,815,899.88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114,849,897.00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365,050,710.15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361,129,999.55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28,216,191.68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72,560,212.52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757,324.64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1,176,113.62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72,837,492.47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113,602,176.99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9,203,749.10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30,743,470.90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5,381,462.43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8,459,775.44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518,265,361.12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702,524,176.79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4,229,639.07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363,384,897.19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455,384,897.19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384,120,561.67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368,779,619.87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259,803,751.74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266,715,048.30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44,497,465.31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51,359,113.54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34,264,215.25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38,505,201.35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1,138,931.99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281,102.89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14,137,776.91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22,051,149.45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189,908.26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1,101,387,600.06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1,207,495,679.92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1,619,652,961.18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1,910,019,856.71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12,181,048.82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27,499,085.59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34,026,938.73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10,424,311.24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847,669.94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1,518,591.56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759,446.79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611,559.39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66,386,616.47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520,897,466.80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5,011,253.90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2,605,097.38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4,360,092.09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6,083,107.78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99,970,439.25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593,241,847.23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5,129,385.54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6,700,600.00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2,510,559.21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85,545.98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2,510,559.21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11,915,531.52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102,480,998.46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605,157,378.75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761,191,294.00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761,191,294.00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28,679,547.28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29,679,547.28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85,902,615.19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64,571,666.71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641,398,506.25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449,419,969.97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1,517,171,962.72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1,304,862,477.96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1,619,652,961.18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1,910,019,856.71</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、合并利润表</w:t>
      </w:r>
      <w:bookmarkEnd w:id="675"/>
      <w:bookmarkEnd w:id="676"/>
      <w:bookmarkEnd w:id="67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182,349,931.14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214,061,979.32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182,349,931.14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214,061,979.32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161,170,224.28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216,989,567.02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84,983,817.19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109,013,804.49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5,886,512.53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pPr>
            <w:r>
              <w:rPr>
                <w:color w:val="000000"/>
                <w:spacing w:val="0"/>
                <w:w w:val="100"/>
                <w:position w:val="0"/>
              </w:rPr>
              <w:t>8,024,931.40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17,728,625.40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31,110,274.36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31,008,432.02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35,784,893.47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19,273,372.00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30,476,536.43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2,289,465.14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2,579,126.87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1,756,014.97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pPr>
            <w:r>
              <w:rPr>
                <w:color w:val="000000"/>
                <w:spacing w:val="0"/>
                <w:w w:val="100"/>
                <w:position w:val="0"/>
              </w:rPr>
              <w:t>3,289,589.15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6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290,698.74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3,744,038.17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80" w:right="0" w:firstLine="0"/>
              <w:jc w:val="both"/>
            </w:pPr>
            <w:r>
              <w:rPr>
                <w:color w:val="000000"/>
                <w:spacing w:val="0"/>
                <w:w w:val="100"/>
                <w:position w:val="0"/>
              </w:rPr>
              <w:t>5,936,918.40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39,784,411.77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95,832,141.25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rFonts w:ascii="SimSun" w:eastAsia="SimSun" w:hAnsi="SimSun" w:cs="SimSun"/>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1100" w:right="0" w:firstLine="0"/>
              <w:jc w:val="left"/>
            </w:pPr>
            <w:r>
              <w:rPr>
                <w:rFonts w:ascii="SimSun" w:eastAsia="SimSun" w:hAnsi="SimSun" w:cs="SimSun"/>
                <w:color w:val="000000"/>
                <w:spacing w:val="0"/>
                <w:w w:val="100"/>
                <w:position w:val="0"/>
              </w:rPr>
              <w:t>以摊余成本计量的金融</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4" w:lineRule="exact"/>
              <w:ind w:left="0" w:right="0" w:firstLine="740"/>
              <w:jc w:val="both"/>
            </w:pPr>
            <w:r>
              <w:rPr>
                <w:rFonts w:ascii="SimSun" w:eastAsia="SimSun" w:hAnsi="SimSun" w:cs="SimSun"/>
                <w:color w:val="000000"/>
                <w:spacing w:val="0"/>
                <w:w w:val="100"/>
                <w:position w:val="0"/>
              </w:rPr>
              <w:t xml:space="preserve">公允价值变动收益（损失以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16,126,297.84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-2,398,769.98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11,196,957.42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-8,456,971.95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-10,674,981.18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-12,327,002.75</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资产处置收益（损失以号填 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-4,765,903.19</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81,645,726.79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70,892,824.08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342,276.41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781,063.49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1,674,112.60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1,284,342.87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80,313,890.60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70,389,544.70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8,556,994.22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4,737,832.63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65,651,712.07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65,651,712.07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65,651,712.07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-124,817.84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color w:val="000000"/>
                <w:spacing w:val="0"/>
                <w:w w:val="100"/>
                <w:position w:val="0"/>
              </w:rPr>
              <w:t>46,194.87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200"/>
              <w:jc w:val="left"/>
            </w:pPr>
            <w:r>
              <w:rPr>
                <w:rFonts w:ascii="SimSun" w:eastAsia="SimSun" w:hAnsi="SimSun" w:cs="SimSun"/>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-124,817.84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color w:val="000000"/>
                <w:spacing w:val="0"/>
                <w:w w:val="100"/>
                <w:position w:val="0"/>
              </w:rPr>
              <w:t>46,194.87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-124,817.84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color w:val="000000"/>
                <w:spacing w:val="0"/>
                <w:w w:val="100"/>
                <w:position w:val="0"/>
              </w:rPr>
              <w:t>46,194.87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4.</w:t>
            </w:r>
            <w:r>
              <w:rPr>
                <w:rFonts w:ascii="SimSun" w:eastAsia="SimSun" w:hAnsi="SimSun" w:cs="SimSun"/>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46,194.87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200"/>
              <w:jc w:val="left"/>
            </w:pPr>
            <w:r>
              <w:rPr>
                <w:rFonts w:ascii="SimSun" w:eastAsia="SimSun" w:hAnsi="SimSun" w:cs="SimSun"/>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71,632,078.54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65,697,906.94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71,632,078.54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65,697,906.94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0.0862</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-1,269,015.62</w:t>
      </w:r>
      <w:r>
        <w:rPr>
          <w:color w:val="000000"/>
          <w:spacing w:val="0"/>
          <w:w w:val="100"/>
          <w:position w:val="0"/>
        </w:rPr>
        <w:t>元，上期被合并方实现的净利润为：</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-1,625,999.47 </w:t>
      </w:r>
      <w:r>
        <w:rPr>
          <w:rFonts w:ascii="SimSun" w:eastAsia="SimSun" w:hAnsi="SimSun" w:cs="SimSun"/>
          <w:color w:val="000000"/>
          <w:spacing w:val="0"/>
          <w:w w:val="100"/>
          <w:position w:val="0"/>
        </w:rPr>
        <w:t>元。</w:t>
      </w:r>
    </w:p>
    <w:p>
      <w:pPr>
        <w:pStyle w:val="Style34"/>
        <w:keepNext w:val="0"/>
        <w:keepLines w:val="0"/>
        <w:widowControl w:val="0"/>
        <w:shd w:val="clear" w:color="auto" w:fill="auto"/>
        <w:tabs>
          <w:tab w:pos="3283" w:val="left"/>
          <w:tab w:pos="7550" w:val="left"/>
        </w:tabs>
        <w:bidi w:val="0"/>
        <w:spacing w:before="0" w:after="380" w:line="240" w:lineRule="auto"/>
        <w:ind w:left="0" w:right="0" w:firstLine="0"/>
        <w:jc w:val="left"/>
      </w:pPr>
      <w:r>
        <w:rPr>
          <w:color w:val="000000"/>
          <w:spacing w:val="0"/>
          <w:w w:val="100"/>
          <w:position w:val="0"/>
        </w:rPr>
        <w:t>法定代表人：谭骅</w:t>
        <w:tab/>
        <w:t>主管会计工作负责人：陈国军</w:t>
        <w:tab/>
        <w:t>会计机构负责人：陈国军</w:t>
      </w:r>
    </w:p>
    <w:p>
      <w:pPr>
        <w:pStyle w:val="Style38"/>
        <w:keepNext/>
        <w:keepLines/>
        <w:widowControl w:val="0"/>
        <w:shd w:val="clear" w:color="auto" w:fill="auto"/>
        <w:bidi w:val="0"/>
        <w:spacing w:before="0" w:after="3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、母公司利润表</w:t>
      </w:r>
      <w:bookmarkEnd w:id="679"/>
      <w:bookmarkEnd w:id="680"/>
      <w:bookmarkEnd w:id="68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124,839,029.79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136,833,339.41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60,007,520.70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66,391,669.06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3,522,937.95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5,301,173.83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10,906,211.00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62,125,434.09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16,911,688.14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20,018,357.78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11,612,278.49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19,652,653.83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1,251,957.99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1,508,410.43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1,071,796.83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2,110,090.67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6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147,167.16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179,498.47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3,410,402.00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174,928,604.19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87,072,756.05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其中：对联营企业和合营企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以摊余成本计量的金融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净敞口套期收益（损失以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78" w:lineRule="exact"/>
              <w:ind w:left="360" w:right="0" w:firstLine="380"/>
              <w:jc w:val="both"/>
            </w:pPr>
            <w:r>
              <w:rPr>
                <w:rFonts w:ascii="SimSun" w:eastAsia="SimSun" w:hAnsi="SimSun" w:cs="SimSun"/>
                <w:color w:val="000000"/>
                <w:spacing w:val="0"/>
                <w:w w:val="100"/>
                <w:position w:val="0"/>
              </w:rPr>
              <w:t>公允价值变动收益（损失以 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27,749,674.62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-8,234,961.64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10,748,205.44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-8,185,486.56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-10,251,589.59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-8,059,363.59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536,866.53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5,891,625.49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224,800,166.71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33,730,612.14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332,942.26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781,062.02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1,485,238.44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609,194.60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 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223,647,870.53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33,902,479.56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10,338,385.77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-6,893,153.66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213,309,484.76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40,795,633.22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9" w:lineRule="exact"/>
              <w:ind w:left="0" w:right="0" w:firstLine="380"/>
              <w:jc w:val="both"/>
            </w:pPr>
            <w:r>
              <w:rPr>
                <w:rFonts w:ascii="SimSun" w:eastAsia="SimSun" w:hAnsi="SimSun" w:cs="SimSun"/>
                <w:color w:val="000000"/>
                <w:spacing w:val="0"/>
                <w:w w:val="100"/>
                <w:position w:val="0"/>
              </w:rPr>
              <w:t>（一）持续经营净利润（净亏损 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213,309,484.76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40,795,633.22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54" w:lineRule="exact"/>
              <w:ind w:left="0" w:right="0" w:firstLine="380"/>
              <w:jc w:val="both"/>
            </w:pPr>
            <w:r>
              <w:rPr>
                <w:rFonts w:ascii="SimSun" w:eastAsia="SimSun" w:hAnsi="SimSun" w:cs="SimSun"/>
                <w:color w:val="000000"/>
                <w:spacing w:val="0"/>
                <w:w w:val="100"/>
                <w:position w:val="0"/>
              </w:rPr>
              <w:t>（二）终止经营净利润（净亏损 以</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920"/>
              <w:jc w:val="both"/>
            </w:pPr>
            <w:r>
              <w:rPr>
                <w:color w:val="000000"/>
                <w:spacing w:val="0"/>
                <w:w w:val="100"/>
                <w:position w:val="0"/>
              </w:rPr>
              <w:t>1.</w:t>
            </w:r>
            <w:r>
              <w:rPr>
                <w:rFonts w:ascii="SimSun" w:eastAsia="SimSun" w:hAnsi="SimSun" w:cs="SimSun"/>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2.</w:t>
            </w:r>
            <w:r>
              <w:rPr>
                <w:rFonts w:ascii="SimSun" w:eastAsia="SimSun" w:hAnsi="SimSun" w:cs="SimSun"/>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3.</w:t>
            </w:r>
            <w:r>
              <w:rPr>
                <w:rFonts w:ascii="SimSun" w:eastAsia="SimSun" w:hAnsi="SimSun" w:cs="SimSun"/>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both"/>
            </w:pPr>
            <w:r>
              <w:rPr>
                <w:color w:val="000000"/>
                <w:spacing w:val="0"/>
                <w:w w:val="100"/>
                <w:position w:val="0"/>
              </w:rPr>
              <w:t>4.</w:t>
            </w:r>
            <w:r>
              <w:rPr>
                <w:rFonts w:ascii="SimSun" w:eastAsia="SimSun" w:hAnsi="SimSun" w:cs="SimSun"/>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w:t>
            </w:r>
            <w:r>
              <w:rPr>
                <w:rFonts w:ascii="SimSun" w:eastAsia="SimSun" w:hAnsi="SimSun" w:cs="SimSun"/>
                <w:color w:val="000000"/>
                <w:spacing w:val="0"/>
                <w:w w:val="100"/>
                <w:position w:val="0"/>
              </w:rPr>
              <w:t>权益法下可转损益的其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213,309,484.76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40,795,633.22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、合并现金流量表</w:t>
      </w:r>
      <w:bookmarkEnd w:id="683"/>
      <w:bookmarkEnd w:id="684"/>
      <w:bookmarkEnd w:id="6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214,902,715.96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304,232,731.48</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2,845,684.70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2,548,211.75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14,321,591.15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51,522,662.63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232,069,991.81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358,303,605.86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41,750,795.66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53,779,207.17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51,445,527.72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84,400,539.85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14,464,492.88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19,574,760.78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65,779,257.94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98,160,627.12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173,440,074.20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255,915,134.92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58,629,917.61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102,388,470.94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10,746,502,667.64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28,111,279,615.87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40,663,546.83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95,832,141.25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10,787,166,214.47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28,207,203,757.12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91,487,171.12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40,410,472.43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10,787,218,763.85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28,126,547,638.40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10,878,705,934.97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28,166,958,110.83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-91,539,720.50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40,245,646.29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其中：子公司吸收少数股东投资 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65,359,037.32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57,172,144.57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65,359,037.32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57,172,144.57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64,359,037.32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122,265,177.12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118,900.28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1,155,034.49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rFonts w:ascii="SimSun" w:eastAsia="SimSun" w:hAnsi="SimSun" w:cs="SimSun"/>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7,005,706.05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3,040,710.71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71,483,643.65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126,460,922.32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-6,124,606.33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-69,288,777.75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-1,036,340.31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382,089.78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-40,070,749.53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73,727,429.26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159,750,082.59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86,022,653.33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119,679,333.06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159,750,082.59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6</w:t>
      </w:r>
      <w:bookmarkEnd w:id="689"/>
      <w:r>
        <w:rPr>
          <w:color w:val="000000"/>
          <w:spacing w:val="0"/>
          <w:w w:val="100"/>
          <w:position w:val="0"/>
        </w:rPr>
        <w:t>、母公司现金流量表</w:t>
      </w:r>
      <w:bookmarkEnd w:id="687"/>
      <w:bookmarkEnd w:id="688"/>
      <w:bookmarkEnd w:id="69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166,655,807.05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229,216,923.92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185,458.23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889,161.41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402,393,458.96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523,055,376.05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569,234,724.24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753,161,461.38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25,427,740.79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58,367,135.96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17,081,794.57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24,789,125.36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7,653,805.49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15,259,054.78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858,954,966.54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697,897,928.32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909,118,307.39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796,313,244.42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-339,883,583.15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-43,151,783.04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8,525,700,855.75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21,001,436,306.67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174,928,604.19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87,072,756.05</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8,700,629,459.94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21,088,509,062.72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8,549,569.72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1,753,241.78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8,426,212,833.53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20,931,317,342.22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8,434,762,403.25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20,933,070,584.00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265,867,056.69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155,438,478.72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42,839,037.32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57,172,144.57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42,839,037.32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57,172,144.57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42,839,037.32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116,072,144.57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105,561.40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844,334.64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3,572,388.35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1,513,040.71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46,516,987.07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118,429,519.92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-3,677,949.75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-61,257,375.35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-339,399.47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-78,033,875.68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51,029,320.33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114,849,775.56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63,820,455.23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36,815,899.88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114,849,775.56</w:t>
            </w:r>
          </w:p>
        </w:tc>
      </w:tr>
    </w:tbl>
    <w:p>
      <w:pPr>
        <w:widowControl w:val="0"/>
        <w:spacing w:after="919" w:line="1" w:lineRule="exact"/>
      </w:pPr>
    </w:p>
    <w:p>
      <w:pPr>
        <w:pStyle w:val="Style38"/>
        <w:keepNext/>
        <w:keepLines/>
        <w:widowControl w:val="0"/>
        <w:shd w:val="clear" w:color="auto" w:fill="auto"/>
        <w:bidi w:val="0"/>
        <w:spacing w:before="0" w:after="38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、合并所有者权益变动表</w:t>
      </w:r>
      <w:bookmarkEnd w:id="691"/>
      <w:bookmarkEnd w:id="692"/>
      <w:bookmarkEnd w:id="694"/>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资本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盈余 公积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一般</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r>
      <w:tr>
        <w:trPr>
          <w:trHeight w:val="158"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,547.2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508,08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139,54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r>
      <w:tr>
        <w:trPr>
          <w:trHeight w:val="158"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额</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,547.2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508,08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508,08</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59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-124,8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21,330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50,425</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,947.9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70,632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,078.5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70,632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,078.5</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17.84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83"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SimSun" w:eastAsia="SimSun" w:hAnsi="SimSun" w:cs="SimSun"/>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590"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71,756</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,896.3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71,632</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,078.5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71,632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,078.5</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17.84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0,948.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21,330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,948.4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-21,33</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0,948.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91,29</w:t>
            </w:r>
          </w:p>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29,679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,547.2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14,727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85,902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,615.1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828,35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1,976.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1,705,</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140,16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1,705,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140,16</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7061"/>
        <w:gridCol w:w="643"/>
        <w:gridCol w:w="658"/>
      </w:tblGrid>
      <w:tr>
        <w:trPr>
          <w:trHeight w:val="408"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bottom"/>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w:t>
            </w:r>
          </w:p>
        </w:tc>
      </w:tr>
      <w:tr>
        <w:trPr>
          <w:trHeight w:val="403"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股本其他权益工具资本减：库其他专项盈余一般未分其他小计</w:t>
            </w:r>
          </w:p>
        </w:tc>
        <w:tc>
          <w:tcPr>
            <w:tcBorders>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东权益</w:t>
            </w:r>
          </w:p>
        </w:tc>
        <w:tc>
          <w:tcPr>
            <w:tcBorders>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权益合</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综合</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收益</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储备</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风险</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计</w:t>
            </w:r>
          </w:p>
        </w:tc>
      </w:tr>
      <w:tr>
        <w:trPr>
          <w:trHeight w:val="600" w:hRule="exact"/>
        </w:trPr>
        <w:tc>
          <w:tcPr>
            <w:vMerge w:val="restart"/>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30,679</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93,350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60,492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730,78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244,10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1,583,2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44,109.</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r>
      <w:tr>
        <w:trPr>
          <w:trHeight w:val="749"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加：会计</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-14,43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-14,433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,934.93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60,492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716,35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1,568,8</w:t>
            </w:r>
          </w:p>
        </w:tc>
      </w:tr>
      <w:tr>
        <w:trPr>
          <w:trHeight w:val="240" w:hRule="exact"/>
        </w:trPr>
        <w:tc>
          <w:tcPr>
            <w:vMerge w:val="restart"/>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91,29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,547.2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810,17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7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三、本期增减 变动金额（减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61,572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65,697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65,697,</w:t>
            </w:r>
          </w:p>
        </w:tc>
      </w:tr>
      <w:tr>
        <w:trPr>
          <w:trHeight w:val="168" w:hRule="exact"/>
        </w:trPr>
        <w:tc>
          <w:tcPr>
            <w:tcBorders>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906.94</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46,194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65,651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65,697</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65,697,</w:t>
            </w:r>
          </w:p>
        </w:tc>
      </w:tr>
      <w:tr>
        <w:trPr>
          <w:trHeight w:val="163" w:hRule="exact"/>
        </w:trPr>
        <w:tc>
          <w:tcPr>
            <w:vMerge w:val="restart"/>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906.94</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bottom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563.32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 （或股东）的</w:t>
            </w:r>
          </w:p>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四、本期期末</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91,29</w:t>
            </w:r>
          </w:p>
          <w:p>
            <w:pPr>
              <w:pStyle w:val="Style2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30,679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,547.2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139,54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64,571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,666.7</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777,92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6,028.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1,634,</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508,08</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1,634,5</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08,081.</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98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8</w:t>
      </w:r>
      <w:bookmarkEnd w:id="697"/>
      <w:r>
        <w:rPr>
          <w:color w:val="000000"/>
          <w:spacing w:val="0"/>
          <w:w w:val="100"/>
          <w:position w:val="0"/>
        </w:rPr>
        <w:t>、母公司所有者权益变动表</w:t>
      </w:r>
      <w:bookmarkEnd w:id="695"/>
      <w:bookmarkEnd w:id="696"/>
      <w:bookmarkEnd w:id="698"/>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减：库存 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盈余公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所有者权 益合计</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优先股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永续债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一、上年期末余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1,294.0</w:t>
            </w:r>
          </w:p>
          <w:p>
            <w:pPr>
              <w:pStyle w:val="Style27"/>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29,679,5</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64,571,6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449,41</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9,969.9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1,304,862,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both"/>
            </w:pPr>
            <w:r>
              <w:rPr>
                <w:rFonts w:ascii="SimSun" w:eastAsia="SimSun" w:hAnsi="SimSun" w:cs="SimSun"/>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二、本年期初余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1,294.0</w:t>
            </w:r>
          </w:p>
          <w:p>
            <w:pPr>
              <w:pStyle w:val="Style27"/>
              <w:keepNext w:val="0"/>
              <w:keepLines w:val="0"/>
              <w:widowControl w:val="0"/>
              <w:shd w:val="clear" w:color="auto" w:fill="auto"/>
              <w:bidi w:val="0"/>
              <w:spacing w:before="0" w:after="80" w:line="240" w:lineRule="auto"/>
              <w:ind w:left="0" w:right="0" w:firstLine="5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29,679,5</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64,571,6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449,41</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9,969.9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1,304,862,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477.96</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21,330,9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191,97</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8,536.2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212,309,4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w:t>
            </w: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213,30</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9,484.7</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213,309,4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21,330,9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-21,330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21,330,9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-21,330</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1,294.0</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28,679,5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85,902,6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641,39</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8,506.2</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1,517,171,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962.72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资本公 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减:库存</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其他综</w:t>
            </w:r>
          </w:p>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盈余公</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积</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优先</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一、上年期末余</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w:t>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29,679,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60,492,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387,436,1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1,238,799,0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加:会计政</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25,267,76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25,267,763.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前期</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二、本年期初余</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w:t>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29,679,</w:t>
            </w:r>
          </w:p>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60,492,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412,703,9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1,264,066,8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44.74</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 xml:space="preserve">三、本期增减变 动金额（减少以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36,716,06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40,795,633.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40,795,63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40,795,633.</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-4,079,56</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761,19</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1,294.</w:t>
            </w:r>
          </w:p>
          <w:p>
            <w:pPr>
              <w:pStyle w:val="Style27"/>
              <w:keepNext w:val="0"/>
              <w:keepLines w:val="0"/>
              <w:widowControl w:val="0"/>
              <w:shd w:val="clear" w:color="auto" w:fill="auto"/>
              <w:bidi w:val="0"/>
              <w:spacing w:before="0" w:after="8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29,679,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64,571,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449,419,9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1,304,862,4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699" w:name="bookmark699"/>
      <w:bookmarkStart w:id="700" w:name="bookmark700"/>
      <w:bookmarkStart w:id="701" w:name="bookmark701"/>
      <w:r>
        <w:rPr>
          <w:color w:val="000000"/>
          <w:spacing w:val="0"/>
          <w:w w:val="100"/>
          <w:position w:val="0"/>
          <w:sz w:val="24"/>
          <w:szCs w:val="24"/>
        </w:rPr>
        <w:t>三、公司基本情况</w:t>
      </w:r>
      <w:bookmarkEnd w:id="699"/>
      <w:bookmarkEnd w:id="700"/>
      <w:bookmarkEnd w:id="701"/>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广州御银科技股份有限公司（以下简称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）前身广州御银科技有限责任公司由杨文江、增城市御银实业 有限公司共同出资组建，注册资本人民币</w:t>
      </w:r>
      <w:r>
        <w:rPr>
          <w:rFonts w:ascii="Times New Roman" w:eastAsia="Times New Roman" w:hAnsi="Times New Roman" w:cs="Times New Roman"/>
          <w:color w:val="000000"/>
          <w:spacing w:val="0"/>
          <w:w w:val="100"/>
          <w:position w:val="0"/>
        </w:rPr>
        <w:t>15,000,000.00</w:t>
      </w:r>
      <w:r>
        <w:rPr>
          <w:color w:val="000000"/>
          <w:spacing w:val="0"/>
          <w:w w:val="100"/>
          <w:position w:val="0"/>
        </w:rPr>
        <w:t>元，于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日取得广州市工商行政管理局核发的企业法人营 业执照（注册号为：</w:t>
      </w:r>
      <w:r>
        <w:rPr>
          <w:rFonts w:ascii="Times New Roman" w:eastAsia="Times New Roman" w:hAnsi="Times New Roman" w:cs="Times New Roman"/>
          <w:color w:val="000000"/>
          <w:spacing w:val="0"/>
          <w:w w:val="100"/>
          <w:position w:val="0"/>
        </w:rPr>
        <w:t>4401011108228</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日工商变更登记，注册号变更为</w:t>
      </w:r>
      <w:r>
        <w:rPr>
          <w:rFonts w:ascii="Times New Roman" w:eastAsia="Times New Roman" w:hAnsi="Times New Roman" w:cs="Times New Roman"/>
          <w:color w:val="000000"/>
          <w:spacing w:val="0"/>
          <w:w w:val="100"/>
          <w:position w:val="0"/>
        </w:rPr>
        <w:t>440101000034373</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公司经广州市经济委员会穗经</w:t>
      </w:r>
      <w:r>
        <w:rPr>
          <w:rFonts w:ascii="Times New Roman" w:eastAsia="Times New Roman" w:hAnsi="Times New Roman" w:cs="Times New Roman"/>
          <w:color w:val="000000"/>
          <w:spacing w:val="0"/>
          <w:w w:val="100"/>
          <w:position w:val="0"/>
        </w:rPr>
        <w:t>［2003］88</w:t>
      </w:r>
      <w:r>
        <w:rPr>
          <w:color w:val="000000"/>
          <w:spacing w:val="0"/>
          <w:w w:val="100"/>
          <w:position w:val="0"/>
        </w:rPr>
        <w:t>号《关于同意设立广州御银科技股份有限公司的批复》批准，以公司截至</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日经审计净资产</w:t>
      </w:r>
      <w:r>
        <w:rPr>
          <w:rFonts w:ascii="Times New Roman" w:eastAsia="Times New Roman" w:hAnsi="Times New Roman" w:cs="Times New Roman"/>
          <w:color w:val="000000"/>
          <w:spacing w:val="0"/>
          <w:w w:val="100"/>
          <w:position w:val="0"/>
        </w:rPr>
        <w:t>30,200,000.00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比例折股，整体变更为股份公司。改制后，公司的股本总额为</w:t>
      </w:r>
      <w:r>
        <w:rPr>
          <w:rFonts w:ascii="Times New Roman" w:eastAsia="Times New Roman" w:hAnsi="Times New Roman" w:cs="Times New Roman"/>
          <w:color w:val="000000"/>
          <w:spacing w:val="0"/>
          <w:w w:val="100"/>
          <w:position w:val="0"/>
        </w:rPr>
        <w:t>30,200,000.00</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日，发行人召开</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2005</w:t>
      </w:r>
      <w:r>
        <w:rPr>
          <w:color w:val="000000"/>
          <w:spacing w:val="0"/>
          <w:w w:val="100"/>
          <w:position w:val="0"/>
        </w:rPr>
        <w:t>年度利润分配方案，决定以</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日股份公司 总股本</w:t>
      </w:r>
      <w:r>
        <w:rPr>
          <w:rFonts w:ascii="Times New Roman" w:eastAsia="Times New Roman" w:hAnsi="Times New Roman" w:cs="Times New Roman"/>
          <w:color w:val="000000"/>
          <w:spacing w:val="0"/>
          <w:w w:val="100"/>
          <w:position w:val="0"/>
        </w:rPr>
        <w:t>30,200,000.00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股送股票红利</w:t>
      </w:r>
      <w:r>
        <w:rPr>
          <w:rFonts w:ascii="Times New Roman" w:eastAsia="Times New Roman" w:hAnsi="Times New Roman" w:cs="Times New Roman"/>
          <w:color w:val="000000"/>
          <w:spacing w:val="0"/>
          <w:w w:val="100"/>
          <w:position w:val="0"/>
        </w:rPr>
        <w:t>6.56</w:t>
      </w:r>
      <w:r>
        <w:rPr>
          <w:color w:val="000000"/>
          <w:spacing w:val="0"/>
          <w:w w:val="100"/>
          <w:position w:val="0"/>
        </w:rPr>
        <w:t>股，共向股东派送股票股利</w:t>
      </w:r>
      <w:r>
        <w:rPr>
          <w:rFonts w:ascii="Times New Roman" w:eastAsia="Times New Roman" w:hAnsi="Times New Roman" w:cs="Times New Roman"/>
          <w:color w:val="000000"/>
          <w:spacing w:val="0"/>
          <w:w w:val="100"/>
          <w:position w:val="0"/>
        </w:rPr>
        <w:t>19,811,200.00</w:t>
      </w:r>
      <w:r>
        <w:rPr>
          <w:color w:val="000000"/>
          <w:spacing w:val="0"/>
          <w:w w:val="100"/>
          <w:position w:val="0"/>
        </w:rPr>
        <w:t>股，本次利润分 配完成后，公司的股本总额为</w:t>
      </w:r>
      <w:r>
        <w:rPr>
          <w:rFonts w:ascii="Times New Roman" w:eastAsia="Times New Roman" w:hAnsi="Times New Roman" w:cs="Times New Roman"/>
          <w:color w:val="000000"/>
          <w:spacing w:val="0"/>
          <w:w w:val="100"/>
          <w:position w:val="0"/>
        </w:rPr>
        <w:t>50,011,200.00</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日，发行人召开</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年第二次临时股东大会，审议通过了《关于增资扩股议案》，同意公司以每股</w:t>
      </w:r>
      <w:r>
        <w:rPr>
          <w:rFonts w:ascii="Times New Roman" w:eastAsia="Times New Roman" w:hAnsi="Times New Roman" w:cs="Times New Roman"/>
          <w:color w:val="000000"/>
          <w:spacing w:val="0"/>
          <w:w w:val="100"/>
          <w:position w:val="0"/>
        </w:rPr>
        <w:t>2.88</w:t>
      </w:r>
      <w:r>
        <w:rPr>
          <w:color w:val="000000"/>
          <w:spacing w:val="0"/>
          <w:w w:val="100"/>
          <w:position w:val="0"/>
        </w:rPr>
        <w:t>元 的发行价格，增发</w:t>
      </w:r>
      <w:r>
        <w:rPr>
          <w:rFonts w:ascii="Times New Roman" w:eastAsia="Times New Roman" w:hAnsi="Times New Roman" w:cs="Times New Roman"/>
          <w:color w:val="000000"/>
          <w:spacing w:val="0"/>
          <w:w w:val="100"/>
          <w:position w:val="0"/>
        </w:rPr>
        <w:t>5,556,800.00</w:t>
      </w:r>
      <w:r>
        <w:rPr>
          <w:color w:val="000000"/>
          <w:spacing w:val="0"/>
          <w:w w:val="100"/>
          <w:position w:val="0"/>
        </w:rPr>
        <w:t>股新股。本次增资扩股后股本总额为</w:t>
      </w:r>
      <w:r>
        <w:rPr>
          <w:rFonts w:ascii="Times New Roman" w:eastAsia="Times New Roman" w:hAnsi="Times New Roman" w:cs="Times New Roman"/>
          <w:color w:val="000000"/>
          <w:spacing w:val="0"/>
          <w:w w:val="100"/>
          <w:position w:val="0"/>
        </w:rPr>
        <w:t>55,568,000.00</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日，经中国证券监督管理委员会以证监发行字</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350</w:t>
      </w:r>
      <w:r>
        <w:rPr>
          <w:color w:val="000000"/>
          <w:spacing w:val="0"/>
          <w:w w:val="100"/>
          <w:position w:val="0"/>
        </w:rPr>
        <w:t>文核准，同意公司向社会公众公开发行人民币 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19,000,000.00</w:t>
      </w:r>
      <w:r>
        <w:rPr>
          <w:color w:val="000000"/>
          <w:spacing w:val="0"/>
          <w:w w:val="100"/>
          <w:position w:val="0"/>
        </w:rPr>
        <w:t>股，本公司于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日向社会公众投资者定价发行</w:t>
      </w:r>
      <w:r>
        <w:rPr>
          <w:rFonts w:ascii="Times New Roman" w:eastAsia="Times New Roman" w:hAnsi="Times New Roman" w:cs="Times New Roman"/>
          <w:color w:val="000000"/>
          <w:spacing w:val="0"/>
          <w:w w:val="100"/>
          <w:position w:val="0"/>
        </w:rPr>
        <w:t>19,000,000.00</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 深圳证券交易所上市。经此发行，公司的股本总额为</w:t>
      </w:r>
      <w:r>
        <w:rPr>
          <w:rFonts w:ascii="Times New Roman" w:eastAsia="Times New Roman" w:hAnsi="Times New Roman" w:cs="Times New Roman"/>
          <w:color w:val="000000"/>
          <w:spacing w:val="0"/>
          <w:w w:val="100"/>
          <w:position w:val="0"/>
        </w:rPr>
        <w:t>74,568,000.00</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日，公司股东大会决议通过资本公积转增股本方案，以</w:t>
      </w:r>
      <w:r>
        <w:rPr>
          <w:rFonts w:ascii="Times New Roman" w:eastAsia="Times New Roman" w:hAnsi="Times New Roman" w:cs="Times New Roman"/>
          <w:color w:val="000000"/>
          <w:spacing w:val="0"/>
          <w:w w:val="100"/>
          <w:position w:val="0"/>
        </w:rPr>
        <w:t>2007</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74,568,000.00</w:t>
      </w:r>
      <w:r>
        <w:rPr>
          <w:color w:val="000000"/>
          <w:spacing w:val="0"/>
          <w:w w:val="100"/>
          <w:position w:val="0"/>
        </w:rPr>
        <w:t>股为基数，每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股。本次转增股本后，公司的股本总额为</w:t>
      </w:r>
      <w:r>
        <w:rPr>
          <w:rFonts w:ascii="Times New Roman" w:eastAsia="Times New Roman" w:hAnsi="Times New Roman" w:cs="Times New Roman"/>
          <w:color w:val="000000"/>
          <w:spacing w:val="0"/>
          <w:w w:val="100"/>
          <w:position w:val="0"/>
        </w:rPr>
        <w:t>149,136,000.00</w:t>
      </w:r>
      <w:r>
        <w:rPr>
          <w:color w:val="000000"/>
          <w:spacing w:val="0"/>
          <w:w w:val="100"/>
          <w:position w:val="0"/>
        </w:rPr>
        <w:t>元。</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2008</w:t>
      </w:r>
      <w:r>
        <w:rPr>
          <w:color w:val="000000"/>
          <w:spacing w:val="0"/>
          <w:w w:val="100"/>
          <w:position w:val="0"/>
        </w:rPr>
        <w:t>年年末总股本</w:t>
      </w:r>
      <w:r>
        <w:rPr>
          <w:rFonts w:ascii="Times New Roman" w:eastAsia="Times New Roman" w:hAnsi="Times New Roman" w:cs="Times New Roman"/>
          <w:color w:val="000000"/>
          <w:spacing w:val="0"/>
          <w:w w:val="100"/>
          <w:position w:val="0"/>
        </w:rPr>
        <w:t>149,136,000.00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股的比例转 增股本，送转完成后公司总股本增至</w:t>
      </w:r>
      <w:r>
        <w:rPr>
          <w:rFonts w:ascii="Times New Roman" w:eastAsia="Times New Roman" w:hAnsi="Times New Roman" w:cs="Times New Roman"/>
          <w:color w:val="000000"/>
          <w:spacing w:val="0"/>
          <w:w w:val="100"/>
          <w:position w:val="0"/>
        </w:rPr>
        <w:t>223,704,000.00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日实施。</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［2009］962</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日以非公开发行股票的 方式向</w:t>
      </w:r>
      <w:r>
        <w:rPr>
          <w:rFonts w:ascii="Times New Roman" w:eastAsia="Times New Roman" w:hAnsi="Times New Roman" w:cs="Times New Roman"/>
          <w:color w:val="000000"/>
          <w:spacing w:val="0"/>
          <w:w w:val="100"/>
          <w:position w:val="0"/>
        </w:rPr>
        <w:t>7</w:t>
      </w:r>
      <w:r>
        <w:rPr>
          <w:color w:val="000000"/>
          <w:spacing w:val="0"/>
          <w:w w:val="100"/>
          <w:position w:val="0"/>
        </w:rPr>
        <w:t>家特定投资者发行了</w:t>
      </w:r>
      <w:r>
        <w:rPr>
          <w:rFonts w:ascii="Times New Roman" w:eastAsia="Times New Roman" w:hAnsi="Times New Roman" w:cs="Times New Roman"/>
          <w:color w:val="000000"/>
          <w:spacing w:val="0"/>
          <w:w w:val="100"/>
          <w:position w:val="0"/>
        </w:rPr>
        <w:t>41,242,500.00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股），发行价为人民币</w:t>
      </w:r>
      <w:r>
        <w:rPr>
          <w:rFonts w:ascii="Times New Roman" w:eastAsia="Times New Roman" w:hAnsi="Times New Roman" w:cs="Times New Roman"/>
          <w:color w:val="000000"/>
          <w:spacing w:val="0"/>
          <w:w w:val="100"/>
          <w:position w:val="0"/>
        </w:rPr>
        <w:t>12.00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股。经深圳证券交易所同意， 公司非公开发行的股票于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日在深圳证券交易所挂牌上市。非公开发行后公司总股本增至</w:t>
      </w:r>
      <w:r>
        <w:rPr>
          <w:rFonts w:ascii="Times New Roman" w:eastAsia="Times New Roman" w:hAnsi="Times New Roman" w:cs="Times New Roman"/>
          <w:color w:val="000000"/>
          <w:spacing w:val="0"/>
          <w:w w:val="100"/>
          <w:position w:val="0"/>
        </w:rPr>
        <w:t>264,946,500.00</w:t>
      </w:r>
      <w:r>
        <w:rPr>
          <w:color w:val="000000"/>
          <w:spacing w:val="0"/>
          <w:w w:val="100"/>
          <w:position w:val="0"/>
        </w:rPr>
        <w:t>股。</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2010</w:t>
      </w:r>
      <w:r>
        <w:rPr>
          <w:color w:val="000000"/>
          <w:spacing w:val="0"/>
          <w:w w:val="100"/>
          <w:position w:val="0"/>
        </w:rPr>
        <w:t>年年末总股本</w:t>
      </w:r>
      <w:r>
        <w:rPr>
          <w:rFonts w:ascii="Times New Roman" w:eastAsia="Times New Roman" w:hAnsi="Times New Roman" w:cs="Times New Roman"/>
          <w:color w:val="000000"/>
          <w:spacing w:val="0"/>
          <w:w w:val="100"/>
          <w:position w:val="0"/>
        </w:rPr>
        <w:t>264,946,500.00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344,430,450.00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日实 施。</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rPr>
        <w:t>344,430,450.00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7</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585,531,765.00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 施。</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rPr>
        <w:t>585,531,765.00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761,191,294.00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实施。</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76,119.1294</w:t>
      </w:r>
      <w:r>
        <w:rPr>
          <w:color w:val="000000"/>
          <w:spacing w:val="0"/>
          <w:w w:val="100"/>
          <w:position w:val="0"/>
        </w:rPr>
        <w:t>万股，注册资本为</w:t>
      </w:r>
      <w:r>
        <w:rPr>
          <w:rFonts w:ascii="Times New Roman" w:eastAsia="Times New Roman" w:hAnsi="Times New Roman" w:cs="Times New Roman"/>
          <w:color w:val="000000"/>
          <w:spacing w:val="0"/>
          <w:w w:val="100"/>
          <w:position w:val="0"/>
        </w:rPr>
        <w:t>76,119.1294</w:t>
      </w:r>
      <w:r>
        <w:rPr>
          <w:color w:val="000000"/>
          <w:spacing w:val="0"/>
          <w:w w:val="100"/>
          <w:position w:val="0"/>
        </w:rPr>
        <w:t>万元，注册地：广州市天河 区高唐路</w:t>
      </w:r>
      <w:r>
        <w:rPr>
          <w:rFonts w:ascii="Times New Roman" w:eastAsia="Times New Roman" w:hAnsi="Times New Roman" w:cs="Times New Roman"/>
          <w:color w:val="000000"/>
          <w:spacing w:val="0"/>
          <w:w w:val="100"/>
          <w:position w:val="0"/>
        </w:rPr>
        <w:t>234</w:t>
      </w:r>
      <w:r>
        <w:rPr>
          <w:color w:val="000000"/>
          <w:spacing w:val="0"/>
          <w:w w:val="100"/>
          <w:position w:val="0"/>
        </w:rPr>
        <w:t>号</w:t>
      </w:r>
      <w:r>
        <w:rPr>
          <w:rFonts w:ascii="Times New Roman" w:eastAsia="Times New Roman" w:hAnsi="Times New Roman" w:cs="Times New Roman"/>
          <w:color w:val="000000"/>
          <w:spacing w:val="0"/>
          <w:w w:val="100"/>
          <w:position w:val="0"/>
        </w:rPr>
        <w:t>202</w:t>
      </w:r>
      <w:r>
        <w:rPr>
          <w:color w:val="000000"/>
          <w:spacing w:val="0"/>
          <w:w w:val="100"/>
          <w:position w:val="0"/>
        </w:rPr>
        <w:t xml:space="preserve">房。本公司主要经营活动为：自动售货机、售票机、柜员机及零配件的批发；自动售货机、售票机、柜员 机及零配件的零售；信息系统集成服务；集成电路设计；密钥管理类设备和系统制造；安全系统监控服务；安全技术防范产 </w:t>
      </w:r>
      <w:r>
        <w:rPr>
          <w:color w:val="000000"/>
          <w:spacing w:val="0"/>
          <w:w w:val="100"/>
          <w:position w:val="0"/>
        </w:rPr>
        <w:t>品制造；安全技术防范系统设计、施工、维修；安全技术防范产品批发；安全技术防范产品零售；安全智能卡类设备和系统 制造；受金融企业委托提供非金融业务服务；电子、通信与自动控制技术研究、开发；计算器及货币专用设备制造；计算机 技术开发、技术服务；计算机应用电子设备制造；计算机信息安全设备制造；信息电子技术服务；软件开发；软件批发；软 件零售；软件服务；软件测试服务；电子产品批发；电子产品零售；电子设备工程安装服务；电子产品设计服务；机械设备 租赁；工程技术咨询服务；技术进出口；货物进出口</w:t>
      </w:r>
      <w:r>
        <w:rPr>
          <w:rFonts w:ascii="Times New Roman" w:eastAsia="Times New Roman" w:hAnsi="Times New Roman" w:cs="Times New Roman"/>
          <w:color w:val="000000"/>
          <w:spacing w:val="0"/>
          <w:w w:val="100"/>
          <w:position w:val="0"/>
        </w:rPr>
        <w:t>（</w:t>
      </w:r>
      <w:r>
        <w:rPr>
          <w:color w:val="000000"/>
          <w:spacing w:val="0"/>
          <w:w w:val="100"/>
          <w:position w:val="0"/>
        </w:rPr>
        <w:t>专营专控商品除外</w:t>
      </w:r>
      <w:r>
        <w:rPr>
          <w:rFonts w:ascii="Times New Roman" w:eastAsia="Times New Roman" w:hAnsi="Times New Roman" w:cs="Times New Roman"/>
          <w:color w:val="000000"/>
          <w:spacing w:val="0"/>
          <w:w w:val="100"/>
          <w:position w:val="0"/>
        </w:rPr>
        <w:t>）</w:t>
      </w:r>
      <w:r>
        <w:rPr>
          <w:color w:val="000000"/>
          <w:spacing w:val="0"/>
          <w:w w:val="100"/>
          <w:position w:val="0"/>
        </w:rPr>
        <w:t>；自有房地产经营活动；房地产开发经营；房地产 咨询服务；担保服务</w:t>
      </w:r>
      <w:r>
        <w:rPr>
          <w:rFonts w:ascii="Times New Roman" w:eastAsia="Times New Roman" w:hAnsi="Times New Roman" w:cs="Times New Roman"/>
          <w:color w:val="000000"/>
          <w:spacing w:val="0"/>
          <w:w w:val="100"/>
          <w:position w:val="0"/>
        </w:rPr>
        <w:t>（</w:t>
      </w:r>
      <w:r>
        <w:rPr>
          <w:color w:val="000000"/>
          <w:spacing w:val="0"/>
          <w:w w:val="100"/>
          <w:position w:val="0"/>
        </w:rPr>
        <w:t>融资性担保除外</w:t>
      </w:r>
      <w:r>
        <w:rPr>
          <w:rFonts w:ascii="Times New Roman" w:eastAsia="Times New Roman" w:hAnsi="Times New Roman" w:cs="Times New Roman"/>
          <w:color w:val="000000"/>
          <w:spacing w:val="0"/>
          <w:w w:val="100"/>
          <w:position w:val="0"/>
        </w:rPr>
        <w:t>）</w:t>
      </w:r>
      <w:r>
        <w:rPr>
          <w:color w:val="000000"/>
          <w:spacing w:val="0"/>
          <w:w w:val="100"/>
          <w:position w:val="0"/>
        </w:rPr>
        <w:t>；物业管理；投资咨询服务；代驾服务；场地租赁</w:t>
      </w:r>
      <w:r>
        <w:rPr>
          <w:rFonts w:ascii="Times New Roman" w:eastAsia="Times New Roman" w:hAnsi="Times New Roman" w:cs="Times New Roman"/>
          <w:color w:val="000000"/>
          <w:spacing w:val="0"/>
          <w:w w:val="100"/>
          <w:position w:val="0"/>
        </w:rPr>
        <w:t>（</w:t>
      </w:r>
      <w:r>
        <w:rPr>
          <w:color w:val="000000"/>
          <w:spacing w:val="0"/>
          <w:w w:val="100"/>
          <w:position w:val="0"/>
        </w:rPr>
        <w:t>不含仓储</w:t>
      </w:r>
      <w:r>
        <w:rPr>
          <w:rFonts w:ascii="Times New Roman" w:eastAsia="Times New Roman" w:hAnsi="Times New Roman" w:cs="Times New Roman"/>
          <w:color w:val="000000"/>
          <w:spacing w:val="0"/>
          <w:w w:val="100"/>
          <w:position w:val="0"/>
        </w:rPr>
        <w:t>）</w:t>
      </w:r>
      <w:r>
        <w:rPr>
          <w:color w:val="000000"/>
          <w:spacing w:val="0"/>
          <w:w w:val="100"/>
          <w:position w:val="0"/>
        </w:rPr>
        <w:t>；企业自有资金投资； 投资管理服务；资产管理</w:t>
      </w:r>
      <w:r>
        <w:rPr>
          <w:rFonts w:ascii="Times New Roman" w:eastAsia="Times New Roman" w:hAnsi="Times New Roman" w:cs="Times New Roman"/>
          <w:color w:val="000000"/>
          <w:spacing w:val="0"/>
          <w:w w:val="100"/>
          <w:position w:val="0"/>
        </w:rPr>
        <w:t>（</w:t>
      </w:r>
      <w:r>
        <w:rPr>
          <w:color w:val="000000"/>
          <w:spacing w:val="0"/>
          <w:w w:val="100"/>
          <w:position w:val="0"/>
        </w:rPr>
        <w:t>不含许可审批项目</w:t>
      </w:r>
      <w:r>
        <w:rPr>
          <w:rFonts w:ascii="Times New Roman" w:eastAsia="Times New Roman" w:hAnsi="Times New Roman" w:cs="Times New Roman"/>
          <w:color w:val="000000"/>
          <w:spacing w:val="0"/>
          <w:w w:val="100"/>
          <w:position w:val="0"/>
        </w:rPr>
        <w:t>）</w:t>
      </w:r>
      <w:r>
        <w:rPr>
          <w:color w:val="000000"/>
          <w:spacing w:val="0"/>
          <w:w w:val="100"/>
          <w:position w:val="0"/>
        </w:rPr>
        <w:t>；汽车租赁；房屋租赁；房地产中介服务；汽车援救服务；融资租赁服务。本 公司的实际控制人为杨文江。</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本公司子公司的相关信息详见本财务报告“九、在其他主体中的权益”。</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本报告期合并范围变化情况详见本财务报告“八、合并范围的变更”。</w:t>
      </w:r>
    </w:p>
    <w:p>
      <w:pPr>
        <w:pStyle w:val="Style30"/>
        <w:keepNext/>
        <w:keepLines/>
        <w:widowControl w:val="0"/>
        <w:shd w:val="clear" w:color="auto" w:fill="auto"/>
        <w:tabs>
          <w:tab w:pos="498" w:val="left"/>
        </w:tabs>
        <w:bidi w:val="0"/>
        <w:spacing w:before="0" w:after="36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sz w:val="24"/>
          <w:szCs w:val="24"/>
        </w:rPr>
        <w:t>四</w:t>
      </w:r>
      <w:bookmarkEnd w:id="704"/>
      <w:r>
        <w:rPr>
          <w:color w:val="000000"/>
          <w:spacing w:val="0"/>
          <w:w w:val="100"/>
          <w:position w:val="0"/>
          <w:sz w:val="24"/>
          <w:szCs w:val="24"/>
        </w:rPr>
        <w:t>、</w:t>
        <w:tab/>
        <w:t>财务报表的编制基础</w:t>
      </w:r>
      <w:bookmarkEnd w:id="702"/>
      <w:bookmarkEnd w:id="703"/>
      <w:bookmarkEnd w:id="705"/>
    </w:p>
    <w:p>
      <w:pPr>
        <w:pStyle w:val="Style38"/>
        <w:keepNext/>
        <w:keepLines/>
        <w:widowControl w:val="0"/>
        <w:shd w:val="clear" w:color="auto" w:fill="auto"/>
        <w:tabs>
          <w:tab w:pos="368" w:val="left"/>
        </w:tabs>
        <w:bidi w:val="0"/>
        <w:spacing w:before="0" w:after="260" w:line="240"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color w:val="000000"/>
          <w:spacing w:val="0"/>
          <w:w w:val="100"/>
          <w:position w:val="0"/>
        </w:rPr>
        <w:t>、</w:t>
        <w:tab/>
        <w:t>编制基础</w:t>
      </w:r>
      <w:bookmarkEnd w:id="706"/>
      <w:bookmarkEnd w:id="707"/>
      <w:bookmarkEnd w:id="709"/>
    </w:p>
    <w:p>
      <w:pPr>
        <w:pStyle w:val="Style34"/>
        <w:keepNext w:val="0"/>
        <w:keepLines w:val="0"/>
        <w:widowControl w:val="0"/>
        <w:shd w:val="clear" w:color="auto" w:fill="auto"/>
        <w:bidi w:val="0"/>
        <w:spacing w:before="0" w:after="360" w:line="307" w:lineRule="exact"/>
        <w:ind w:left="0" w:right="0"/>
        <w:jc w:val="both"/>
      </w:pPr>
      <w:r>
        <w:rPr>
          <w:color w:val="000000"/>
          <w:spacing w:val="0"/>
          <w:w w:val="100"/>
          <w:position w:val="0"/>
        </w:rPr>
        <w:t>本财务报表按照财政部颁布的《企业会计准则</w:t>
      </w:r>
      <w:r>
        <w:rPr>
          <w:color w:val="000000"/>
          <w:spacing w:val="0"/>
          <w:w w:val="100"/>
          <w:position w:val="0"/>
        </w:rPr>
        <w:t>一</w:t>
      </w:r>
      <w:r>
        <w:rPr>
          <w:color w:val="000000"/>
          <w:spacing w:val="0"/>
          <w:w w:val="100"/>
          <w:position w:val="0"/>
        </w:rPr>
        <w:t>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持续经营</w:t>
      </w:r>
      <w:bookmarkEnd w:id="710"/>
      <w:bookmarkEnd w:id="711"/>
      <w:bookmarkEnd w:id="713"/>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本财务报表以持续经营为基础编制。</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个月内不存在影响持续经营能力的重大因素。</w:t>
      </w:r>
    </w:p>
    <w:p>
      <w:pPr>
        <w:pStyle w:val="Style30"/>
        <w:keepNext/>
        <w:keepLines/>
        <w:widowControl w:val="0"/>
        <w:shd w:val="clear" w:color="auto" w:fill="auto"/>
        <w:tabs>
          <w:tab w:pos="517" w:val="left"/>
        </w:tabs>
        <w:bidi w:val="0"/>
        <w:spacing w:before="0" w:after="26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sz w:val="24"/>
          <w:szCs w:val="24"/>
        </w:rPr>
        <w:t>五</w:t>
      </w:r>
      <w:bookmarkEnd w:id="716"/>
      <w:r>
        <w:rPr>
          <w:color w:val="000000"/>
          <w:spacing w:val="0"/>
          <w:w w:val="100"/>
          <w:position w:val="0"/>
          <w:sz w:val="24"/>
          <w:szCs w:val="24"/>
        </w:rPr>
        <w:t>、</w:t>
        <w:tab/>
        <w:t>重要会计政策及会计估计</w:t>
      </w:r>
      <w:bookmarkEnd w:id="714"/>
      <w:bookmarkEnd w:id="715"/>
      <w:bookmarkEnd w:id="717"/>
    </w:p>
    <w:p>
      <w:pPr>
        <w:pStyle w:val="Style34"/>
        <w:keepNext w:val="0"/>
        <w:keepLines w:val="0"/>
        <w:widowControl w:val="0"/>
        <w:shd w:val="clear" w:color="auto" w:fill="auto"/>
        <w:bidi w:val="0"/>
        <w:spacing w:before="0" w:after="40" w:line="312" w:lineRule="exact"/>
        <w:ind w:left="0" w:right="0"/>
        <w:jc w:val="both"/>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360" w:line="298" w:lineRule="exact"/>
        <w:ind w:left="0" w:right="0"/>
        <w:jc w:val="both"/>
      </w:pPr>
      <w:r>
        <w:rPr>
          <w:color w:val="000000"/>
          <w:spacing w:val="0"/>
          <w:w w:val="100"/>
          <w:position w:val="0"/>
        </w:rPr>
        <w:t>以下披露内容已涵盖了本公司根据实际生产经营特点制定的具体会计政策和会计估计。详见本财务报告“五、</w:t>
      </w:r>
      <w:r>
        <w:rPr>
          <w:color w:val="000000"/>
          <w:spacing w:val="0"/>
          <w:w w:val="100"/>
          <w:position w:val="0"/>
        </w:rPr>
        <w:t>16</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19</w:t>
      </w:r>
      <w:r>
        <w:rPr>
          <w:color w:val="000000"/>
          <w:spacing w:val="0"/>
          <w:w w:val="100"/>
          <w:position w:val="0"/>
        </w:rPr>
        <w:t>无形资产</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25</w:t>
      </w:r>
      <w:r>
        <w:rPr>
          <w:color w:val="000000"/>
          <w:spacing w:val="0"/>
          <w:w w:val="100"/>
          <w:position w:val="0"/>
        </w:rPr>
        <w:t>收入”等。</w:t>
      </w:r>
    </w:p>
    <w:p>
      <w:pPr>
        <w:pStyle w:val="Style38"/>
        <w:keepNext/>
        <w:keepLines/>
        <w:widowControl w:val="0"/>
        <w:shd w:val="clear" w:color="auto" w:fill="auto"/>
        <w:tabs>
          <w:tab w:pos="36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遵循企业会计准则的声明</w:t>
      </w:r>
      <w:bookmarkEnd w:id="718"/>
      <w:bookmarkEnd w:id="719"/>
      <w:bookmarkEnd w:id="721"/>
    </w:p>
    <w:p>
      <w:pPr>
        <w:pStyle w:val="Style34"/>
        <w:keepNext w:val="0"/>
        <w:keepLines w:val="0"/>
        <w:widowControl w:val="0"/>
        <w:shd w:val="clear" w:color="auto" w:fill="auto"/>
        <w:bidi w:val="0"/>
        <w:spacing w:before="0" w:after="360" w:line="307" w:lineRule="exact"/>
        <w:ind w:left="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会计期间</w:t>
      </w:r>
      <w:bookmarkEnd w:id="722"/>
      <w:bookmarkEnd w:id="723"/>
      <w:bookmarkEnd w:id="725"/>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26" w:name="bookmark726"/>
      <w:bookmarkStart w:id="727" w:name="bookmark727"/>
      <w:bookmarkStart w:id="728" w:name="bookmark728"/>
      <w:bookmarkStart w:id="729" w:name="bookmark729"/>
      <w:r>
        <w:rPr>
          <w:rFonts w:ascii="Times New Roman" w:eastAsia="Times New Roman" w:hAnsi="Times New Roman" w:cs="Times New Roman"/>
          <w:color w:val="000000"/>
          <w:spacing w:val="0"/>
          <w:w w:val="100"/>
          <w:position w:val="0"/>
        </w:rPr>
        <w:t>3</w:t>
      </w:r>
      <w:bookmarkEnd w:id="728"/>
      <w:r>
        <w:rPr>
          <w:color w:val="000000"/>
          <w:spacing w:val="0"/>
          <w:w w:val="100"/>
          <w:position w:val="0"/>
        </w:rPr>
        <w:t>、</w:t>
        <w:tab/>
        <w:t>营业周期</w:t>
      </w:r>
      <w:bookmarkEnd w:id="726"/>
      <w:bookmarkEnd w:id="727"/>
      <w:bookmarkEnd w:id="729"/>
    </w:p>
    <w:p>
      <w:pPr>
        <w:pStyle w:val="Style34"/>
        <w:keepNext w:val="0"/>
        <w:keepLines w:val="0"/>
        <w:widowControl w:val="0"/>
        <w:shd w:val="clear" w:color="auto" w:fill="auto"/>
        <w:bidi w:val="0"/>
        <w:spacing w:before="0" w:after="260" w:line="312" w:lineRule="exact"/>
        <w:ind w:left="0" w:right="0" w:firstLine="28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8"/>
        <w:keepNext/>
        <w:keepLines/>
        <w:widowControl w:val="0"/>
        <w:shd w:val="clear" w:color="auto" w:fill="auto"/>
        <w:tabs>
          <w:tab w:pos="349" w:val="left"/>
        </w:tabs>
        <w:bidi w:val="0"/>
        <w:spacing w:before="0" w:after="280" w:line="240" w:lineRule="auto"/>
        <w:ind w:left="0" w:right="0" w:firstLine="0"/>
        <w:jc w:val="both"/>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4</w:t>
      </w:r>
      <w:bookmarkEnd w:id="732"/>
      <w:r>
        <w:rPr>
          <w:color w:val="000000"/>
          <w:spacing w:val="0"/>
          <w:w w:val="100"/>
          <w:position w:val="0"/>
        </w:rPr>
        <w:t>、</w:t>
        <w:tab/>
        <w:t>记账本位币</w:t>
      </w:r>
      <w:bookmarkEnd w:id="730"/>
      <w:bookmarkEnd w:id="731"/>
      <w:bookmarkEnd w:id="733"/>
    </w:p>
    <w:p>
      <w:pPr>
        <w:pStyle w:val="Style34"/>
        <w:keepNext w:val="0"/>
        <w:keepLines w:val="0"/>
        <w:widowControl w:val="0"/>
        <w:shd w:val="clear" w:color="auto" w:fill="auto"/>
        <w:bidi w:val="0"/>
        <w:spacing w:before="0" w:after="360" w:line="317" w:lineRule="exact"/>
        <w:ind w:left="0" w:right="0"/>
        <w:jc w:val="both"/>
      </w:pPr>
      <w:r>
        <w:rPr>
          <w:color w:val="000000"/>
          <w:spacing w:val="0"/>
          <w:w w:val="100"/>
          <w:position w:val="0"/>
        </w:rPr>
        <w:t>本公司采用人民币为记账本位币。本公司下属子公司御银科技（香港）有限公司的记账本位币为港币。本财务报表以人 民币列示。</w:t>
      </w:r>
    </w:p>
    <w:p>
      <w:pPr>
        <w:pStyle w:val="Style38"/>
        <w:keepNext/>
        <w:keepLines/>
        <w:widowControl w:val="0"/>
        <w:shd w:val="clear" w:color="auto" w:fill="auto"/>
        <w:tabs>
          <w:tab w:pos="349" w:val="left"/>
        </w:tabs>
        <w:bidi w:val="0"/>
        <w:spacing w:before="0" w:after="2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5</w:t>
      </w:r>
      <w:bookmarkEnd w:id="736"/>
      <w:r>
        <w:rPr>
          <w:color w:val="000000"/>
          <w:spacing w:val="0"/>
          <w:w w:val="100"/>
          <w:position w:val="0"/>
        </w:rPr>
        <w:t>、</w:t>
        <w:tab/>
        <w:t>同一控制下和非同一控制下企业合并的会计处理方法</w:t>
      </w:r>
      <w:bookmarkEnd w:id="734"/>
      <w:bookmarkEnd w:id="735"/>
      <w:bookmarkEnd w:id="737"/>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38"/>
        <w:keepNext/>
        <w:keepLines/>
        <w:widowControl w:val="0"/>
        <w:shd w:val="clear" w:color="auto" w:fill="auto"/>
        <w:tabs>
          <w:tab w:pos="349" w:val="left"/>
        </w:tabs>
        <w:bidi w:val="0"/>
        <w:spacing w:before="0" w:after="2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w:t>
        <w:tab/>
        <w:t>合并财务报表的编制方法</w:t>
      </w:r>
      <w:bookmarkEnd w:id="738"/>
      <w:bookmarkEnd w:id="739"/>
      <w:bookmarkEnd w:id="741"/>
    </w:p>
    <w:p>
      <w:pPr>
        <w:pStyle w:val="Style34"/>
        <w:keepNext w:val="0"/>
        <w:keepLines w:val="0"/>
        <w:widowControl w:val="0"/>
        <w:shd w:val="clear" w:color="auto" w:fill="auto"/>
        <w:tabs>
          <w:tab w:pos="791" w:val="left"/>
        </w:tabs>
        <w:bidi w:val="0"/>
        <w:spacing w:before="0" w:after="0" w:line="312" w:lineRule="exact"/>
        <w:ind w:left="0" w:right="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34"/>
        <w:keepNext w:val="0"/>
        <w:keepLines w:val="0"/>
        <w:widowControl w:val="0"/>
        <w:shd w:val="clear" w:color="auto" w:fill="auto"/>
        <w:tabs>
          <w:tab w:pos="791" w:val="left"/>
        </w:tabs>
        <w:bidi w:val="0"/>
        <w:spacing w:before="0" w:after="0" w:line="312" w:lineRule="exact"/>
        <w:ind w:left="0" w:right="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w:t>
        <w:tab/>
        <w:t>合并程序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34"/>
        <w:keepNext w:val="0"/>
        <w:keepLines w:val="0"/>
        <w:widowControl w:val="0"/>
        <w:shd w:val="clear" w:color="auto" w:fill="auto"/>
        <w:bidi w:val="0"/>
        <w:spacing w:before="0" w:after="0" w:line="312" w:lineRule="exact"/>
        <w:ind w:left="0" w:right="0"/>
        <w:jc w:val="both"/>
      </w:pPr>
      <w:bookmarkStart w:id="744" w:name="bookmark744"/>
      <w:r>
        <w:rPr>
          <w:rFonts w:ascii="Times New Roman" w:eastAsia="Times New Roman" w:hAnsi="Times New Roman" w:cs="Times New Roman"/>
          <w:color w:val="000000"/>
          <w:spacing w:val="0"/>
          <w:w w:val="100"/>
          <w:position w:val="0"/>
        </w:rPr>
        <w:t>a</w:t>
      </w:r>
      <w:bookmarkEnd w:id="744"/>
      <w:r>
        <w:rPr>
          <w:color w:val="000000"/>
          <w:spacing w:val="0"/>
          <w:w w:val="100"/>
          <w:position w:val="0"/>
        </w:rPr>
        <w:t>、</w:t>
      </w:r>
      <w:r>
        <w:rPr>
          <w:color w:val="000000"/>
          <w:spacing w:val="0"/>
          <w:w w:val="100"/>
          <w:position w:val="0"/>
        </w:rPr>
        <w:t>增加子公司或业务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34"/>
        <w:keepNext w:val="0"/>
        <w:keepLines w:val="0"/>
        <w:widowControl w:val="0"/>
        <w:shd w:val="clear" w:color="auto" w:fill="auto"/>
        <w:bidi w:val="0"/>
        <w:spacing w:before="0" w:after="80" w:line="240" w:lineRule="auto"/>
        <w:ind w:left="0" w:right="0"/>
        <w:jc w:val="both"/>
      </w:pPr>
      <w:bookmarkStart w:id="745" w:name="bookmark745"/>
      <w:r>
        <w:rPr>
          <w:rFonts w:ascii="Times New Roman" w:eastAsia="Times New Roman" w:hAnsi="Times New Roman" w:cs="Times New Roman"/>
          <w:color w:val="000000"/>
          <w:spacing w:val="0"/>
          <w:w w:val="100"/>
          <w:position w:val="0"/>
        </w:rPr>
        <w:t>b</w:t>
      </w:r>
      <w:bookmarkEnd w:id="745"/>
      <w:r>
        <w:rPr>
          <w:color w:val="000000"/>
          <w:spacing w:val="0"/>
          <w:w w:val="100"/>
          <w:position w:val="0"/>
        </w:rPr>
        <w:t>、</w:t>
      </w:r>
      <w:r>
        <w:rPr>
          <w:color w:val="000000"/>
          <w:spacing w:val="0"/>
          <w:w w:val="100"/>
          <w:position w:val="0"/>
        </w:rPr>
        <w:t>处置子公司</w:t>
      </w:r>
    </w:p>
    <w:p>
      <w:pPr>
        <w:pStyle w:val="Style34"/>
        <w:keepNext w:val="0"/>
        <w:keepLines w:val="0"/>
        <w:widowControl w:val="0"/>
        <w:shd w:val="clear" w:color="auto" w:fill="auto"/>
        <w:bidi w:val="0"/>
        <w:spacing w:before="0" w:after="280" w:line="240" w:lineRule="auto"/>
        <w:ind w:left="0" w:right="0"/>
        <w:jc w:val="both"/>
      </w:pPr>
      <w:r>
        <w:rPr>
          <w:color w:val="000000"/>
          <w:spacing w:val="0"/>
          <w:w w:val="100"/>
          <w:position w:val="0"/>
        </w:rPr>
        <w:t>①一般处理方法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因处置部分股权投资或其他原因丧失了对被投资方控制权时，对于处置后的剩余股权投资，按照其在丧失控制权日的 公允价值进行重新计量。处置股权取得的对价与剩余股权公允价值之和，减去按原持股比例计算应享有原有子公司自购买 日或合并日开始持续计算的净资产的份额与商誉之和的差额，计入丧失控制权当期的投资收益。与原有子公司股权投资相 关的以后可重分类进损益的其他综合收益、权益法核算下的其他所有者权益变动，在丧失控制权时转为当期投资收益。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②分步处置子公司</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通过多次交易分步处置对子公司股权投资直至丧失控制权的，处置对子公司股权投资的各项交易的条款、条件以及经 济影响符合以下一种或多种情况，通常表明该多次交易事项为一揽子交易：</w:t>
      </w:r>
    </w:p>
    <w:p>
      <w:pPr>
        <w:pStyle w:val="Style34"/>
        <w:keepNext w:val="0"/>
        <w:keepLines w:val="0"/>
        <w:widowControl w:val="0"/>
        <w:numPr>
          <w:ilvl w:val="0"/>
          <w:numId w:val="13"/>
        </w:numPr>
        <w:shd w:val="clear" w:color="auto" w:fill="auto"/>
        <w:tabs>
          <w:tab w:pos="1049" w:val="left"/>
        </w:tabs>
        <w:bidi w:val="0"/>
        <w:spacing w:before="0" w:after="0" w:line="312" w:lineRule="exact"/>
        <w:ind w:left="0" w:right="0" w:firstLine="700"/>
        <w:jc w:val="both"/>
      </w:pPr>
      <w:bookmarkStart w:id="746" w:name="bookmark746"/>
      <w:bookmarkEnd w:id="746"/>
      <w:r>
        <w:rPr>
          <w:color w:val="000000"/>
          <w:spacing w:val="0"/>
          <w:w w:val="100"/>
          <w:position w:val="0"/>
        </w:rPr>
        <w:t>这些交易是同时或者在考虑了彼此影响的情况下订立的；</w:t>
      </w:r>
    </w:p>
    <w:p>
      <w:pPr>
        <w:pStyle w:val="Style34"/>
        <w:keepNext w:val="0"/>
        <w:keepLines w:val="0"/>
        <w:widowControl w:val="0"/>
        <w:numPr>
          <w:ilvl w:val="0"/>
          <w:numId w:val="13"/>
        </w:numPr>
        <w:shd w:val="clear" w:color="auto" w:fill="auto"/>
        <w:tabs>
          <w:tab w:pos="1082" w:val="left"/>
        </w:tabs>
        <w:bidi w:val="0"/>
        <w:spacing w:before="0" w:after="0" w:line="312" w:lineRule="exact"/>
        <w:ind w:left="0" w:right="0" w:firstLine="700"/>
        <w:jc w:val="both"/>
      </w:pPr>
      <w:bookmarkStart w:id="747" w:name="bookmark747"/>
      <w:bookmarkEnd w:id="747"/>
      <w:r>
        <w:rPr>
          <w:color w:val="000000"/>
          <w:spacing w:val="0"/>
          <w:w w:val="100"/>
          <w:position w:val="0"/>
        </w:rPr>
        <w:t>这些交易整体才能达成一项完整的商业结果；</w:t>
      </w:r>
    </w:p>
    <w:p>
      <w:pPr>
        <w:pStyle w:val="Style34"/>
        <w:keepNext w:val="0"/>
        <w:keepLines w:val="0"/>
        <w:widowControl w:val="0"/>
        <w:numPr>
          <w:ilvl w:val="0"/>
          <w:numId w:val="13"/>
        </w:numPr>
        <w:shd w:val="clear" w:color="auto" w:fill="auto"/>
        <w:tabs>
          <w:tab w:pos="1102" w:val="left"/>
        </w:tabs>
        <w:bidi w:val="0"/>
        <w:spacing w:before="0" w:after="0" w:line="312" w:lineRule="exact"/>
        <w:ind w:left="0" w:right="0" w:firstLine="700"/>
        <w:jc w:val="both"/>
      </w:pPr>
      <w:bookmarkStart w:id="748" w:name="bookmark748"/>
      <w:bookmarkEnd w:id="748"/>
      <w:r>
        <w:rPr>
          <w:color w:val="000000"/>
          <w:spacing w:val="0"/>
          <w:w w:val="100"/>
          <w:position w:val="0"/>
        </w:rPr>
        <w:t>一项交易的发生取决于其他至少一项交易的发生；</w:t>
      </w:r>
    </w:p>
    <w:p>
      <w:pPr>
        <w:pStyle w:val="Style34"/>
        <w:keepNext w:val="0"/>
        <w:keepLines w:val="0"/>
        <w:widowControl w:val="0"/>
        <w:numPr>
          <w:ilvl w:val="0"/>
          <w:numId w:val="13"/>
        </w:numPr>
        <w:shd w:val="clear" w:color="auto" w:fill="auto"/>
        <w:tabs>
          <w:tab w:pos="1102" w:val="left"/>
        </w:tabs>
        <w:bidi w:val="0"/>
        <w:spacing w:before="0" w:after="0" w:line="312" w:lineRule="exact"/>
        <w:ind w:left="0" w:right="0" w:firstLine="700"/>
        <w:jc w:val="both"/>
      </w:pPr>
      <w:bookmarkStart w:id="749" w:name="bookmark749"/>
      <w:bookmarkEnd w:id="749"/>
      <w:r>
        <w:rPr>
          <w:color w:val="000000"/>
          <w:spacing w:val="0"/>
          <w:w w:val="100"/>
          <w:position w:val="0"/>
        </w:rPr>
        <w:t>一项交易单独看是不经济的，但是和其他交易一并考虑时是经济的。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34"/>
        <w:keepNext w:val="0"/>
        <w:keepLines w:val="0"/>
        <w:widowControl w:val="0"/>
        <w:shd w:val="clear" w:color="auto" w:fill="auto"/>
        <w:tabs>
          <w:tab w:pos="714" w:val="left"/>
        </w:tabs>
        <w:bidi w:val="0"/>
        <w:spacing w:before="0" w:after="0"/>
        <w:ind w:left="0" w:right="0"/>
        <w:jc w:val="both"/>
      </w:pPr>
      <w:bookmarkStart w:id="750" w:name="bookmark750"/>
      <w:r>
        <w:rPr>
          <w:rFonts w:ascii="Times New Roman" w:eastAsia="Times New Roman" w:hAnsi="Times New Roman" w:cs="Times New Roman"/>
          <w:color w:val="000000"/>
          <w:spacing w:val="0"/>
          <w:w w:val="100"/>
          <w:position w:val="0"/>
        </w:rPr>
        <w:t>c</w:t>
      </w:r>
      <w:bookmarkEnd w:id="750"/>
      <w:r>
        <w:rPr>
          <w:color w:val="000000"/>
          <w:spacing w:val="0"/>
          <w:w w:val="100"/>
          <w:position w:val="0"/>
        </w:rPr>
        <w:t>、</w:t>
        <w:tab/>
      </w:r>
      <w:r>
        <w:rPr>
          <w:color w:val="000000"/>
          <w:spacing w:val="0"/>
          <w:w w:val="100"/>
          <w:position w:val="0"/>
        </w:rPr>
        <w:t>购买子公司少数股权</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34"/>
        <w:keepNext w:val="0"/>
        <w:keepLines w:val="0"/>
        <w:widowControl w:val="0"/>
        <w:shd w:val="clear" w:color="auto" w:fill="auto"/>
        <w:tabs>
          <w:tab w:pos="729" w:val="left"/>
        </w:tabs>
        <w:bidi w:val="0"/>
        <w:spacing w:before="0" w:after="0" w:line="312" w:lineRule="exact"/>
        <w:ind w:left="380" w:right="0" w:firstLine="0"/>
        <w:jc w:val="both"/>
      </w:pPr>
      <w:bookmarkStart w:id="751" w:name="bookmark751"/>
      <w:r>
        <w:rPr>
          <w:rFonts w:ascii="Times New Roman" w:eastAsia="Times New Roman" w:hAnsi="Times New Roman" w:cs="Times New Roman"/>
          <w:color w:val="000000"/>
          <w:spacing w:val="0"/>
          <w:w w:val="100"/>
          <w:position w:val="0"/>
        </w:rPr>
        <w:t>d</w:t>
      </w:r>
      <w:bookmarkEnd w:id="751"/>
      <w:r>
        <w:rPr>
          <w:color w:val="000000"/>
          <w:spacing w:val="0"/>
          <w:w w:val="100"/>
          <w:position w:val="0"/>
        </w:rPr>
        <w:t>、</w:t>
        <w:tab/>
      </w:r>
      <w:r>
        <w:rPr>
          <w:color w:val="000000"/>
          <w:spacing w:val="0"/>
          <w:w w:val="100"/>
          <w:position w:val="0"/>
        </w:rPr>
        <w:t>不丧失控制权的情况下部分处置对子公司的股权投资 处置价款与处置长期股权投资相对应享有子公司自购买日或合并日开始持续计算的净资产份额之间的差额，调整合并资</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产负债表中的资本公积中的股本溢价，资本公积中的股本溢价不足冲减的，调整留存收益。</w:t>
      </w:r>
    </w:p>
    <w:p>
      <w:pPr>
        <w:pStyle w:val="Style38"/>
        <w:keepNext/>
        <w:keepLines/>
        <w:widowControl w:val="0"/>
        <w:shd w:val="clear" w:color="auto" w:fill="auto"/>
        <w:tabs>
          <w:tab w:pos="373"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7</w:t>
      </w:r>
      <w:bookmarkEnd w:id="754"/>
      <w:r>
        <w:rPr>
          <w:color w:val="000000"/>
          <w:spacing w:val="0"/>
          <w:w w:val="100"/>
          <w:position w:val="0"/>
        </w:rPr>
        <w:t>、</w:t>
        <w:tab/>
        <w:t>合营安排分类及共同经营会计处理方法</w:t>
      </w:r>
      <w:bookmarkEnd w:id="752"/>
      <w:bookmarkEnd w:id="753"/>
      <w:bookmarkEnd w:id="755"/>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合营安排分为共同经营和合营企业。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共同经营，是指合营方享有该安排相关资产且承担该安排相关负债的合营安排。</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本公司确认与共同经营中利益份额相关的下列项目：</w:t>
      </w:r>
    </w:p>
    <w:p>
      <w:pPr>
        <w:pStyle w:val="Style34"/>
        <w:keepNext w:val="0"/>
        <w:keepLines w:val="0"/>
        <w:widowControl w:val="0"/>
        <w:numPr>
          <w:ilvl w:val="0"/>
          <w:numId w:val="15"/>
        </w:numPr>
        <w:shd w:val="clear" w:color="auto" w:fill="auto"/>
        <w:bidi w:val="0"/>
        <w:spacing w:before="0" w:after="0" w:line="312" w:lineRule="exact"/>
        <w:ind w:left="0" w:right="0"/>
        <w:jc w:val="both"/>
      </w:pPr>
      <w:bookmarkStart w:id="756" w:name="bookmark756"/>
      <w:bookmarkEnd w:id="756"/>
      <w:r>
        <w:rPr>
          <w:color w:val="000000"/>
          <w:spacing w:val="0"/>
          <w:w w:val="100"/>
          <w:position w:val="0"/>
        </w:rPr>
        <w:t>确认本公司单独所持有的资产，以及按本公司份额确认共同持有的资产；</w:t>
      </w:r>
    </w:p>
    <w:p>
      <w:pPr>
        <w:pStyle w:val="Style34"/>
        <w:keepNext w:val="0"/>
        <w:keepLines w:val="0"/>
        <w:widowControl w:val="0"/>
        <w:numPr>
          <w:ilvl w:val="0"/>
          <w:numId w:val="15"/>
        </w:numPr>
        <w:shd w:val="clear" w:color="auto" w:fill="auto"/>
        <w:tabs>
          <w:tab w:pos="720" w:val="left"/>
        </w:tabs>
        <w:bidi w:val="0"/>
        <w:spacing w:before="0" w:after="0" w:line="312" w:lineRule="exact"/>
        <w:ind w:left="0" w:right="0" w:firstLine="280"/>
        <w:jc w:val="both"/>
      </w:pPr>
      <w:bookmarkStart w:id="757" w:name="bookmark757"/>
      <w:bookmarkEnd w:id="757"/>
      <w:r>
        <w:rPr>
          <w:color w:val="000000"/>
          <w:spacing w:val="0"/>
          <w:w w:val="100"/>
          <w:position w:val="0"/>
        </w:rPr>
        <w:t>确认本公司单独所承担的负债，以及按本公司份额确认共同承担的负债；</w:t>
      </w:r>
    </w:p>
    <w:p>
      <w:pPr>
        <w:pStyle w:val="Style34"/>
        <w:keepNext w:val="0"/>
        <w:keepLines w:val="0"/>
        <w:widowControl w:val="0"/>
        <w:numPr>
          <w:ilvl w:val="0"/>
          <w:numId w:val="15"/>
        </w:numPr>
        <w:shd w:val="clear" w:color="auto" w:fill="auto"/>
        <w:tabs>
          <w:tab w:pos="720" w:val="left"/>
        </w:tabs>
        <w:bidi w:val="0"/>
        <w:spacing w:before="0" w:after="0" w:line="312" w:lineRule="exact"/>
        <w:ind w:left="0" w:right="0" w:firstLine="280"/>
        <w:jc w:val="both"/>
      </w:pPr>
      <w:bookmarkStart w:id="758" w:name="bookmark758"/>
      <w:bookmarkEnd w:id="758"/>
      <w:r>
        <w:rPr>
          <w:color w:val="000000"/>
          <w:spacing w:val="0"/>
          <w:w w:val="100"/>
          <w:position w:val="0"/>
        </w:rPr>
        <w:t>确认出售本公司享有的共同经营产出份额所产生的收入；</w:t>
      </w:r>
    </w:p>
    <w:p>
      <w:pPr>
        <w:pStyle w:val="Style34"/>
        <w:keepNext w:val="0"/>
        <w:keepLines w:val="0"/>
        <w:widowControl w:val="0"/>
        <w:numPr>
          <w:ilvl w:val="0"/>
          <w:numId w:val="15"/>
        </w:numPr>
        <w:shd w:val="clear" w:color="auto" w:fill="auto"/>
        <w:tabs>
          <w:tab w:pos="720" w:val="left"/>
        </w:tabs>
        <w:bidi w:val="0"/>
        <w:spacing w:before="0" w:after="0" w:line="312" w:lineRule="exact"/>
        <w:ind w:left="0" w:right="0" w:firstLine="280"/>
        <w:jc w:val="both"/>
      </w:pPr>
      <w:bookmarkStart w:id="759" w:name="bookmark759"/>
      <w:bookmarkEnd w:id="759"/>
      <w:r>
        <w:rPr>
          <w:color w:val="000000"/>
          <w:spacing w:val="0"/>
          <w:w w:val="100"/>
          <w:position w:val="0"/>
        </w:rPr>
        <w:t>按本公司份额确认共同经营因出售产出所产生的收入；</w:t>
      </w:r>
    </w:p>
    <w:p>
      <w:pPr>
        <w:pStyle w:val="Style34"/>
        <w:keepNext w:val="0"/>
        <w:keepLines w:val="0"/>
        <w:widowControl w:val="0"/>
        <w:numPr>
          <w:ilvl w:val="0"/>
          <w:numId w:val="15"/>
        </w:numPr>
        <w:shd w:val="clear" w:color="auto" w:fill="auto"/>
        <w:tabs>
          <w:tab w:pos="720" w:val="left"/>
        </w:tabs>
        <w:bidi w:val="0"/>
        <w:spacing w:before="0" w:after="0" w:line="312" w:lineRule="exact"/>
        <w:ind w:left="0" w:right="0" w:firstLine="280"/>
        <w:jc w:val="both"/>
      </w:pPr>
      <w:bookmarkStart w:id="760" w:name="bookmark760"/>
      <w:bookmarkEnd w:id="760"/>
      <w:r>
        <w:rPr>
          <w:color w:val="000000"/>
          <w:spacing w:val="0"/>
          <w:w w:val="100"/>
          <w:position w:val="0"/>
        </w:rPr>
        <w:t>确认单独所发生的费用，以及按本公司份额确认共同经营发生的费用。</w:t>
      </w:r>
    </w:p>
    <w:p>
      <w:pPr>
        <w:pStyle w:val="Style34"/>
        <w:keepNext w:val="0"/>
        <w:keepLines w:val="0"/>
        <w:widowControl w:val="0"/>
        <w:shd w:val="clear" w:color="auto" w:fill="auto"/>
        <w:bidi w:val="0"/>
        <w:spacing w:before="0" w:after="360" w:line="312" w:lineRule="exact"/>
        <w:ind w:left="0" w:right="0" w:firstLine="280"/>
        <w:jc w:val="both"/>
      </w:pPr>
      <w:r>
        <w:rPr>
          <w:color w:val="000000"/>
          <w:spacing w:val="0"/>
          <w:w w:val="100"/>
          <w:position w:val="0"/>
        </w:rPr>
        <w:t>本公司对合营企业的投资采用权益法核算，详见本财务报告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8</w:t>
      </w:r>
      <w:bookmarkEnd w:id="763"/>
      <w:r>
        <w:rPr>
          <w:color w:val="000000"/>
          <w:spacing w:val="0"/>
          <w:w w:val="100"/>
          <w:position w:val="0"/>
        </w:rPr>
        <w:t>、</w:t>
        <w:tab/>
        <w:t>现金及现金等价物的确定标准</w:t>
      </w:r>
      <w:bookmarkEnd w:id="761"/>
      <w:bookmarkEnd w:id="762"/>
      <w:bookmarkEnd w:id="764"/>
    </w:p>
    <w:p>
      <w:pPr>
        <w:pStyle w:val="Style34"/>
        <w:keepNext w:val="0"/>
        <w:keepLines w:val="0"/>
        <w:widowControl w:val="0"/>
        <w:shd w:val="clear" w:color="auto" w:fill="auto"/>
        <w:bidi w:val="0"/>
        <w:spacing w:before="0" w:after="360" w:line="307" w:lineRule="exact"/>
        <w:ind w:left="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38"/>
        <w:keepNext/>
        <w:keepLines/>
        <w:widowControl w:val="0"/>
        <w:shd w:val="clear" w:color="auto" w:fill="auto"/>
        <w:tabs>
          <w:tab w:pos="378" w:val="left"/>
        </w:tabs>
        <w:bidi w:val="0"/>
        <w:spacing w:before="0" w:after="26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9</w:t>
      </w:r>
      <w:bookmarkEnd w:id="767"/>
      <w:r>
        <w:rPr>
          <w:color w:val="000000"/>
          <w:spacing w:val="0"/>
          <w:w w:val="100"/>
          <w:position w:val="0"/>
        </w:rPr>
        <w:t>、</w:t>
        <w:tab/>
        <w:t>外币业务和外币报表折算</w:t>
      </w:r>
      <w:bookmarkEnd w:id="765"/>
      <w:bookmarkEnd w:id="766"/>
      <w:bookmarkEnd w:id="768"/>
    </w:p>
    <w:p>
      <w:pPr>
        <w:pStyle w:val="Style34"/>
        <w:keepNext w:val="0"/>
        <w:keepLines w:val="0"/>
        <w:widowControl w:val="0"/>
        <w:numPr>
          <w:ilvl w:val="0"/>
          <w:numId w:val="17"/>
        </w:numPr>
        <w:shd w:val="clear" w:color="auto" w:fill="auto"/>
        <w:bidi w:val="0"/>
        <w:spacing w:before="0" w:after="0" w:line="312" w:lineRule="exact"/>
        <w:ind w:left="0" w:right="0" w:firstLine="280"/>
        <w:jc w:val="both"/>
      </w:pPr>
      <w:bookmarkStart w:id="769" w:name="bookmark769"/>
      <w:bookmarkEnd w:id="769"/>
      <w:r>
        <w:rPr>
          <w:color w:val="000000"/>
          <w:spacing w:val="0"/>
          <w:w w:val="100"/>
          <w:position w:val="0"/>
        </w:rPr>
        <w:t>外币业务</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外币业务采用交易发生日的即期汇率作为折算汇率将外币金额折合成人民币记账。</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资产负债表日外币货币性项目余额按资产负债表日即期汇率折算，由此产生的汇兑差额，除属于与购建符合资本化条件 </w:t>
      </w:r>
      <w:r>
        <w:rPr>
          <w:color w:val="000000"/>
          <w:spacing w:val="0"/>
          <w:w w:val="100"/>
          <w:position w:val="0"/>
        </w:rPr>
        <w:t>的资产相关的外币专门借款产生的汇兑差额按照借款费用资本化的原则处理外，均计入当期损益。</w:t>
      </w:r>
    </w:p>
    <w:p>
      <w:pPr>
        <w:pStyle w:val="Style34"/>
        <w:keepNext w:val="0"/>
        <w:keepLines w:val="0"/>
        <w:widowControl w:val="0"/>
        <w:shd w:val="clear" w:color="auto" w:fill="auto"/>
        <w:bidi w:val="0"/>
        <w:spacing w:before="0" w:after="0" w:line="312" w:lineRule="exact"/>
        <w:ind w:left="0" w:right="0" w:firstLine="28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目采用发生时的即期汇率折算。利润表中的收入和费用项目，采用交易发生日的即期汇率折算。</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处置境外经营时，将与该境外经营相关的外币财务报表折算差额，自所有者权益项目转入处置当期损益。</w:t>
      </w:r>
    </w:p>
    <w:p>
      <w:pPr>
        <w:pStyle w:val="Style38"/>
        <w:keepNext/>
        <w:keepLines/>
        <w:widowControl w:val="0"/>
        <w:shd w:val="clear" w:color="auto" w:fill="auto"/>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1"/>
      <w:bookmarkEnd w:id="772"/>
      <w:bookmarkEnd w:id="774"/>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本公司在成为金融工具合同的一方时，确认一项金融资产、金融负债或权益工具。</w:t>
      </w:r>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 本公司将同时符合下列条件且未被指定为以公允价值计量且其变动计入当期损益的金融资产，分类为以摊余成本计量的金融 资产：</w:t>
      </w:r>
    </w:p>
    <w:p>
      <w:pPr>
        <w:pStyle w:val="Style34"/>
        <w:keepNext w:val="0"/>
        <w:keepLines w:val="0"/>
        <w:widowControl w:val="0"/>
        <w:shd w:val="clear" w:color="auto" w:fill="auto"/>
        <w:bidi w:val="0"/>
        <w:spacing w:before="0" w:after="0" w:line="312" w:lineRule="exact"/>
        <w:ind w:left="0" w:right="0" w:firstLine="680"/>
        <w:jc w:val="both"/>
      </w:pPr>
      <w:r>
        <w:rPr>
          <w:color w:val="000000"/>
          <w:spacing w:val="0"/>
          <w:w w:val="100"/>
          <w:position w:val="0"/>
        </w:rPr>
        <w:t>一业务模式是以收取合同现金流量为目标；</w:t>
      </w:r>
    </w:p>
    <w:p>
      <w:pPr>
        <w:pStyle w:val="Style34"/>
        <w:keepNext w:val="0"/>
        <w:keepLines w:val="0"/>
        <w:widowControl w:val="0"/>
        <w:shd w:val="clear" w:color="auto" w:fill="auto"/>
        <w:bidi w:val="0"/>
        <w:spacing w:before="0" w:after="0" w:line="312" w:lineRule="exact"/>
        <w:ind w:left="0" w:right="0" w:firstLine="680"/>
        <w:jc w:val="both"/>
      </w:pPr>
      <w:r>
        <w:rPr>
          <w:color w:val="000000"/>
          <w:spacing w:val="0"/>
          <w:w w:val="100"/>
          <w:position w:val="0"/>
        </w:rPr>
        <w:t>一合同现金流量仅为对本金和以未偿付本金金额为基础的利息的支付。</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34"/>
        <w:keepNext w:val="0"/>
        <w:keepLines w:val="0"/>
        <w:widowControl w:val="0"/>
        <w:shd w:val="clear" w:color="auto" w:fill="auto"/>
        <w:bidi w:val="0"/>
        <w:spacing w:before="0" w:after="0" w:line="312" w:lineRule="exact"/>
        <w:ind w:left="0" w:right="0" w:firstLine="680"/>
        <w:jc w:val="both"/>
      </w:pPr>
      <w:r>
        <w:rPr>
          <w:color w:val="000000"/>
          <w:spacing w:val="0"/>
          <w:w w:val="100"/>
          <w:position w:val="0"/>
        </w:rPr>
        <w:t>一业务模式既以收取合同现金流量又以出售该金融资产为目标；</w:t>
      </w:r>
    </w:p>
    <w:p>
      <w:pPr>
        <w:pStyle w:val="Style34"/>
        <w:keepNext w:val="0"/>
        <w:keepLines w:val="0"/>
        <w:widowControl w:val="0"/>
        <w:shd w:val="clear" w:color="auto" w:fill="auto"/>
        <w:bidi w:val="0"/>
        <w:spacing w:before="0" w:after="0" w:line="312" w:lineRule="exact"/>
        <w:ind w:left="0" w:right="0" w:firstLine="680"/>
        <w:jc w:val="both"/>
      </w:pPr>
      <w:r>
        <w:rPr>
          <w:color w:val="000000"/>
          <w:spacing w:val="0"/>
          <w:w w:val="100"/>
          <w:position w:val="0"/>
        </w:rPr>
        <w:t>一合同现金流量仅为对本金和以未偿付本金金额为基础的利息的支付。</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金融负债于初始确认时分类为：以公允价值计量且其变动计入当期损益的金融负债和以摊余成本计量的金融负债。</w:t>
      </w:r>
    </w:p>
    <w:p>
      <w:pPr>
        <w:pStyle w:val="Style34"/>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符合以下条件之一的金融负债可在初始计量时指定为以公允价值计量且其变动计入当期损益的金融负债：</w:t>
      </w:r>
    </w:p>
    <w:p>
      <w:pPr>
        <w:pStyle w:val="Style34"/>
        <w:keepNext w:val="0"/>
        <w:keepLines w:val="0"/>
        <w:widowControl w:val="0"/>
        <w:shd w:val="clear" w:color="auto" w:fill="auto"/>
        <w:tabs>
          <w:tab w:pos="1029" w:val="left"/>
        </w:tabs>
        <w:bidi w:val="0"/>
        <w:spacing w:before="0" w:after="0"/>
        <w:ind w:left="0" w:right="0" w:firstLine="680"/>
        <w:jc w:val="both"/>
      </w:pPr>
      <w:bookmarkStart w:id="776" w:name="bookmark776"/>
      <w:r>
        <w:rPr>
          <w:rFonts w:ascii="Times New Roman" w:eastAsia="Times New Roman" w:hAnsi="Times New Roman" w:cs="Times New Roman"/>
          <w:color w:val="000000"/>
          <w:spacing w:val="0"/>
          <w:w w:val="100"/>
          <w:position w:val="0"/>
        </w:rPr>
        <w:t>1</w:t>
      </w:r>
      <w:bookmarkEnd w:id="776"/>
      <w:r>
        <w:rPr>
          <w:color w:val="000000"/>
          <w:spacing w:val="0"/>
          <w:w w:val="100"/>
          <w:position w:val="0"/>
        </w:rPr>
        <w:t>）</w:t>
        <w:tab/>
        <w:t>该项指定能够消除或显著减少会计错配。</w:t>
      </w:r>
    </w:p>
    <w:p>
      <w:pPr>
        <w:pStyle w:val="Style34"/>
        <w:keepNext w:val="0"/>
        <w:keepLines w:val="0"/>
        <w:widowControl w:val="0"/>
        <w:shd w:val="clear" w:color="auto" w:fill="auto"/>
        <w:tabs>
          <w:tab w:pos="1048" w:val="left"/>
        </w:tabs>
        <w:bidi w:val="0"/>
        <w:spacing w:before="0" w:after="80" w:line="312" w:lineRule="exact"/>
        <w:ind w:left="680" w:right="0" w:firstLine="0"/>
        <w:jc w:val="both"/>
      </w:pPr>
      <w:bookmarkStart w:id="777" w:name="bookmark777"/>
      <w:r>
        <w:rPr>
          <w:rFonts w:ascii="Times New Roman" w:eastAsia="Times New Roman" w:hAnsi="Times New Roman" w:cs="Times New Roman"/>
          <w:color w:val="000000"/>
          <w:spacing w:val="0"/>
          <w:w w:val="100"/>
          <w:position w:val="0"/>
        </w:rPr>
        <w:t>2</w:t>
      </w:r>
      <w:bookmarkEnd w:id="777"/>
      <w:r>
        <w:rPr>
          <w:color w:val="000000"/>
          <w:spacing w:val="0"/>
          <w:w w:val="100"/>
          <w:position w:val="0"/>
        </w:rPr>
        <w:t>）</w:t>
        <w:tab/>
        <w:t>根据正式书面文件载明的企业风险管理或投资策略，以公允价值为基础对金融负债组合或金融资产和金融负债 组合进行管理和业绩评价，并在企业内部以此为基础向关键管理人员报告。</w:t>
      </w:r>
    </w:p>
    <w:p>
      <w:pPr>
        <w:pStyle w:val="Style34"/>
        <w:keepNext w:val="0"/>
        <w:keepLines w:val="0"/>
        <w:widowControl w:val="0"/>
        <w:shd w:val="clear" w:color="auto" w:fill="auto"/>
        <w:bidi w:val="0"/>
        <w:spacing w:before="0" w:after="0"/>
        <w:ind w:left="0" w:right="0" w:firstLine="920"/>
        <w:jc w:val="both"/>
      </w:pPr>
      <w:bookmarkStart w:id="778" w:name="bookmark778"/>
      <w:r>
        <w:rPr>
          <w:rFonts w:ascii="Times New Roman" w:eastAsia="Times New Roman" w:hAnsi="Times New Roman" w:cs="Times New Roman"/>
          <w:color w:val="000000"/>
          <w:spacing w:val="0"/>
          <w:w w:val="100"/>
          <w:position w:val="0"/>
        </w:rPr>
        <w:t>3</w:t>
      </w:r>
      <w:bookmarkEnd w:id="778"/>
      <w:r>
        <w:rPr>
          <w:color w:val="000000"/>
          <w:spacing w:val="0"/>
          <w:w w:val="100"/>
          <w:position w:val="0"/>
        </w:rPr>
        <w:t>）该金融负债包含需单独分拆的嵌入衍生工具。</w:t>
      </w:r>
    </w:p>
    <w:p>
      <w:pPr>
        <w:pStyle w:val="Style34"/>
        <w:keepNext w:val="0"/>
        <w:keepLines w:val="0"/>
        <w:widowControl w:val="0"/>
        <w:shd w:val="clear" w:color="auto" w:fill="auto"/>
        <w:tabs>
          <w:tab w:pos="720" w:val="left"/>
        </w:tabs>
        <w:bidi w:val="0"/>
        <w:spacing w:before="0" w:after="80" w:line="312" w:lineRule="exact"/>
        <w:ind w:left="0" w:right="0" w:firstLine="28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p>
    <w:p>
      <w:pPr>
        <w:pStyle w:val="Style34"/>
        <w:keepNext w:val="0"/>
        <w:keepLines w:val="0"/>
        <w:widowControl w:val="0"/>
        <w:shd w:val="clear" w:color="auto" w:fill="auto"/>
        <w:tabs>
          <w:tab w:pos="694" w:val="left"/>
        </w:tabs>
        <w:bidi w:val="0"/>
        <w:spacing w:before="0" w:after="0"/>
        <w:ind w:left="0" w:right="0" w:firstLine="360"/>
        <w:jc w:val="both"/>
      </w:pPr>
      <w:bookmarkStart w:id="780" w:name="bookmark780"/>
      <w:r>
        <w:rPr>
          <w:rFonts w:ascii="Times New Roman" w:eastAsia="Times New Roman" w:hAnsi="Times New Roman" w:cs="Times New Roman"/>
          <w:color w:val="000000"/>
          <w:spacing w:val="0"/>
          <w:w w:val="100"/>
          <w:position w:val="0"/>
        </w:rPr>
        <w:t>a</w:t>
      </w:r>
      <w:bookmarkEnd w:id="780"/>
      <w:r>
        <w:rPr>
          <w:color w:val="000000"/>
          <w:spacing w:val="0"/>
          <w:w w:val="100"/>
          <w:position w:val="0"/>
        </w:rPr>
        <w:t>、</w:t>
        <w:tab/>
      </w:r>
      <w:r>
        <w:rPr>
          <w:color w:val="000000"/>
          <w:spacing w:val="0"/>
          <w:w w:val="100"/>
          <w:position w:val="0"/>
        </w:rPr>
        <w:t>以摊余成本计量的金融资产</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持有期间采用实际利率法计算的利息计入当期损益。</w:t>
      </w:r>
    </w:p>
    <w:p>
      <w:pPr>
        <w:pStyle w:val="Style34"/>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收回或处置时，将取得的价款与该金融资产账面价值之间的差额计入当期损益</w:t>
      </w:r>
    </w:p>
    <w:p>
      <w:pPr>
        <w:pStyle w:val="Style34"/>
        <w:keepNext w:val="0"/>
        <w:keepLines w:val="0"/>
        <w:widowControl w:val="0"/>
        <w:shd w:val="clear" w:color="auto" w:fill="auto"/>
        <w:tabs>
          <w:tab w:pos="714" w:val="left"/>
        </w:tabs>
        <w:bidi w:val="0"/>
        <w:spacing w:before="0" w:after="0"/>
        <w:ind w:left="0" w:right="0" w:firstLine="360"/>
        <w:jc w:val="both"/>
      </w:pPr>
      <w:bookmarkStart w:id="781" w:name="bookmark781"/>
      <w:r>
        <w:rPr>
          <w:rFonts w:ascii="Times New Roman" w:eastAsia="Times New Roman" w:hAnsi="Times New Roman" w:cs="Times New Roman"/>
          <w:color w:val="000000"/>
          <w:spacing w:val="0"/>
          <w:w w:val="100"/>
          <w:position w:val="0"/>
        </w:rPr>
        <w:t>b</w:t>
      </w:r>
      <w:bookmarkEnd w:id="781"/>
      <w:r>
        <w:rPr>
          <w:color w:val="000000"/>
          <w:spacing w:val="0"/>
          <w:w w:val="100"/>
          <w:position w:val="0"/>
        </w:rPr>
        <w:t>、</w:t>
        <w:tab/>
      </w:r>
      <w:r>
        <w:rPr>
          <w:color w:val="000000"/>
          <w:spacing w:val="0"/>
          <w:w w:val="100"/>
          <w:position w:val="0"/>
        </w:rPr>
        <w:t>以公允价值计量且其变动计入其他综合收益的金融资产（债务工具）</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34"/>
        <w:keepNext w:val="0"/>
        <w:keepLines w:val="0"/>
        <w:widowControl w:val="0"/>
        <w:shd w:val="clear" w:color="auto" w:fill="auto"/>
        <w:bidi w:val="0"/>
        <w:spacing w:before="0" w:after="80" w:line="312" w:lineRule="exact"/>
        <w:ind w:left="0" w:right="0" w:firstLine="360"/>
        <w:jc w:val="both"/>
      </w:pPr>
      <w:r>
        <w:rPr>
          <w:color w:val="000000"/>
          <w:spacing w:val="0"/>
          <w:w w:val="100"/>
          <w:position w:val="0"/>
        </w:rPr>
        <w:t>终止确认时，之前计入其他综合收益的累计利得或损失从其他综合收益中转出，计入当期损益。</w:t>
      </w:r>
    </w:p>
    <w:p>
      <w:pPr>
        <w:pStyle w:val="Style34"/>
        <w:keepNext w:val="0"/>
        <w:keepLines w:val="0"/>
        <w:widowControl w:val="0"/>
        <w:shd w:val="clear" w:color="auto" w:fill="auto"/>
        <w:tabs>
          <w:tab w:pos="710" w:val="left"/>
        </w:tabs>
        <w:bidi w:val="0"/>
        <w:spacing w:before="0" w:after="0" w:line="314" w:lineRule="exact"/>
        <w:ind w:left="0" w:right="0" w:firstLine="360"/>
        <w:jc w:val="left"/>
      </w:pPr>
      <w:bookmarkStart w:id="782" w:name="bookmark782"/>
      <w:r>
        <w:rPr>
          <w:rFonts w:ascii="Times New Roman" w:eastAsia="Times New Roman" w:hAnsi="Times New Roman" w:cs="Times New Roman"/>
          <w:color w:val="000000"/>
          <w:spacing w:val="0"/>
          <w:w w:val="100"/>
          <w:position w:val="0"/>
        </w:rPr>
        <w:t>c</w:t>
      </w:r>
      <w:bookmarkEnd w:id="782"/>
      <w:r>
        <w:rPr>
          <w:color w:val="000000"/>
          <w:spacing w:val="0"/>
          <w:w w:val="100"/>
          <w:position w:val="0"/>
        </w:rPr>
        <w:t>、</w:t>
        <w:tab/>
      </w:r>
      <w:r>
        <w:rPr>
          <w:color w:val="000000"/>
          <w:spacing w:val="0"/>
          <w:w w:val="100"/>
          <w:position w:val="0"/>
        </w:rPr>
        <w:t>以公允价值计量且其变动计入其他综合收益的金融资产（权益工具）</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终止确认时，之前计入其他综合收益的累计利得或损失从其他综合收益中转出，计入留存收益</w:t>
      </w:r>
    </w:p>
    <w:p>
      <w:pPr>
        <w:pStyle w:val="Style34"/>
        <w:keepNext w:val="0"/>
        <w:keepLines w:val="0"/>
        <w:widowControl w:val="0"/>
        <w:shd w:val="clear" w:color="auto" w:fill="auto"/>
        <w:tabs>
          <w:tab w:pos="729" w:val="left"/>
        </w:tabs>
        <w:bidi w:val="0"/>
        <w:spacing w:before="0" w:after="0" w:line="314" w:lineRule="exact"/>
        <w:ind w:left="0" w:right="0"/>
        <w:jc w:val="both"/>
      </w:pPr>
      <w:bookmarkStart w:id="783" w:name="bookmark783"/>
      <w:r>
        <w:rPr>
          <w:rFonts w:ascii="Times New Roman" w:eastAsia="Times New Roman" w:hAnsi="Times New Roman" w:cs="Times New Roman"/>
          <w:color w:val="000000"/>
          <w:spacing w:val="0"/>
          <w:w w:val="100"/>
          <w:position w:val="0"/>
        </w:rPr>
        <w:t>d</w:t>
      </w:r>
      <w:bookmarkEnd w:id="783"/>
      <w:r>
        <w:rPr>
          <w:color w:val="000000"/>
          <w:spacing w:val="0"/>
          <w:w w:val="100"/>
          <w:position w:val="0"/>
        </w:rPr>
        <w:t>、</w:t>
        <w:tab/>
      </w:r>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34"/>
        <w:keepNext w:val="0"/>
        <w:keepLines w:val="0"/>
        <w:widowControl w:val="0"/>
        <w:shd w:val="clear" w:color="auto" w:fill="auto"/>
        <w:tabs>
          <w:tab w:pos="729" w:val="left"/>
        </w:tabs>
        <w:bidi w:val="0"/>
        <w:spacing w:before="0" w:after="0" w:line="314" w:lineRule="exact"/>
        <w:ind w:left="0" w:right="0"/>
        <w:jc w:val="both"/>
      </w:pPr>
      <w:bookmarkStart w:id="784" w:name="bookmark784"/>
      <w:r>
        <w:rPr>
          <w:rFonts w:ascii="Times New Roman" w:eastAsia="Times New Roman" w:hAnsi="Times New Roman" w:cs="Times New Roman"/>
          <w:color w:val="000000"/>
          <w:spacing w:val="0"/>
          <w:w w:val="100"/>
          <w:position w:val="0"/>
        </w:rPr>
        <w:t>e</w:t>
      </w:r>
      <w:bookmarkEnd w:id="784"/>
      <w:r>
        <w:rPr>
          <w:color w:val="000000"/>
          <w:spacing w:val="0"/>
          <w:w w:val="100"/>
          <w:position w:val="0"/>
        </w:rPr>
        <w:t>、</w:t>
        <w:tab/>
      </w: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终止确认时，其账面价值与支付的对价之间的差额计入当期损益。</w:t>
      </w:r>
    </w:p>
    <w:p>
      <w:pPr>
        <w:pStyle w:val="Style34"/>
        <w:keepNext w:val="0"/>
        <w:keepLines w:val="0"/>
        <w:widowControl w:val="0"/>
        <w:shd w:val="clear" w:color="auto" w:fill="auto"/>
        <w:tabs>
          <w:tab w:pos="729" w:val="left"/>
        </w:tabs>
        <w:bidi w:val="0"/>
        <w:spacing w:before="0" w:after="0" w:line="314" w:lineRule="exact"/>
        <w:ind w:left="0" w:right="0"/>
        <w:jc w:val="both"/>
      </w:pPr>
      <w:bookmarkStart w:id="785" w:name="bookmark785"/>
      <w:r>
        <w:rPr>
          <w:rFonts w:ascii="Times New Roman" w:eastAsia="Times New Roman" w:hAnsi="Times New Roman" w:cs="Times New Roman"/>
          <w:color w:val="000000"/>
          <w:spacing w:val="0"/>
          <w:w w:val="100"/>
          <w:position w:val="0"/>
        </w:rPr>
        <w:t>f</w:t>
      </w:r>
      <w:bookmarkEnd w:id="785"/>
      <w:r>
        <w:rPr>
          <w:color w:val="000000"/>
          <w:spacing w:val="0"/>
          <w:w w:val="100"/>
          <w:position w:val="0"/>
        </w:rPr>
        <w:t>、</w:t>
        <w:tab/>
      </w:r>
      <w:r>
        <w:rPr>
          <w:color w:val="000000"/>
          <w:spacing w:val="0"/>
          <w:w w:val="100"/>
          <w:position w:val="0"/>
        </w:rPr>
        <w:t>以摊余成本计量的金融负债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持有期间采用实际利率法计算的利息计入当期损益。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终止确认时，将支付的对价与该金融负债账面价值之间的差额计入当期损益。</w:t>
      </w:r>
    </w:p>
    <w:p>
      <w:pPr>
        <w:pStyle w:val="Style34"/>
        <w:keepNext w:val="0"/>
        <w:keepLines w:val="0"/>
        <w:widowControl w:val="0"/>
        <w:shd w:val="clear" w:color="auto" w:fill="auto"/>
        <w:bidi w:val="0"/>
        <w:spacing w:before="0" w:after="0" w:line="314" w:lineRule="exact"/>
        <w:ind w:left="0" w:right="0" w:firstLine="2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）金融资产终止确认和金融资产转移</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满足下列条件之一时，本公司终止确认金融资产：</w:t>
      </w:r>
    </w:p>
    <w:p>
      <w:pPr>
        <w:pStyle w:val="Style3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一收取金融资产现金流量的合同权利终止；</w:t>
      </w:r>
    </w:p>
    <w:p>
      <w:pPr>
        <w:pStyle w:val="Style34"/>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一金融资产已转移，且已将金融资产所有权上几乎所有的风险和报酬转移给转入方；</w:t>
      </w:r>
    </w:p>
    <w:p>
      <w:pPr>
        <w:pStyle w:val="Style34"/>
        <w:keepNext w:val="0"/>
        <w:keepLines w:val="0"/>
        <w:widowControl w:val="0"/>
        <w:shd w:val="clear" w:color="auto" w:fill="auto"/>
        <w:bidi w:val="0"/>
        <w:spacing w:before="0" w:after="0" w:line="314" w:lineRule="exact"/>
        <w:ind w:left="360" w:right="0" w:firstLine="2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34"/>
        <w:keepNext w:val="0"/>
        <w:keepLines w:val="0"/>
        <w:widowControl w:val="0"/>
        <w:shd w:val="clear" w:color="auto" w:fill="auto"/>
        <w:bidi w:val="0"/>
        <w:spacing w:before="0" w:after="0" w:line="314" w:lineRule="exact"/>
        <w:ind w:left="360" w:right="0" w:firstLine="20"/>
        <w:jc w:val="both"/>
      </w:pPr>
      <w:r>
        <w:rPr>
          <w:color w:val="000000"/>
          <w:spacing w:val="0"/>
          <w:w w:val="100"/>
          <w:position w:val="0"/>
        </w:rPr>
        <w:t>发生金融资产转移时，如保留了金融资产所有权上几乎所有的风险和报酬的，则不终止确认该金融资产。</w:t>
      </w:r>
    </w:p>
    <w:p>
      <w:pPr>
        <w:pStyle w:val="Style34"/>
        <w:keepNext w:val="0"/>
        <w:keepLines w:val="0"/>
        <w:widowControl w:val="0"/>
        <w:shd w:val="clear" w:color="auto" w:fill="auto"/>
        <w:bidi w:val="0"/>
        <w:spacing w:before="0" w:after="0" w:line="314" w:lineRule="exact"/>
        <w:ind w:left="360" w:right="0" w:firstLine="20"/>
        <w:jc w:val="both"/>
      </w:pPr>
      <w:r>
        <w:rPr>
          <w:color w:val="000000"/>
          <w:spacing w:val="0"/>
          <w:w w:val="100"/>
          <w:position w:val="0"/>
        </w:rPr>
        <w:t>在判断金融资产转移是否满足上述金融资产终止确认条件时，采用实质重于形式的原则。</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34"/>
        <w:keepNext w:val="0"/>
        <w:keepLines w:val="0"/>
        <w:widowControl w:val="0"/>
        <w:shd w:val="clear" w:color="auto" w:fill="auto"/>
        <w:tabs>
          <w:tab w:pos="820" w:val="left"/>
        </w:tabs>
        <w:bidi w:val="0"/>
        <w:spacing w:before="0" w:after="0" w:line="314" w:lineRule="exact"/>
        <w:ind w:left="0" w:right="0"/>
        <w:jc w:val="both"/>
      </w:pPr>
      <w:bookmarkStart w:id="787" w:name="bookmark787"/>
      <w:r>
        <w:rPr>
          <w:color w:val="000000"/>
          <w:spacing w:val="0"/>
          <w:w w:val="100"/>
          <w:position w:val="0"/>
        </w:rPr>
        <w:t>（</w:t>
      </w:r>
      <w:bookmarkEnd w:id="787"/>
      <w:r>
        <w:rPr>
          <w:color w:val="000000"/>
          <w:spacing w:val="0"/>
          <w:w w:val="100"/>
          <w:position w:val="0"/>
        </w:rPr>
        <w:t>a）</w:t>
        <w:tab/>
      </w:r>
      <w:r>
        <w:rPr>
          <w:color w:val="000000"/>
          <w:spacing w:val="0"/>
          <w:w w:val="100"/>
          <w:position w:val="0"/>
        </w:rPr>
        <w:t>所转移金融资产的账面价值；</w:t>
      </w:r>
    </w:p>
    <w:p>
      <w:pPr>
        <w:pStyle w:val="Style34"/>
        <w:keepNext w:val="0"/>
        <w:keepLines w:val="0"/>
        <w:widowControl w:val="0"/>
        <w:shd w:val="clear" w:color="auto" w:fill="auto"/>
        <w:tabs>
          <w:tab w:pos="896" w:val="left"/>
        </w:tabs>
        <w:bidi w:val="0"/>
        <w:spacing w:before="0" w:after="0" w:line="314" w:lineRule="exact"/>
        <w:ind w:left="360" w:right="0" w:firstLine="20"/>
        <w:jc w:val="both"/>
      </w:pPr>
      <w:bookmarkStart w:id="788" w:name="bookmark788"/>
      <w:r>
        <w:rPr>
          <w:color w:val="000000"/>
          <w:spacing w:val="0"/>
          <w:w w:val="100"/>
          <w:position w:val="0"/>
        </w:rPr>
        <w:t>（</w:t>
      </w:r>
      <w:bookmarkEnd w:id="788"/>
      <w:r>
        <w:rPr>
          <w:color w:val="000000"/>
          <w:spacing w:val="0"/>
          <w:w w:val="100"/>
          <w:position w:val="0"/>
        </w:rPr>
        <w:t>b）</w:t>
        <w:tab/>
      </w:r>
      <w:r>
        <w:rPr>
          <w:color w:val="000000"/>
          <w:spacing w:val="0"/>
          <w:w w:val="100"/>
          <w:position w:val="0"/>
        </w:rPr>
        <w:t>因转移而收到的对价，与原直接计入所有者权益的公允价值变动累计额（涉及转移的金融资产为以公允价值计量 且其变动计入其他综合收益的金融资产（债务工具）的情形）之和。</w:t>
      </w:r>
    </w:p>
    <w:p>
      <w:pPr>
        <w:pStyle w:val="Style3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金融资产部分转移满足终止确认条件的，将所转移金融资产整体的账面价值，在终止确认部分和未终止确认部分之间，按照 各自的相对公允价值进行分摊，并将下列两项金额的差额计入当期损益：</w:t>
      </w:r>
    </w:p>
    <w:p>
      <w:pPr>
        <w:pStyle w:val="Style34"/>
        <w:keepNext w:val="0"/>
        <w:keepLines w:val="0"/>
        <w:widowControl w:val="0"/>
        <w:shd w:val="clear" w:color="auto" w:fill="auto"/>
        <w:tabs>
          <w:tab w:pos="800" w:val="left"/>
        </w:tabs>
        <w:bidi w:val="0"/>
        <w:spacing w:before="0" w:after="0" w:line="314" w:lineRule="exact"/>
        <w:ind w:left="0" w:right="0" w:firstLine="360"/>
        <w:jc w:val="both"/>
      </w:pPr>
      <w:bookmarkStart w:id="789" w:name="bookmark789"/>
      <w:r>
        <w:rPr>
          <w:color w:val="000000"/>
          <w:spacing w:val="0"/>
          <w:w w:val="100"/>
          <w:position w:val="0"/>
        </w:rPr>
        <w:t>（</w:t>
      </w:r>
      <w:bookmarkEnd w:id="789"/>
      <w:r>
        <w:rPr>
          <w:color w:val="000000"/>
          <w:spacing w:val="0"/>
          <w:w w:val="100"/>
          <w:position w:val="0"/>
        </w:rPr>
        <w:t>a）</w:t>
        <w:tab/>
      </w:r>
      <w:r>
        <w:rPr>
          <w:color w:val="000000"/>
          <w:spacing w:val="0"/>
          <w:w w:val="100"/>
          <w:position w:val="0"/>
        </w:rPr>
        <w:t>终止确认部分的账面价值；</w:t>
      </w:r>
    </w:p>
    <w:p>
      <w:pPr>
        <w:pStyle w:val="Style34"/>
        <w:keepNext w:val="0"/>
        <w:keepLines w:val="0"/>
        <w:widowControl w:val="0"/>
        <w:shd w:val="clear" w:color="auto" w:fill="auto"/>
        <w:tabs>
          <w:tab w:pos="896" w:val="left"/>
        </w:tabs>
        <w:bidi w:val="0"/>
        <w:spacing w:before="0" w:after="0" w:line="314" w:lineRule="exact"/>
        <w:ind w:left="360" w:right="0" w:firstLine="20"/>
        <w:jc w:val="both"/>
      </w:pPr>
      <w:bookmarkStart w:id="790" w:name="bookmark790"/>
      <w:r>
        <w:rPr>
          <w:color w:val="000000"/>
          <w:spacing w:val="0"/>
          <w:w w:val="100"/>
          <w:position w:val="0"/>
        </w:rPr>
        <w:t>（</w:t>
      </w:r>
      <w:bookmarkEnd w:id="790"/>
      <w:r>
        <w:rPr>
          <w:color w:val="000000"/>
          <w:spacing w:val="0"/>
          <w:w w:val="100"/>
          <w:position w:val="0"/>
        </w:rPr>
        <w:t>b）</w:t>
        <w:tab/>
      </w:r>
      <w:r>
        <w:rPr>
          <w:color w:val="000000"/>
          <w:spacing w:val="0"/>
          <w:w w:val="100"/>
          <w:position w:val="0"/>
        </w:rPr>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34"/>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4"/>
        <w:keepNext w:val="0"/>
        <w:keepLines w:val="0"/>
        <w:widowControl w:val="0"/>
        <w:shd w:val="clear" w:color="auto" w:fill="auto"/>
        <w:bidi w:val="0"/>
        <w:spacing w:before="0" w:after="0" w:line="314" w:lineRule="exact"/>
        <w:ind w:left="0" w:right="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4</w:t>
      </w:r>
      <w:r>
        <w:rPr>
          <w:color w:val="000000"/>
          <w:spacing w:val="0"/>
          <w:w w:val="100"/>
          <w:position w:val="0"/>
        </w:rPr>
        <w:t>）金融负债终止确认</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4"/>
        <w:keepNext w:val="0"/>
        <w:keepLines w:val="0"/>
        <w:widowControl w:val="0"/>
        <w:shd w:val="clear" w:color="auto" w:fill="auto"/>
        <w:bidi w:val="0"/>
        <w:spacing w:before="0" w:after="0" w:line="314" w:lineRule="exact"/>
        <w:ind w:left="0" w:right="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）金融资产和金融负债的公允价值的确定方法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4"/>
        <w:keepNext w:val="0"/>
        <w:keepLines w:val="0"/>
        <w:widowControl w:val="0"/>
        <w:shd w:val="clear" w:color="auto" w:fill="auto"/>
        <w:bidi w:val="0"/>
        <w:spacing w:before="0" w:after="0" w:line="314" w:lineRule="exact"/>
        <w:ind w:left="0" w:right="0" w:firstLine="28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p>
    <w:p>
      <w:pPr>
        <w:pStyle w:val="Style34"/>
        <w:keepNext w:val="0"/>
        <w:keepLines w:val="0"/>
        <w:widowControl w:val="0"/>
        <w:shd w:val="clear" w:color="auto" w:fill="auto"/>
        <w:bidi w:val="0"/>
        <w:spacing w:before="0" w:after="0" w:line="336" w:lineRule="exact"/>
        <w:ind w:left="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如果该金融工具的信用风险自初始确认后已显著增加，本公司按照相当于该金融工具整个存续期内预期信用损失的金额 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 信用损失的金额计量其损失准备。由此形成的损失准备的增加或转回金额，作为减值损失或利得计入当期损益。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 该金融工具的信用风险已显著增加，除非有确凿证据证明该金融工具的信用风险自初始确认后并未显著增加。</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如果金融工具于资产负债表日的信用风险较低，本公司即认为该金融工具的信用风险自初始确认后并未显著增加。 如果有客观证据表明某项金融资产已经发生信用减值，则本公司在单项基础上对该金融资产计提减值准备。</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规范的交易形成的应收款项和合同资产，无论是否包含重大融资成分， 本公司始终按照相当于整个存续期内预期信用损失的金额计量其损失准备。</w:t>
      </w:r>
    </w:p>
    <w:p>
      <w:pPr>
        <w:pStyle w:val="Style34"/>
        <w:keepNext w:val="0"/>
        <w:keepLines w:val="0"/>
        <w:widowControl w:val="0"/>
        <w:shd w:val="clear" w:color="auto" w:fill="auto"/>
        <w:bidi w:val="0"/>
        <w:spacing w:before="0" w:after="120" w:line="312" w:lineRule="exact"/>
        <w:ind w:left="380" w:right="0" w:firstLine="0"/>
        <w:jc w:val="both"/>
      </w:pPr>
      <w:r>
        <w:rPr>
          <w:color w:val="000000"/>
          <w:spacing w:val="0"/>
          <w:w w:val="100"/>
          <w:position w:val="0"/>
        </w:rPr>
        <w:t>对于租赁应收款，本公司选择始终按照相当于整个存续期内预期信用损失的金额计量其损失准备。 按组合计量预期信用损失的应收账款如下：</w:t>
      </w:r>
    </w:p>
    <w:p>
      <w:pPr>
        <w:pStyle w:val="Style32"/>
        <w:keepNext w:val="0"/>
        <w:keepLines w:val="0"/>
        <w:widowControl w:val="0"/>
        <w:shd w:val="clear" w:color="auto" w:fill="auto"/>
        <w:bidi w:val="0"/>
        <w:spacing w:before="0" w:after="0" w:line="312" w:lineRule="exact"/>
        <w:ind w:left="20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1709"/>
        <w:gridCol w:w="2554"/>
        <w:gridCol w:w="5112"/>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计量预期信用损失的方法</w:t>
            </w:r>
          </w:p>
        </w:tc>
      </w:tr>
      <w:tr>
        <w:trPr>
          <w:trHeight w:val="979" w:hRule="exact"/>
        </w:trPr>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以应收款项的账龄作为信用风险</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参考历史信用损失经验，结合当前状况以及对未来经济状况的预 测，编制应收账款账龄与整个存续期预期信用损失率对照表，计 算预期信用损失</w:t>
            </w:r>
          </w:p>
        </w:tc>
      </w:tr>
      <w:tr>
        <w:trPr>
          <w:trHeight w:val="984"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御银股份合并范围内关联方款项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参考历史信用损失经验，结合当前状况以及对未来经济状况的预 测，编制应收账款账龄与整个存续期预期信用损失率对照表，计 算预期信用损失</w:t>
            </w:r>
          </w:p>
        </w:tc>
      </w:tr>
    </w:tbl>
    <w:p>
      <w:pPr>
        <w:widowControl w:val="0"/>
        <w:spacing w:line="1" w:lineRule="exact"/>
      </w:pPr>
    </w:p>
    <w:p>
      <w:pPr>
        <w:pStyle w:val="Style32"/>
        <w:keepNext w:val="0"/>
        <w:keepLines w:val="0"/>
        <w:widowControl w:val="0"/>
        <w:shd w:val="clear" w:color="auto" w:fill="auto"/>
        <w:bidi w:val="0"/>
        <w:spacing w:before="0" w:after="0" w:line="240" w:lineRule="auto"/>
        <w:ind w:left="302"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账龄组合的账龄与整个存续期预期信用损失率对照表</w:t>
      </w:r>
    </w:p>
    <w:tbl>
      <w:tblPr>
        <w:tblOverlap w:val="never"/>
        <w:jc w:val="center"/>
        <w:tblLayout w:type="fixed"/>
      </w:tblPr>
      <w:tblGrid>
        <w:gridCol w:w="4262"/>
        <w:gridCol w:w="5112"/>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应收账款预期信用损失率（</w:t>
            </w:r>
            <w:r>
              <w:rPr>
                <w:color w:val="000000"/>
                <w:spacing w:val="0"/>
                <w:w w:val="100"/>
                <w:position w:val="0"/>
              </w:rPr>
              <w:t>%</w:t>
            </w:r>
            <w:r>
              <w:rPr>
                <w:rFonts w:ascii="SimSun" w:eastAsia="SimSun" w:hAnsi="SimSun" w:cs="SimSun"/>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bl>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合并关联方组合预期信用损失率对照表</w:t>
      </w:r>
    </w:p>
    <w:tbl>
      <w:tblPr>
        <w:tblOverlap w:val="never"/>
        <w:jc w:val="center"/>
        <w:tblLayout w:type="fixed"/>
      </w:tblPr>
      <w:tblGrid>
        <w:gridCol w:w="4262"/>
        <w:gridCol w:w="5112"/>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应收账款预期信用损失率（</w:t>
            </w:r>
            <w:r>
              <w:rPr>
                <w:color w:val="000000"/>
                <w:spacing w:val="0"/>
                <w:w w:val="100"/>
                <w:position w:val="0"/>
              </w:rPr>
              <w:t>%</w:t>
            </w:r>
            <w:r>
              <w:rPr>
                <w:rFonts w:ascii="SimSun" w:eastAsia="SimSun" w:hAnsi="SimSun" w:cs="SimSun"/>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34"/>
        <w:keepNext w:val="0"/>
        <w:keepLines w:val="0"/>
        <w:widowControl w:val="0"/>
        <w:shd w:val="clear" w:color="auto" w:fill="auto"/>
        <w:bidi w:val="0"/>
        <w:spacing w:before="0" w:after="360" w:line="312" w:lineRule="exact"/>
        <w:ind w:left="0" w:right="0" w:firstLine="360"/>
        <w:jc w:val="both"/>
        <w:rPr>
          <w:sz w:val="20"/>
          <w:szCs w:val="20"/>
        </w:rPr>
      </w:pPr>
      <w:r>
        <w:rPr>
          <w:color w:val="000000"/>
          <w:spacing w:val="0"/>
          <w:w w:val="100"/>
          <w:position w:val="0"/>
          <w:sz w:val="18"/>
          <w:szCs w:val="18"/>
        </w:rPr>
        <w:t>本公司不再合理预期金融资产合同现金流量能够全部或部分收回的，直接减记该金融资产的账面余额</w:t>
      </w:r>
      <w:r>
        <w:rPr>
          <w:color w:val="000000"/>
          <w:spacing w:val="0"/>
          <w:w w:val="100"/>
          <w:position w:val="0"/>
          <w:sz w:val="20"/>
          <w:szCs w:val="20"/>
        </w:rPr>
        <w:t>。</w:t>
      </w:r>
    </w:p>
    <w:p>
      <w:pPr>
        <w:pStyle w:val="Style38"/>
        <w:keepNext/>
        <w:keepLines/>
        <w:widowControl w:val="0"/>
        <w:shd w:val="clear" w:color="auto" w:fill="auto"/>
        <w:tabs>
          <w:tab w:pos="474" w:val="left"/>
        </w:tabs>
        <w:bidi w:val="0"/>
        <w:spacing w:before="0" w:after="26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794"/>
      <w:bookmarkEnd w:id="795"/>
      <w:bookmarkEnd w:id="797"/>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1</w:t>
      </w:r>
      <w:r>
        <w:rPr>
          <w:color w:val="000000"/>
          <w:spacing w:val="0"/>
          <w:w w:val="100"/>
          <w:position w:val="0"/>
        </w:rPr>
        <w:t>）</w:t>
        <w:tab/>
        <w:t>存货的分类和成本</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存货分类为：在途物资、原材料、周转材料、库存商品、在产品、发出商品、委托加工物资等。</w:t>
      </w:r>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存货按成本进行初始计量，存货成本包括采购成本、加工成本和其他使存货达到目前场所和状态所发生的支出。</w:t>
      </w:r>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存货发出时按加权平均法计价。</w:t>
      </w:r>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3</w:t>
      </w:r>
      <w:r>
        <w:rPr>
          <w:color w:val="000000"/>
          <w:spacing w:val="0"/>
          <w:w w:val="100"/>
          <w:position w:val="0"/>
        </w:rPr>
        <w:t>）</w:t>
        <w:tab/>
        <w:t>不同类别存货可变现净值的确定依据</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4"/>
        <w:keepNext w:val="0"/>
        <w:keepLines w:val="0"/>
        <w:widowControl w:val="0"/>
        <w:shd w:val="clear" w:color="auto" w:fill="auto"/>
        <w:bidi w:val="0"/>
        <w:spacing w:before="0" w:after="0" w:line="312" w:lineRule="exact"/>
        <w:ind w:left="0" w:right="0" w:firstLine="360"/>
        <w:jc w:val="left"/>
      </w:pPr>
      <w:r>
        <w:rPr>
          <w:color w:val="000000"/>
          <w:spacing w:val="0"/>
          <w:w w:val="100"/>
          <w:position w:val="0"/>
        </w:rPr>
        <w:t>采用永续盘存制。</w:t>
      </w:r>
    </w:p>
    <w:p>
      <w:pPr>
        <w:pStyle w:val="Style34"/>
        <w:keepNext w:val="0"/>
        <w:keepLines w:val="0"/>
        <w:widowControl w:val="0"/>
        <w:shd w:val="clear" w:color="auto" w:fill="auto"/>
        <w:tabs>
          <w:tab w:pos="720" w:val="left"/>
        </w:tabs>
        <w:bidi w:val="0"/>
        <w:spacing w:before="0" w:after="80" w:line="312" w:lineRule="exact"/>
        <w:ind w:left="0" w:right="0" w:firstLine="28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4"/>
        <w:keepNext w:val="0"/>
        <w:keepLines w:val="0"/>
        <w:widowControl w:val="0"/>
        <w:shd w:val="clear" w:color="auto" w:fill="auto"/>
        <w:tabs>
          <w:tab w:pos="1014" w:val="left"/>
        </w:tabs>
        <w:bidi w:val="0"/>
        <w:spacing w:before="0" w:after="0"/>
        <w:ind w:left="0" w:right="0" w:firstLine="680"/>
        <w:jc w:val="both"/>
      </w:pPr>
      <w:bookmarkStart w:id="803" w:name="bookmark803"/>
      <w:r>
        <w:rPr>
          <w:rFonts w:ascii="Times New Roman" w:eastAsia="Times New Roman" w:hAnsi="Times New Roman" w:cs="Times New Roman"/>
          <w:color w:val="000000"/>
          <w:spacing w:val="0"/>
          <w:w w:val="100"/>
          <w:position w:val="0"/>
        </w:rPr>
        <w:t>a</w:t>
      </w:r>
      <w:bookmarkEnd w:id="803"/>
      <w:r>
        <w:rPr>
          <w:color w:val="000000"/>
          <w:spacing w:val="0"/>
          <w:w w:val="100"/>
          <w:position w:val="0"/>
        </w:rPr>
        <w:t>、</w:t>
        <w:tab/>
      </w:r>
      <w:r>
        <w:rPr>
          <w:color w:val="000000"/>
          <w:spacing w:val="0"/>
          <w:w w:val="100"/>
          <w:position w:val="0"/>
        </w:rPr>
        <w:t>低值易耗品采用一次转销法；</w:t>
      </w:r>
    </w:p>
    <w:p>
      <w:pPr>
        <w:pStyle w:val="Style34"/>
        <w:keepNext w:val="0"/>
        <w:keepLines w:val="0"/>
        <w:widowControl w:val="0"/>
        <w:shd w:val="clear" w:color="auto" w:fill="auto"/>
        <w:tabs>
          <w:tab w:pos="1034" w:val="left"/>
        </w:tabs>
        <w:bidi w:val="0"/>
        <w:spacing w:before="0" w:after="260"/>
        <w:ind w:left="0" w:right="0" w:firstLine="680"/>
        <w:jc w:val="both"/>
      </w:pPr>
      <w:bookmarkStart w:id="804" w:name="bookmark804"/>
      <w:r>
        <w:rPr>
          <w:rFonts w:ascii="Times New Roman" w:eastAsia="Times New Roman" w:hAnsi="Times New Roman" w:cs="Times New Roman"/>
          <w:color w:val="000000"/>
          <w:spacing w:val="0"/>
          <w:w w:val="100"/>
          <w:position w:val="0"/>
        </w:rPr>
        <w:t>b</w:t>
      </w:r>
      <w:bookmarkEnd w:id="804"/>
      <w:r>
        <w:rPr>
          <w:color w:val="000000"/>
          <w:spacing w:val="0"/>
          <w:w w:val="100"/>
          <w:position w:val="0"/>
        </w:rPr>
        <w:t>、</w:t>
        <w:tab/>
      </w:r>
      <w:r>
        <w:rPr>
          <w:color w:val="000000"/>
          <w:spacing w:val="0"/>
          <w:w w:val="100"/>
          <w:position w:val="0"/>
        </w:rPr>
        <w:t>包装物采用一次转销法。</w:t>
      </w:r>
    </w:p>
    <w:p>
      <w:pPr>
        <w:pStyle w:val="Style38"/>
        <w:keepNext/>
        <w:keepLines/>
        <w:widowControl w:val="0"/>
        <w:shd w:val="clear" w:color="auto" w:fill="auto"/>
        <w:tabs>
          <w:tab w:pos="474" w:val="left"/>
        </w:tabs>
        <w:bidi w:val="0"/>
        <w:spacing w:before="0" w:after="26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805"/>
      <w:bookmarkEnd w:id="806"/>
      <w:bookmarkEnd w:id="808"/>
    </w:p>
    <w:p>
      <w:pPr>
        <w:pStyle w:val="Style34"/>
        <w:keepNext w:val="0"/>
        <w:keepLines w:val="0"/>
        <w:widowControl w:val="0"/>
        <w:shd w:val="clear" w:color="auto" w:fill="auto"/>
        <w:bidi w:val="0"/>
        <w:spacing w:before="0" w:after="0" w:line="310"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34"/>
        <w:keepNext w:val="0"/>
        <w:keepLines w:val="0"/>
        <w:widowControl w:val="0"/>
        <w:shd w:val="clear" w:color="auto" w:fill="auto"/>
        <w:tabs>
          <w:tab w:pos="720" w:val="left"/>
        </w:tabs>
        <w:bidi w:val="0"/>
        <w:spacing w:before="0" w:after="0" w:line="310" w:lineRule="exact"/>
        <w:ind w:left="0" w:right="0" w:firstLine="2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34"/>
        <w:keepNext w:val="0"/>
        <w:keepLines w:val="0"/>
        <w:widowControl w:val="0"/>
        <w:shd w:val="clear" w:color="auto" w:fill="auto"/>
        <w:tabs>
          <w:tab w:pos="720" w:val="left"/>
        </w:tabs>
        <w:bidi w:val="0"/>
        <w:spacing w:before="0" w:after="0" w:line="310" w:lineRule="exact"/>
        <w:ind w:left="0" w:right="0" w:firstLine="280"/>
        <w:jc w:val="both"/>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2</w:t>
      </w:r>
      <w:r>
        <w:rPr>
          <w:color w:val="000000"/>
          <w:spacing w:val="0"/>
          <w:w w:val="100"/>
          <w:position w:val="0"/>
        </w:rPr>
        <w:t>）</w:t>
        <w:tab/>
        <w:t>合同资产预期信用损失的确定方法及会计处理方法</w:t>
      </w:r>
    </w:p>
    <w:p>
      <w:pPr>
        <w:pStyle w:val="Style34"/>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合同资产的预期信用损失的确定方法及会计处理方法详见本财务报告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8"/>
        <w:keepNext/>
        <w:keepLines/>
        <w:widowControl w:val="0"/>
        <w:shd w:val="clear" w:color="auto" w:fill="auto"/>
        <w:tabs>
          <w:tab w:pos="474"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11"/>
      <w:bookmarkEnd w:id="812"/>
      <w:bookmarkEnd w:id="81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合同成本包括合同履约成本与合同取得成本。</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34"/>
        <w:keepNext w:val="0"/>
        <w:keepLines w:val="0"/>
        <w:widowControl w:val="0"/>
        <w:shd w:val="clear" w:color="auto" w:fill="auto"/>
        <w:tabs>
          <w:tab w:pos="766" w:val="left"/>
        </w:tabs>
        <w:bidi w:val="0"/>
        <w:spacing w:before="0" w:after="0"/>
        <w:ind w:left="0" w:right="0" w:firstLine="360"/>
        <w:jc w:val="both"/>
      </w:pPr>
      <w:bookmarkStart w:id="815" w:name="bookmark815"/>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1）</w:t>
        <w:tab/>
      </w:r>
      <w:r>
        <w:rPr>
          <w:color w:val="000000"/>
          <w:spacing w:val="0"/>
          <w:w w:val="100"/>
          <w:position w:val="0"/>
        </w:rPr>
        <w:t>成本与一份当前或预期取得的合同直接相关。</w:t>
      </w:r>
    </w:p>
    <w:p>
      <w:pPr>
        <w:pStyle w:val="Style34"/>
        <w:keepNext w:val="0"/>
        <w:keepLines w:val="0"/>
        <w:widowControl w:val="0"/>
        <w:shd w:val="clear" w:color="auto" w:fill="auto"/>
        <w:tabs>
          <w:tab w:pos="766" w:val="left"/>
        </w:tabs>
        <w:bidi w:val="0"/>
        <w:spacing w:before="0" w:after="0"/>
        <w:ind w:left="0" w:right="0" w:firstLine="360"/>
        <w:jc w:val="both"/>
      </w:pPr>
      <w:bookmarkStart w:id="816" w:name="bookmark816"/>
      <w:r>
        <w:rPr>
          <w:rFonts w:ascii="Times New Roman" w:eastAsia="Times New Roman" w:hAnsi="Times New Roman" w:cs="Times New Roman"/>
          <w:color w:val="000000"/>
          <w:spacing w:val="0"/>
          <w:w w:val="100"/>
          <w:position w:val="0"/>
        </w:rPr>
        <w:t>（</w:t>
      </w:r>
      <w:bookmarkEnd w:id="816"/>
      <w:r>
        <w:rPr>
          <w:rFonts w:ascii="Times New Roman" w:eastAsia="Times New Roman" w:hAnsi="Times New Roman" w:cs="Times New Roman"/>
          <w:color w:val="000000"/>
          <w:spacing w:val="0"/>
          <w:w w:val="100"/>
          <w:position w:val="0"/>
        </w:rPr>
        <w:t>2）</w:t>
        <w:tab/>
      </w:r>
      <w:r>
        <w:rPr>
          <w:color w:val="000000"/>
          <w:spacing w:val="0"/>
          <w:w w:val="100"/>
          <w:position w:val="0"/>
        </w:rPr>
        <w:t>该成本增加了本公司未来用于履行履约义务的资源。</w:t>
      </w:r>
    </w:p>
    <w:p>
      <w:pPr>
        <w:pStyle w:val="Style34"/>
        <w:keepNext w:val="0"/>
        <w:keepLines w:val="0"/>
        <w:widowControl w:val="0"/>
        <w:shd w:val="clear" w:color="auto" w:fill="auto"/>
        <w:tabs>
          <w:tab w:pos="766" w:val="left"/>
        </w:tabs>
        <w:bidi w:val="0"/>
        <w:spacing w:before="0" w:after="80"/>
        <w:ind w:left="0" w:right="0" w:firstLine="36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3）</w:t>
        <w:tab/>
      </w:r>
      <w:r>
        <w:rPr>
          <w:color w:val="000000"/>
          <w:spacing w:val="0"/>
          <w:w w:val="100"/>
          <w:position w:val="0"/>
        </w:rPr>
        <w:t>该成本预期能够收回。</w:t>
      </w:r>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本公司为取得合同发生的增量成本预期能够收回的，作为合同取得成本确认为一项资产。</w:t>
      </w:r>
    </w:p>
    <w:p>
      <w:pPr>
        <w:pStyle w:val="Style3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与合同成本有关的资产采用与该资产相关的商品或服务收入确认相同的基础进行摊销;但是对于合同取得成本摊销期限未超 过一年的，本公司在发生时将其计入当期损益。</w:t>
      </w:r>
    </w:p>
    <w:p>
      <w:pPr>
        <w:pStyle w:val="Style34"/>
        <w:keepNext w:val="0"/>
        <w:keepLines w:val="0"/>
        <w:widowControl w:val="0"/>
        <w:shd w:val="clear" w:color="auto" w:fill="auto"/>
        <w:bidi w:val="0"/>
        <w:spacing w:before="0" w:after="80" w:line="310" w:lineRule="exact"/>
        <w:ind w:left="0" w:right="0"/>
        <w:jc w:val="both"/>
      </w:pPr>
      <w:r>
        <w:rPr>
          <w:color w:val="000000"/>
          <w:spacing w:val="0"/>
          <w:w w:val="100"/>
          <w:position w:val="0"/>
        </w:rPr>
        <w:t>与合同成本有关的资产，其账面价值高于下列两项的差额的，本公司对超出部分计提减值准备，并确认为资产减值损失:</w:t>
      </w:r>
    </w:p>
    <w:p>
      <w:pPr>
        <w:pStyle w:val="Style34"/>
        <w:keepNext w:val="0"/>
        <w:keepLines w:val="0"/>
        <w:widowControl w:val="0"/>
        <w:numPr>
          <w:ilvl w:val="0"/>
          <w:numId w:val="19"/>
        </w:numPr>
        <w:shd w:val="clear" w:color="auto" w:fill="auto"/>
        <w:tabs>
          <w:tab w:pos="786" w:val="left"/>
        </w:tabs>
        <w:bidi w:val="0"/>
        <w:spacing w:before="0" w:after="0"/>
        <w:ind w:left="0" w:right="0"/>
        <w:jc w:val="both"/>
      </w:pPr>
      <w:bookmarkStart w:id="818" w:name="bookmark818"/>
      <w:bookmarkEnd w:id="818"/>
      <w:r>
        <w:rPr>
          <w:color w:val="000000"/>
          <w:spacing w:val="0"/>
          <w:w w:val="100"/>
          <w:position w:val="0"/>
        </w:rPr>
        <w:t>因转让与该资产相关的商品或服务预期能够取得的剩余对价；</w:t>
      </w:r>
    </w:p>
    <w:p>
      <w:pPr>
        <w:pStyle w:val="Style34"/>
        <w:keepNext w:val="0"/>
        <w:keepLines w:val="0"/>
        <w:widowControl w:val="0"/>
        <w:numPr>
          <w:ilvl w:val="0"/>
          <w:numId w:val="19"/>
        </w:numPr>
        <w:shd w:val="clear" w:color="auto" w:fill="auto"/>
        <w:tabs>
          <w:tab w:pos="786" w:val="left"/>
        </w:tabs>
        <w:bidi w:val="0"/>
        <w:spacing w:before="0" w:after="0"/>
        <w:ind w:left="0" w:right="0"/>
        <w:jc w:val="both"/>
      </w:pPr>
      <w:bookmarkStart w:id="819" w:name="bookmark819"/>
      <w:bookmarkEnd w:id="819"/>
      <w:r>
        <w:rPr>
          <w:color w:val="000000"/>
          <w:spacing w:val="0"/>
          <w:w w:val="100"/>
          <w:position w:val="0"/>
        </w:rPr>
        <w:t>为转让该相关商品或服务估计将要发生的成本。</w:t>
      </w:r>
    </w:p>
    <w:p>
      <w:pPr>
        <w:pStyle w:val="Style34"/>
        <w:keepNext w:val="0"/>
        <w:keepLines w:val="0"/>
        <w:widowControl w:val="0"/>
        <w:shd w:val="clear" w:color="auto" w:fill="auto"/>
        <w:bidi w:val="0"/>
        <w:spacing w:before="0" w:after="360" w:line="310" w:lineRule="exact"/>
        <w:ind w:left="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38"/>
        <w:keepNext/>
        <w:keepLines/>
        <w:widowControl w:val="0"/>
        <w:shd w:val="clear" w:color="auto" w:fill="auto"/>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1</w:t>
      </w:r>
      <w:bookmarkEnd w:id="822"/>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820"/>
      <w:bookmarkEnd w:id="821"/>
      <w:bookmarkEnd w:id="823"/>
    </w:p>
    <w:p>
      <w:pPr>
        <w:pStyle w:val="Style34"/>
        <w:keepNext w:val="0"/>
        <w:keepLines w:val="0"/>
        <w:widowControl w:val="0"/>
        <w:numPr>
          <w:ilvl w:val="0"/>
          <w:numId w:val="21"/>
        </w:numPr>
        <w:shd w:val="clear" w:color="auto" w:fill="auto"/>
        <w:tabs>
          <w:tab w:pos="720" w:val="left"/>
        </w:tabs>
        <w:bidi w:val="0"/>
        <w:spacing w:before="0" w:after="0" w:line="312" w:lineRule="exact"/>
        <w:ind w:left="0" w:right="0" w:firstLine="280"/>
        <w:jc w:val="both"/>
      </w:pPr>
      <w:bookmarkStart w:id="824" w:name="bookmark824"/>
      <w:bookmarkEnd w:id="824"/>
      <w:r>
        <w:rPr>
          <w:color w:val="000000"/>
          <w:spacing w:val="0"/>
          <w:w w:val="100"/>
          <w:position w:val="0"/>
        </w:rPr>
        <w:t>共同控制、重大影响的判断标准</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34"/>
        <w:keepNext w:val="0"/>
        <w:keepLines w:val="0"/>
        <w:widowControl w:val="0"/>
        <w:numPr>
          <w:ilvl w:val="0"/>
          <w:numId w:val="21"/>
        </w:numPr>
        <w:shd w:val="clear" w:color="auto" w:fill="auto"/>
        <w:tabs>
          <w:tab w:pos="720" w:val="left"/>
        </w:tabs>
        <w:bidi w:val="0"/>
        <w:spacing w:before="0" w:after="80" w:line="312" w:lineRule="exact"/>
        <w:ind w:left="0" w:right="0" w:firstLine="280"/>
        <w:jc w:val="left"/>
      </w:pPr>
      <w:bookmarkStart w:id="825" w:name="bookmark825"/>
      <w:bookmarkEnd w:id="825"/>
      <w:r>
        <w:rPr>
          <w:color w:val="000000"/>
          <w:spacing w:val="0"/>
          <w:w w:val="100"/>
          <w:position w:val="0"/>
        </w:rPr>
        <w:t>初始投资成本的确定</w:t>
      </w:r>
    </w:p>
    <w:p>
      <w:pPr>
        <w:pStyle w:val="Style34"/>
        <w:keepNext w:val="0"/>
        <w:keepLines w:val="0"/>
        <w:widowControl w:val="0"/>
        <w:shd w:val="clear" w:color="auto" w:fill="auto"/>
        <w:tabs>
          <w:tab w:pos="714" w:val="left"/>
        </w:tabs>
        <w:bidi w:val="0"/>
        <w:spacing w:before="0" w:after="0"/>
        <w:ind w:left="0" w:right="0"/>
        <w:jc w:val="both"/>
      </w:pPr>
      <w:bookmarkStart w:id="826" w:name="bookmark826"/>
      <w:r>
        <w:rPr>
          <w:rFonts w:ascii="Times New Roman" w:eastAsia="Times New Roman" w:hAnsi="Times New Roman" w:cs="Times New Roman"/>
          <w:color w:val="000000"/>
          <w:spacing w:val="0"/>
          <w:w w:val="100"/>
          <w:position w:val="0"/>
        </w:rPr>
        <w:t>a</w:t>
      </w:r>
      <w:bookmarkEnd w:id="826"/>
      <w:r>
        <w:rPr>
          <w:color w:val="000000"/>
          <w:spacing w:val="0"/>
          <w:w w:val="100"/>
          <w:position w:val="0"/>
        </w:rPr>
        <w:t>、</w:t>
        <w:tab/>
      </w:r>
      <w:r>
        <w:rPr>
          <w:color w:val="000000"/>
          <w:spacing w:val="0"/>
          <w:w w:val="100"/>
          <w:position w:val="0"/>
        </w:rPr>
        <w:t>企业合并形成的长期股权投资</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34"/>
        <w:keepNext w:val="0"/>
        <w:keepLines w:val="0"/>
        <w:widowControl w:val="0"/>
        <w:shd w:val="clear" w:color="auto" w:fill="auto"/>
        <w:tabs>
          <w:tab w:pos="729" w:val="left"/>
        </w:tabs>
        <w:bidi w:val="0"/>
        <w:spacing w:before="0" w:after="0"/>
        <w:ind w:left="0" w:right="0"/>
        <w:jc w:val="both"/>
      </w:pPr>
      <w:bookmarkStart w:id="827" w:name="bookmark827"/>
      <w:r>
        <w:rPr>
          <w:rFonts w:ascii="Times New Roman" w:eastAsia="Times New Roman" w:hAnsi="Times New Roman" w:cs="Times New Roman"/>
          <w:color w:val="000000"/>
          <w:spacing w:val="0"/>
          <w:w w:val="100"/>
          <w:position w:val="0"/>
        </w:rPr>
        <w:t>b</w:t>
      </w:r>
      <w:bookmarkEnd w:id="827"/>
      <w:r>
        <w:rPr>
          <w:color w:val="000000"/>
          <w:spacing w:val="0"/>
          <w:w w:val="100"/>
          <w:position w:val="0"/>
        </w:rPr>
        <w:t>、</w:t>
        <w:tab/>
      </w:r>
      <w:r>
        <w:rPr>
          <w:color w:val="000000"/>
          <w:spacing w:val="0"/>
          <w:w w:val="100"/>
          <w:position w:val="0"/>
        </w:rPr>
        <w:t>通过企业合并以外的其他方式取得的长期股权投资</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以支付现金方式取得的长期股权投资，按照实际支付的购买价款作为初始投资成本。</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34"/>
        <w:keepNext w:val="0"/>
        <w:keepLines w:val="0"/>
        <w:widowControl w:val="0"/>
        <w:numPr>
          <w:ilvl w:val="0"/>
          <w:numId w:val="21"/>
        </w:numPr>
        <w:shd w:val="clear" w:color="auto" w:fill="auto"/>
        <w:tabs>
          <w:tab w:pos="720" w:val="left"/>
        </w:tabs>
        <w:bidi w:val="0"/>
        <w:spacing w:before="0" w:after="80" w:line="312" w:lineRule="exact"/>
        <w:ind w:left="0" w:right="0" w:firstLine="280"/>
        <w:jc w:val="both"/>
      </w:pPr>
      <w:bookmarkStart w:id="828" w:name="bookmark828"/>
      <w:bookmarkEnd w:id="828"/>
      <w:r>
        <w:rPr>
          <w:color w:val="000000"/>
          <w:spacing w:val="0"/>
          <w:w w:val="100"/>
          <w:position w:val="0"/>
        </w:rPr>
        <w:t>后续计量及损益确认方法</w:t>
      </w:r>
    </w:p>
    <w:p>
      <w:pPr>
        <w:pStyle w:val="Style34"/>
        <w:keepNext w:val="0"/>
        <w:keepLines w:val="0"/>
        <w:widowControl w:val="0"/>
        <w:shd w:val="clear" w:color="auto" w:fill="auto"/>
        <w:tabs>
          <w:tab w:pos="714" w:val="left"/>
        </w:tabs>
        <w:bidi w:val="0"/>
        <w:spacing w:before="0" w:after="0"/>
        <w:ind w:left="0" w:right="0"/>
        <w:jc w:val="both"/>
      </w:pPr>
      <w:bookmarkStart w:id="829" w:name="bookmark829"/>
      <w:r>
        <w:rPr>
          <w:rFonts w:ascii="Times New Roman" w:eastAsia="Times New Roman" w:hAnsi="Times New Roman" w:cs="Times New Roman"/>
          <w:color w:val="000000"/>
          <w:spacing w:val="0"/>
          <w:w w:val="100"/>
          <w:position w:val="0"/>
        </w:rPr>
        <w:t>a</w:t>
      </w:r>
      <w:bookmarkEnd w:id="829"/>
      <w:r>
        <w:rPr>
          <w:color w:val="000000"/>
          <w:spacing w:val="0"/>
          <w:w w:val="100"/>
          <w:position w:val="0"/>
        </w:rPr>
        <w:t>、</w:t>
        <w:tab/>
      </w:r>
      <w:r>
        <w:rPr>
          <w:color w:val="000000"/>
          <w:spacing w:val="0"/>
          <w:w w:val="100"/>
          <w:position w:val="0"/>
        </w:rPr>
        <w:t>成本法核算的长期股权投资</w:t>
      </w:r>
    </w:p>
    <w:p>
      <w:pPr>
        <w:pStyle w:val="Style34"/>
        <w:keepNext w:val="0"/>
        <w:keepLines w:val="0"/>
        <w:widowControl w:val="0"/>
        <w:shd w:val="clear" w:color="auto" w:fill="auto"/>
        <w:bidi w:val="0"/>
        <w:spacing w:before="0" w:after="80" w:line="312" w:lineRule="exact"/>
        <w:ind w:left="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34"/>
        <w:keepNext w:val="0"/>
        <w:keepLines w:val="0"/>
        <w:widowControl w:val="0"/>
        <w:shd w:val="clear" w:color="auto" w:fill="auto"/>
        <w:tabs>
          <w:tab w:pos="729" w:val="left"/>
        </w:tabs>
        <w:bidi w:val="0"/>
        <w:spacing w:before="0" w:after="0"/>
        <w:ind w:left="0" w:right="0"/>
        <w:jc w:val="left"/>
      </w:pPr>
      <w:bookmarkStart w:id="830" w:name="bookmark830"/>
      <w:r>
        <w:rPr>
          <w:rFonts w:ascii="Times New Roman" w:eastAsia="Times New Roman" w:hAnsi="Times New Roman" w:cs="Times New Roman"/>
          <w:color w:val="000000"/>
          <w:spacing w:val="0"/>
          <w:w w:val="100"/>
          <w:position w:val="0"/>
        </w:rPr>
        <w:t>b</w:t>
      </w:r>
      <w:bookmarkEnd w:id="830"/>
      <w:r>
        <w:rPr>
          <w:color w:val="000000"/>
          <w:spacing w:val="0"/>
          <w:w w:val="100"/>
          <w:position w:val="0"/>
        </w:rPr>
        <w:t>、</w:t>
        <w:tab/>
      </w:r>
      <w:r>
        <w:rPr>
          <w:color w:val="000000"/>
          <w:spacing w:val="0"/>
          <w:w w:val="100"/>
          <w:position w:val="0"/>
        </w:rPr>
        <w:t>权益法核算的长期股权投资</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34"/>
        <w:keepNext w:val="0"/>
        <w:keepLines w:val="0"/>
        <w:widowControl w:val="0"/>
        <w:shd w:val="clear" w:color="auto" w:fill="auto"/>
        <w:bidi w:val="0"/>
        <w:spacing w:before="0" w:after="80" w:line="312" w:lineRule="exact"/>
        <w:ind w:left="0" w:right="0"/>
        <w:jc w:val="left"/>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34"/>
        <w:keepNext w:val="0"/>
        <w:keepLines w:val="0"/>
        <w:widowControl w:val="0"/>
        <w:shd w:val="clear" w:color="auto" w:fill="auto"/>
        <w:bidi w:val="0"/>
        <w:spacing w:before="0" w:after="80" w:line="311" w:lineRule="exact"/>
        <w:ind w:left="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34"/>
        <w:keepNext w:val="0"/>
        <w:keepLines w:val="0"/>
        <w:widowControl w:val="0"/>
        <w:shd w:val="clear" w:color="auto" w:fill="auto"/>
        <w:bidi w:val="0"/>
        <w:spacing w:before="0" w:after="0"/>
        <w:ind w:left="0" w:right="0"/>
        <w:jc w:val="both"/>
      </w:pPr>
      <w:bookmarkStart w:id="831" w:name="bookmark831"/>
      <w:r>
        <w:rPr>
          <w:rFonts w:ascii="Times New Roman" w:eastAsia="Times New Roman" w:hAnsi="Times New Roman" w:cs="Times New Roman"/>
          <w:color w:val="000000"/>
          <w:spacing w:val="0"/>
          <w:w w:val="100"/>
          <w:position w:val="0"/>
        </w:rPr>
        <w:t>c</w:t>
      </w:r>
      <w:bookmarkEnd w:id="831"/>
      <w:r>
        <w:rPr>
          <w:color w:val="000000"/>
          <w:spacing w:val="0"/>
          <w:w w:val="100"/>
          <w:position w:val="0"/>
        </w:rPr>
        <w:t>、</w:t>
      </w:r>
      <w:r>
        <w:rPr>
          <w:color w:val="000000"/>
          <w:spacing w:val="0"/>
          <w:w w:val="100"/>
          <w:position w:val="0"/>
        </w:rPr>
        <w:t>长期股权投资的处置</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处置长期股权投资，其账面价值与实际取得价款的差额，计入当期损益。</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并丧失控制权的交易进行会计处理;在丧失控制权之前每一次处置价款与所处置的股权对应得长期股权投资账面价值之间的 差额，在个别财务报表中，先确认为其他综合收益，到丧失控制权时再一并转人丧失控制权的当期损益。不属于一揽子交易 的，对每一项交易分别进行会计处理。</w:t>
      </w:r>
    </w:p>
    <w:p>
      <w:pPr>
        <w:pStyle w:val="Style38"/>
        <w:keepNext/>
        <w:keepLines/>
        <w:widowControl w:val="0"/>
        <w:shd w:val="clear" w:color="auto" w:fill="auto"/>
        <w:tabs>
          <w:tab w:pos="432" w:val="left"/>
        </w:tabs>
        <w:bidi w:val="0"/>
        <w:spacing w:before="0" w:after="28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32"/>
      <w:bookmarkEnd w:id="833"/>
      <w:bookmarkEnd w:id="835"/>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投资性房地产计量模式</w:t>
      </w:r>
    </w:p>
    <w:p>
      <w:pPr>
        <w:pStyle w:val="Style34"/>
        <w:keepNext w:val="0"/>
        <w:keepLines w:val="0"/>
        <w:widowControl w:val="0"/>
        <w:shd w:val="clear" w:color="auto" w:fill="auto"/>
        <w:bidi w:val="0"/>
        <w:spacing w:before="0" w:after="0" w:line="311" w:lineRule="exact"/>
        <w:ind w:left="0" w:right="0"/>
        <w:jc w:val="left"/>
      </w:pPr>
      <w:r>
        <w:rPr>
          <w:color w:val="000000"/>
          <w:spacing w:val="0"/>
          <w:w w:val="100"/>
          <w:position w:val="0"/>
        </w:rPr>
        <w:t>成本法计量</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折旧或摊销方法</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38"/>
        <w:keepNext/>
        <w:keepLines/>
        <w:widowControl w:val="0"/>
        <w:shd w:val="clear" w:color="auto" w:fill="auto"/>
        <w:tabs>
          <w:tab w:pos="432"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36"/>
      <w:bookmarkEnd w:id="837"/>
      <w:bookmarkEnd w:id="839"/>
    </w:p>
    <w:p>
      <w:pPr>
        <w:pStyle w:val="Style41"/>
        <w:keepNext/>
        <w:keepLines/>
        <w:widowControl w:val="0"/>
        <w:shd w:val="clear" w:color="auto" w:fill="auto"/>
        <w:bidi w:val="0"/>
        <w:spacing w:before="0" w:after="0" w:line="311" w:lineRule="exact"/>
        <w:ind w:left="0" w:right="0" w:firstLine="280"/>
        <w:jc w:val="left"/>
        <w:rPr>
          <w:sz w:val="18"/>
          <w:szCs w:val="18"/>
        </w:rPr>
      </w:pPr>
      <w:bookmarkStart w:id="840" w:name="bookmark840"/>
      <w:bookmarkStart w:id="841" w:name="bookmark841"/>
      <w:bookmarkStart w:id="842" w:name="bookmark842"/>
      <w:bookmarkStart w:id="843" w:name="bookmark843"/>
      <w:r>
        <w:rPr>
          <w:b w:val="0"/>
          <w:bCs w:val="0"/>
          <w:color w:val="000000"/>
          <w:spacing w:val="0"/>
          <w:w w:val="100"/>
          <w:position w:val="0"/>
          <w:sz w:val="18"/>
          <w:szCs w:val="18"/>
        </w:rPr>
        <w:t>（</w:t>
      </w:r>
      <w:bookmarkEnd w:id="842"/>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）确认条件</w:t>
      </w:r>
      <w:bookmarkEnd w:id="840"/>
      <w:bookmarkEnd w:id="841"/>
      <w:bookmarkEnd w:id="843"/>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 xml:space="preserve">该固定资产的成本能够可靠地计量。 固定资产按成本（并考虑预计弃置费用因素的影响）进行初始计量。与固定资产有关的后续支出，在与其有关的经济利益很 可能流入且其成本能够可靠计量时，计入固定资产成本；对于被替换的部分，终止确认其账面价值；所有其他后续支出于发 </w:t>
      </w:r>
      <w:r>
        <w:rPr>
          <w:color w:val="000000"/>
          <w:spacing w:val="0"/>
          <w:w w:val="100"/>
          <w:position w:val="0"/>
        </w:rPr>
        <w:t>生时计入当期损益。</w:t>
      </w:r>
    </w:p>
    <w:p>
      <w:pPr>
        <w:pStyle w:val="Style41"/>
        <w:keepNext/>
        <w:keepLines/>
        <w:widowControl w:val="0"/>
        <w:shd w:val="clear" w:color="auto" w:fill="auto"/>
        <w:bidi w:val="0"/>
        <w:spacing w:before="0" w:after="0" w:line="313" w:lineRule="exact"/>
        <w:ind w:left="0" w:right="0" w:firstLine="0"/>
        <w:jc w:val="left"/>
        <w:rPr>
          <w:sz w:val="18"/>
          <w:szCs w:val="18"/>
        </w:rPr>
      </w:pPr>
      <w:bookmarkStart w:id="844" w:name="bookmark844"/>
      <w:bookmarkStart w:id="845" w:name="bookmark845"/>
      <w:bookmarkStart w:id="846" w:name="bookmark846"/>
      <w:bookmarkStart w:id="847" w:name="bookmark847"/>
      <w:r>
        <w:rPr>
          <w:b w:val="0"/>
          <w:bCs w:val="0"/>
          <w:color w:val="000000"/>
          <w:spacing w:val="0"/>
          <w:w w:val="100"/>
          <w:position w:val="0"/>
          <w:sz w:val="18"/>
          <w:szCs w:val="18"/>
        </w:rPr>
        <w:t>（</w:t>
      </w:r>
      <w:bookmarkEnd w:id="846"/>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8"/>
          <w:szCs w:val="18"/>
        </w:rPr>
        <w:t>）折旧方法</w:t>
      </w:r>
      <w:bookmarkEnd w:id="844"/>
      <w:bookmarkEnd w:id="845"/>
      <w:bookmarkEnd w:id="847"/>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融资租赁方式租入的固定资产采用与自有固定资产相一致的折旧政策。能合理确定租赁期届满时将会取得租赁资产所有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32"/>
        <w:keepNext w:val="0"/>
        <w:keepLines w:val="0"/>
        <w:widowControl w:val="0"/>
        <w:shd w:val="clear" w:color="auto" w:fill="auto"/>
        <w:bidi w:val="0"/>
        <w:spacing w:before="0" w:after="0" w:line="240" w:lineRule="auto"/>
        <w:ind w:left="206" w:right="0" w:firstLine="0"/>
        <w:jc w:val="left"/>
      </w:pPr>
      <w:r>
        <w:rPr>
          <w:color w:val="000000"/>
          <w:spacing w:val="0"/>
          <w:w w:val="100"/>
          <w:position w:val="0"/>
        </w:rPr>
        <w:t>各类固定资产折旧方法、折旧年限、残值率和年折旧率如下:</w:t>
      </w:r>
    </w:p>
    <w:tbl>
      <w:tblPr>
        <w:tblOverlap w:val="never"/>
        <w:jc w:val="center"/>
        <w:tblLayout w:type="fixed"/>
      </w:tblPr>
      <w:tblGrid>
        <w:gridCol w:w="1992"/>
        <w:gridCol w:w="1843"/>
        <w:gridCol w:w="1661"/>
        <w:gridCol w:w="1742"/>
        <w:gridCol w:w="199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r>
              <w:rPr>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柜员机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11.875</w:t>
            </w:r>
          </w:p>
        </w:tc>
      </w:tr>
      <w:tr>
        <w:trPr>
          <w:trHeight w:val="36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r>
    </w:tbl>
    <w:p>
      <w:pPr>
        <w:widowControl w:val="0"/>
        <w:spacing w:after="279" w:line="1" w:lineRule="exact"/>
      </w:pPr>
    </w:p>
    <w:p>
      <w:pPr>
        <w:pStyle w:val="Style41"/>
        <w:keepNext/>
        <w:keepLines/>
        <w:widowControl w:val="0"/>
        <w:shd w:val="clear" w:color="auto" w:fill="auto"/>
        <w:bidi w:val="0"/>
        <w:spacing w:before="0" w:after="0" w:line="312" w:lineRule="exact"/>
        <w:ind w:left="0" w:right="0" w:firstLine="0"/>
        <w:jc w:val="left"/>
        <w:rPr>
          <w:sz w:val="18"/>
          <w:szCs w:val="18"/>
        </w:rPr>
      </w:pPr>
      <w:bookmarkStart w:id="848" w:name="bookmark848"/>
      <w:bookmarkStart w:id="849" w:name="bookmark849"/>
      <w:bookmarkStart w:id="850" w:name="bookmark850"/>
      <w:bookmarkStart w:id="851" w:name="bookmark851"/>
      <w:r>
        <w:rPr>
          <w:b w:val="0"/>
          <w:bCs w:val="0"/>
          <w:color w:val="000000"/>
          <w:spacing w:val="0"/>
          <w:w w:val="100"/>
          <w:position w:val="0"/>
          <w:sz w:val="18"/>
          <w:szCs w:val="18"/>
        </w:rPr>
        <w:t>（</w:t>
      </w:r>
      <w:bookmarkEnd w:id="850"/>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8"/>
          <w:szCs w:val="18"/>
        </w:rPr>
        <w:t>）融资租入固定资产的认定依据、计价和折旧方法</w:t>
      </w:r>
      <w:bookmarkEnd w:id="848"/>
      <w:bookmarkEnd w:id="849"/>
      <w:bookmarkEnd w:id="851"/>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租赁期满后租赁资产的所有 权归属于本公司；</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租赁期占所租赁资 产使用寿命的大部分；</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租赁资产性质特 殊，如果不作较大改造，只有承租人才能使用。公司在承租开始日，将租赁资产公允价值与最低租赁付款额现值两者中较低 者作为租入资产的入账价值，将最低租赁付款额作为长期应付款的入账价值，其差额作为未确认的融资费。</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52"/>
      <w:bookmarkEnd w:id="853"/>
      <w:bookmarkEnd w:id="855"/>
    </w:p>
    <w:p>
      <w:pPr>
        <w:pStyle w:val="Style34"/>
        <w:keepNext w:val="0"/>
        <w:keepLines w:val="0"/>
        <w:widowControl w:val="0"/>
        <w:shd w:val="clear" w:color="auto" w:fill="auto"/>
        <w:bidi w:val="0"/>
        <w:spacing w:before="0" w:after="360" w:line="307" w:lineRule="exact"/>
        <w:ind w:left="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56"/>
      <w:bookmarkEnd w:id="857"/>
      <w:bookmarkEnd w:id="859"/>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符合资本化条件的资产，是指需要经过相当长时间的购建或者生产活动才能达到预定可使用或者可销售状态的固定资产、投 资性房地产和存货等资产。</w:t>
      </w:r>
    </w:p>
    <w:p>
      <w:pPr>
        <w:pStyle w:val="Style34"/>
        <w:keepNext w:val="0"/>
        <w:keepLines w:val="0"/>
        <w:widowControl w:val="0"/>
        <w:shd w:val="clear" w:color="auto" w:fill="auto"/>
        <w:tabs>
          <w:tab w:pos="720" w:val="left"/>
        </w:tabs>
        <w:bidi w:val="0"/>
        <w:spacing w:before="0" w:after="0" w:line="312" w:lineRule="exact"/>
        <w:ind w:left="0" w:right="0" w:firstLine="28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借款费用同时满足下列条件时开始资本化：</w:t>
      </w:r>
    </w:p>
    <w:p>
      <w:pPr>
        <w:pStyle w:val="Style34"/>
        <w:keepNext w:val="0"/>
        <w:keepLines w:val="0"/>
        <w:widowControl w:val="0"/>
        <w:shd w:val="clear" w:color="auto" w:fill="auto"/>
        <w:tabs>
          <w:tab w:pos="714" w:val="left"/>
        </w:tabs>
        <w:bidi w:val="0"/>
        <w:spacing w:before="0" w:after="0" w:line="312" w:lineRule="exact"/>
        <w:ind w:left="380" w:right="0" w:firstLine="0"/>
        <w:jc w:val="both"/>
      </w:pPr>
      <w:bookmarkStart w:id="862" w:name="bookmark862"/>
      <w:r>
        <w:rPr>
          <w:rFonts w:ascii="Times New Roman" w:eastAsia="Times New Roman" w:hAnsi="Times New Roman" w:cs="Times New Roman"/>
          <w:color w:val="000000"/>
          <w:spacing w:val="0"/>
          <w:w w:val="100"/>
          <w:position w:val="0"/>
        </w:rPr>
        <w:t>a</w:t>
      </w:r>
      <w:bookmarkEnd w:id="862"/>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34"/>
        <w:keepNext w:val="0"/>
        <w:keepLines w:val="0"/>
        <w:widowControl w:val="0"/>
        <w:shd w:val="clear" w:color="auto" w:fill="auto"/>
        <w:tabs>
          <w:tab w:pos="729" w:val="left"/>
        </w:tabs>
        <w:bidi w:val="0"/>
        <w:spacing w:before="0" w:after="0" w:line="312" w:lineRule="exact"/>
        <w:ind w:left="380" w:right="0" w:firstLine="0"/>
        <w:jc w:val="both"/>
      </w:pPr>
      <w:bookmarkStart w:id="863" w:name="bookmark863"/>
      <w:r>
        <w:rPr>
          <w:rFonts w:ascii="Times New Roman" w:eastAsia="Times New Roman" w:hAnsi="Times New Roman" w:cs="Times New Roman"/>
          <w:color w:val="000000"/>
          <w:spacing w:val="0"/>
          <w:w w:val="100"/>
          <w:position w:val="0"/>
        </w:rPr>
        <w:t>b</w:t>
      </w:r>
      <w:bookmarkEnd w:id="863"/>
      <w:r>
        <w:rPr>
          <w:color w:val="000000"/>
          <w:spacing w:val="0"/>
          <w:w w:val="100"/>
          <w:position w:val="0"/>
        </w:rPr>
        <w:t>、</w:t>
        <w:tab/>
      </w:r>
      <w:r>
        <w:rPr>
          <w:color w:val="000000"/>
          <w:spacing w:val="0"/>
          <w:w w:val="100"/>
          <w:position w:val="0"/>
        </w:rPr>
        <w:t>借款费用已经发生；</w:t>
      </w:r>
    </w:p>
    <w:p>
      <w:pPr>
        <w:pStyle w:val="Style34"/>
        <w:keepNext w:val="0"/>
        <w:keepLines w:val="0"/>
        <w:widowControl w:val="0"/>
        <w:shd w:val="clear" w:color="auto" w:fill="auto"/>
        <w:tabs>
          <w:tab w:pos="729" w:val="left"/>
        </w:tabs>
        <w:bidi w:val="0"/>
        <w:spacing w:before="0" w:after="0" w:line="312" w:lineRule="exact"/>
        <w:ind w:left="380" w:right="0" w:firstLine="0"/>
        <w:jc w:val="both"/>
      </w:pPr>
      <w:bookmarkStart w:id="864" w:name="bookmark864"/>
      <w:r>
        <w:rPr>
          <w:rFonts w:ascii="Times New Roman" w:eastAsia="Times New Roman" w:hAnsi="Times New Roman" w:cs="Times New Roman"/>
          <w:color w:val="000000"/>
          <w:spacing w:val="0"/>
          <w:w w:val="100"/>
          <w:position w:val="0"/>
        </w:rPr>
        <w:t>c</w:t>
      </w:r>
      <w:bookmarkEnd w:id="864"/>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3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34"/>
        <w:keepNext w:val="0"/>
        <w:keepLines w:val="0"/>
        <w:widowControl w:val="0"/>
        <w:numPr>
          <w:ilvl w:val="0"/>
          <w:numId w:val="19"/>
        </w:numPr>
        <w:shd w:val="clear" w:color="auto" w:fill="auto"/>
        <w:tabs>
          <w:tab w:pos="720" w:val="left"/>
        </w:tabs>
        <w:bidi w:val="0"/>
        <w:spacing w:before="0" w:after="0" w:line="314" w:lineRule="exact"/>
        <w:ind w:left="0" w:right="0" w:firstLine="280"/>
        <w:jc w:val="both"/>
      </w:pPr>
      <w:bookmarkStart w:id="865" w:name="bookmark865"/>
      <w:bookmarkEnd w:id="865"/>
      <w:r>
        <w:rPr>
          <w:color w:val="000000"/>
          <w:spacing w:val="0"/>
          <w:w w:val="100"/>
          <w:position w:val="0"/>
        </w:rPr>
        <w:t>暂停资本化期间</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4"/>
        <w:keepNext w:val="0"/>
        <w:keepLines w:val="0"/>
        <w:widowControl w:val="0"/>
        <w:numPr>
          <w:ilvl w:val="0"/>
          <w:numId w:val="19"/>
        </w:numPr>
        <w:shd w:val="clear" w:color="auto" w:fill="auto"/>
        <w:tabs>
          <w:tab w:pos="720" w:val="left"/>
        </w:tabs>
        <w:bidi w:val="0"/>
        <w:spacing w:before="0" w:after="0" w:line="314" w:lineRule="exact"/>
        <w:ind w:left="0" w:right="0" w:firstLine="280"/>
        <w:jc w:val="left"/>
      </w:pPr>
      <w:bookmarkStart w:id="866" w:name="bookmark866"/>
      <w:bookmarkEnd w:id="866"/>
      <w:r>
        <w:rPr>
          <w:color w:val="000000"/>
          <w:spacing w:val="0"/>
          <w:w w:val="100"/>
          <w:position w:val="0"/>
        </w:rPr>
        <w:t>借款费用资本化率、资本化金额的计算方法</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在资本化期间内，外币专门借款本金及利息的汇兑差额，予以资本化，计入符合资本化条件的资产的成本。除外币专门 借款之外的其他外币借款本金及其利息所产生的汇兑差额计入当期损益。</w:t>
      </w:r>
    </w:p>
    <w:p>
      <w:pPr>
        <w:pStyle w:val="Style38"/>
        <w:keepNext/>
        <w:keepLines/>
        <w:widowControl w:val="0"/>
        <w:shd w:val="clear" w:color="auto" w:fill="auto"/>
        <w:bidi w:val="0"/>
        <w:spacing w:before="0" w:after="2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9</w:t>
      </w:r>
      <w:r>
        <w:rPr>
          <w:color w:val="000000"/>
          <w:spacing w:val="0"/>
          <w:w w:val="100"/>
          <w:position w:val="0"/>
        </w:rPr>
        <w:t>、无形资产</w:t>
      </w:r>
      <w:bookmarkEnd w:id="867"/>
      <w:bookmarkEnd w:id="868"/>
      <w:bookmarkEnd w:id="870"/>
    </w:p>
    <w:p>
      <w:pPr>
        <w:pStyle w:val="Style41"/>
        <w:keepNext/>
        <w:keepLines/>
        <w:widowControl w:val="0"/>
        <w:numPr>
          <w:ilvl w:val="0"/>
          <w:numId w:val="23"/>
        </w:numPr>
        <w:shd w:val="clear" w:color="auto" w:fill="auto"/>
        <w:bidi w:val="0"/>
        <w:spacing w:before="0" w:after="0" w:line="317" w:lineRule="exact"/>
        <w:ind w:left="0" w:right="0" w:firstLine="280"/>
        <w:jc w:val="left"/>
        <w:rPr>
          <w:sz w:val="18"/>
          <w:szCs w:val="18"/>
        </w:rPr>
      </w:pPr>
      <w:bookmarkStart w:id="871" w:name="bookmark871"/>
      <w:bookmarkStart w:id="872" w:name="bookmark872"/>
      <w:bookmarkStart w:id="873" w:name="bookmark873"/>
      <w:bookmarkStart w:id="874" w:name="bookmark874"/>
      <w:bookmarkEnd w:id="873"/>
      <w:r>
        <w:rPr>
          <w:b w:val="0"/>
          <w:bCs w:val="0"/>
          <w:color w:val="000000"/>
          <w:spacing w:val="0"/>
          <w:w w:val="100"/>
          <w:position w:val="0"/>
          <w:sz w:val="18"/>
          <w:szCs w:val="18"/>
        </w:rPr>
        <w:t>计价方法、使用寿命、减值测试</w:t>
      </w:r>
      <w:bookmarkEnd w:id="871"/>
      <w:bookmarkEnd w:id="872"/>
      <w:bookmarkEnd w:id="874"/>
    </w:p>
    <w:p>
      <w:pPr>
        <w:pStyle w:val="Style34"/>
        <w:keepNext w:val="0"/>
        <w:keepLines w:val="0"/>
        <w:widowControl w:val="0"/>
        <w:shd w:val="clear" w:color="auto" w:fill="auto"/>
        <w:tabs>
          <w:tab w:pos="694" w:val="left"/>
        </w:tabs>
        <w:bidi w:val="0"/>
        <w:spacing w:before="0" w:after="0" w:line="317" w:lineRule="exact"/>
        <w:ind w:left="0" w:right="0" w:firstLine="360"/>
        <w:jc w:val="both"/>
      </w:pPr>
      <w:bookmarkStart w:id="875" w:name="bookmark875"/>
      <w:r>
        <w:rPr>
          <w:rFonts w:ascii="Times New Roman" w:eastAsia="Times New Roman" w:hAnsi="Times New Roman" w:cs="Times New Roman"/>
          <w:color w:val="000000"/>
          <w:spacing w:val="0"/>
          <w:w w:val="100"/>
          <w:position w:val="0"/>
        </w:rPr>
        <w:t>a</w:t>
      </w:r>
      <w:bookmarkEnd w:id="875"/>
      <w:r>
        <w:rPr>
          <w:color w:val="000000"/>
          <w:spacing w:val="0"/>
          <w:w w:val="100"/>
          <w:position w:val="0"/>
        </w:rPr>
        <w:t>、</w:t>
        <w:tab/>
      </w:r>
      <w:r>
        <w:rPr>
          <w:color w:val="000000"/>
          <w:spacing w:val="0"/>
          <w:w w:val="100"/>
          <w:position w:val="0"/>
        </w:rPr>
        <w:t>无形资产的计价方法</w:t>
      </w:r>
    </w:p>
    <w:p>
      <w:pPr>
        <w:pStyle w:val="Style34"/>
        <w:keepNext w:val="0"/>
        <w:keepLines w:val="0"/>
        <w:widowControl w:val="0"/>
        <w:numPr>
          <w:ilvl w:val="0"/>
          <w:numId w:val="25"/>
        </w:numPr>
        <w:shd w:val="clear" w:color="auto" w:fill="auto"/>
        <w:tabs>
          <w:tab w:pos="786" w:val="left"/>
        </w:tabs>
        <w:bidi w:val="0"/>
        <w:spacing w:before="0" w:after="0" w:line="317" w:lineRule="exact"/>
        <w:ind w:left="0" w:right="0" w:firstLine="360"/>
        <w:jc w:val="both"/>
      </w:pPr>
      <w:bookmarkStart w:id="876" w:name="bookmark876"/>
      <w:bookmarkEnd w:id="876"/>
      <w:r>
        <w:rPr>
          <w:color w:val="000000"/>
          <w:spacing w:val="0"/>
          <w:w w:val="100"/>
          <w:position w:val="0"/>
        </w:rPr>
        <w:t>公司取得无形资产时按成本进行初始计量；</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34"/>
        <w:keepNext w:val="0"/>
        <w:keepLines w:val="0"/>
        <w:widowControl w:val="0"/>
        <w:numPr>
          <w:ilvl w:val="0"/>
          <w:numId w:val="25"/>
        </w:numPr>
        <w:shd w:val="clear" w:color="auto" w:fill="auto"/>
        <w:tabs>
          <w:tab w:pos="800" w:val="left"/>
        </w:tabs>
        <w:bidi w:val="0"/>
        <w:spacing w:before="0" w:after="0" w:line="317" w:lineRule="exact"/>
        <w:ind w:left="0" w:right="0" w:firstLine="360"/>
        <w:jc w:val="both"/>
      </w:pPr>
      <w:bookmarkStart w:id="877" w:name="bookmark877"/>
      <w:bookmarkEnd w:id="877"/>
      <w:r>
        <w:rPr>
          <w:color w:val="000000"/>
          <w:spacing w:val="0"/>
          <w:w w:val="100"/>
          <w:position w:val="0"/>
        </w:rPr>
        <w:t>后续计量</w:t>
      </w:r>
    </w:p>
    <w:p>
      <w:pPr>
        <w:pStyle w:val="Style34"/>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在取得无形资产时分析判断其使用寿命。</w:t>
      </w:r>
    </w:p>
    <w:p>
      <w:pPr>
        <w:pStyle w:val="Style34"/>
        <w:keepNext w:val="0"/>
        <w:keepLines w:val="0"/>
        <w:widowControl w:val="0"/>
        <w:shd w:val="clear" w:color="auto" w:fill="auto"/>
        <w:bidi w:val="0"/>
        <w:spacing w:before="0" w:after="0" w:line="317" w:lineRule="exact"/>
        <w:ind w:left="0" w:right="0"/>
        <w:jc w:val="left"/>
      </w:pPr>
      <w:r>
        <w:rPr>
          <w:color w:val="000000"/>
          <w:spacing w:val="0"/>
          <w:w w:val="100"/>
          <w:position w:val="0"/>
        </w:rPr>
        <w:t>对于使用寿命有限的无形资产，在为企业带来经济利益的期限内摊销；无法预见无形资产为企业带来经济利益期限的， 视为使用寿命不确定的无形资产，不予摊销。</w:t>
      </w:r>
    </w:p>
    <w:p>
      <w:pPr>
        <w:pStyle w:val="Style34"/>
        <w:keepNext w:val="0"/>
        <w:keepLines w:val="0"/>
        <w:widowControl w:val="0"/>
        <w:shd w:val="clear" w:color="auto" w:fill="auto"/>
        <w:tabs>
          <w:tab w:pos="709" w:val="left"/>
        </w:tabs>
        <w:bidi w:val="0"/>
        <w:spacing w:before="0" w:after="360" w:line="317" w:lineRule="exact"/>
        <w:ind w:left="0" w:right="0" w:firstLine="360"/>
        <w:jc w:val="both"/>
      </w:pPr>
      <w:bookmarkStart w:id="878" w:name="bookmark878"/>
      <w:r>
        <w:rPr>
          <w:rFonts w:ascii="Times New Roman" w:eastAsia="Times New Roman" w:hAnsi="Times New Roman" w:cs="Times New Roman"/>
          <w:color w:val="000000"/>
          <w:spacing w:val="0"/>
          <w:w w:val="100"/>
          <w:position w:val="0"/>
        </w:rPr>
        <w:t>b</w:t>
      </w:r>
      <w:bookmarkEnd w:id="878"/>
      <w:r>
        <w:rPr>
          <w:color w:val="000000"/>
          <w:spacing w:val="0"/>
          <w:w w:val="100"/>
          <w:position w:val="0"/>
        </w:rPr>
        <w:t>、</w:t>
        <w:tab/>
      </w:r>
      <w:r>
        <w:rPr>
          <w:color w:val="000000"/>
          <w:spacing w:val="0"/>
          <w:w w:val="100"/>
          <w:position w:val="0"/>
        </w:rPr>
        <w:t>使用寿命有限的无形资产的使用寿命估计情况</w:t>
      </w:r>
    </w:p>
    <w:tbl>
      <w:tblPr>
        <w:tblOverlap w:val="never"/>
        <w:jc w:val="center"/>
        <w:tblLayout w:type="fixed"/>
      </w:tblPr>
      <w:tblGrid>
        <w:gridCol w:w="2280"/>
        <w:gridCol w:w="2266"/>
        <w:gridCol w:w="4262"/>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合同规定与法律规定孰低的原则</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注册商标及专利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合同规定与法律规定孰低的原则</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行业情况及企业历史经验</w:t>
            </w:r>
          </w:p>
        </w:tc>
      </w:tr>
    </w:tbl>
    <w:p>
      <w:pPr>
        <w:pStyle w:val="Style32"/>
        <w:keepNext w:val="0"/>
        <w:keepLines w:val="0"/>
        <w:widowControl w:val="0"/>
        <w:shd w:val="clear" w:color="auto" w:fill="auto"/>
        <w:bidi w:val="0"/>
        <w:spacing w:before="0" w:after="0" w:line="240" w:lineRule="auto"/>
        <w:ind w:left="58"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使用寿命不确定的无形资产的判断依据以及对其使用寿命进行复核的程序</w:t>
      </w: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披露要求：使用寿命不确定的无形资产，应披露其使用寿命不确定的判断依据以及对其使用寿命进行复核的程序。</w:t>
      </w:r>
    </w:p>
    <w:p>
      <w:pPr>
        <w:pStyle w:val="Style41"/>
        <w:keepNext/>
        <w:keepLines/>
        <w:widowControl w:val="0"/>
        <w:numPr>
          <w:ilvl w:val="0"/>
          <w:numId w:val="23"/>
        </w:numPr>
        <w:shd w:val="clear" w:color="auto" w:fill="auto"/>
        <w:bidi w:val="0"/>
        <w:spacing w:before="0" w:after="80" w:line="317" w:lineRule="exact"/>
        <w:ind w:left="0" w:right="0" w:firstLine="280"/>
        <w:jc w:val="both"/>
        <w:rPr>
          <w:sz w:val="18"/>
          <w:szCs w:val="18"/>
        </w:rPr>
      </w:pPr>
      <w:bookmarkStart w:id="879" w:name="bookmark879"/>
      <w:bookmarkStart w:id="880" w:name="bookmark880"/>
      <w:bookmarkStart w:id="881" w:name="bookmark881"/>
      <w:bookmarkStart w:id="882" w:name="bookmark882"/>
      <w:bookmarkEnd w:id="881"/>
      <w:r>
        <w:rPr>
          <w:b w:val="0"/>
          <w:bCs w:val="0"/>
          <w:color w:val="000000"/>
          <w:spacing w:val="0"/>
          <w:w w:val="100"/>
          <w:position w:val="0"/>
          <w:sz w:val="18"/>
          <w:szCs w:val="18"/>
        </w:rPr>
        <w:t>内部研究开发支出会计政策</w:t>
      </w:r>
      <w:bookmarkEnd w:id="879"/>
      <w:bookmarkEnd w:id="880"/>
      <w:bookmarkEnd w:id="882"/>
    </w:p>
    <w:p>
      <w:pPr>
        <w:pStyle w:val="Style34"/>
        <w:keepNext w:val="0"/>
        <w:keepLines w:val="0"/>
        <w:widowControl w:val="0"/>
        <w:shd w:val="clear" w:color="auto" w:fill="auto"/>
        <w:tabs>
          <w:tab w:pos="714" w:val="left"/>
        </w:tabs>
        <w:bidi w:val="0"/>
        <w:spacing w:before="0" w:after="0"/>
        <w:ind w:left="0" w:right="0"/>
        <w:jc w:val="both"/>
      </w:pPr>
      <w:bookmarkStart w:id="883" w:name="bookmark883"/>
      <w:r>
        <w:rPr>
          <w:rFonts w:ascii="Times New Roman" w:eastAsia="Times New Roman" w:hAnsi="Times New Roman" w:cs="Times New Roman"/>
          <w:color w:val="000000"/>
          <w:spacing w:val="0"/>
          <w:w w:val="100"/>
          <w:position w:val="0"/>
        </w:rPr>
        <w:t>a</w:t>
      </w:r>
      <w:bookmarkEnd w:id="883"/>
      <w:r>
        <w:rPr>
          <w:color w:val="000000"/>
          <w:spacing w:val="0"/>
          <w:w w:val="100"/>
          <w:position w:val="0"/>
        </w:rPr>
        <w:t>、</w:t>
        <w:tab/>
      </w:r>
      <w:r>
        <w:rPr>
          <w:color w:val="000000"/>
          <w:spacing w:val="0"/>
          <w:w w:val="100"/>
          <w:position w:val="0"/>
        </w:rPr>
        <w:t>划分研究阶段和开发阶段的具体标准</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公司内部研究开发项目的支出分为研究阶段支出和开发阶段支出。</w:t>
      </w:r>
    </w:p>
    <w:p>
      <w:pPr>
        <w:pStyle w:val="Style34"/>
        <w:keepNext w:val="0"/>
        <w:keepLines w:val="0"/>
        <w:widowControl w:val="0"/>
        <w:shd w:val="clear" w:color="auto" w:fill="auto"/>
        <w:bidi w:val="0"/>
        <w:spacing w:before="0" w:after="0" w:line="317"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4"/>
        <w:keepNext w:val="0"/>
        <w:keepLines w:val="0"/>
        <w:widowControl w:val="0"/>
        <w:shd w:val="clear" w:color="auto" w:fill="auto"/>
        <w:tabs>
          <w:tab w:pos="734" w:val="left"/>
        </w:tabs>
        <w:bidi w:val="0"/>
        <w:spacing w:before="0" w:after="0"/>
        <w:ind w:left="0" w:right="0"/>
        <w:jc w:val="both"/>
      </w:pPr>
      <w:bookmarkStart w:id="884" w:name="bookmark884"/>
      <w:r>
        <w:rPr>
          <w:rFonts w:ascii="Times New Roman" w:eastAsia="Times New Roman" w:hAnsi="Times New Roman" w:cs="Times New Roman"/>
          <w:color w:val="000000"/>
          <w:spacing w:val="0"/>
          <w:w w:val="100"/>
          <w:position w:val="0"/>
        </w:rPr>
        <w:t>b</w:t>
      </w:r>
      <w:bookmarkEnd w:id="884"/>
      <w:r>
        <w:rPr>
          <w:color w:val="000000"/>
          <w:spacing w:val="0"/>
          <w:w w:val="100"/>
          <w:position w:val="0"/>
        </w:rPr>
        <w:t>、</w:t>
        <w:tab/>
      </w:r>
      <w:r>
        <w:rPr>
          <w:color w:val="000000"/>
          <w:spacing w:val="0"/>
          <w:w w:val="100"/>
          <w:position w:val="0"/>
        </w:rPr>
        <w:t>开发阶段支出资本化的具体条件</w:t>
      </w:r>
    </w:p>
    <w:p>
      <w:pPr>
        <w:pStyle w:val="Style34"/>
        <w:keepNext w:val="0"/>
        <w:keepLines w:val="0"/>
        <w:widowControl w:val="0"/>
        <w:shd w:val="clear" w:color="auto" w:fill="auto"/>
        <w:bidi w:val="0"/>
        <w:spacing w:before="0" w:after="80" w:line="317" w:lineRule="exact"/>
        <w:ind w:left="0" w:right="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34"/>
        <w:keepNext w:val="0"/>
        <w:keepLines w:val="0"/>
        <w:widowControl w:val="0"/>
        <w:numPr>
          <w:ilvl w:val="0"/>
          <w:numId w:val="27"/>
        </w:numPr>
        <w:shd w:val="clear" w:color="auto" w:fill="auto"/>
        <w:tabs>
          <w:tab w:pos="872" w:val="left"/>
        </w:tabs>
        <w:bidi w:val="0"/>
        <w:spacing w:before="0" w:after="0"/>
        <w:ind w:left="360" w:right="0" w:firstLine="120"/>
        <w:jc w:val="both"/>
      </w:pPr>
      <w:bookmarkStart w:id="885" w:name="bookmark885"/>
      <w:bookmarkEnd w:id="885"/>
      <w:r>
        <w:rPr>
          <w:color w:val="000000"/>
          <w:spacing w:val="0"/>
          <w:w w:val="100"/>
          <w:position w:val="0"/>
        </w:rPr>
        <w:t>完成该无形资产以使其能够使用或出售在技术上具有可行性；</w:t>
      </w:r>
    </w:p>
    <w:p>
      <w:pPr>
        <w:pStyle w:val="Style34"/>
        <w:keepNext w:val="0"/>
        <w:keepLines w:val="0"/>
        <w:widowControl w:val="0"/>
        <w:numPr>
          <w:ilvl w:val="0"/>
          <w:numId w:val="27"/>
        </w:numPr>
        <w:shd w:val="clear" w:color="auto" w:fill="auto"/>
        <w:tabs>
          <w:tab w:pos="886" w:val="left"/>
        </w:tabs>
        <w:bidi w:val="0"/>
        <w:spacing w:before="0" w:after="0"/>
        <w:ind w:left="360" w:right="0" w:firstLine="120"/>
        <w:jc w:val="both"/>
      </w:pPr>
      <w:bookmarkStart w:id="886" w:name="bookmark886"/>
      <w:bookmarkEnd w:id="886"/>
      <w:r>
        <w:rPr>
          <w:color w:val="000000"/>
          <w:spacing w:val="0"/>
          <w:w w:val="100"/>
          <w:position w:val="0"/>
        </w:rPr>
        <w:t>具有完成该无形资产并使用或出售的意图；</w:t>
      </w:r>
    </w:p>
    <w:p>
      <w:pPr>
        <w:pStyle w:val="Style34"/>
        <w:keepNext w:val="0"/>
        <w:keepLines w:val="0"/>
        <w:widowControl w:val="0"/>
        <w:numPr>
          <w:ilvl w:val="0"/>
          <w:numId w:val="27"/>
        </w:numPr>
        <w:shd w:val="clear" w:color="auto" w:fill="auto"/>
        <w:tabs>
          <w:tab w:pos="848" w:val="left"/>
        </w:tabs>
        <w:bidi w:val="0"/>
        <w:spacing w:before="0" w:after="180" w:line="317" w:lineRule="exact"/>
        <w:ind w:left="360" w:right="0" w:firstLine="120"/>
        <w:jc w:val="both"/>
      </w:pPr>
      <w:bookmarkStart w:id="887" w:name="bookmark887"/>
      <w:bookmarkEnd w:id="887"/>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4"/>
        <w:keepNext w:val="0"/>
        <w:keepLines w:val="0"/>
        <w:widowControl w:val="0"/>
        <w:shd w:val="clear" w:color="auto" w:fill="auto"/>
        <w:tabs>
          <w:tab w:pos="782" w:val="left"/>
        </w:tabs>
        <w:bidi w:val="0"/>
        <w:spacing w:before="0" w:after="0" w:line="312" w:lineRule="exact"/>
        <w:ind w:left="0" w:right="0"/>
        <w:jc w:val="left"/>
      </w:pPr>
      <w:bookmarkStart w:id="888" w:name="bookmark888"/>
      <w:r>
        <w:rPr>
          <w:rFonts w:ascii="Times New Roman" w:eastAsia="Times New Roman" w:hAnsi="Times New Roman" w:cs="Times New Roman"/>
          <w:color w:val="000000"/>
          <w:spacing w:val="0"/>
          <w:w w:val="100"/>
          <w:position w:val="0"/>
        </w:rPr>
        <w:t>（</w:t>
      </w:r>
      <w:bookmarkEnd w:id="888"/>
      <w:r>
        <w:rPr>
          <w:rFonts w:ascii="Times New Roman" w:eastAsia="Times New Roman" w:hAnsi="Times New Roman" w:cs="Times New Roman"/>
          <w:color w:val="000000"/>
          <w:spacing w:val="0"/>
          <w:w w:val="100"/>
          <w:position w:val="0"/>
        </w:rPr>
        <w:t>d）</w:t>
        <w:tab/>
      </w:r>
      <w:r>
        <w:rPr>
          <w:color w:val="000000"/>
          <w:spacing w:val="0"/>
          <w:w w:val="100"/>
          <w:position w:val="0"/>
        </w:rPr>
        <w:t>有足够的技术、财务资源和其他资源支持，以完成该无形资产的开发，并有能力使用或出售该无形资产；</w:t>
      </w:r>
    </w:p>
    <w:p>
      <w:pPr>
        <w:pStyle w:val="Style34"/>
        <w:keepNext w:val="0"/>
        <w:keepLines w:val="0"/>
        <w:widowControl w:val="0"/>
        <w:shd w:val="clear" w:color="auto" w:fill="auto"/>
        <w:tabs>
          <w:tab w:pos="782" w:val="left"/>
        </w:tabs>
        <w:bidi w:val="0"/>
        <w:spacing w:before="0" w:after="0" w:line="312" w:lineRule="exact"/>
        <w:ind w:left="0" w:right="0"/>
        <w:jc w:val="left"/>
      </w:pPr>
      <w:bookmarkStart w:id="889" w:name="bookmark889"/>
      <w:r>
        <w:rPr>
          <w:rFonts w:ascii="Times New Roman" w:eastAsia="Times New Roman" w:hAnsi="Times New Roman" w:cs="Times New Roman"/>
          <w:color w:val="000000"/>
          <w:spacing w:val="0"/>
          <w:w w:val="100"/>
          <w:position w:val="0"/>
        </w:rPr>
        <w:t>（</w:t>
      </w:r>
      <w:bookmarkEnd w:id="889"/>
      <w:r>
        <w:rPr>
          <w:rFonts w:ascii="Times New Roman" w:eastAsia="Times New Roman" w:hAnsi="Times New Roman" w:cs="Times New Roman"/>
          <w:color w:val="000000"/>
          <w:spacing w:val="0"/>
          <w:w w:val="100"/>
          <w:position w:val="0"/>
        </w:rPr>
        <w:t>e）</w:t>
        <w:tab/>
      </w:r>
      <w:r>
        <w:rPr>
          <w:color w:val="000000"/>
          <w:spacing w:val="0"/>
          <w:w w:val="100"/>
          <w:position w:val="0"/>
        </w:rPr>
        <w:t>归属于该无形资产开发阶段的支出能够可靠地计量。</w:t>
      </w:r>
    </w:p>
    <w:p>
      <w:pPr>
        <w:pStyle w:val="Style34"/>
        <w:keepNext w:val="0"/>
        <w:keepLines w:val="0"/>
        <w:widowControl w:val="0"/>
        <w:shd w:val="clear" w:color="auto" w:fill="auto"/>
        <w:bidi w:val="0"/>
        <w:spacing w:before="0" w:after="360" w:line="312" w:lineRule="exact"/>
        <w:ind w:left="0" w:right="0"/>
        <w:jc w:val="left"/>
      </w:pPr>
      <w:r>
        <w:rPr>
          <w:color w:val="000000"/>
          <w:spacing w:val="0"/>
          <w:w w:val="100"/>
          <w:position w:val="0"/>
        </w:rPr>
        <w:t>无法区分研究阶段支出和开发阶段支出的，将发生的研发支出全部计入当期损益。</w:t>
      </w:r>
    </w:p>
    <w:p>
      <w:pPr>
        <w:pStyle w:val="Style38"/>
        <w:keepNext/>
        <w:keepLines/>
        <w:widowControl w:val="0"/>
        <w:shd w:val="clear" w:color="auto" w:fill="auto"/>
        <w:tabs>
          <w:tab w:pos="483"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90"/>
      <w:bookmarkEnd w:id="891"/>
      <w:bookmarkEnd w:id="89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长期股权投资、采用成本模式计量的投资性房地产、固定资产、在建工程、使用寿命有限的无形资产、油气资产等长期 资产，于资产负债表日存在减值迹象的，进行减值测试。减值测试结果表明资产的可收回金额低于其账面价值的，按其差额 计提减值准备并计入减值损失。可收回金额为资产的公允价值减去处置费用后的净额与资产预计未来现金流量的现值两者之 间的较高者。资产减值准备按单项资产为基础计算并确认，如果难以对单项资产的可收回金额进行估计的，以该资产所属的 资产组确定资产组的可收回金额。资产组是能够独立产生现金流入的最小资产组合。</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值损失金额首先抵减分摊至资产组或者资产组组合中商誉的账面价值，再根据资产组或者资产组组合中除商誉之外的其他各 项资产的账面价值所占比重，按比例抵减其他各项资产的账面价值。</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上述资产减值损失一经确认，在以后会计期间不予转回。</w:t>
      </w:r>
    </w:p>
    <w:p>
      <w:pPr>
        <w:pStyle w:val="Style38"/>
        <w:keepNext/>
        <w:keepLines/>
        <w:widowControl w:val="0"/>
        <w:shd w:val="clear" w:color="auto" w:fill="auto"/>
        <w:tabs>
          <w:tab w:pos="48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94"/>
      <w:bookmarkEnd w:id="895"/>
      <w:bookmarkEnd w:id="897"/>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长期待摊费用为已经发生但应由本期和以后各期负担的分摊期限在一年以上的各项费用。</w:t>
      </w:r>
    </w:p>
    <w:p>
      <w:pPr>
        <w:pStyle w:val="Style34"/>
        <w:keepNext w:val="0"/>
        <w:keepLines w:val="0"/>
        <w:widowControl w:val="0"/>
        <w:shd w:val="clear" w:color="auto" w:fill="auto"/>
        <w:tabs>
          <w:tab w:pos="720" w:val="left"/>
        </w:tabs>
        <w:bidi w:val="0"/>
        <w:spacing w:before="0" w:after="0" w:line="312" w:lineRule="exact"/>
        <w:ind w:left="0" w:right="0" w:firstLine="28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1</w:t>
      </w:r>
      <w:r>
        <w:rPr>
          <w:color w:val="000000"/>
          <w:spacing w:val="0"/>
          <w:w w:val="100"/>
          <w:position w:val="0"/>
        </w:rPr>
        <w:t>）</w:t>
        <w:tab/>
        <w:t>摊销方法</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长期待摊费用在受益期内平均摊销</w:t>
      </w:r>
    </w:p>
    <w:p>
      <w:pPr>
        <w:pStyle w:val="Style34"/>
        <w:keepNext w:val="0"/>
        <w:keepLines w:val="0"/>
        <w:widowControl w:val="0"/>
        <w:shd w:val="clear" w:color="auto" w:fill="auto"/>
        <w:tabs>
          <w:tab w:pos="720" w:val="left"/>
        </w:tabs>
        <w:bidi w:val="0"/>
        <w:spacing w:before="0" w:after="0" w:line="312" w:lineRule="exact"/>
        <w:ind w:left="0" w:right="0" w:firstLine="28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2</w:t>
      </w:r>
      <w:r>
        <w:rPr>
          <w:color w:val="000000"/>
          <w:spacing w:val="0"/>
          <w:w w:val="100"/>
          <w:position w:val="0"/>
        </w:rPr>
        <w:t>）</w:t>
        <w:tab/>
        <w:t>摊销年限</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长期待摊费用的摊销方法为在预计的使用年限内采用直线法进行摊销。</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900"/>
      <w:bookmarkEnd w:id="901"/>
      <w:bookmarkEnd w:id="903"/>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904"/>
      <w:bookmarkEnd w:id="905"/>
      <w:bookmarkEnd w:id="907"/>
    </w:p>
    <w:p>
      <w:pPr>
        <w:pStyle w:val="Style41"/>
        <w:keepNext/>
        <w:keepLines/>
        <w:widowControl w:val="0"/>
        <w:shd w:val="clear" w:color="auto" w:fill="auto"/>
        <w:bidi w:val="0"/>
        <w:spacing w:before="0" w:after="0" w:line="315" w:lineRule="exact"/>
        <w:ind w:left="0" w:right="0" w:firstLine="280"/>
        <w:jc w:val="both"/>
        <w:rPr>
          <w:sz w:val="18"/>
          <w:szCs w:val="18"/>
        </w:rPr>
      </w:pPr>
      <w:bookmarkStart w:id="908" w:name="bookmark908"/>
      <w:bookmarkStart w:id="909" w:name="bookmark909"/>
      <w:bookmarkStart w:id="910" w:name="bookmark910"/>
      <w:bookmarkStart w:id="911" w:name="bookmark911"/>
      <w:r>
        <w:rPr>
          <w:b w:val="0"/>
          <w:bCs w:val="0"/>
          <w:color w:val="000000"/>
          <w:spacing w:val="0"/>
          <w:w w:val="100"/>
          <w:position w:val="0"/>
          <w:sz w:val="18"/>
          <w:szCs w:val="18"/>
        </w:rPr>
        <w:t>（</w:t>
      </w:r>
      <w:bookmarkEnd w:id="910"/>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）短期薪酬的会计处理方法</w:t>
      </w:r>
      <w:bookmarkEnd w:id="908"/>
      <w:bookmarkEnd w:id="909"/>
      <w:bookmarkEnd w:id="911"/>
    </w:p>
    <w:p>
      <w:pPr>
        <w:pStyle w:val="Style34"/>
        <w:keepNext w:val="0"/>
        <w:keepLines w:val="0"/>
        <w:widowControl w:val="0"/>
        <w:shd w:val="clear" w:color="auto" w:fill="auto"/>
        <w:bidi w:val="0"/>
        <w:spacing w:before="0" w:after="0" w:line="315" w:lineRule="exact"/>
        <w:ind w:left="0" w:right="0" w:firstLine="460"/>
        <w:jc w:val="both"/>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 会计期间，根据规定的计提基础和计提比例计算确定相应的职工薪酬金额。</w:t>
      </w:r>
    </w:p>
    <w:p>
      <w:pPr>
        <w:pStyle w:val="Style34"/>
        <w:keepNext w:val="0"/>
        <w:keepLines w:val="0"/>
        <w:widowControl w:val="0"/>
        <w:shd w:val="clear" w:color="auto" w:fill="auto"/>
        <w:bidi w:val="0"/>
        <w:spacing w:before="0" w:after="280" w:line="315" w:lineRule="exact"/>
        <w:ind w:left="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41"/>
        <w:keepNext/>
        <w:keepLines/>
        <w:widowControl w:val="0"/>
        <w:numPr>
          <w:ilvl w:val="0"/>
          <w:numId w:val="17"/>
        </w:numPr>
        <w:shd w:val="clear" w:color="auto" w:fill="auto"/>
        <w:tabs>
          <w:tab w:pos="720" w:val="left"/>
        </w:tabs>
        <w:bidi w:val="0"/>
        <w:spacing w:before="0" w:after="0" w:line="313" w:lineRule="exact"/>
        <w:ind w:left="0" w:right="0" w:firstLine="280"/>
        <w:jc w:val="both"/>
        <w:rPr>
          <w:sz w:val="18"/>
          <w:szCs w:val="18"/>
        </w:rPr>
      </w:pPr>
      <w:bookmarkStart w:id="912" w:name="bookmark912"/>
      <w:bookmarkStart w:id="913" w:name="bookmark913"/>
      <w:bookmarkStart w:id="914" w:name="bookmark914"/>
      <w:bookmarkStart w:id="915" w:name="bookmark915"/>
      <w:bookmarkEnd w:id="914"/>
      <w:r>
        <w:rPr>
          <w:b w:val="0"/>
          <w:bCs w:val="0"/>
          <w:color w:val="000000"/>
          <w:spacing w:val="0"/>
          <w:w w:val="100"/>
          <w:position w:val="0"/>
          <w:sz w:val="18"/>
          <w:szCs w:val="18"/>
        </w:rPr>
        <w:t>离职后福利的会计处理方法</w:t>
      </w:r>
      <w:bookmarkEnd w:id="912"/>
      <w:bookmarkEnd w:id="913"/>
      <w:bookmarkEnd w:id="915"/>
    </w:p>
    <w:p>
      <w:pPr>
        <w:pStyle w:val="Style34"/>
        <w:keepNext w:val="0"/>
        <w:keepLines w:val="0"/>
        <w:widowControl w:val="0"/>
        <w:shd w:val="clear" w:color="auto" w:fill="auto"/>
        <w:tabs>
          <w:tab w:pos="714" w:val="left"/>
        </w:tabs>
        <w:bidi w:val="0"/>
        <w:spacing w:before="0" w:after="0" w:line="313" w:lineRule="exact"/>
        <w:ind w:left="0" w:right="0"/>
        <w:jc w:val="both"/>
      </w:pPr>
      <w:bookmarkStart w:id="916" w:name="bookmark916"/>
      <w:r>
        <w:rPr>
          <w:rFonts w:ascii="Times New Roman" w:eastAsia="Times New Roman" w:hAnsi="Times New Roman" w:cs="Times New Roman"/>
          <w:color w:val="000000"/>
          <w:spacing w:val="0"/>
          <w:w w:val="100"/>
          <w:position w:val="0"/>
        </w:rPr>
        <w:t>a</w:t>
      </w:r>
      <w:bookmarkEnd w:id="916"/>
      <w:r>
        <w:rPr>
          <w:color w:val="000000"/>
          <w:spacing w:val="0"/>
          <w:w w:val="100"/>
          <w:position w:val="0"/>
        </w:rPr>
        <w:t>、</w:t>
        <w:tab/>
      </w:r>
      <w:r>
        <w:rPr>
          <w:color w:val="000000"/>
          <w:spacing w:val="0"/>
          <w:w w:val="100"/>
          <w:position w:val="0"/>
        </w:rPr>
        <w:t>设定提存计划</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 出计入当期损益或相关资产成本。</w:t>
      </w:r>
    </w:p>
    <w:p>
      <w:pPr>
        <w:pStyle w:val="Style34"/>
        <w:keepNext w:val="0"/>
        <w:keepLines w:val="0"/>
        <w:widowControl w:val="0"/>
        <w:shd w:val="clear" w:color="auto" w:fill="auto"/>
        <w:tabs>
          <w:tab w:pos="734" w:val="left"/>
        </w:tabs>
        <w:bidi w:val="0"/>
        <w:spacing w:before="0" w:after="0" w:line="313" w:lineRule="exact"/>
        <w:ind w:left="0" w:right="0"/>
        <w:jc w:val="both"/>
      </w:pPr>
      <w:bookmarkStart w:id="917" w:name="bookmark917"/>
      <w:r>
        <w:rPr>
          <w:rFonts w:ascii="Times New Roman" w:eastAsia="Times New Roman" w:hAnsi="Times New Roman" w:cs="Times New Roman"/>
          <w:color w:val="000000"/>
          <w:spacing w:val="0"/>
          <w:w w:val="100"/>
          <w:position w:val="0"/>
        </w:rPr>
        <w:t>b</w:t>
      </w:r>
      <w:bookmarkEnd w:id="917"/>
      <w:r>
        <w:rPr>
          <w:color w:val="000000"/>
          <w:spacing w:val="0"/>
          <w:w w:val="100"/>
          <w:position w:val="0"/>
        </w:rPr>
        <w:t>、</w:t>
        <w:tab/>
      </w:r>
      <w:r>
        <w:rPr>
          <w:color w:val="000000"/>
          <w:spacing w:val="0"/>
          <w:w w:val="100"/>
          <w:position w:val="0"/>
        </w:rPr>
        <w:t>设定受益计划</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34"/>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在设定受益计划结算时，按在结算日确定的设定受益计划义务现值和结算价格两者的差额，确认结算利得或损失。</w:t>
      </w:r>
    </w:p>
    <w:p>
      <w:pPr>
        <w:pStyle w:val="Style41"/>
        <w:keepNext/>
        <w:keepLines/>
        <w:widowControl w:val="0"/>
        <w:numPr>
          <w:ilvl w:val="0"/>
          <w:numId w:val="17"/>
        </w:numPr>
        <w:shd w:val="clear" w:color="auto" w:fill="auto"/>
        <w:tabs>
          <w:tab w:pos="720" w:val="left"/>
        </w:tabs>
        <w:bidi w:val="0"/>
        <w:spacing w:before="0" w:after="0" w:line="313" w:lineRule="exact"/>
        <w:ind w:left="0" w:right="0" w:firstLine="280"/>
        <w:jc w:val="both"/>
        <w:rPr>
          <w:sz w:val="18"/>
          <w:szCs w:val="18"/>
        </w:rPr>
      </w:pPr>
      <w:bookmarkStart w:id="918" w:name="bookmark918"/>
      <w:bookmarkStart w:id="919" w:name="bookmark919"/>
      <w:bookmarkStart w:id="920" w:name="bookmark920"/>
      <w:bookmarkStart w:id="921" w:name="bookmark921"/>
      <w:bookmarkEnd w:id="920"/>
      <w:r>
        <w:rPr>
          <w:b w:val="0"/>
          <w:bCs w:val="0"/>
          <w:color w:val="000000"/>
          <w:spacing w:val="0"/>
          <w:w w:val="100"/>
          <w:position w:val="0"/>
          <w:sz w:val="18"/>
          <w:szCs w:val="18"/>
        </w:rPr>
        <w:t>辞退福利的会计处理方法</w:t>
      </w:r>
      <w:bookmarkEnd w:id="918"/>
      <w:bookmarkEnd w:id="919"/>
      <w:bookmarkEnd w:id="921"/>
    </w:p>
    <w:p>
      <w:pPr>
        <w:pStyle w:val="Style34"/>
        <w:keepNext w:val="0"/>
        <w:keepLines w:val="0"/>
        <w:widowControl w:val="0"/>
        <w:shd w:val="clear" w:color="auto" w:fill="auto"/>
        <w:bidi w:val="0"/>
        <w:spacing w:before="0" w:after="360" w:line="313" w:lineRule="exact"/>
        <w:ind w:left="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22"/>
      <w:bookmarkEnd w:id="923"/>
      <w:bookmarkEnd w:id="925"/>
    </w:p>
    <w:p>
      <w:pPr>
        <w:pStyle w:val="Style34"/>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与或有事项相关的义务同时满足下列条件时，本公司将其确认为预计负债：</w:t>
      </w:r>
    </w:p>
    <w:p>
      <w:pPr>
        <w:pStyle w:val="Style34"/>
        <w:keepNext w:val="0"/>
        <w:keepLines w:val="0"/>
        <w:widowControl w:val="0"/>
        <w:shd w:val="clear" w:color="auto" w:fill="auto"/>
        <w:tabs>
          <w:tab w:pos="779" w:val="left"/>
        </w:tabs>
        <w:bidi w:val="0"/>
        <w:spacing w:before="0" w:after="0" w:line="312" w:lineRule="exact"/>
        <w:ind w:left="0" w:right="0" w:firstLine="440"/>
        <w:jc w:val="both"/>
      </w:pPr>
      <w:bookmarkStart w:id="926" w:name="bookmark926"/>
      <w:r>
        <w:rPr>
          <w:rFonts w:ascii="Times New Roman" w:eastAsia="Times New Roman" w:hAnsi="Times New Roman" w:cs="Times New Roman"/>
          <w:color w:val="000000"/>
          <w:spacing w:val="0"/>
          <w:w w:val="100"/>
          <w:position w:val="0"/>
        </w:rPr>
        <w:t>a</w:t>
      </w:r>
      <w:bookmarkEnd w:id="926"/>
      <w:r>
        <w:rPr>
          <w:color w:val="000000"/>
          <w:spacing w:val="0"/>
          <w:w w:val="100"/>
          <w:position w:val="0"/>
        </w:rPr>
        <w:t>、</w:t>
        <w:tab/>
      </w:r>
      <w:r>
        <w:rPr>
          <w:color w:val="000000"/>
          <w:spacing w:val="0"/>
          <w:w w:val="100"/>
          <w:position w:val="0"/>
        </w:rPr>
        <w:t>该义务是本公司承担的现时义务；</w:t>
      </w:r>
    </w:p>
    <w:p>
      <w:pPr>
        <w:pStyle w:val="Style34"/>
        <w:keepNext w:val="0"/>
        <w:keepLines w:val="0"/>
        <w:widowControl w:val="0"/>
        <w:shd w:val="clear" w:color="auto" w:fill="auto"/>
        <w:tabs>
          <w:tab w:pos="794" w:val="left"/>
        </w:tabs>
        <w:bidi w:val="0"/>
        <w:spacing w:before="0" w:after="0" w:line="312" w:lineRule="exact"/>
        <w:ind w:left="0" w:right="0" w:firstLine="440"/>
        <w:jc w:val="both"/>
      </w:pPr>
      <w:bookmarkStart w:id="927" w:name="bookmark927"/>
      <w:r>
        <w:rPr>
          <w:rFonts w:ascii="Times New Roman" w:eastAsia="Times New Roman" w:hAnsi="Times New Roman" w:cs="Times New Roman"/>
          <w:color w:val="000000"/>
          <w:spacing w:val="0"/>
          <w:w w:val="100"/>
          <w:position w:val="0"/>
        </w:rPr>
        <w:t>b</w:t>
      </w:r>
      <w:bookmarkEnd w:id="927"/>
      <w:r>
        <w:rPr>
          <w:color w:val="000000"/>
          <w:spacing w:val="0"/>
          <w:w w:val="100"/>
          <w:position w:val="0"/>
        </w:rPr>
        <w:t>、</w:t>
        <w:tab/>
      </w:r>
      <w:r>
        <w:rPr>
          <w:color w:val="000000"/>
          <w:spacing w:val="0"/>
          <w:w w:val="100"/>
          <w:position w:val="0"/>
        </w:rPr>
        <w:t>履行该义务很可能导致经济利益流出本公司；</w:t>
      </w:r>
    </w:p>
    <w:p>
      <w:pPr>
        <w:pStyle w:val="Style34"/>
        <w:keepNext w:val="0"/>
        <w:keepLines w:val="0"/>
        <w:widowControl w:val="0"/>
        <w:shd w:val="clear" w:color="auto" w:fill="auto"/>
        <w:tabs>
          <w:tab w:pos="794" w:val="left"/>
        </w:tabs>
        <w:bidi w:val="0"/>
        <w:spacing w:before="0" w:after="0" w:line="312" w:lineRule="exact"/>
        <w:ind w:left="0" w:right="0" w:firstLine="440"/>
        <w:jc w:val="both"/>
      </w:pPr>
      <w:bookmarkStart w:id="928" w:name="bookmark928"/>
      <w:r>
        <w:rPr>
          <w:rFonts w:ascii="Times New Roman" w:eastAsia="Times New Roman" w:hAnsi="Times New Roman" w:cs="Times New Roman"/>
          <w:color w:val="000000"/>
          <w:spacing w:val="0"/>
          <w:w w:val="100"/>
          <w:position w:val="0"/>
        </w:rPr>
        <w:t>c</w:t>
      </w:r>
      <w:bookmarkEnd w:id="928"/>
      <w:r>
        <w:rPr>
          <w:color w:val="000000"/>
          <w:spacing w:val="0"/>
          <w:w w:val="100"/>
          <w:position w:val="0"/>
        </w:rPr>
        <w:t>、</w:t>
        <w:tab/>
      </w:r>
      <w:r>
        <w:rPr>
          <w:color w:val="000000"/>
          <w:spacing w:val="0"/>
          <w:w w:val="100"/>
          <w:position w:val="0"/>
        </w:rPr>
        <w:t>该义务的金额能够可靠地计量。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预计负债按履行相关现时义务所需的支出的最佳估计数进行初始计量。</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34"/>
        <w:keepNext w:val="0"/>
        <w:keepLines w:val="0"/>
        <w:widowControl w:val="0"/>
        <w:shd w:val="clear" w:color="auto" w:fill="auto"/>
        <w:tabs>
          <w:tab w:pos="774" w:val="left"/>
        </w:tabs>
        <w:bidi w:val="0"/>
        <w:spacing w:before="0" w:after="0" w:line="312" w:lineRule="exact"/>
        <w:ind w:left="0" w:right="0" w:firstLine="440"/>
        <w:jc w:val="both"/>
      </w:pPr>
      <w:bookmarkStart w:id="929" w:name="bookmark929"/>
      <w:r>
        <w:rPr>
          <w:rFonts w:ascii="Times New Roman" w:eastAsia="Times New Roman" w:hAnsi="Times New Roman" w:cs="Times New Roman"/>
          <w:color w:val="000000"/>
          <w:spacing w:val="0"/>
          <w:w w:val="100"/>
          <w:position w:val="0"/>
        </w:rPr>
        <w:t>a</w:t>
      </w:r>
      <w:bookmarkEnd w:id="929"/>
      <w:r>
        <w:rPr>
          <w:color w:val="000000"/>
          <w:spacing w:val="0"/>
          <w:w w:val="100"/>
          <w:position w:val="0"/>
        </w:rPr>
        <w:t>、</w:t>
        <w:tab/>
      </w:r>
      <w:r>
        <w:rPr>
          <w:color w:val="000000"/>
          <w:spacing w:val="0"/>
          <w:w w:val="100"/>
          <w:position w:val="0"/>
        </w:rPr>
        <w:t>或有事项涉及单个项目的，按照最可能发生金额确定。</w:t>
      </w:r>
    </w:p>
    <w:p>
      <w:pPr>
        <w:pStyle w:val="Style34"/>
        <w:keepNext w:val="0"/>
        <w:keepLines w:val="0"/>
        <w:widowControl w:val="0"/>
        <w:shd w:val="clear" w:color="auto" w:fill="auto"/>
        <w:tabs>
          <w:tab w:pos="789" w:val="left"/>
        </w:tabs>
        <w:bidi w:val="0"/>
        <w:spacing w:before="0" w:after="0" w:line="312" w:lineRule="exact"/>
        <w:ind w:left="0" w:right="0" w:firstLine="440"/>
        <w:jc w:val="both"/>
      </w:pPr>
      <w:bookmarkStart w:id="930" w:name="bookmark930"/>
      <w:r>
        <w:rPr>
          <w:rFonts w:ascii="Times New Roman" w:eastAsia="Times New Roman" w:hAnsi="Times New Roman" w:cs="Times New Roman"/>
          <w:color w:val="000000"/>
          <w:spacing w:val="0"/>
          <w:w w:val="100"/>
          <w:position w:val="0"/>
        </w:rPr>
        <w:t>b</w:t>
      </w:r>
      <w:bookmarkEnd w:id="930"/>
      <w:r>
        <w:rPr>
          <w:color w:val="000000"/>
          <w:spacing w:val="0"/>
          <w:w w:val="100"/>
          <w:position w:val="0"/>
        </w:rPr>
        <w:t>、</w:t>
        <w:tab/>
      </w:r>
      <w:r>
        <w:rPr>
          <w:color w:val="000000"/>
          <w:spacing w:val="0"/>
          <w:w w:val="100"/>
          <w:position w:val="0"/>
        </w:rPr>
        <w:t>或有事项涉及多个项目的，按照各种可能结果及相关概率计算确定。</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34"/>
        <w:keepNext w:val="0"/>
        <w:keepLines w:val="0"/>
        <w:widowControl w:val="0"/>
        <w:shd w:val="clear" w:color="auto" w:fill="auto"/>
        <w:bidi w:val="0"/>
        <w:spacing w:before="0" w:after="360" w:line="312" w:lineRule="exact"/>
        <w:ind w:left="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38"/>
        <w:keepNext/>
        <w:keepLines/>
        <w:widowControl w:val="0"/>
        <w:shd w:val="clear" w:color="auto" w:fill="auto"/>
        <w:tabs>
          <w:tab w:pos="483"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31"/>
      <w:bookmarkEnd w:id="932"/>
      <w:bookmarkEnd w:id="934"/>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收入确认和计量所采用的会计政策</w:t>
      </w:r>
    </w:p>
    <w:p>
      <w:pPr>
        <w:pStyle w:val="Style3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p>
    <w:p>
      <w:pPr>
        <w:pStyle w:val="Style34"/>
        <w:keepNext w:val="0"/>
        <w:keepLines w:val="0"/>
        <w:widowControl w:val="0"/>
        <w:shd w:val="clear" w:color="auto" w:fill="auto"/>
        <w:bidi w:val="0"/>
        <w:spacing w:before="0" w:after="0" w:line="313" w:lineRule="exact"/>
        <w:ind w:left="0" w:right="0" w:firstLine="20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)收入确认和计量所采用的会计政策</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满足下列条件之一的，属于在某一时段内履行履约义务，否则，属于在某一时点履行履约义务：</w:t>
      </w:r>
    </w:p>
    <w:p>
      <w:pPr>
        <w:pStyle w:val="Style34"/>
        <w:keepNext w:val="0"/>
        <w:keepLines w:val="0"/>
        <w:widowControl w:val="0"/>
        <w:shd w:val="clear" w:color="auto" w:fill="auto"/>
        <w:tabs>
          <w:tab w:pos="974" w:val="left"/>
        </w:tabs>
        <w:bidi w:val="0"/>
        <w:spacing w:before="0" w:after="0"/>
        <w:ind w:left="0" w:right="0" w:firstLine="640"/>
        <w:jc w:val="both"/>
      </w:pPr>
      <w:bookmarkStart w:id="935" w:name="bookmark935"/>
      <w:r>
        <w:rPr>
          <w:rFonts w:ascii="Times New Roman" w:eastAsia="Times New Roman" w:hAnsi="Times New Roman" w:cs="Times New Roman"/>
          <w:color w:val="000000"/>
          <w:spacing w:val="0"/>
          <w:w w:val="100"/>
          <w:position w:val="0"/>
        </w:rPr>
        <w:t>a</w:t>
      </w:r>
      <w:bookmarkEnd w:id="935"/>
      <w:r>
        <w:rPr>
          <w:color w:val="000000"/>
          <w:spacing w:val="0"/>
          <w:w w:val="100"/>
          <w:position w:val="0"/>
        </w:rPr>
        <w:t>、</w:t>
        <w:tab/>
      </w:r>
      <w:r>
        <w:rPr>
          <w:color w:val="000000"/>
          <w:spacing w:val="0"/>
          <w:w w:val="100"/>
          <w:position w:val="0"/>
        </w:rPr>
        <w:t>客户在本公司履约的同时即取得并消耗本公司履约所带来的经济利益。</w:t>
      </w:r>
    </w:p>
    <w:p>
      <w:pPr>
        <w:pStyle w:val="Style34"/>
        <w:keepNext w:val="0"/>
        <w:keepLines w:val="0"/>
        <w:widowControl w:val="0"/>
        <w:shd w:val="clear" w:color="auto" w:fill="auto"/>
        <w:tabs>
          <w:tab w:pos="994" w:val="left"/>
        </w:tabs>
        <w:bidi w:val="0"/>
        <w:spacing w:before="0" w:after="0"/>
        <w:ind w:left="0" w:right="0" w:firstLine="640"/>
        <w:jc w:val="both"/>
      </w:pPr>
      <w:bookmarkStart w:id="936" w:name="bookmark936"/>
      <w:r>
        <w:rPr>
          <w:rFonts w:ascii="Times New Roman" w:eastAsia="Times New Roman" w:hAnsi="Times New Roman" w:cs="Times New Roman"/>
          <w:color w:val="000000"/>
          <w:spacing w:val="0"/>
          <w:w w:val="100"/>
          <w:position w:val="0"/>
        </w:rPr>
        <w:t>b</w:t>
      </w:r>
      <w:bookmarkEnd w:id="936"/>
      <w:r>
        <w:rPr>
          <w:color w:val="000000"/>
          <w:spacing w:val="0"/>
          <w:w w:val="100"/>
          <w:position w:val="0"/>
        </w:rPr>
        <w:t>、</w:t>
        <w:tab/>
      </w:r>
      <w:r>
        <w:rPr>
          <w:color w:val="000000"/>
          <w:spacing w:val="0"/>
          <w:w w:val="100"/>
          <w:position w:val="0"/>
        </w:rPr>
        <w:t>客户能够控制本公司履约过程中在建的商品。</w:t>
      </w:r>
    </w:p>
    <w:p>
      <w:pPr>
        <w:pStyle w:val="Style34"/>
        <w:keepNext w:val="0"/>
        <w:keepLines w:val="0"/>
        <w:widowControl w:val="0"/>
        <w:shd w:val="clear" w:color="auto" w:fill="auto"/>
        <w:tabs>
          <w:tab w:pos="994" w:val="left"/>
        </w:tabs>
        <w:bidi w:val="0"/>
        <w:spacing w:before="0" w:after="0" w:line="312" w:lineRule="exact"/>
        <w:ind w:left="640" w:right="0" w:firstLine="40"/>
        <w:jc w:val="both"/>
      </w:pPr>
      <w:bookmarkStart w:id="937" w:name="bookmark937"/>
      <w:r>
        <w:rPr>
          <w:rFonts w:ascii="Times New Roman" w:eastAsia="Times New Roman" w:hAnsi="Times New Roman" w:cs="Times New Roman"/>
          <w:color w:val="000000"/>
          <w:spacing w:val="0"/>
          <w:w w:val="100"/>
          <w:position w:val="0"/>
        </w:rPr>
        <w:t>c</w:t>
      </w:r>
      <w:bookmarkEnd w:id="937"/>
      <w:r>
        <w:rPr>
          <w:color w:val="000000"/>
          <w:spacing w:val="0"/>
          <w:w w:val="100"/>
          <w:position w:val="0"/>
        </w:rPr>
        <w:t>、</w:t>
        <w:tab/>
      </w:r>
      <w:r>
        <w:rPr>
          <w:color w:val="000000"/>
          <w:spacing w:val="0"/>
          <w:w w:val="100"/>
          <w:position w:val="0"/>
        </w:rPr>
        <w:t>本公司履约过程中所产出的商品具有不可替代用途，且本公司在整个合同期内有权就累计至今已完成的履约部 分收取款项。</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34"/>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34"/>
        <w:keepNext w:val="0"/>
        <w:keepLines w:val="0"/>
        <w:widowControl w:val="0"/>
        <w:shd w:val="clear" w:color="auto" w:fill="auto"/>
        <w:tabs>
          <w:tab w:pos="974" w:val="left"/>
        </w:tabs>
        <w:bidi w:val="0"/>
        <w:spacing w:before="0" w:after="0"/>
        <w:ind w:left="0" w:right="0" w:firstLine="640"/>
        <w:jc w:val="both"/>
      </w:pPr>
      <w:bookmarkStart w:id="938" w:name="bookmark938"/>
      <w:r>
        <w:rPr>
          <w:rFonts w:ascii="Times New Roman" w:eastAsia="Times New Roman" w:hAnsi="Times New Roman" w:cs="Times New Roman"/>
          <w:color w:val="000000"/>
          <w:spacing w:val="0"/>
          <w:w w:val="100"/>
          <w:position w:val="0"/>
        </w:rPr>
        <w:t>a</w:t>
      </w:r>
      <w:bookmarkEnd w:id="938"/>
      <w:r>
        <w:rPr>
          <w:color w:val="000000"/>
          <w:spacing w:val="0"/>
          <w:w w:val="100"/>
          <w:position w:val="0"/>
        </w:rPr>
        <w:t>、</w:t>
        <w:tab/>
      </w:r>
      <w:r>
        <w:rPr>
          <w:color w:val="000000"/>
          <w:spacing w:val="0"/>
          <w:w w:val="100"/>
          <w:position w:val="0"/>
        </w:rPr>
        <w:t>本公司就该商品或服务享有现时收款权利，即客户就该商品或服务负有现时付款义务。</w:t>
      </w:r>
    </w:p>
    <w:p>
      <w:pPr>
        <w:pStyle w:val="Style34"/>
        <w:keepNext w:val="0"/>
        <w:keepLines w:val="0"/>
        <w:widowControl w:val="0"/>
        <w:shd w:val="clear" w:color="auto" w:fill="auto"/>
        <w:tabs>
          <w:tab w:pos="994" w:val="left"/>
        </w:tabs>
        <w:bidi w:val="0"/>
        <w:spacing w:before="0" w:after="0"/>
        <w:ind w:left="0" w:right="0" w:firstLine="640"/>
        <w:jc w:val="both"/>
      </w:pPr>
      <w:bookmarkStart w:id="939" w:name="bookmark939"/>
      <w:r>
        <w:rPr>
          <w:rFonts w:ascii="Times New Roman" w:eastAsia="Times New Roman" w:hAnsi="Times New Roman" w:cs="Times New Roman"/>
          <w:color w:val="000000"/>
          <w:spacing w:val="0"/>
          <w:w w:val="100"/>
          <w:position w:val="0"/>
        </w:rPr>
        <w:t>b</w:t>
      </w:r>
      <w:bookmarkEnd w:id="939"/>
      <w:r>
        <w:rPr>
          <w:color w:val="000000"/>
          <w:spacing w:val="0"/>
          <w:w w:val="100"/>
          <w:position w:val="0"/>
        </w:rPr>
        <w:t>、</w:t>
        <w:tab/>
      </w:r>
      <w:r>
        <w:rPr>
          <w:color w:val="000000"/>
          <w:spacing w:val="0"/>
          <w:w w:val="100"/>
          <w:position w:val="0"/>
        </w:rPr>
        <w:t>本公司已将该商品的法定所有权转移给客户，即客户已拥有该商品的法定所有权。</w:t>
      </w:r>
    </w:p>
    <w:p>
      <w:pPr>
        <w:pStyle w:val="Style34"/>
        <w:keepNext w:val="0"/>
        <w:keepLines w:val="0"/>
        <w:widowControl w:val="0"/>
        <w:shd w:val="clear" w:color="auto" w:fill="auto"/>
        <w:tabs>
          <w:tab w:pos="994" w:val="left"/>
        </w:tabs>
        <w:bidi w:val="0"/>
        <w:spacing w:before="0" w:after="0"/>
        <w:ind w:left="0" w:right="0" w:firstLine="640"/>
        <w:jc w:val="both"/>
      </w:pPr>
      <w:bookmarkStart w:id="940" w:name="bookmark940"/>
      <w:r>
        <w:rPr>
          <w:rFonts w:ascii="Times New Roman" w:eastAsia="Times New Roman" w:hAnsi="Times New Roman" w:cs="Times New Roman"/>
          <w:color w:val="000000"/>
          <w:spacing w:val="0"/>
          <w:w w:val="100"/>
          <w:position w:val="0"/>
        </w:rPr>
        <w:t>c</w:t>
      </w:r>
      <w:bookmarkEnd w:id="940"/>
      <w:r>
        <w:rPr>
          <w:color w:val="000000"/>
          <w:spacing w:val="0"/>
          <w:w w:val="100"/>
          <w:position w:val="0"/>
        </w:rPr>
        <w:t>、</w:t>
        <w:tab/>
      </w:r>
      <w:r>
        <w:rPr>
          <w:color w:val="000000"/>
          <w:spacing w:val="0"/>
          <w:w w:val="100"/>
          <w:position w:val="0"/>
        </w:rPr>
        <w:t>本公司已将该商品实物转移给客户，即客户已实物占有该商品。</w:t>
      </w:r>
    </w:p>
    <w:p>
      <w:pPr>
        <w:pStyle w:val="Style34"/>
        <w:keepNext w:val="0"/>
        <w:keepLines w:val="0"/>
        <w:widowControl w:val="0"/>
        <w:shd w:val="clear" w:color="auto" w:fill="auto"/>
        <w:tabs>
          <w:tab w:pos="994" w:val="left"/>
        </w:tabs>
        <w:bidi w:val="0"/>
        <w:spacing w:before="0" w:after="0"/>
        <w:ind w:left="0" w:right="0" w:firstLine="640"/>
        <w:jc w:val="both"/>
      </w:pPr>
      <w:bookmarkStart w:id="941" w:name="bookmark941"/>
      <w:r>
        <w:rPr>
          <w:rFonts w:ascii="Times New Roman" w:eastAsia="Times New Roman" w:hAnsi="Times New Roman" w:cs="Times New Roman"/>
          <w:color w:val="000000"/>
          <w:spacing w:val="0"/>
          <w:w w:val="100"/>
          <w:position w:val="0"/>
        </w:rPr>
        <w:t>d</w:t>
      </w:r>
      <w:bookmarkEnd w:id="941"/>
      <w:r>
        <w:rPr>
          <w:color w:val="000000"/>
          <w:spacing w:val="0"/>
          <w:w w:val="100"/>
          <w:position w:val="0"/>
        </w:rPr>
        <w:t>、</w:t>
        <w:tab/>
      </w:r>
      <w:r>
        <w:rPr>
          <w:color w:val="000000"/>
          <w:spacing w:val="0"/>
          <w:w w:val="100"/>
          <w:position w:val="0"/>
        </w:rPr>
        <w:t>本公司已将该商品所有权上的主要风险和报酬转移给客户，即客户已取得该商品所有权上的主要风险和报酬。</w:t>
      </w:r>
    </w:p>
    <w:p>
      <w:pPr>
        <w:pStyle w:val="Style34"/>
        <w:keepNext w:val="0"/>
        <w:keepLines w:val="0"/>
        <w:widowControl w:val="0"/>
        <w:shd w:val="clear" w:color="auto" w:fill="auto"/>
        <w:tabs>
          <w:tab w:pos="994" w:val="left"/>
        </w:tabs>
        <w:bidi w:val="0"/>
        <w:spacing w:before="0" w:after="0"/>
        <w:ind w:left="0" w:right="0" w:firstLine="640"/>
        <w:jc w:val="both"/>
      </w:pPr>
      <w:bookmarkStart w:id="942" w:name="bookmark942"/>
      <w:r>
        <w:rPr>
          <w:rFonts w:ascii="Times New Roman" w:eastAsia="Times New Roman" w:hAnsi="Times New Roman" w:cs="Times New Roman"/>
          <w:color w:val="000000"/>
          <w:spacing w:val="0"/>
          <w:w w:val="100"/>
          <w:position w:val="0"/>
        </w:rPr>
        <w:t>e</w:t>
      </w:r>
      <w:bookmarkEnd w:id="942"/>
      <w:r>
        <w:rPr>
          <w:color w:val="000000"/>
          <w:spacing w:val="0"/>
          <w:w w:val="100"/>
          <w:position w:val="0"/>
        </w:rPr>
        <w:t>、</w:t>
        <w:tab/>
      </w:r>
      <w:r>
        <w:rPr>
          <w:color w:val="000000"/>
          <w:spacing w:val="0"/>
          <w:w w:val="100"/>
          <w:position w:val="0"/>
        </w:rPr>
        <w:t>客户已接受该商品或服务等。</w:t>
      </w:r>
    </w:p>
    <w:p>
      <w:pPr>
        <w:pStyle w:val="Style34"/>
        <w:keepNext w:val="0"/>
        <w:keepLines w:val="0"/>
        <w:widowControl w:val="0"/>
        <w:shd w:val="clear" w:color="auto" w:fill="auto"/>
        <w:bidi w:val="0"/>
        <w:spacing w:before="0" w:after="100" w:line="312" w:lineRule="exact"/>
        <w:ind w:left="0" w:right="0" w:firstLine="2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p>
    <w:p>
      <w:pPr>
        <w:pStyle w:val="Style34"/>
        <w:keepNext w:val="0"/>
        <w:keepLines w:val="0"/>
        <w:widowControl w:val="0"/>
        <w:shd w:val="clear" w:color="auto" w:fill="auto"/>
        <w:tabs>
          <w:tab w:pos="979" w:val="left"/>
        </w:tabs>
        <w:bidi w:val="0"/>
        <w:spacing w:before="0" w:after="0"/>
        <w:ind w:left="0" w:right="0" w:firstLine="640"/>
        <w:jc w:val="both"/>
      </w:pPr>
      <w:bookmarkStart w:id="943" w:name="bookmark943"/>
      <w:r>
        <w:rPr>
          <w:rFonts w:ascii="Times New Roman" w:eastAsia="Times New Roman" w:hAnsi="Times New Roman" w:cs="Times New Roman"/>
          <w:color w:val="000000"/>
          <w:spacing w:val="0"/>
          <w:w w:val="100"/>
          <w:position w:val="0"/>
        </w:rPr>
        <w:t>a</w:t>
      </w:r>
      <w:bookmarkEnd w:id="943"/>
      <w:r>
        <w:rPr>
          <w:color w:val="000000"/>
          <w:spacing w:val="0"/>
          <w:w w:val="100"/>
          <w:position w:val="0"/>
        </w:rPr>
        <w:t>、</w:t>
        <w:tab/>
      </w:r>
      <w:r>
        <w:rPr>
          <w:color w:val="000000"/>
          <w:spacing w:val="0"/>
          <w:w w:val="100"/>
          <w:position w:val="0"/>
        </w:rPr>
        <w:t>销售商品收入确认的一般原则</w:t>
      </w:r>
    </w:p>
    <w:p>
      <w:pPr>
        <w:pStyle w:val="Style34"/>
        <w:keepNext w:val="0"/>
        <w:keepLines w:val="0"/>
        <w:widowControl w:val="0"/>
        <w:numPr>
          <w:ilvl w:val="0"/>
          <w:numId w:val="29"/>
        </w:numPr>
        <w:shd w:val="clear" w:color="auto" w:fill="auto"/>
        <w:tabs>
          <w:tab w:pos="1430" w:val="left"/>
        </w:tabs>
        <w:bidi w:val="0"/>
        <w:spacing w:before="0" w:after="0" w:line="312" w:lineRule="exact"/>
        <w:ind w:left="0" w:right="0" w:firstLine="1000"/>
        <w:jc w:val="both"/>
      </w:pPr>
      <w:bookmarkStart w:id="944" w:name="bookmark944"/>
      <w:bookmarkEnd w:id="944"/>
      <w:r>
        <w:rPr>
          <w:color w:val="000000"/>
          <w:spacing w:val="0"/>
          <w:w w:val="100"/>
          <w:position w:val="0"/>
        </w:rPr>
        <w:t>本公司已将商品所有权上的主要风险和报酬转移给购货方；</w:t>
      </w:r>
    </w:p>
    <w:p>
      <w:pPr>
        <w:pStyle w:val="Style34"/>
        <w:keepNext w:val="0"/>
        <w:keepLines w:val="0"/>
        <w:widowControl w:val="0"/>
        <w:numPr>
          <w:ilvl w:val="0"/>
          <w:numId w:val="29"/>
        </w:numPr>
        <w:shd w:val="clear" w:color="auto" w:fill="auto"/>
        <w:tabs>
          <w:tab w:pos="1445" w:val="left"/>
        </w:tabs>
        <w:bidi w:val="0"/>
        <w:spacing w:before="0" w:after="0" w:line="312" w:lineRule="exact"/>
        <w:ind w:left="0" w:right="0" w:firstLine="1000"/>
        <w:jc w:val="both"/>
      </w:pPr>
      <w:bookmarkStart w:id="945" w:name="bookmark945"/>
      <w:bookmarkEnd w:id="945"/>
      <w:r>
        <w:rPr>
          <w:color w:val="000000"/>
          <w:spacing w:val="0"/>
          <w:w w:val="100"/>
          <w:position w:val="0"/>
        </w:rPr>
        <w:t>本公司既没有保留通常与所有权相联系的继续管理权，也没有对已售出的商品实施有效控制；</w:t>
      </w:r>
    </w:p>
    <w:p>
      <w:pPr>
        <w:pStyle w:val="Style34"/>
        <w:keepNext w:val="0"/>
        <w:keepLines w:val="0"/>
        <w:widowControl w:val="0"/>
        <w:numPr>
          <w:ilvl w:val="0"/>
          <w:numId w:val="29"/>
        </w:numPr>
        <w:shd w:val="clear" w:color="auto" w:fill="auto"/>
        <w:tabs>
          <w:tab w:pos="1445" w:val="left"/>
        </w:tabs>
        <w:bidi w:val="0"/>
        <w:spacing w:before="0" w:after="0" w:line="312" w:lineRule="exact"/>
        <w:ind w:left="0" w:right="0" w:firstLine="1000"/>
        <w:jc w:val="both"/>
      </w:pPr>
      <w:bookmarkStart w:id="946" w:name="bookmark946"/>
      <w:bookmarkEnd w:id="946"/>
      <w:r>
        <w:rPr>
          <w:color w:val="000000"/>
          <w:spacing w:val="0"/>
          <w:w w:val="100"/>
          <w:position w:val="0"/>
        </w:rPr>
        <w:t>收入的金额能够可靠地计量；</w:t>
      </w:r>
    </w:p>
    <w:p>
      <w:pPr>
        <w:pStyle w:val="Style34"/>
        <w:keepNext w:val="0"/>
        <w:keepLines w:val="0"/>
        <w:widowControl w:val="0"/>
        <w:numPr>
          <w:ilvl w:val="0"/>
          <w:numId w:val="29"/>
        </w:numPr>
        <w:shd w:val="clear" w:color="auto" w:fill="auto"/>
        <w:tabs>
          <w:tab w:pos="1445" w:val="left"/>
        </w:tabs>
        <w:bidi w:val="0"/>
        <w:spacing w:before="0" w:after="0" w:line="312" w:lineRule="exact"/>
        <w:ind w:left="0" w:right="0" w:firstLine="1000"/>
        <w:jc w:val="both"/>
      </w:pPr>
      <w:bookmarkStart w:id="947" w:name="bookmark947"/>
      <w:bookmarkEnd w:id="947"/>
      <w:r>
        <w:rPr>
          <w:color w:val="000000"/>
          <w:spacing w:val="0"/>
          <w:w w:val="100"/>
          <w:position w:val="0"/>
        </w:rPr>
        <w:t>相关的经济利益很可能流入本公司；</w:t>
      </w:r>
    </w:p>
    <w:p>
      <w:pPr>
        <w:pStyle w:val="Style34"/>
        <w:keepNext w:val="0"/>
        <w:keepLines w:val="0"/>
        <w:widowControl w:val="0"/>
        <w:numPr>
          <w:ilvl w:val="0"/>
          <w:numId w:val="29"/>
        </w:numPr>
        <w:shd w:val="clear" w:color="auto" w:fill="auto"/>
        <w:tabs>
          <w:tab w:pos="1445" w:val="left"/>
        </w:tabs>
        <w:bidi w:val="0"/>
        <w:spacing w:before="0" w:after="100" w:line="312" w:lineRule="exact"/>
        <w:ind w:left="0" w:right="0" w:firstLine="1000"/>
        <w:jc w:val="both"/>
      </w:pPr>
      <w:bookmarkStart w:id="948" w:name="bookmark948"/>
      <w:bookmarkEnd w:id="948"/>
      <w:r>
        <w:rPr>
          <w:color w:val="000000"/>
          <w:spacing w:val="0"/>
          <w:w w:val="100"/>
          <w:position w:val="0"/>
        </w:rPr>
        <w:t>相关的、已发生或将发生的成本能够可靠地计量。</w:t>
      </w:r>
    </w:p>
    <w:p>
      <w:pPr>
        <w:pStyle w:val="Style34"/>
        <w:keepNext w:val="0"/>
        <w:keepLines w:val="0"/>
        <w:widowControl w:val="0"/>
        <w:shd w:val="clear" w:color="auto" w:fill="auto"/>
        <w:tabs>
          <w:tab w:pos="994" w:val="left"/>
        </w:tabs>
        <w:bidi w:val="0"/>
        <w:spacing w:before="0" w:after="0"/>
        <w:ind w:left="0" w:right="0" w:firstLine="640"/>
        <w:jc w:val="both"/>
      </w:pPr>
      <w:bookmarkStart w:id="949" w:name="bookmark949"/>
      <w:r>
        <w:rPr>
          <w:rFonts w:ascii="Times New Roman" w:eastAsia="Times New Roman" w:hAnsi="Times New Roman" w:cs="Times New Roman"/>
          <w:color w:val="000000"/>
          <w:spacing w:val="0"/>
          <w:w w:val="100"/>
          <w:position w:val="0"/>
        </w:rPr>
        <w:t>b</w:t>
      </w:r>
      <w:bookmarkEnd w:id="949"/>
      <w:r>
        <w:rPr>
          <w:color w:val="000000"/>
          <w:spacing w:val="0"/>
          <w:w w:val="100"/>
          <w:position w:val="0"/>
        </w:rPr>
        <w:t>、</w:t>
        <w:tab/>
      </w:r>
      <w:r>
        <w:rPr>
          <w:color w:val="000000"/>
          <w:spacing w:val="0"/>
          <w:w w:val="100"/>
          <w:position w:val="0"/>
        </w:rPr>
        <w:t>销售商品收入确认时间的具体判断标准具体原则</w:t>
      </w:r>
    </w:p>
    <w:p>
      <w:pPr>
        <w:pStyle w:val="Style34"/>
        <w:keepNext w:val="0"/>
        <w:keepLines w:val="0"/>
        <w:widowControl w:val="0"/>
        <w:numPr>
          <w:ilvl w:val="0"/>
          <w:numId w:val="31"/>
        </w:numPr>
        <w:shd w:val="clear" w:color="auto" w:fill="auto"/>
        <w:tabs>
          <w:tab w:pos="1430" w:val="left"/>
        </w:tabs>
        <w:bidi w:val="0"/>
        <w:spacing w:before="0" w:after="0" w:line="312" w:lineRule="exact"/>
        <w:ind w:left="0" w:right="0" w:firstLine="1000"/>
        <w:jc w:val="both"/>
      </w:pPr>
      <w:bookmarkStart w:id="950" w:name="bookmark950"/>
      <w:bookmarkEnd w:id="950"/>
      <w:r>
        <w:rPr>
          <w:color w:val="000000"/>
          <w:spacing w:val="0"/>
          <w:w w:val="100"/>
          <w:position w:val="0"/>
        </w:rPr>
        <w:t>合同经双方签字盖章确认，已经生效；</w:t>
      </w:r>
    </w:p>
    <w:p>
      <w:pPr>
        <w:pStyle w:val="Style34"/>
        <w:keepNext w:val="0"/>
        <w:keepLines w:val="0"/>
        <w:widowControl w:val="0"/>
        <w:numPr>
          <w:ilvl w:val="0"/>
          <w:numId w:val="31"/>
        </w:numPr>
        <w:shd w:val="clear" w:color="auto" w:fill="auto"/>
        <w:tabs>
          <w:tab w:pos="1445" w:val="left"/>
        </w:tabs>
        <w:bidi w:val="0"/>
        <w:spacing w:before="0" w:after="0" w:line="312" w:lineRule="exact"/>
        <w:ind w:left="0" w:right="0" w:firstLine="1000"/>
        <w:jc w:val="both"/>
      </w:pPr>
      <w:bookmarkStart w:id="951" w:name="bookmark951"/>
      <w:bookmarkEnd w:id="951"/>
      <w:r>
        <w:rPr>
          <w:color w:val="000000"/>
          <w:spacing w:val="0"/>
          <w:w w:val="100"/>
          <w:position w:val="0"/>
        </w:rPr>
        <w:t>设备已经发出，且通过物流公司或公司销售部确认客户已经收到；</w:t>
      </w:r>
    </w:p>
    <w:p>
      <w:pPr>
        <w:pStyle w:val="Style34"/>
        <w:keepNext w:val="0"/>
        <w:keepLines w:val="0"/>
        <w:widowControl w:val="0"/>
        <w:numPr>
          <w:ilvl w:val="0"/>
          <w:numId w:val="31"/>
        </w:numPr>
        <w:shd w:val="clear" w:color="auto" w:fill="auto"/>
        <w:tabs>
          <w:tab w:pos="1445" w:val="left"/>
        </w:tabs>
        <w:bidi w:val="0"/>
        <w:spacing w:before="0" w:after="100" w:line="312" w:lineRule="exact"/>
        <w:ind w:left="0" w:right="0" w:firstLine="1000"/>
        <w:jc w:val="both"/>
      </w:pPr>
      <w:bookmarkStart w:id="952" w:name="bookmark952"/>
      <w:bookmarkEnd w:id="952"/>
      <w:r>
        <w:rPr>
          <w:color w:val="000000"/>
          <w:spacing w:val="0"/>
          <w:w w:val="100"/>
          <w:position w:val="0"/>
        </w:rPr>
        <w:t>设备按合同要求已经安装调试完毕；或经公司销售部确认设备已安装调试完毕，客户已经验收。</w:t>
      </w:r>
    </w:p>
    <w:p>
      <w:pPr>
        <w:pStyle w:val="Style34"/>
        <w:keepNext w:val="0"/>
        <w:keepLines w:val="0"/>
        <w:widowControl w:val="0"/>
        <w:shd w:val="clear" w:color="auto" w:fill="auto"/>
        <w:bidi w:val="0"/>
        <w:spacing w:before="0" w:after="0"/>
        <w:ind w:left="0" w:right="0" w:firstLine="560"/>
        <w:jc w:val="both"/>
      </w:pPr>
      <w:bookmarkStart w:id="953" w:name="bookmark953"/>
      <w:r>
        <w:rPr>
          <w:rFonts w:ascii="Times New Roman" w:eastAsia="Times New Roman" w:hAnsi="Times New Roman" w:cs="Times New Roman"/>
          <w:color w:val="000000"/>
          <w:spacing w:val="0"/>
          <w:w w:val="100"/>
          <w:position w:val="0"/>
        </w:rPr>
        <w:t>c</w:t>
      </w:r>
      <w:bookmarkEnd w:id="953"/>
      <w:r>
        <w:rPr>
          <w:color w:val="000000"/>
          <w:spacing w:val="0"/>
          <w:w w:val="100"/>
          <w:position w:val="0"/>
        </w:rPr>
        <w:t>、</w:t>
      </w:r>
      <w:r>
        <w:rPr>
          <w:color w:val="000000"/>
          <w:spacing w:val="0"/>
          <w:w w:val="100"/>
          <w:position w:val="0"/>
        </w:rPr>
        <w:t>确认让渡资产使用权收入的依据</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34"/>
        <w:keepNext w:val="0"/>
        <w:keepLines w:val="0"/>
        <w:widowControl w:val="0"/>
        <w:numPr>
          <w:ilvl w:val="0"/>
          <w:numId w:val="33"/>
        </w:numPr>
        <w:shd w:val="clear" w:color="auto" w:fill="auto"/>
        <w:tabs>
          <w:tab w:pos="1430" w:val="left"/>
        </w:tabs>
        <w:bidi w:val="0"/>
        <w:spacing w:before="0" w:after="0" w:line="312" w:lineRule="exact"/>
        <w:ind w:left="0" w:right="0" w:firstLine="1000"/>
        <w:jc w:val="both"/>
      </w:pPr>
      <w:bookmarkStart w:id="954" w:name="bookmark954"/>
      <w:bookmarkEnd w:id="954"/>
      <w:r>
        <w:rPr>
          <w:color w:val="000000"/>
          <w:spacing w:val="0"/>
          <w:w w:val="100"/>
          <w:position w:val="0"/>
        </w:rPr>
        <w:t>利息收入金额：按照他人使用本企业货币资金的时间和实际利率计算确定。</w:t>
      </w:r>
    </w:p>
    <w:p>
      <w:pPr>
        <w:pStyle w:val="Style34"/>
        <w:keepNext w:val="0"/>
        <w:keepLines w:val="0"/>
        <w:widowControl w:val="0"/>
        <w:numPr>
          <w:ilvl w:val="0"/>
          <w:numId w:val="33"/>
        </w:numPr>
        <w:shd w:val="clear" w:color="auto" w:fill="auto"/>
        <w:tabs>
          <w:tab w:pos="1445" w:val="left"/>
        </w:tabs>
        <w:bidi w:val="0"/>
        <w:spacing w:before="0" w:after="0" w:line="312" w:lineRule="exact"/>
        <w:ind w:left="0" w:right="0" w:firstLine="1000"/>
        <w:jc w:val="both"/>
      </w:pPr>
      <w:bookmarkStart w:id="955" w:name="bookmark955"/>
      <w:bookmarkEnd w:id="955"/>
      <w:r>
        <w:rPr>
          <w:color w:val="000000"/>
          <w:spacing w:val="0"/>
          <w:w w:val="100"/>
          <w:position w:val="0"/>
        </w:rPr>
        <w:t>使用费收入金额：按照有关合同或协议约定的收费时间和方法计算确定。</w:t>
      </w:r>
    </w:p>
    <w:p>
      <w:pPr>
        <w:pStyle w:val="Style34"/>
        <w:keepNext w:val="0"/>
        <w:keepLines w:val="0"/>
        <w:widowControl w:val="0"/>
        <w:numPr>
          <w:ilvl w:val="0"/>
          <w:numId w:val="33"/>
        </w:numPr>
        <w:shd w:val="clear" w:color="auto" w:fill="auto"/>
        <w:tabs>
          <w:tab w:pos="1445" w:val="left"/>
        </w:tabs>
        <w:bidi w:val="0"/>
        <w:spacing w:before="0" w:after="0" w:line="312" w:lineRule="exact"/>
        <w:ind w:left="0" w:right="0" w:firstLine="1000"/>
        <w:jc w:val="both"/>
      </w:pPr>
      <w:bookmarkStart w:id="956" w:name="bookmark956"/>
      <w:bookmarkEnd w:id="956"/>
      <w:r>
        <w:rPr>
          <w:rFonts w:ascii="Times New Roman" w:eastAsia="Times New Roman" w:hAnsi="Times New Roman" w:cs="Times New Roman"/>
          <w:color w:val="000000"/>
          <w:spacing w:val="0"/>
          <w:w w:val="100"/>
          <w:position w:val="0"/>
        </w:rPr>
        <w:t>ATM</w:t>
      </w:r>
      <w:r>
        <w:rPr>
          <w:color w:val="000000"/>
          <w:spacing w:val="0"/>
          <w:w w:val="100"/>
          <w:position w:val="0"/>
        </w:rPr>
        <w:t>服务收入：收入的金额能够可靠地计量；相关的经济利益很可能流入企业时确认收入。</w:t>
      </w:r>
    </w:p>
    <w:p>
      <w:pPr>
        <w:pStyle w:val="Style34"/>
        <w:keepNext w:val="0"/>
        <w:keepLines w:val="0"/>
        <w:widowControl w:val="0"/>
        <w:numPr>
          <w:ilvl w:val="0"/>
          <w:numId w:val="33"/>
        </w:numPr>
        <w:shd w:val="clear" w:color="auto" w:fill="auto"/>
        <w:tabs>
          <w:tab w:pos="1445" w:val="left"/>
        </w:tabs>
        <w:bidi w:val="0"/>
        <w:spacing w:before="0" w:after="0" w:line="312" w:lineRule="exact"/>
        <w:ind w:left="0" w:right="0" w:firstLine="1000"/>
        <w:jc w:val="both"/>
      </w:pPr>
      <w:bookmarkStart w:id="957" w:name="bookmark957"/>
      <w:bookmarkEnd w:id="957"/>
      <w:r>
        <w:rPr>
          <w:color w:val="000000"/>
          <w:spacing w:val="0"/>
          <w:w w:val="100"/>
          <w:position w:val="0"/>
        </w:rPr>
        <w:t>租赁资产收入：</w:t>
      </w:r>
    </w:p>
    <w:p>
      <w:pPr>
        <w:pStyle w:val="Style34"/>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在租赁开始日将租赁分为融资租赁和经营租赁。</w:t>
      </w:r>
    </w:p>
    <w:p>
      <w:pPr>
        <w:pStyle w:val="Style34"/>
        <w:keepNext w:val="0"/>
        <w:keepLines w:val="0"/>
        <w:widowControl w:val="0"/>
        <w:shd w:val="clear" w:color="auto" w:fill="auto"/>
        <w:bidi w:val="0"/>
        <w:spacing w:before="0" w:after="0" w:line="312" w:lineRule="exact"/>
        <w:ind w:left="1300" w:right="0" w:firstLine="0"/>
        <w:jc w:val="both"/>
      </w:pPr>
      <w:r>
        <w:rPr>
          <w:color w:val="000000"/>
          <w:spacing w:val="0"/>
          <w:w w:val="100"/>
          <w:position w:val="0"/>
        </w:rPr>
        <w:t xml:space="preserve">融资租赁，是指实质上转移了与资产所有权有关的全部风险和报酬的租赁。其所有权最终可能转移，也可 </w:t>
      </w:r>
      <w:r>
        <w:rPr>
          <w:color w:val="000000"/>
          <w:spacing w:val="0"/>
          <w:w w:val="100"/>
          <w:position w:val="0"/>
        </w:rPr>
        <w:t>能不转移。</w:t>
      </w:r>
    </w:p>
    <w:p>
      <w:pPr>
        <w:pStyle w:val="Style34"/>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符合下列一项或数项标准的，认定为融资租赁：</w:t>
      </w:r>
    </w:p>
    <w:p>
      <w:pPr>
        <w:pStyle w:val="Style34"/>
        <w:keepNext w:val="0"/>
        <w:keepLines w:val="0"/>
        <w:widowControl w:val="0"/>
        <w:numPr>
          <w:ilvl w:val="0"/>
          <w:numId w:val="35"/>
        </w:numPr>
        <w:shd w:val="clear" w:color="auto" w:fill="auto"/>
        <w:tabs>
          <w:tab w:pos="1673" w:val="left"/>
        </w:tabs>
        <w:bidi w:val="0"/>
        <w:spacing w:before="0" w:after="0" w:line="310" w:lineRule="exact"/>
        <w:ind w:left="1300" w:right="0" w:firstLine="0"/>
        <w:jc w:val="both"/>
      </w:pPr>
      <w:bookmarkStart w:id="958" w:name="bookmark958"/>
      <w:bookmarkEnd w:id="958"/>
      <w:r>
        <w:rPr>
          <w:color w:val="000000"/>
          <w:spacing w:val="0"/>
          <w:w w:val="100"/>
          <w:position w:val="0"/>
        </w:rPr>
        <w:t>在租赁期届满时，租赁资产的所有权转移给承租人；</w:t>
      </w:r>
    </w:p>
    <w:p>
      <w:pPr>
        <w:pStyle w:val="Style34"/>
        <w:keepNext w:val="0"/>
        <w:keepLines w:val="0"/>
        <w:widowControl w:val="0"/>
        <w:numPr>
          <w:ilvl w:val="0"/>
          <w:numId w:val="35"/>
        </w:numPr>
        <w:shd w:val="clear" w:color="auto" w:fill="auto"/>
        <w:tabs>
          <w:tab w:pos="1673" w:val="left"/>
        </w:tabs>
        <w:bidi w:val="0"/>
        <w:spacing w:before="0" w:after="0" w:line="310" w:lineRule="exact"/>
        <w:ind w:left="1300" w:right="0" w:firstLine="0"/>
        <w:jc w:val="both"/>
      </w:pPr>
      <w:bookmarkStart w:id="959" w:name="bookmark959"/>
      <w:bookmarkEnd w:id="959"/>
      <w:r>
        <w:rPr>
          <w:color w:val="000000"/>
          <w:spacing w:val="0"/>
          <w:w w:val="100"/>
          <w:position w:val="0"/>
        </w:rPr>
        <w:t>承租人有购买租赁资产的选择权，所订立的购买价款预计将远低于行使选择权时租赁资产的公允价值， 因而在租赁开始日就可以合理确定承租人将会行使这种选择权；</w:t>
      </w:r>
    </w:p>
    <w:p>
      <w:pPr>
        <w:pStyle w:val="Style34"/>
        <w:keepNext w:val="0"/>
        <w:keepLines w:val="0"/>
        <w:widowControl w:val="0"/>
        <w:numPr>
          <w:ilvl w:val="0"/>
          <w:numId w:val="35"/>
        </w:numPr>
        <w:shd w:val="clear" w:color="auto" w:fill="auto"/>
        <w:tabs>
          <w:tab w:pos="1673" w:val="left"/>
        </w:tabs>
        <w:bidi w:val="0"/>
        <w:spacing w:before="0" w:after="0" w:line="310" w:lineRule="exact"/>
        <w:ind w:left="1300" w:right="0" w:firstLine="0"/>
        <w:jc w:val="both"/>
      </w:pPr>
      <w:bookmarkStart w:id="960" w:name="bookmark960"/>
      <w:bookmarkEnd w:id="960"/>
      <w:r>
        <w:rPr>
          <w:color w:val="000000"/>
          <w:spacing w:val="0"/>
          <w:w w:val="100"/>
          <w:position w:val="0"/>
        </w:rPr>
        <w:t>即使资产的所有权不转移，但租赁期占租赁资产使用寿命的大部分；</w:t>
      </w:r>
    </w:p>
    <w:p>
      <w:pPr>
        <w:pStyle w:val="Style34"/>
        <w:keepNext w:val="0"/>
        <w:keepLines w:val="0"/>
        <w:widowControl w:val="0"/>
        <w:numPr>
          <w:ilvl w:val="0"/>
          <w:numId w:val="35"/>
        </w:numPr>
        <w:shd w:val="clear" w:color="auto" w:fill="auto"/>
        <w:tabs>
          <w:tab w:pos="1673" w:val="left"/>
        </w:tabs>
        <w:bidi w:val="0"/>
        <w:spacing w:before="0" w:after="0" w:line="310" w:lineRule="exact"/>
        <w:ind w:left="1300" w:right="0" w:firstLine="0"/>
        <w:jc w:val="both"/>
      </w:pPr>
      <w:bookmarkStart w:id="961" w:name="bookmark961"/>
      <w:bookmarkEnd w:id="961"/>
      <w:r>
        <w:rPr>
          <w:color w:val="000000"/>
          <w:spacing w:val="0"/>
          <w:w w:val="100"/>
          <w:position w:val="0"/>
        </w:rPr>
        <w:t>承租人在租赁开始日的最低租赁付款额现值，几乎相当于租赁开始日租赁资产公允价值；出租人在租赁 开始日的最低租赁收款额现值，几乎相当于租赁开始日租赁资产公允价值；</w:t>
      </w:r>
    </w:p>
    <w:p>
      <w:pPr>
        <w:pStyle w:val="Style34"/>
        <w:keepNext w:val="0"/>
        <w:keepLines w:val="0"/>
        <w:widowControl w:val="0"/>
        <w:numPr>
          <w:ilvl w:val="0"/>
          <w:numId w:val="35"/>
        </w:numPr>
        <w:shd w:val="clear" w:color="auto" w:fill="auto"/>
        <w:tabs>
          <w:tab w:pos="1673" w:val="left"/>
        </w:tabs>
        <w:bidi w:val="0"/>
        <w:spacing w:before="0" w:after="0" w:line="310" w:lineRule="exact"/>
        <w:ind w:left="1300" w:right="0" w:firstLine="0"/>
        <w:jc w:val="both"/>
      </w:pPr>
      <w:bookmarkStart w:id="962" w:name="bookmark962"/>
      <w:bookmarkEnd w:id="962"/>
      <w:r>
        <w:rPr>
          <w:color w:val="000000"/>
          <w:spacing w:val="0"/>
          <w:w w:val="100"/>
          <w:position w:val="0"/>
        </w:rPr>
        <w:t>租赁资产性质特殊，如果不作较大改造，只有承租人才能使用。</w:t>
      </w:r>
    </w:p>
    <w:p>
      <w:pPr>
        <w:pStyle w:val="Style34"/>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公司内含利率的计算公式如下：</w:t>
      </w:r>
    </w:p>
    <w:p>
      <w:pPr>
        <w:pStyle w:val="Style34"/>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公司内含利率</w:t>
      </w:r>
      <w:r>
        <w:rPr>
          <w:rFonts w:ascii="Times New Roman" w:eastAsia="Times New Roman" w:hAnsi="Times New Roman" w:cs="Times New Roman"/>
          <w:color w:val="000000"/>
          <w:spacing w:val="0"/>
          <w:w w:val="100"/>
          <w:position w:val="0"/>
        </w:rPr>
        <w:t>=</w:t>
      </w:r>
      <w:r>
        <w:rPr>
          <w:color w:val="000000"/>
          <w:spacing w:val="0"/>
          <w:w w:val="100"/>
          <w:position w:val="0"/>
        </w:rPr>
        <w:t>在租赁开始日，使最低租赁收款额的现值与未担保余值的现值之和等于租赁资产公允价值与 出租人的初始直接费用之和的折现率。</w:t>
      </w:r>
    </w:p>
    <w:p>
      <w:pPr>
        <w:pStyle w:val="Style34"/>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未实现融资收益在租赁期内各个期间按实际利率法分配。</w:t>
      </w:r>
    </w:p>
    <w:p>
      <w:pPr>
        <w:pStyle w:val="Style34"/>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或有租金在实际发生时确认为当期收入。</w:t>
      </w:r>
    </w:p>
    <w:p>
      <w:pPr>
        <w:pStyle w:val="Style34"/>
        <w:keepNext w:val="0"/>
        <w:keepLines w:val="0"/>
        <w:widowControl w:val="0"/>
        <w:shd w:val="clear" w:color="auto" w:fill="auto"/>
        <w:bidi w:val="0"/>
        <w:spacing w:before="0" w:after="360" w:line="310" w:lineRule="exact"/>
        <w:ind w:left="0" w:right="0"/>
        <w:jc w:val="both"/>
      </w:pPr>
      <w:r>
        <w:rPr>
          <w:color w:val="000000"/>
          <w:spacing w:val="0"/>
          <w:w w:val="100"/>
          <w:position w:val="0"/>
        </w:rPr>
        <w:t>经营租赁是指除融资租赁以外的其他租赁，经营租赁的租金在租赁期内的各个期间按直线法确认为收入。</w:t>
      </w:r>
    </w:p>
    <w:p>
      <w:pPr>
        <w:pStyle w:val="Style38"/>
        <w:keepNext/>
        <w:keepLines/>
        <w:widowControl w:val="0"/>
        <w:shd w:val="clear" w:color="auto" w:fill="auto"/>
        <w:tabs>
          <w:tab w:pos="483" w:val="left"/>
        </w:tabs>
        <w:bidi w:val="0"/>
        <w:spacing w:before="0" w:after="26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63"/>
      <w:bookmarkEnd w:id="964"/>
      <w:bookmarkEnd w:id="966"/>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）类型</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本公司将政府补助划分为与资产相关的具体标准为：企业取得的，用于购建或以其他方式形成长期资产的政府补助；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本公司将政府补助划分为与收益相关的具体标准为：企业取得的，用于购建或以其他方式形成长期资产的政府补助；</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34"/>
        <w:keepNext w:val="0"/>
        <w:keepLines w:val="0"/>
        <w:widowControl w:val="0"/>
        <w:shd w:val="clear" w:color="auto" w:fill="auto"/>
        <w:tabs>
          <w:tab w:pos="720" w:val="left"/>
        </w:tabs>
        <w:bidi w:val="0"/>
        <w:spacing w:before="0" w:after="0" w:line="313" w:lineRule="exact"/>
        <w:ind w:left="0" w:right="0" w:firstLine="280"/>
        <w:jc w:val="both"/>
      </w:pPr>
      <w:bookmarkStart w:id="967" w:name="bookmark967"/>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确认时点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政府补助在本公司能够满足其所附的条件并且能够收到时，予以确认。</w:t>
      </w:r>
    </w:p>
    <w:p>
      <w:pPr>
        <w:pStyle w:val="Style34"/>
        <w:keepNext w:val="0"/>
        <w:keepLines w:val="0"/>
        <w:widowControl w:val="0"/>
        <w:shd w:val="clear" w:color="auto" w:fill="auto"/>
        <w:tabs>
          <w:tab w:pos="720" w:val="left"/>
        </w:tabs>
        <w:bidi w:val="0"/>
        <w:spacing w:before="0" w:after="0" w:line="313" w:lineRule="exact"/>
        <w:ind w:left="0" w:right="0" w:firstLine="28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 与收益相关的政府补助，用于补偿本公司以后期间的相关成本费用或损失的，确认为递延收益，并在确认相关成本费用或损 失的期间，计入当期损益（与本公司日常活动相关的，计入其他收益；与本公司日常活动无关的，计入营业外收入）或冲减 相关成本费用或损失；用于补偿本公司已发生的相关成本费用或损失的，直接计入当期损益（与本公司日常活动相关的，计 入其他收益；与本公司日常活动无关的，计入营业外收入）或冲减相关成本费用或损失。</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本公司取得的政策性优惠贷款贴息，区分以下两种情况，分别进行会计处理：</w:t>
      </w:r>
    </w:p>
    <w:p>
      <w:pPr>
        <w:pStyle w:val="Style34"/>
        <w:keepNext w:val="0"/>
        <w:keepLines w:val="0"/>
        <w:widowControl w:val="0"/>
        <w:shd w:val="clear" w:color="auto" w:fill="auto"/>
        <w:tabs>
          <w:tab w:pos="781" w:val="left"/>
        </w:tabs>
        <w:bidi w:val="0"/>
        <w:spacing w:before="0" w:after="80" w:line="313" w:lineRule="exact"/>
        <w:ind w:left="0" w:right="0" w:firstLine="460"/>
        <w:jc w:val="both"/>
      </w:pPr>
      <w:bookmarkStart w:id="969" w:name="bookmark969"/>
      <w:r>
        <w:rPr>
          <w:rFonts w:ascii="Times New Roman" w:eastAsia="Times New Roman" w:hAnsi="Times New Roman" w:cs="Times New Roman"/>
          <w:color w:val="000000"/>
          <w:spacing w:val="0"/>
          <w:w w:val="100"/>
          <w:position w:val="0"/>
        </w:rPr>
        <w:t>a</w:t>
      </w:r>
      <w:bookmarkEnd w:id="969"/>
      <w:r>
        <w:rPr>
          <w:color w:val="000000"/>
          <w:spacing w:val="0"/>
          <w:w w:val="100"/>
          <w:position w:val="0"/>
        </w:rPr>
        <w:t>、</w:t>
        <w:tab/>
      </w:r>
      <w:r>
        <w:rPr>
          <w:color w:val="000000"/>
          <w:spacing w:val="0"/>
          <w:w w:val="100"/>
          <w:position w:val="0"/>
        </w:rPr>
        <w:t>财政将贴息资金拨付给贷款银行，由贷款银行以政策性优惠利率向本公司提供贷款的，本公司以实际收到的借款金 额作为借款的入账价值，按照借款本金和该政策性优惠利率计算相关借款费用。</w:t>
      </w:r>
    </w:p>
    <w:p>
      <w:pPr>
        <w:pStyle w:val="Style34"/>
        <w:keepNext w:val="0"/>
        <w:keepLines w:val="0"/>
        <w:widowControl w:val="0"/>
        <w:shd w:val="clear" w:color="auto" w:fill="auto"/>
        <w:tabs>
          <w:tab w:pos="809" w:val="left"/>
        </w:tabs>
        <w:bidi w:val="0"/>
        <w:spacing w:before="0" w:after="260"/>
        <w:ind w:left="0" w:right="0" w:firstLine="460"/>
        <w:jc w:val="both"/>
      </w:pPr>
      <w:bookmarkStart w:id="970" w:name="bookmark970"/>
      <w:r>
        <w:rPr>
          <w:rFonts w:ascii="Times New Roman" w:eastAsia="Times New Roman" w:hAnsi="Times New Roman" w:cs="Times New Roman"/>
          <w:color w:val="000000"/>
          <w:spacing w:val="0"/>
          <w:w w:val="100"/>
          <w:position w:val="0"/>
        </w:rPr>
        <w:t>b</w:t>
      </w:r>
      <w:bookmarkEnd w:id="970"/>
      <w:r>
        <w:rPr>
          <w:color w:val="000000"/>
          <w:spacing w:val="0"/>
          <w:w w:val="100"/>
          <w:position w:val="0"/>
        </w:rPr>
        <w:t>、</w:t>
        <w:tab/>
      </w:r>
      <w:r>
        <w:rPr>
          <w:color w:val="000000"/>
          <w:spacing w:val="0"/>
          <w:w w:val="100"/>
          <w:position w:val="0"/>
        </w:rPr>
        <w:t>财政将贴息资金直接拨付给本公司的，本公司将对应的贴息冲减相关借款费用。</w:t>
      </w:r>
    </w:p>
    <w:p>
      <w:pPr>
        <w:pStyle w:val="Style38"/>
        <w:keepNext/>
        <w:keepLines/>
        <w:widowControl w:val="0"/>
        <w:shd w:val="clear" w:color="auto" w:fill="auto"/>
        <w:tabs>
          <w:tab w:pos="483" w:val="left"/>
        </w:tabs>
        <w:bidi w:val="0"/>
        <w:spacing w:before="0" w:after="26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1"/>
      <w:bookmarkEnd w:id="972"/>
      <w:bookmarkEnd w:id="974"/>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34"/>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对于应纳税暂时性差异，除特殊情况外，确认递延所得税负债。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不确认递延所得税资产或递延所得税负债的特殊情况包括：</w:t>
      </w:r>
    </w:p>
    <w:p>
      <w:pPr>
        <w:pStyle w:val="Style34"/>
        <w:keepNext w:val="0"/>
        <w:keepLines w:val="0"/>
        <w:widowControl w:val="0"/>
        <w:shd w:val="clear" w:color="auto" w:fill="auto"/>
        <w:tabs>
          <w:tab w:pos="886" w:val="left"/>
        </w:tabs>
        <w:bidi w:val="0"/>
        <w:spacing w:before="0" w:after="0" w:line="314" w:lineRule="exact"/>
        <w:ind w:left="0" w:right="0" w:firstLine="460"/>
        <w:jc w:val="both"/>
      </w:pPr>
      <w:bookmarkStart w:id="975" w:name="bookmark975"/>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w:t>
      </w:r>
    </w:p>
    <w:p>
      <w:pPr>
        <w:pStyle w:val="Style34"/>
        <w:keepNext w:val="0"/>
        <w:keepLines w:val="0"/>
        <w:widowControl w:val="0"/>
        <w:shd w:val="clear" w:color="auto" w:fill="auto"/>
        <w:tabs>
          <w:tab w:pos="886" w:val="left"/>
        </w:tabs>
        <w:bidi w:val="0"/>
        <w:spacing w:before="0" w:after="0" w:line="314" w:lineRule="exact"/>
        <w:ind w:left="0" w:right="0" w:firstLine="460"/>
        <w:jc w:val="both"/>
      </w:pPr>
      <w:bookmarkStart w:id="976" w:name="bookmark976"/>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w:t>
        <w:tab/>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资产负债表日，递延所得税资产及递延所得税负债在同时满足以下条件时以抵销后的净额列示：</w:t>
      </w:r>
    </w:p>
    <w:p>
      <w:pPr>
        <w:pStyle w:val="Style34"/>
        <w:keepNext w:val="0"/>
        <w:keepLines w:val="0"/>
        <w:widowControl w:val="0"/>
        <w:shd w:val="clear" w:color="auto" w:fill="auto"/>
        <w:tabs>
          <w:tab w:pos="886" w:val="left"/>
        </w:tabs>
        <w:bidi w:val="0"/>
        <w:spacing w:before="0" w:after="0" w:line="314" w:lineRule="exact"/>
        <w:ind w:left="0" w:right="0" w:firstLine="460"/>
        <w:jc w:val="both"/>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tab/>
        <w:t>纳税主体拥有以净额结算当期所得税资产及当期所得税负债的法定权利；</w:t>
      </w:r>
    </w:p>
    <w:p>
      <w:pPr>
        <w:pStyle w:val="Style34"/>
        <w:keepNext w:val="0"/>
        <w:keepLines w:val="0"/>
        <w:widowControl w:val="0"/>
        <w:shd w:val="clear" w:color="auto" w:fill="auto"/>
        <w:tabs>
          <w:tab w:pos="973" w:val="left"/>
        </w:tabs>
        <w:bidi w:val="0"/>
        <w:spacing w:before="0" w:after="360" w:line="314" w:lineRule="exact"/>
        <w:ind w:left="0" w:right="0" w:firstLine="460"/>
        <w:jc w:val="both"/>
      </w:pPr>
      <w:bookmarkStart w:id="978" w:name="bookmark978"/>
      <w:r>
        <w:rPr>
          <w:color w:val="000000"/>
          <w:spacing w:val="0"/>
          <w:w w:val="100"/>
          <w:position w:val="0"/>
        </w:rPr>
        <w:t>（</w:t>
      </w:r>
      <w:bookmarkEnd w:id="978"/>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主体相关，但在未来每一具有重要性的递延所得税资产及负债转回的期间内，涉及的纳税主体意图以净额结算当期所得税资 产和负债或是同时取得资产、清偿负债。</w:t>
      </w:r>
    </w:p>
    <w:p>
      <w:pPr>
        <w:pStyle w:val="Style38"/>
        <w:keepNext/>
        <w:keepLines/>
        <w:widowControl w:val="0"/>
        <w:shd w:val="clear" w:color="auto" w:fill="auto"/>
        <w:bidi w:val="0"/>
        <w:spacing w:before="0" w:after="2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979"/>
      <w:bookmarkEnd w:id="980"/>
      <w:bookmarkEnd w:id="982"/>
    </w:p>
    <w:p>
      <w:pPr>
        <w:pStyle w:val="Style41"/>
        <w:keepNext/>
        <w:keepLines/>
        <w:widowControl w:val="0"/>
        <w:shd w:val="clear" w:color="auto" w:fill="auto"/>
        <w:tabs>
          <w:tab w:pos="706" w:val="left"/>
        </w:tabs>
        <w:bidi w:val="0"/>
        <w:spacing w:before="0" w:after="0" w:line="317" w:lineRule="exact"/>
        <w:ind w:left="0" w:right="0" w:firstLine="280"/>
        <w:jc w:val="both"/>
        <w:rPr>
          <w:sz w:val="18"/>
          <w:szCs w:val="18"/>
        </w:rPr>
      </w:pPr>
      <w:bookmarkStart w:id="983" w:name="bookmark983"/>
      <w:bookmarkStart w:id="984" w:name="bookmark984"/>
      <w:bookmarkStart w:id="985" w:name="bookmark985"/>
      <w:bookmarkStart w:id="986" w:name="bookmark986"/>
      <w:r>
        <w:rPr>
          <w:b w:val="0"/>
          <w:bCs w:val="0"/>
          <w:color w:val="000000"/>
          <w:spacing w:val="0"/>
          <w:w w:val="100"/>
          <w:position w:val="0"/>
          <w:sz w:val="18"/>
          <w:szCs w:val="18"/>
        </w:rPr>
        <w:t>（</w:t>
      </w:r>
      <w:bookmarkEnd w:id="985"/>
      <w:r>
        <w:rPr>
          <w:rFonts w:ascii="Times New Roman" w:eastAsia="Times New Roman" w:hAnsi="Times New Roman" w:cs="Times New Roman"/>
          <w:b w:val="0"/>
          <w:bCs w:val="0"/>
          <w:color w:val="000000"/>
          <w:spacing w:val="0"/>
          <w:w w:val="100"/>
          <w:position w:val="0"/>
          <w:sz w:val="18"/>
          <w:szCs w:val="18"/>
        </w:rPr>
        <w:t>1</w:t>
      </w:r>
      <w:r>
        <w:rPr>
          <w:b w:val="0"/>
          <w:bCs w:val="0"/>
          <w:color w:val="000000"/>
          <w:spacing w:val="0"/>
          <w:w w:val="100"/>
          <w:position w:val="0"/>
          <w:sz w:val="18"/>
          <w:szCs w:val="18"/>
        </w:rPr>
        <w:t>）</w:t>
        <w:tab/>
        <w:t>经营租赁的会计处理方法</w:t>
      </w:r>
      <w:bookmarkEnd w:id="983"/>
      <w:bookmarkEnd w:id="984"/>
      <w:bookmarkEnd w:id="986"/>
    </w:p>
    <w:p>
      <w:pPr>
        <w:pStyle w:val="Style34"/>
        <w:keepNext w:val="0"/>
        <w:keepLines w:val="0"/>
        <w:widowControl w:val="0"/>
        <w:shd w:val="clear" w:color="auto" w:fill="auto"/>
        <w:tabs>
          <w:tab w:pos="706" w:val="left"/>
        </w:tabs>
        <w:bidi w:val="0"/>
        <w:spacing w:before="0" w:after="0" w:line="317" w:lineRule="exact"/>
        <w:ind w:left="0" w:right="0"/>
        <w:jc w:val="both"/>
      </w:pPr>
      <w:bookmarkStart w:id="987" w:name="bookmark987"/>
      <w:r>
        <w:rPr>
          <w:rFonts w:ascii="Times New Roman" w:eastAsia="Times New Roman" w:hAnsi="Times New Roman" w:cs="Times New Roman"/>
          <w:color w:val="000000"/>
          <w:spacing w:val="0"/>
          <w:w w:val="100"/>
          <w:position w:val="0"/>
        </w:rPr>
        <w:t>a</w:t>
      </w:r>
      <w:bookmarkEnd w:id="987"/>
      <w:r>
        <w:rPr>
          <w:color w:val="000000"/>
          <w:spacing w:val="0"/>
          <w:w w:val="100"/>
          <w:position w:val="0"/>
        </w:rPr>
        <w:t>、</w:t>
        <w:tab/>
      </w:r>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34"/>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资产出租方承担了应由公司承担的与租赁相关的费用时，公司将该部分费用从租金总额中扣除，按扣除后的租金费用在租赁 期内分摊，计入当期费用。</w:t>
      </w:r>
    </w:p>
    <w:p>
      <w:pPr>
        <w:pStyle w:val="Style34"/>
        <w:keepNext w:val="0"/>
        <w:keepLines w:val="0"/>
        <w:widowControl w:val="0"/>
        <w:shd w:val="clear" w:color="auto" w:fill="auto"/>
        <w:tabs>
          <w:tab w:pos="706" w:val="left"/>
        </w:tabs>
        <w:bidi w:val="0"/>
        <w:spacing w:before="0" w:after="0" w:line="317" w:lineRule="exact"/>
        <w:ind w:left="0" w:right="0"/>
        <w:jc w:val="both"/>
      </w:pPr>
      <w:bookmarkStart w:id="988" w:name="bookmark988"/>
      <w:r>
        <w:rPr>
          <w:rFonts w:ascii="Times New Roman" w:eastAsia="Times New Roman" w:hAnsi="Times New Roman" w:cs="Times New Roman"/>
          <w:color w:val="000000"/>
          <w:spacing w:val="0"/>
          <w:w w:val="100"/>
          <w:position w:val="0"/>
        </w:rPr>
        <w:t>b</w:t>
      </w:r>
      <w:bookmarkEnd w:id="988"/>
      <w:r>
        <w:rPr>
          <w:color w:val="000000"/>
          <w:spacing w:val="0"/>
          <w:w w:val="100"/>
          <w:position w:val="0"/>
        </w:rPr>
        <w:t>、</w:t>
        <w:tab/>
      </w:r>
      <w:r>
        <w:rPr>
          <w:color w:val="000000"/>
          <w:spacing w:val="0"/>
          <w:w w:val="100"/>
          <w:position w:val="0"/>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41"/>
        <w:keepNext/>
        <w:keepLines/>
        <w:widowControl w:val="0"/>
        <w:shd w:val="clear" w:color="auto" w:fill="auto"/>
        <w:tabs>
          <w:tab w:pos="706" w:val="left"/>
        </w:tabs>
        <w:bidi w:val="0"/>
        <w:spacing w:before="0" w:after="0" w:line="319" w:lineRule="exact"/>
        <w:ind w:left="0" w:right="0" w:firstLine="280"/>
        <w:jc w:val="both"/>
        <w:rPr>
          <w:sz w:val="18"/>
          <w:szCs w:val="18"/>
        </w:rPr>
      </w:pPr>
      <w:bookmarkStart w:id="989" w:name="bookmark989"/>
      <w:bookmarkStart w:id="990" w:name="bookmark990"/>
      <w:bookmarkStart w:id="991" w:name="bookmark991"/>
      <w:bookmarkStart w:id="992" w:name="bookmark992"/>
      <w:r>
        <w:rPr>
          <w:b w:val="0"/>
          <w:bCs w:val="0"/>
          <w:color w:val="000000"/>
          <w:spacing w:val="0"/>
          <w:w w:val="100"/>
          <w:position w:val="0"/>
          <w:sz w:val="18"/>
          <w:szCs w:val="18"/>
        </w:rPr>
        <w:t>（</w:t>
      </w:r>
      <w:bookmarkEnd w:id="991"/>
      <w:r>
        <w:rPr>
          <w:rFonts w:ascii="Times New Roman" w:eastAsia="Times New Roman" w:hAnsi="Times New Roman" w:cs="Times New Roman"/>
          <w:b w:val="0"/>
          <w:bCs w:val="0"/>
          <w:color w:val="000000"/>
          <w:spacing w:val="0"/>
          <w:w w:val="100"/>
          <w:position w:val="0"/>
          <w:sz w:val="18"/>
          <w:szCs w:val="18"/>
        </w:rPr>
        <w:t>2</w:t>
      </w:r>
      <w:r>
        <w:rPr>
          <w:b w:val="0"/>
          <w:bCs w:val="0"/>
          <w:color w:val="000000"/>
          <w:spacing w:val="0"/>
          <w:w w:val="100"/>
          <w:position w:val="0"/>
          <w:sz w:val="18"/>
          <w:szCs w:val="18"/>
        </w:rPr>
        <w:t>）</w:t>
        <w:tab/>
        <w:t>融资租赁的会计处理方法</w:t>
      </w:r>
      <w:bookmarkEnd w:id="989"/>
      <w:bookmarkEnd w:id="990"/>
      <w:bookmarkEnd w:id="992"/>
    </w:p>
    <w:p>
      <w:pPr>
        <w:pStyle w:val="Style34"/>
        <w:keepNext w:val="0"/>
        <w:keepLines w:val="0"/>
        <w:widowControl w:val="0"/>
        <w:shd w:val="clear" w:color="auto" w:fill="auto"/>
        <w:tabs>
          <w:tab w:pos="706" w:val="left"/>
        </w:tabs>
        <w:bidi w:val="0"/>
        <w:spacing w:before="0" w:after="0" w:line="319" w:lineRule="exact"/>
        <w:ind w:left="0" w:right="0"/>
        <w:jc w:val="both"/>
      </w:pPr>
      <w:bookmarkStart w:id="993" w:name="bookmark993"/>
      <w:r>
        <w:rPr>
          <w:rFonts w:ascii="Times New Roman" w:eastAsia="Times New Roman" w:hAnsi="Times New Roman" w:cs="Times New Roman"/>
          <w:color w:val="000000"/>
          <w:spacing w:val="0"/>
          <w:w w:val="100"/>
          <w:position w:val="0"/>
        </w:rPr>
        <w:t>a</w:t>
      </w:r>
      <w:bookmarkEnd w:id="993"/>
      <w:r>
        <w:rPr>
          <w:color w:val="000000"/>
          <w:spacing w:val="0"/>
          <w:w w:val="100"/>
          <w:position w:val="0"/>
        </w:rPr>
        <w:t>、</w:t>
        <w:tab/>
      </w:r>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34"/>
        <w:keepNext w:val="0"/>
        <w:keepLines w:val="0"/>
        <w:widowControl w:val="0"/>
        <w:shd w:val="clear" w:color="auto" w:fill="auto"/>
        <w:tabs>
          <w:tab w:pos="706" w:val="left"/>
        </w:tabs>
        <w:bidi w:val="0"/>
        <w:spacing w:before="0" w:after="0" w:line="319" w:lineRule="exact"/>
        <w:ind w:left="0" w:right="0"/>
        <w:jc w:val="both"/>
      </w:pPr>
      <w:bookmarkStart w:id="994" w:name="bookmark994"/>
      <w:r>
        <w:rPr>
          <w:rFonts w:ascii="Times New Roman" w:eastAsia="Times New Roman" w:hAnsi="Times New Roman" w:cs="Times New Roman"/>
          <w:color w:val="000000"/>
          <w:spacing w:val="0"/>
          <w:w w:val="100"/>
          <w:position w:val="0"/>
        </w:rPr>
        <w:t>b</w:t>
      </w:r>
      <w:bookmarkEnd w:id="994"/>
      <w:r>
        <w:rPr>
          <w:color w:val="000000"/>
          <w:spacing w:val="0"/>
          <w:w w:val="100"/>
          <w:position w:val="0"/>
        </w:rPr>
        <w:t>、</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8"/>
        <w:keepNext/>
        <w:keepLines/>
        <w:widowControl w:val="0"/>
        <w:shd w:val="clear" w:color="auto" w:fill="auto"/>
        <w:bidi w:val="0"/>
        <w:spacing w:before="0" w:after="280" w:line="240" w:lineRule="auto"/>
        <w:ind w:left="0" w:right="0" w:firstLine="0"/>
        <w:jc w:val="left"/>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rFonts w:ascii="Times New Roman" w:eastAsia="Times New Roman" w:hAnsi="Times New Roman" w:cs="Times New Roman"/>
          <w:color w:val="000000"/>
          <w:spacing w:val="0"/>
          <w:w w:val="100"/>
          <w:position w:val="0"/>
        </w:rPr>
        <w:t>9</w:t>
      </w:r>
      <w:r>
        <w:rPr>
          <w:color w:val="000000"/>
          <w:spacing w:val="0"/>
          <w:w w:val="100"/>
          <w:position w:val="0"/>
        </w:rPr>
        <w:t>、其他重要的会计政策和会计估计</w:t>
      </w:r>
      <w:bookmarkEnd w:id="995"/>
      <w:bookmarkEnd w:id="996"/>
      <w:bookmarkEnd w:id="998"/>
    </w:p>
    <w:p>
      <w:pPr>
        <w:pStyle w:val="Style34"/>
        <w:keepNext w:val="0"/>
        <w:keepLines w:val="0"/>
        <w:widowControl w:val="0"/>
        <w:shd w:val="clear" w:color="auto" w:fill="auto"/>
        <w:bidi w:val="0"/>
        <w:spacing w:before="0" w:after="0" w:line="312" w:lineRule="exact"/>
        <w:ind w:left="0" w:right="0" w:firstLine="280"/>
        <w:jc w:val="left"/>
      </w:pPr>
      <w:r>
        <w:rPr>
          <w:color w:val="000000"/>
          <w:spacing w:val="0"/>
          <w:w w:val="100"/>
          <w:position w:val="0"/>
        </w:rPr>
        <w:t>终止经营</w:t>
      </w:r>
    </w:p>
    <w:p>
      <w:pPr>
        <w:pStyle w:val="Style34"/>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34"/>
        <w:keepNext w:val="0"/>
        <w:keepLines w:val="0"/>
        <w:widowControl w:val="0"/>
        <w:shd w:val="clear" w:color="auto" w:fill="auto"/>
        <w:tabs>
          <w:tab w:pos="720" w:val="left"/>
        </w:tabs>
        <w:bidi w:val="0"/>
        <w:spacing w:before="0" w:after="0" w:line="312" w:lineRule="exact"/>
        <w:ind w:left="0" w:right="0" w:firstLine="28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4"/>
        <w:keepNext w:val="0"/>
        <w:keepLines w:val="0"/>
        <w:widowControl w:val="0"/>
        <w:shd w:val="clear" w:color="auto" w:fill="auto"/>
        <w:tabs>
          <w:tab w:pos="720" w:val="left"/>
        </w:tabs>
        <w:bidi w:val="0"/>
        <w:spacing w:before="0" w:after="0" w:line="312" w:lineRule="exact"/>
        <w:ind w:left="0" w:right="0" w:firstLine="28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该组成部分是拟对一项独立的主要业务或一个单独的主要经营地区进行处置的一项相关联计划的一部分；</w:t>
      </w:r>
    </w:p>
    <w:p>
      <w:pPr>
        <w:pStyle w:val="Style34"/>
        <w:keepNext w:val="0"/>
        <w:keepLines w:val="0"/>
        <w:widowControl w:val="0"/>
        <w:shd w:val="clear" w:color="auto" w:fill="auto"/>
        <w:tabs>
          <w:tab w:pos="720" w:val="left"/>
        </w:tabs>
        <w:bidi w:val="0"/>
        <w:spacing w:before="0" w:after="0" w:line="312" w:lineRule="exact"/>
        <w:ind w:left="0" w:right="0" w:firstLine="28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4"/>
        <w:keepNext w:val="0"/>
        <w:keepLines w:val="0"/>
        <w:widowControl w:val="0"/>
        <w:shd w:val="clear" w:color="auto" w:fill="auto"/>
        <w:bidi w:val="0"/>
        <w:spacing w:before="0" w:after="360" w:line="312" w:lineRule="exact"/>
        <w:ind w:left="0" w:right="0" w:firstLine="320"/>
        <w:jc w:val="both"/>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38"/>
        <w:keepNext/>
        <w:keepLines/>
        <w:widowControl w:val="0"/>
        <w:shd w:val="clear" w:color="auto" w:fill="auto"/>
        <w:bidi w:val="0"/>
        <w:spacing w:before="0" w:after="3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、重要会计政策和会计估计变更</w:t>
      </w:r>
      <w:bookmarkEnd w:id="1002"/>
      <w:bookmarkEnd w:id="1003"/>
      <w:bookmarkEnd w:id="1005"/>
    </w:p>
    <w:p>
      <w:pPr>
        <w:pStyle w:val="Style41"/>
        <w:keepNext/>
        <w:keepLines/>
        <w:widowControl w:val="0"/>
        <w:shd w:val="clear" w:color="auto" w:fill="auto"/>
        <w:bidi w:val="0"/>
        <w:spacing w:before="0" w:after="0" w:line="240" w:lineRule="auto"/>
        <w:ind w:left="0" w:right="0" w:firstLine="28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6"/>
      <w:bookmarkEnd w:id="1007"/>
      <w:bookmarkEnd w:id="1009"/>
    </w:p>
    <w:p>
      <w:pPr>
        <w:pStyle w:val="Style34"/>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0" w:line="322" w:lineRule="exact"/>
        <w:ind w:left="0" w:right="0" w:firstLine="44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号——收入》。修订后的准则规定，首次执行该准则应当根据累积影响数调整 当年年初留存收益及财务报表其他相关项目金额，对可比期间信息不予调整。</w:t>
      </w:r>
    </w:p>
    <w:p>
      <w:pPr>
        <w:pStyle w:val="Style34"/>
        <w:keepNext w:val="0"/>
        <w:keepLines w:val="0"/>
        <w:widowControl w:val="0"/>
        <w:shd w:val="clear" w:color="auto" w:fill="auto"/>
        <w:bidi w:val="0"/>
        <w:spacing w:before="0" w:after="100" w:line="322" w:lineRule="exact"/>
        <w:ind w:left="0" w:right="0" w:firstLine="28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日起执行新收入准则。根据准则的规定，本公司仅对在首次执行日尚未完成的合同的累积影响数调</w:t>
      </w: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年年初留存收益以及财务报表其他相关项目金额，比较财务报表不做调整。执行该准则的主要影响如下:</w:t>
      </w:r>
    </w:p>
    <w:tbl>
      <w:tblPr>
        <w:tblOverlap w:val="never"/>
        <w:jc w:val="center"/>
        <w:tblLayout w:type="fixed"/>
      </w:tblPr>
      <w:tblGrid>
        <w:gridCol w:w="2136"/>
        <w:gridCol w:w="1277"/>
        <w:gridCol w:w="1358"/>
        <w:gridCol w:w="2045"/>
        <w:gridCol w:w="2136"/>
      </w:tblGrid>
      <w:tr>
        <w:trPr>
          <w:trHeight w:val="365"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会计政策变更的内容和原 因</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审批程序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受影响的报表项</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日余额的影响金额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55" w:hRule="exact"/>
        </w:trPr>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将与履约义务相关的预收 款项重分类至合同负债</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-37,243,402.34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-34,026,938.73</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32,994,773.43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30,118,416.67</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4,248,628.91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3,908,522.06</w:t>
            </w:r>
          </w:p>
        </w:tc>
      </w:tr>
      <w:tr>
        <w:trPr>
          <w:trHeight w:val="355"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ATM</w:t>
            </w:r>
            <w:r>
              <w:rPr>
                <w:rFonts w:ascii="SimSun" w:eastAsia="SimSun" w:hAnsi="SimSun" w:cs="SimSun"/>
                <w:color w:val="000000"/>
                <w:spacing w:val="0"/>
                <w:w w:val="100"/>
                <w:position w:val="0"/>
              </w:rPr>
              <w:t>售后免保服务作为单 项履约义务确认收入</w:t>
            </w:r>
          </w:p>
        </w:tc>
        <w:tc>
          <w:tcPr>
            <w:vMerge w:val="restart"/>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董事会审批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6,773,800.00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6,700,600.00</w:t>
            </w:r>
          </w:p>
        </w:tc>
      </w:tr>
      <w:tr>
        <w:trPr>
          <w:trHeight w:val="3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-6,700,600.00</w:t>
            </w:r>
          </w:p>
        </w:tc>
      </w:tr>
    </w:tbl>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bl>
      <w:tblPr>
        <w:tblOverlap w:val="never"/>
        <w:jc w:val="center"/>
        <w:tblLayout w:type="fixed"/>
      </w:tblPr>
      <w:tblGrid>
        <w:gridCol w:w="3288"/>
        <w:gridCol w:w="2678"/>
        <w:gridCol w:w="2986"/>
      </w:tblGrid>
      <w:tr>
        <w:trPr>
          <w:trHeight w:val="36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受影响的资产负债表项目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日余额的影响金额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10,715,839.39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10,424,311.24</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-7,871,757.35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-7,582,965.05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-2,373,200.00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-2,372,400.00</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876,806.51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876,806.51</w:t>
            </w:r>
          </w:p>
        </w:tc>
      </w:tr>
    </w:tbl>
    <w:p>
      <w:pPr>
        <w:widowControl w:val="0"/>
        <w:spacing w:after="279" w:line="1" w:lineRule="exact"/>
      </w:pPr>
    </w:p>
    <w:p>
      <w:pPr>
        <w:widowControl w:val="0"/>
        <w:spacing w:line="1" w:lineRule="exact"/>
      </w:pPr>
    </w:p>
    <w:tbl>
      <w:tblPr>
        <w:tblOverlap w:val="never"/>
        <w:jc w:val="center"/>
        <w:tblLayout w:type="fixed"/>
      </w:tblPr>
      <w:tblGrid>
        <w:gridCol w:w="3269"/>
        <w:gridCol w:w="2698"/>
        <w:gridCol w:w="2986"/>
      </w:tblGrid>
      <w:tr>
        <w:trPr>
          <w:trHeight w:val="36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受影响的利润表项目</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w:t>
            </w:r>
            <w:r>
              <w:rPr>
                <w:color w:val="000000"/>
                <w:spacing w:val="0"/>
                <w:w w:val="100"/>
                <w:position w:val="0"/>
              </w:rPr>
              <w:t>2020</w:t>
            </w:r>
            <w:r>
              <w:rPr>
                <w:rFonts w:ascii="SimSun" w:eastAsia="SimSun" w:hAnsi="SimSun" w:cs="SimSun"/>
                <w:color w:val="000000"/>
                <w:spacing w:val="0"/>
                <w:w w:val="100"/>
                <w:position w:val="0"/>
              </w:rPr>
              <w:t>年度发生额的影响金额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3,052,911.45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2,982,447.30</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5,699,132.92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5,601,615.74</w:t>
            </w:r>
          </w:p>
        </w:tc>
      </w:tr>
      <w:tr>
        <w:trPr>
          <w:trHeight w:val="36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-388,132.92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-363,815.74</w:t>
            </w:r>
          </w:p>
        </w:tc>
      </w:tr>
    </w:tbl>
    <w:p>
      <w:pPr>
        <w:pStyle w:val="Style34"/>
        <w:keepNext w:val="0"/>
        <w:keepLines w:val="0"/>
        <w:widowControl w:val="0"/>
        <w:shd w:val="clear" w:color="auto" w:fill="auto"/>
        <w:bidi w:val="0"/>
        <w:spacing w:before="0" w:after="0" w:line="321" w:lineRule="exact"/>
        <w:ind w:left="0" w:right="0" w:firstLine="460"/>
        <w:jc w:val="both"/>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4"/>
        <w:keepNext w:val="0"/>
        <w:keepLines w:val="0"/>
        <w:widowControl w:val="0"/>
        <w:shd w:val="clear" w:color="auto" w:fill="auto"/>
        <w:bidi w:val="0"/>
        <w:spacing w:before="0" w:after="0" w:line="321" w:lineRule="exact"/>
        <w:ind w:left="0" w:right="0" w:firstLine="28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34"/>
        <w:keepNext w:val="0"/>
        <w:keepLines w:val="0"/>
        <w:widowControl w:val="0"/>
        <w:numPr>
          <w:ilvl w:val="0"/>
          <w:numId w:val="37"/>
        </w:numPr>
        <w:shd w:val="clear" w:color="auto" w:fill="auto"/>
        <w:tabs>
          <w:tab w:pos="693" w:val="left"/>
        </w:tabs>
        <w:bidi w:val="0"/>
        <w:spacing w:before="0" w:after="0" w:line="321" w:lineRule="exact"/>
        <w:ind w:left="0" w:right="0" w:firstLine="320"/>
        <w:jc w:val="both"/>
      </w:pPr>
      <w:bookmarkStart w:id="1010" w:name="bookmark1010"/>
      <w:bookmarkEnd w:id="1010"/>
      <w:r>
        <w:rPr>
          <w:color w:val="000000"/>
          <w:spacing w:val="0"/>
          <w:w w:val="100"/>
          <w:position w:val="0"/>
        </w:rPr>
        <w:t>关联方的认定</w:t>
      </w:r>
    </w:p>
    <w:p>
      <w:pPr>
        <w:pStyle w:val="Style34"/>
        <w:keepNext w:val="0"/>
        <w:keepLines w:val="0"/>
        <w:widowControl w:val="0"/>
        <w:shd w:val="clear" w:color="auto" w:fill="auto"/>
        <w:bidi w:val="0"/>
        <w:spacing w:before="0" w:after="0" w:line="321" w:lineRule="exact"/>
        <w:ind w:left="0" w:right="0" w:firstLine="4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号明确了以下情形构成关联方：企业与其所属企业集团的其他成员单位（包括母公司和子公司）的合营企业 或联营企业；企业的合营企业与企业的其他合营企业或联营企业。此外，解释第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 方或两方以上的企业不构成关联方，并补充说明了联营企业包括联营企业及其子公司，合营企业包括合营企业及其子公司。</w:t>
      </w:r>
    </w:p>
    <w:p>
      <w:pPr>
        <w:pStyle w:val="Style34"/>
        <w:keepNext w:val="0"/>
        <w:keepLines w:val="0"/>
        <w:widowControl w:val="0"/>
        <w:numPr>
          <w:ilvl w:val="0"/>
          <w:numId w:val="37"/>
        </w:numPr>
        <w:shd w:val="clear" w:color="auto" w:fill="auto"/>
        <w:tabs>
          <w:tab w:pos="733" w:val="left"/>
        </w:tabs>
        <w:bidi w:val="0"/>
        <w:spacing w:before="0" w:after="0" w:line="321" w:lineRule="exact"/>
        <w:ind w:left="0" w:right="0" w:firstLine="360"/>
        <w:jc w:val="both"/>
      </w:pPr>
      <w:bookmarkStart w:id="1011" w:name="bookmark1011"/>
      <w:bookmarkEnd w:id="1011"/>
      <w:r>
        <w:rPr>
          <w:color w:val="000000"/>
          <w:spacing w:val="0"/>
          <w:w w:val="100"/>
          <w:position w:val="0"/>
        </w:rPr>
        <w:t>业务的定义</w:t>
      </w:r>
    </w:p>
    <w:p>
      <w:pPr>
        <w:pStyle w:val="Style34"/>
        <w:keepNext w:val="0"/>
        <w:keepLines w:val="0"/>
        <w:widowControl w:val="0"/>
        <w:shd w:val="clear" w:color="auto" w:fill="auto"/>
        <w:bidi w:val="0"/>
        <w:spacing w:before="0" w:after="0" w:line="321" w:lineRule="exact"/>
        <w:ind w:left="0" w:right="0" w:firstLine="36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 化非同一控制下取得组合是否构成业务的判断等问题。</w:t>
      </w:r>
    </w:p>
    <w:p>
      <w:pPr>
        <w:pStyle w:val="Style34"/>
        <w:keepNext w:val="0"/>
        <w:keepLines w:val="0"/>
        <w:widowControl w:val="0"/>
        <w:shd w:val="clear" w:color="auto" w:fill="auto"/>
        <w:bidi w:val="0"/>
        <w:spacing w:before="0" w:after="360" w:line="321"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号未对本公司财务状况和经营成果产生重 大影响。</w:t>
      </w:r>
    </w:p>
    <w:p>
      <w:pPr>
        <w:pStyle w:val="Style41"/>
        <w:keepNext/>
        <w:keepLines/>
        <w:widowControl w:val="0"/>
        <w:shd w:val="clear" w:color="auto" w:fill="auto"/>
        <w:tabs>
          <w:tab w:pos="808" w:val="left"/>
        </w:tabs>
        <w:bidi w:val="0"/>
        <w:spacing w:before="0" w:after="260" w:line="240" w:lineRule="auto"/>
        <w:ind w:left="0" w:right="0" w:firstLine="32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12"/>
      <w:bookmarkEnd w:id="1013"/>
      <w:bookmarkEnd w:id="1015"/>
    </w:p>
    <w:p>
      <w:pPr>
        <w:pStyle w:val="Style34"/>
        <w:keepNext w:val="0"/>
        <w:keepLines w:val="0"/>
        <w:widowControl w:val="0"/>
        <w:shd w:val="clear" w:color="auto" w:fill="auto"/>
        <w:bidi w:val="0"/>
        <w:spacing w:before="0" w:after="360" w:line="321" w:lineRule="exact"/>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808" w:val="left"/>
        </w:tabs>
        <w:bidi w:val="0"/>
        <w:spacing w:before="0" w:after="260" w:line="240" w:lineRule="auto"/>
        <w:ind w:left="0" w:right="0" w:firstLine="32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16"/>
      <w:bookmarkEnd w:id="1017"/>
      <w:bookmarkEnd w:id="1019"/>
    </w:p>
    <w:p>
      <w:pPr>
        <w:pStyle w:val="Style34"/>
        <w:keepNext w:val="0"/>
        <w:keepLines w:val="0"/>
        <w:widowControl w:val="0"/>
        <w:shd w:val="clear" w:color="auto" w:fill="auto"/>
        <w:bidi w:val="0"/>
        <w:spacing w:before="0" w:after="0" w:line="321" w:lineRule="exact"/>
        <w:ind w:left="0" w:right="0" w:firstLine="280"/>
        <w:jc w:val="left"/>
      </w:pPr>
      <w:r>
        <w:rPr>
          <w:color w:val="000000"/>
          <w:spacing w:val="0"/>
          <w:w w:val="100"/>
          <w:position w:val="0"/>
        </w:rPr>
        <w:t>适用</w:t>
      </w:r>
    </w:p>
    <w:p>
      <w:pPr>
        <w:pStyle w:val="Style34"/>
        <w:keepNext w:val="0"/>
        <w:keepLines w:val="0"/>
        <w:widowControl w:val="0"/>
        <w:shd w:val="clear" w:color="auto" w:fill="auto"/>
        <w:bidi w:val="0"/>
        <w:spacing w:before="0" w:after="0" w:line="321" w:lineRule="exact"/>
        <w:ind w:left="0" w:right="0" w:firstLine="280"/>
        <w:jc w:val="left"/>
      </w:pPr>
      <w:r>
        <w:rPr>
          <w:color w:val="000000"/>
          <w:spacing w:val="0"/>
          <w:w w:val="100"/>
          <w:position w:val="0"/>
        </w:rPr>
        <w:t>是否需要调整年初资产负债表科目</w:t>
      </w:r>
    </w:p>
    <w:p>
      <w:pPr>
        <w:pStyle w:val="Style34"/>
        <w:keepNext w:val="0"/>
        <w:keepLines w:val="0"/>
        <w:widowControl w:val="0"/>
        <w:shd w:val="clear" w:color="auto" w:fill="auto"/>
        <w:bidi w:val="0"/>
        <w:spacing w:before="0" w:after="0" w:line="321" w:lineRule="exact"/>
        <w:ind w:left="0" w:right="0" w:firstLine="20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4"/>
        <w:keepNext w:val="0"/>
        <w:keepLines w:val="0"/>
        <w:widowControl w:val="0"/>
        <w:shd w:val="clear" w:color="auto" w:fill="auto"/>
        <w:bidi w:val="0"/>
        <w:spacing w:before="0" w:after="160" w:line="321" w:lineRule="exact"/>
        <w:ind w:left="0" w:right="0" w:firstLine="280"/>
        <w:jc w:val="left"/>
      </w:pPr>
      <w:r>
        <w:rPr>
          <w:color w:val="000000"/>
          <w:spacing w:val="0"/>
          <w:w w:val="100"/>
          <w:position w:val="0"/>
        </w:rPr>
        <w:t>合并资产负债表</w:t>
      </w:r>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160,027,914.03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160,027,914.03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415,664,143.59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415,664,143.59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56,432,311.35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56,432,311.35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1,299,932.76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1,299,932.76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4,222,143.64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4,222,143.64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37,919,744.75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37,919,744.75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10,010,147.42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10,010,147.42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4,530,988.81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4,530,988.81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690,107,326.35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690,107,326.35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8,488,956.41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8,488,956.41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377,570,619.87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377,570,619.87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430,588,618.53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430,588,618.53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136,495,601.12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136,495,601.12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36,408,272.65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36,408,272.65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60,629,621.71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60,629,621.71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10,127,243.82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10,127,243.82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24,657,294.81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24,657,294.81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1,893,141.74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1,893,141.74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1,086,859,370.66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1,086,859,370.66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1,776,966,697.01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1,776,966,697.01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24,690,241.90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24,690,241.90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37,243,402.34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-37,243,402.34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39,768,573.43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39,768,573.43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5,118,320.87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5,118,320.87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3,027,566.52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3,027,566.52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45,244,596.58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45,244,596.58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4,410,404.98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4,410,404.98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7,152,200.97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11,400,829.88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4,248,628.91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126,886,734.16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133,660,534.16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8,657,564.96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8,657,564.96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6,773,800.00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15,571,880.87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8,798,080.87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-6,773,800.00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142,458,615.03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142,458,615.03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761,191,294.00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761,191,294.00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30,679,547.28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30,679,547.28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139,545.03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64,571,666.71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777,926,028.96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777,926,028.96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1,634,508,081.98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1,634,508,081.98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1,634,508,081.98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1,634,508,081.98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1,776,966,697.01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1,776,966,697.01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346" w:right="0" w:firstLine="0"/>
        <w:jc w:val="left"/>
      </w:pPr>
      <w:r>
        <w:rPr>
          <w:color w:val="000000"/>
          <w:spacing w:val="0"/>
          <w:w w:val="100"/>
          <w:position w:val="0"/>
        </w:rPr>
        <w:t>母公司资产负债表</w:t>
      </w:r>
    </w:p>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114,849,897.00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114,849,897.00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361,129,999.55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361,129,999.55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72,560,212.52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72,560,212.52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1,176,113.62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1,176,113.62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113,602,176.99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113,602,176.99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30,743,470.90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30,743,470.90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一年内到期的非流动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8,459,775.44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8,459,775.44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702,524,176.79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702,524,176.79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4,229,639.07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4,229,639.07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455,384,897.19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455,384,897.19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368,779,619.87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368,779,619.87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266,715,048.30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266,715,048.30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51,359,113.54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51,359,113.54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38,505,201.35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38,505,201.35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281,102.89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281,102.89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22,051,149.45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22,051,149.45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189,908.26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189,908.26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1,207,495,679.92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1,207,495,679.92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1,910,019,856.71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1,910,019,856.71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27,499,085.59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27,499,085.59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34,026,938.73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-34,026,938.73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36,819,016.67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36,819,016.67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1,518,591.56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1,518,591.56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611,559.39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611,559.39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520,897,466.80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520,897,466.80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一年内到期的非流动 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2,605,097.38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2,605,097.38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6,083,107.78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9,991,629.84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3,908,522.06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593,241,847.23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599,942,447.23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6,700,600.00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5,129,385.54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5,129,385.54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6,700,600.00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-6,700,600.00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85,545.98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85,545.98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11,915,531.52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5,214,931.52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-6,700,600.00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605,157,378.75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29,679,547.28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29,679,547.28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449,419,969.97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449,419,969.97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1,304,862,477.96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1,304,862,477.96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1,910,019,856.71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1,910,019,856.71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88" w:val="left"/>
        </w:tabs>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shd w:val="clear" w:color="auto" w:fill="FFFFFF"/>
        </w:rPr>
        <w:t>（</w:t>
      </w:r>
      <w:bookmarkEnd w:id="1022"/>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20"/>
      <w:bookmarkEnd w:id="1021"/>
      <w:bookmarkEnd w:id="102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2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sz w:val="24"/>
          <w:szCs w:val="24"/>
        </w:rPr>
        <w:t>六</w:t>
      </w:r>
      <w:bookmarkEnd w:id="1026"/>
      <w:r>
        <w:rPr>
          <w:color w:val="000000"/>
          <w:spacing w:val="0"/>
          <w:w w:val="100"/>
          <w:position w:val="0"/>
          <w:sz w:val="24"/>
          <w:szCs w:val="24"/>
        </w:rPr>
        <w:t>、税项</w:t>
      </w:r>
      <w:bookmarkEnd w:id="1024"/>
      <w:bookmarkEnd w:id="1025"/>
      <w:bookmarkEnd w:id="1027"/>
    </w:p>
    <w:p>
      <w:pPr>
        <w:pStyle w:val="Style38"/>
        <w:keepNext/>
        <w:keepLines/>
        <w:widowControl w:val="0"/>
        <w:shd w:val="clear" w:color="auto" w:fill="auto"/>
        <w:bidi w:val="0"/>
        <w:spacing w:before="0" w:after="32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8"/>
      <w:bookmarkEnd w:id="1029"/>
      <w:bookmarkEnd w:id="1030"/>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8.25%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25%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广州御银自动柜员机技术有限公司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御银（中国）科技国际有限公司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御银科技（香港）有限公司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8.25%</w:t>
            </w:r>
            <w:r>
              <w:rPr>
                <w:rFonts w:ascii="SimSun" w:eastAsia="SimSun" w:hAnsi="SimSun" w:cs="SimSun"/>
                <w:color w:val="000000"/>
                <w:spacing w:val="0"/>
                <w:w w:val="100"/>
                <w:position w:val="0"/>
              </w:rPr>
              <w:t>、</w:t>
            </w:r>
            <w:r>
              <w:rPr>
                <w:color w:val="000000"/>
                <w:spacing w:val="0"/>
                <w:w w:val="100"/>
                <w:position w:val="0"/>
              </w:rPr>
              <w:t>16.5%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广州十方软件科技有限公司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广州同位素智能科技有限公司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广州御银金融电子设备有限公司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广州御联软件有限公司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广州御泰信息科技有限公司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10%</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color w:val="000000"/>
          <w:spacing w:val="0"/>
          <w:w w:val="100"/>
          <w:position w:val="0"/>
        </w:rPr>
        <w:t>、税收优惠</w:t>
      </w:r>
      <w:bookmarkEnd w:id="1031"/>
      <w:bookmarkEnd w:id="1032"/>
      <w:bookmarkEnd w:id="1034"/>
    </w:p>
    <w:p>
      <w:pPr>
        <w:pStyle w:val="Style34"/>
        <w:keepNext w:val="0"/>
        <w:keepLines w:val="0"/>
        <w:widowControl w:val="0"/>
        <w:shd w:val="clear" w:color="auto" w:fill="auto"/>
        <w:tabs>
          <w:tab w:pos="842" w:val="left"/>
        </w:tabs>
        <w:bidi w:val="0"/>
        <w:spacing w:before="0" w:after="0" w:line="311" w:lineRule="exact"/>
        <w:ind w:left="0" w:right="0"/>
        <w:jc w:val="both"/>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根据财税</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92</w:t>
      </w:r>
      <w:r>
        <w:rPr>
          <w:color w:val="000000"/>
          <w:spacing w:val="0"/>
          <w:w w:val="100"/>
          <w:position w:val="0"/>
        </w:rPr>
        <w:t>号《财政部、国家税务总局关于嵌入式软件增值税政策的通知》、财税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号《财政 部、国家税务总局关于软件产品增值税政策的通知》的有关规定：增值税一般纳税人随同计算机网络、计算机硬件和机器设 备等一并销售其自行开发生产的嵌入式软件，如果能够按照《财政部、国家税务总局关于贯彻落实〈中共中央、国务院关于 加强技术创新，发展高科技，实现产业化的决定〉有关税收问题的通知》（财税字</w:t>
      </w:r>
      <w:r>
        <w:rPr>
          <w:color w:val="000000"/>
          <w:spacing w:val="0"/>
          <w:w w:val="100"/>
          <w:position w:val="0"/>
        </w:rPr>
        <w:t>[</w:t>
      </w:r>
      <w:r>
        <w:rPr>
          <w:rFonts w:ascii="Times New Roman" w:eastAsia="Times New Roman" w:hAnsi="Times New Roman" w:cs="Times New Roman"/>
          <w:color w:val="000000"/>
          <w:spacing w:val="0"/>
          <w:w w:val="100"/>
          <w:position w:val="0"/>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rPr>
        <w:t>273</w:t>
      </w:r>
      <w:r>
        <w:rPr>
          <w:color w:val="000000"/>
          <w:spacing w:val="0"/>
          <w:w w:val="100"/>
          <w:position w:val="0"/>
        </w:rPr>
        <w:t>号）第一条第三款之规定， 分别核算嵌入式软件与计算机硬件、机器设备等的销售额，可以享受软件产品增值税优惠政策。公司符合财税</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92 </w:t>
      </w:r>
      <w:r>
        <w:rPr>
          <w:color w:val="000000"/>
          <w:spacing w:val="0"/>
          <w:w w:val="100"/>
          <w:position w:val="0"/>
        </w:rPr>
        <w:t>号、</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号之规定，嵌入式软件销售收入享受增值税即征即退优惠政策。</w:t>
      </w:r>
    </w:p>
    <w:p>
      <w:pPr>
        <w:pStyle w:val="Style34"/>
        <w:keepNext w:val="0"/>
        <w:keepLines w:val="0"/>
        <w:widowControl w:val="0"/>
        <w:shd w:val="clear" w:color="auto" w:fill="auto"/>
        <w:bidi w:val="0"/>
        <w:spacing w:before="0" w:after="100" w:line="311" w:lineRule="exact"/>
        <w:ind w:left="0" w:right="0"/>
        <w:jc w:val="both"/>
      </w:pPr>
      <w:r>
        <w:rPr>
          <w:color w:val="000000"/>
          <w:spacing w:val="0"/>
          <w:w w:val="100"/>
          <w:position w:val="0"/>
        </w:rPr>
        <w:t>在新旧税制转换期间，本公司依照《财政部国家税务总局关于交通运输业和部分现代服务业营业税改增值税试点若干税 收政策的补充通知》（财税</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第四点、试点纳税人中的一般纳税人，以试点实施之前购进或者自制的有形动 产为标的物提供的经营租赁服务，试点期间可以选择使用简易计税方法计算缴纳增值税。</w:t>
      </w:r>
      <w:r>
        <w:rPr>
          <w:rFonts w:ascii="Times New Roman" w:eastAsia="Times New Roman" w:hAnsi="Times New Roman" w:cs="Times New Roman"/>
          <w:color w:val="000000"/>
          <w:spacing w:val="0"/>
          <w:w w:val="100"/>
          <w:position w:val="0"/>
        </w:rPr>
        <w:t>”</w:t>
      </w:r>
      <w:r>
        <w:rPr>
          <w:color w:val="000000"/>
          <w:spacing w:val="0"/>
          <w:w w:val="100"/>
          <w:position w:val="0"/>
        </w:rPr>
        <w:t>的规定，对于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日前发 出的融资机和合作机（发机时已做进项税额转出）所产生的租金收入和手续费收入选择使用</w:t>
      </w:r>
      <w:r>
        <w:rPr>
          <w:rFonts w:ascii="Times New Roman" w:eastAsia="Times New Roman" w:hAnsi="Times New Roman" w:cs="Times New Roman"/>
          <w:color w:val="000000"/>
          <w:spacing w:val="0"/>
          <w:w w:val="100"/>
          <w:position w:val="0"/>
        </w:rPr>
        <w:t>3%</w:t>
      </w:r>
      <w:r>
        <w:rPr>
          <w:color w:val="000000"/>
          <w:spacing w:val="0"/>
          <w:w w:val="100"/>
          <w:position w:val="0"/>
        </w:rPr>
        <w:t>的简易征收率计算并缴纳增 值税。本年度按</w:t>
      </w:r>
      <w:r>
        <w:rPr>
          <w:rFonts w:ascii="Times New Roman" w:eastAsia="Times New Roman" w:hAnsi="Times New Roman" w:cs="Times New Roman"/>
          <w:color w:val="000000"/>
          <w:spacing w:val="0"/>
          <w:w w:val="100"/>
          <w:position w:val="0"/>
        </w:rPr>
        <w:t>3%</w:t>
      </w:r>
      <w:r>
        <w:rPr>
          <w:color w:val="000000"/>
          <w:spacing w:val="0"/>
          <w:w w:val="100"/>
          <w:position w:val="0"/>
        </w:rPr>
        <w:t>简易征收率计算并缴纳增值税的租金收入和手续费收入为</w:t>
      </w:r>
      <w:r>
        <w:rPr>
          <w:rFonts w:ascii="Times New Roman" w:eastAsia="Times New Roman" w:hAnsi="Times New Roman" w:cs="Times New Roman"/>
          <w:color w:val="000000"/>
          <w:spacing w:val="0"/>
          <w:w w:val="100"/>
          <w:position w:val="0"/>
        </w:rPr>
        <w:t>5,003,995.67</w:t>
      </w:r>
      <w:r>
        <w:rPr>
          <w:color w:val="000000"/>
          <w:spacing w:val="0"/>
          <w:w w:val="100"/>
          <w:position w:val="0"/>
        </w:rPr>
        <w:t>元。</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依据国家税务总局关于发布《纳税人提供不动产经营租赁服务增值税征收管理暂行办法》的公告（国家税务总局公告</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年第</w:t>
      </w:r>
      <w:r>
        <w:rPr>
          <w:rFonts w:ascii="Times New Roman" w:eastAsia="Times New Roman" w:hAnsi="Times New Roman" w:cs="Times New Roman"/>
          <w:color w:val="000000"/>
          <w:spacing w:val="0"/>
          <w:w w:val="100"/>
          <w:position w:val="0"/>
        </w:rPr>
        <w:t>16</w:t>
      </w:r>
      <w:r>
        <w:rPr>
          <w:color w:val="000000"/>
          <w:spacing w:val="0"/>
          <w:w w:val="100"/>
          <w:position w:val="0"/>
        </w:rPr>
        <w:t>号），一般纳税人出租其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日前取得的不动产，可以选择适用简易计税方法，按照</w:t>
      </w:r>
      <w:r>
        <w:rPr>
          <w:rFonts w:ascii="Times New Roman" w:eastAsia="Times New Roman" w:hAnsi="Times New Roman" w:cs="Times New Roman"/>
          <w:color w:val="000000"/>
          <w:spacing w:val="0"/>
          <w:w w:val="100"/>
          <w:position w:val="0"/>
        </w:rPr>
        <w:t>5%</w:t>
      </w:r>
      <w:r>
        <w:rPr>
          <w:color w:val="000000"/>
          <w:spacing w:val="0"/>
          <w:w w:val="100"/>
          <w:position w:val="0"/>
        </w:rPr>
        <w:t>的征收率计算应纳税 额。</w:t>
      </w:r>
    </w:p>
    <w:p>
      <w:pPr>
        <w:pStyle w:val="Style34"/>
        <w:keepNext w:val="0"/>
        <w:keepLines w:val="0"/>
        <w:widowControl w:val="0"/>
        <w:shd w:val="clear" w:color="auto" w:fill="auto"/>
        <w:tabs>
          <w:tab w:pos="842" w:val="left"/>
        </w:tabs>
        <w:bidi w:val="0"/>
        <w:spacing w:before="0" w:after="0" w:line="315" w:lineRule="exact"/>
        <w:ind w:left="0" w:right="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w:t>
        <w:tab/>
        <w:t>根据《财政部税务总局关于实施小微企业普惠性税收减免政策的通知》（财税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 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34"/>
        <w:keepNext w:val="0"/>
        <w:keepLines w:val="0"/>
        <w:widowControl w:val="0"/>
        <w:shd w:val="clear" w:color="auto" w:fill="auto"/>
        <w:tabs>
          <w:tab w:pos="842" w:val="left"/>
        </w:tabs>
        <w:bidi w:val="0"/>
        <w:spacing w:before="0" w:after="680" w:line="315" w:lineRule="exact"/>
        <w:ind w:left="0" w:right="0"/>
        <w:jc w:val="both"/>
      </w:pPr>
      <w:bookmarkStart w:id="1037" w:name="bookmark1037"/>
      <w:r>
        <w:rPr>
          <w:color w:val="000000"/>
          <w:spacing w:val="0"/>
          <w:w w:val="100"/>
          <w:position w:val="0"/>
        </w:rPr>
        <w:t>（</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w:t>
        <w:tab/>
        <w:t>根据香港当地的相关法律法规，企业首</w:t>
      </w:r>
      <w:r>
        <w:rPr>
          <w:rFonts w:ascii="Times New Roman" w:eastAsia="Times New Roman" w:hAnsi="Times New Roman" w:cs="Times New Roman"/>
          <w:color w:val="000000"/>
          <w:spacing w:val="0"/>
          <w:w w:val="100"/>
          <w:position w:val="0"/>
        </w:rPr>
        <w:t>200</w:t>
      </w:r>
      <w:r>
        <w:rPr>
          <w:color w:val="000000"/>
          <w:spacing w:val="0"/>
          <w:w w:val="100"/>
          <w:position w:val="0"/>
        </w:rPr>
        <w:t>万港币利润的利得税率降至</w:t>
      </w:r>
      <w:r>
        <w:rPr>
          <w:rFonts w:ascii="Times New Roman" w:eastAsia="Times New Roman" w:hAnsi="Times New Roman" w:cs="Times New Roman"/>
          <w:color w:val="000000"/>
          <w:spacing w:val="0"/>
          <w:w w:val="100"/>
          <w:position w:val="0"/>
        </w:rPr>
        <w:t>8.25%</w:t>
      </w:r>
      <w:r>
        <w:rPr>
          <w:color w:val="000000"/>
          <w:spacing w:val="0"/>
          <w:w w:val="100"/>
          <w:position w:val="0"/>
        </w:rPr>
        <w:t>，即利得税率的一半，其后的利润则 继续按标准税率</w:t>
      </w:r>
      <w:r>
        <w:rPr>
          <w:rFonts w:ascii="Times New Roman" w:eastAsia="Times New Roman" w:hAnsi="Times New Roman" w:cs="Times New Roman"/>
          <w:color w:val="000000"/>
          <w:spacing w:val="0"/>
          <w:w w:val="100"/>
          <w:position w:val="0"/>
        </w:rPr>
        <w:t>16.5%</w:t>
      </w:r>
      <w:r>
        <w:rPr>
          <w:color w:val="000000"/>
          <w:spacing w:val="0"/>
          <w:w w:val="100"/>
          <w:position w:val="0"/>
        </w:rPr>
        <w:t>计税。</w:t>
      </w:r>
    </w:p>
    <w:p>
      <w:pPr>
        <w:pStyle w:val="Style30"/>
        <w:keepNext/>
        <w:keepLines/>
        <w:widowControl w:val="0"/>
        <w:shd w:val="clear" w:color="auto" w:fill="auto"/>
        <w:bidi w:val="0"/>
        <w:spacing w:before="0" w:after="30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sz w:val="24"/>
          <w:szCs w:val="24"/>
        </w:rPr>
        <w:t>七</w:t>
      </w:r>
      <w:bookmarkEnd w:id="1040"/>
      <w:r>
        <w:rPr>
          <w:color w:val="000000"/>
          <w:spacing w:val="0"/>
          <w:w w:val="100"/>
          <w:position w:val="0"/>
          <w:sz w:val="24"/>
          <w:szCs w:val="24"/>
        </w:rPr>
        <w:t>、合并财务报表项目注释</w:t>
      </w:r>
      <w:bookmarkEnd w:id="1038"/>
      <w:bookmarkEnd w:id="1039"/>
      <w:bookmarkEnd w:id="1041"/>
    </w:p>
    <w:p>
      <w:pPr>
        <w:pStyle w:val="Style38"/>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2"/>
      <w:bookmarkEnd w:id="1043"/>
      <w:bookmarkEnd w:id="10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390,162.86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96,478.49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96,827,568.35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132,114,977.26</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22,516,402.85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27,816,458.28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119,734,134.06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160,027,914.03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310,539.82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344,856.09</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因抵押、质押或冻结等对使用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54,801.00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277,831.44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其中因抵押、质押或冻结等对使用有限制，以及放在境外且资金汇回受到限制的货币资金明细如下:</w:t>
      </w:r>
    </w:p>
    <w:p>
      <w:pPr>
        <w:widowControl w:val="0"/>
        <w:spacing w:after="9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54,801.00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司法冻结资金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222,908.00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54,801.00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277,831.44</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45"/>
      <w:bookmarkEnd w:id="1046"/>
      <w:bookmarkEnd w:id="104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463,191,455.04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415,664,143.59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6,100,564.88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55,605,875.83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445,420,274.66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328,941,689.76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11,670,615.50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31,116,578.00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463,191,455.04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415,664,143.59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color w:val="000000"/>
          <w:spacing w:val="0"/>
          <w:w w:val="100"/>
          <w:position w:val="0"/>
        </w:rPr>
        <w:t>、应收账款</w:t>
      </w:r>
      <w:bookmarkEnd w:id="1048"/>
      <w:bookmarkEnd w:id="1049"/>
      <w:bookmarkEnd w:id="1051"/>
    </w:p>
    <w:p>
      <w:pPr>
        <w:pStyle w:val="Style41"/>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52"/>
      <w:bookmarkEnd w:id="1053"/>
      <w:bookmarkEnd w:id="1055"/>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573,572.</w:t>
            </w:r>
          </w:p>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573,572.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5,756,314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5,756,314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573,572.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573,572.</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5,756,314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5,756,314</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29,429,5</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1,942,35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27,487,15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62,078,49</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5,646,181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56,432,311.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29,429,5</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1,942,35</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27,487,15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62,078,49</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5,646,181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56,432,311.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30,003,0</w:t>
            </w:r>
          </w:p>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2,515,92</w:t>
            </w:r>
          </w:p>
          <w:p>
            <w:pPr>
              <w:pStyle w:val="Style2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27,487,15</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67,834,80</w:t>
            </w:r>
          </w:p>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11,402,49</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56,432,311.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573,572.24</w:t>
      </w:r>
      <w:r>
        <w:rPr>
          <w:color w:val="000000"/>
          <w:spacing w:val="0"/>
          <w:w w:val="100"/>
          <w:position w:val="0"/>
        </w:rPr>
        <w:t>元</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1,942,355.29</w:t>
      </w:r>
      <w:r>
        <w:rPr>
          <w:color w:val="000000"/>
          <w:spacing w:val="0"/>
          <w:w w:val="100"/>
          <w:position w:val="0"/>
        </w:rPr>
        <w:t>元</w:t>
      </w:r>
    </w:p>
    <w:p>
      <w:pPr>
        <w:widowControl w:val="0"/>
        <w:spacing w:after="79" w:line="1" w:lineRule="exact"/>
      </w:pPr>
    </w:p>
    <w:p>
      <w:pPr>
        <w:widowControl w:val="0"/>
        <w:spacing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29,429,508.07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1,942,355.29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29,429,508.07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1,942,355.29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按组合计提坏账的确认标准及说明：详见本财务报告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25,560,054.85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3,213,493.17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813,293.60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416,238.69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416,238.69</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30,003,080.31</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6"/>
      <w:bookmarkEnd w:id="1057"/>
      <w:bookmarkEnd w:id="1059"/>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11,402,496.10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-11,018,874.59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4,673,058.73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2,540,752.71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2,515,927.53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11,402,496.10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-11,018,874.59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4,673,058.73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2,540,752.71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2,515,927.53</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14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w:t>
      </w:r>
      <w:bookmarkEnd w:id="106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60"/>
      <w:bookmarkEnd w:id="1061"/>
      <w:bookmarkEnd w:id="10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2,540,752.71</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14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64"/>
      <w:bookmarkEnd w:id="1065"/>
      <w:bookmarkEnd w:id="106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3,946,592.12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197,329.61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2,576,850.13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128,842.51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2,346,140.04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117,307.00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2,173,807.34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166,749.29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1,736,588.77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86,829.44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12,779,978.40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tabs>
          <w:tab w:pos="488" w:val="left"/>
        </w:tabs>
        <w:bidi w:val="0"/>
        <w:spacing w:before="0" w:line="240" w:lineRule="auto"/>
        <w:ind w:left="0" w:right="0" w:firstLine="0"/>
        <w:jc w:val="left"/>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5</w:t>
      </w:r>
      <w:r>
        <w:rPr>
          <w:color w:val="000000"/>
          <w:spacing w:val="0"/>
          <w:w w:val="100"/>
          <w:position w:val="0"/>
        </w:rPr>
        <w:t>）</w:t>
        <w:tab/>
        <w:t>本报告期无因金融资产转移而终止确认的应收账款</w:t>
      </w:r>
      <w:bookmarkEnd w:id="1068"/>
      <w:bookmarkEnd w:id="1069"/>
      <w:bookmarkEnd w:id="1071"/>
    </w:p>
    <w:p>
      <w:pPr>
        <w:pStyle w:val="Style41"/>
        <w:keepNext/>
        <w:keepLines/>
        <w:widowControl w:val="0"/>
        <w:shd w:val="clear" w:color="auto" w:fill="auto"/>
        <w:tabs>
          <w:tab w:pos="488" w:val="left"/>
        </w:tabs>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6</w:t>
      </w:r>
      <w:r>
        <w:rPr>
          <w:color w:val="000000"/>
          <w:spacing w:val="0"/>
          <w:w w:val="100"/>
          <w:position w:val="0"/>
        </w:rPr>
        <w:t>）</w:t>
        <w:tab/>
        <w:t>本报告期无转移应收账款且继续涉入形成的资产、负债金额</w:t>
      </w:r>
      <w:bookmarkEnd w:id="1072"/>
      <w:bookmarkEnd w:id="1073"/>
      <w:bookmarkEnd w:id="1075"/>
    </w:p>
    <w:p>
      <w:pPr>
        <w:pStyle w:val="Style38"/>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4</w:t>
      </w:r>
      <w:bookmarkEnd w:id="1078"/>
      <w:r>
        <w:rPr>
          <w:color w:val="000000"/>
          <w:spacing w:val="0"/>
          <w:w w:val="100"/>
          <w:position w:val="0"/>
        </w:rPr>
        <w:t>、预付款项</w:t>
      </w:r>
      <w:bookmarkEnd w:id="1076"/>
      <w:bookmarkEnd w:id="1077"/>
      <w:bookmarkEnd w:id="1079"/>
    </w:p>
    <w:p>
      <w:pPr>
        <w:pStyle w:val="Style41"/>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0"/>
      <w:bookmarkEnd w:id="1081"/>
      <w:bookmarkEnd w:id="10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比例</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729,963.16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94.16%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1,159,158.72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89.17%</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34,819.46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18,466.34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10,466.97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122,307.70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775,249.59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1,299,932.76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59" w:line="1" w:lineRule="exact"/>
      </w:pPr>
    </w:p>
    <w:p>
      <w:pPr>
        <w:pStyle w:val="Style41"/>
        <w:keepNext/>
        <w:keepLines/>
        <w:widowControl w:val="0"/>
        <w:shd w:val="clear" w:color="auto" w:fill="auto"/>
        <w:bidi w:val="0"/>
        <w:spacing w:before="0" w:after="32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84"/>
      <w:bookmarkEnd w:id="1085"/>
      <w:bookmarkEnd w:id="1087"/>
    </w:p>
    <w:tbl>
      <w:tblPr>
        <w:tblOverlap w:val="never"/>
        <w:jc w:val="center"/>
        <w:tblLayout w:type="fixed"/>
      </w:tblPr>
      <w:tblGrid>
        <w:gridCol w:w="2520"/>
        <w:gridCol w:w="2693"/>
        <w:gridCol w:w="3696"/>
      </w:tblGrid>
      <w:tr>
        <w:trPr>
          <w:trHeight w:val="355"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预付对象</w:t>
            </w:r>
          </w:p>
        </w:tc>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占预付款项期末余额合计数的比例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第一名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416,905.39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53.78</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第二名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179,716.99</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23.18</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第三名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50,000.00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6.45</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第四名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37,374.50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4.82</w:t>
            </w:r>
          </w:p>
        </w:tc>
      </w:tr>
      <w:tr>
        <w:trPr>
          <w:trHeight w:val="350"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第五名</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11,605.00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w:t>
            </w:r>
          </w:p>
        </w:tc>
      </w:tr>
      <w:tr>
        <w:trPr>
          <w:trHeight w:val="355" w:hRule="exact"/>
        </w:trPr>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7"/>
              <w:keepNext w:val="0"/>
              <w:keepLines w:val="0"/>
              <w:widowControl w:val="0"/>
              <w:shd w:val="clear" w:color="auto" w:fill="auto"/>
              <w:bidi w:val="0"/>
              <w:spacing w:before="0" w:after="0" w:line="240" w:lineRule="auto"/>
              <w:ind w:left="1740" w:right="0" w:firstLine="0"/>
              <w:jc w:val="left"/>
              <w:rPr>
                <w:sz w:val="20"/>
                <w:szCs w:val="20"/>
              </w:rPr>
            </w:pPr>
            <w:r>
              <w:rPr>
                <w:color w:val="000000"/>
                <w:spacing w:val="0"/>
                <w:w w:val="100"/>
                <w:position w:val="0"/>
                <w:sz w:val="20"/>
                <w:szCs w:val="20"/>
              </w:rPr>
              <w:t>695,601.88</w:t>
            </w:r>
          </w:p>
        </w:tc>
        <w:tc>
          <w:tcPr>
            <w:tcBorders>
              <w:top w:val="single" w:sz="4"/>
              <w:left w:val="single" w:sz="4"/>
              <w:bottom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89.73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5</w:t>
      </w:r>
      <w:bookmarkEnd w:id="1090"/>
      <w:r>
        <w:rPr>
          <w:color w:val="000000"/>
          <w:spacing w:val="0"/>
          <w:w w:val="100"/>
          <w:position w:val="0"/>
        </w:rPr>
        <w:t>、其他应收款</w:t>
      </w:r>
      <w:bookmarkEnd w:id="1088"/>
      <w:bookmarkEnd w:id="1089"/>
      <w:bookmarkEnd w:id="10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2,638,990.98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4,222,143.64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2,638,990.98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4,222,143.64</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092" w:name="bookmark1092"/>
      <w:bookmarkStart w:id="1093" w:name="bookmark1093"/>
      <w:bookmarkStart w:id="1094" w:name="bookmark1094"/>
      <w:bookmarkStart w:id="1095" w:name="bookmark1095"/>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92"/>
      <w:bookmarkEnd w:id="1093"/>
      <w:bookmarkEnd w:id="1095"/>
    </w:p>
    <w:p>
      <w:pPr>
        <w:pStyle w:val="Style65"/>
        <w:keepNext/>
        <w:keepLines/>
        <w:widowControl w:val="0"/>
        <w:shd w:val="clear" w:color="auto" w:fill="auto"/>
        <w:bidi w:val="0"/>
        <w:spacing w:before="0" w:after="36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color w:val="000000"/>
          <w:spacing w:val="0"/>
          <w:w w:val="100"/>
          <w:position w:val="0"/>
        </w:rPr>
        <w:t>）其他应收款按款项性质分类情况</w:t>
      </w:r>
      <w:bookmarkEnd w:id="1096"/>
      <w:bookmarkEnd w:id="1097"/>
      <w:bookmarkEnd w:id="10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626,397.05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625,368.53</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401,885.75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410,913.89</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2,034,459.15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2,845,456.02</w:t>
            </w:r>
          </w:p>
        </w:tc>
      </w:tr>
      <w:tr>
        <w:trPr>
          <w:trHeight w:val="32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84,076.00</w:t>
            </w:r>
          </w:p>
        </w:tc>
      </w:tr>
      <w:tr>
        <w:trPr>
          <w:trHeight w:val="322"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744,952.00</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1,679,191.00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3,883,769.95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5,645,005.44</w:t>
            </w:r>
          </w:p>
        </w:tc>
      </w:tr>
    </w:tbl>
    <w:p>
      <w:pPr>
        <w:widowControl w:val="0"/>
        <w:spacing w:after="319" w:line="1" w:lineRule="exact"/>
      </w:pPr>
    </w:p>
    <w:p>
      <w:pPr>
        <w:pStyle w:val="Style6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）坏账准备计提情况</w:t>
      </w:r>
      <w:bookmarkEnd w:id="1100"/>
      <w:bookmarkEnd w:id="1101"/>
      <w:bookmarkEnd w:id="11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6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整个存续期预期信用损失</w:t>
            </w:r>
          </w:p>
        </w:tc>
        <w:tc>
          <w:tcPr>
            <w:tcBorders>
              <w:top w:val="single" w:sz="4"/>
              <w:left w:val="single" w:sz="4"/>
              <w:bottom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1,422,861.80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1,422,861.80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-178,082.83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-178,082.83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1,244,778.97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1,244,778.97</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1,437,601.48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727,668.86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1,037,994.49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680,505.12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680,505.12</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3,883,769.95</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）本期计提、收回或转回的坏账准备情况</w:t>
      </w:r>
      <w:bookmarkEnd w:id="1104"/>
      <w:bookmarkEnd w:id="1105"/>
      <w:bookmarkEnd w:id="1107"/>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3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1,422,861.80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-178,082.83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1,244,778.97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1,422,861.80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-178,082.83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1,244,778.97</w:t>
            </w:r>
          </w:p>
        </w:tc>
      </w:tr>
    </w:tbl>
    <w:p>
      <w:pPr>
        <w:widowControl w:val="0"/>
        <w:spacing w:after="319" w:line="1" w:lineRule="exact"/>
      </w:pPr>
    </w:p>
    <w:p>
      <w:pPr>
        <w:pStyle w:val="Style65"/>
        <w:keepNext/>
        <w:keepLines/>
        <w:widowControl w:val="0"/>
        <w:shd w:val="clear" w:color="auto" w:fill="auto"/>
        <w:tabs>
          <w:tab w:pos="392" w:val="left"/>
        </w:tabs>
        <w:bidi w:val="0"/>
        <w:spacing w:before="0" w:after="32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color w:val="000000"/>
          <w:spacing w:val="0"/>
          <w:w w:val="100"/>
          <w:position w:val="0"/>
        </w:rPr>
        <w:t>）</w:t>
        <w:tab/>
        <w:t>本期无实际核销的其他应收款</w:t>
      </w:r>
      <w:bookmarkEnd w:id="1108"/>
      <w:bookmarkEnd w:id="1109"/>
      <w:bookmarkEnd w:id="1111"/>
    </w:p>
    <w:p>
      <w:pPr>
        <w:pStyle w:val="Style65"/>
        <w:keepNext/>
        <w:keepLines/>
        <w:widowControl w:val="0"/>
        <w:shd w:val="clear" w:color="auto" w:fill="auto"/>
        <w:tabs>
          <w:tab w:pos="392" w:val="left"/>
        </w:tabs>
        <w:bidi w:val="0"/>
        <w:spacing w:before="0" w:after="32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w:t>
        <w:tab/>
        <w:t>按欠款方归集的期末余额前五名的其他应收款情况</w:t>
      </w:r>
      <w:bookmarkEnd w:id="1112"/>
      <w:bookmarkEnd w:id="1113"/>
      <w:bookmarkEnd w:id="11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133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888,468.86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年以内 </w:t>
            </w:r>
            <w:r>
              <w:rPr>
                <w:color w:val="000000"/>
                <w:spacing w:val="0"/>
                <w:w w:val="100"/>
                <w:position w:val="0"/>
              </w:rPr>
              <w:t xml:space="preserve">17,769.35 </w:t>
            </w:r>
            <w:r>
              <w:rPr>
                <w:rFonts w:ascii="SimSun" w:eastAsia="SimSun" w:hAnsi="SimSun" w:cs="SimSun"/>
                <w:color w:val="000000"/>
                <w:spacing w:val="0"/>
                <w:w w:val="100"/>
                <w:position w:val="0"/>
              </w:rPr>
              <w:t>元，</w:t>
            </w:r>
            <w:r>
              <w:rPr>
                <w:color w:val="000000"/>
                <w:spacing w:val="0"/>
                <w:w w:val="100"/>
                <w:position w:val="0"/>
              </w:rPr>
              <w:t>1-2</w:t>
            </w:r>
            <w:r>
              <w:rPr>
                <w:rFonts w:ascii="SimSun" w:eastAsia="SimSun" w:hAnsi="SimSun" w:cs="SimSun"/>
                <w:color w:val="000000"/>
                <w:spacing w:val="0"/>
                <w:w w:val="100"/>
                <w:position w:val="0"/>
              </w:rPr>
              <w:t xml:space="preserve">年 </w:t>
            </w:r>
            <w:r>
              <w:rPr>
                <w:color w:val="000000"/>
                <w:spacing w:val="0"/>
                <w:w w:val="100"/>
                <w:position w:val="0"/>
              </w:rPr>
              <w:t xml:space="preserve">152,316.44 </w:t>
            </w:r>
            <w:r>
              <w:rPr>
                <w:rFonts w:ascii="SimSun" w:eastAsia="SimSun" w:hAnsi="SimSun" w:cs="SimSun"/>
                <w:color w:val="000000"/>
                <w:spacing w:val="0"/>
                <w:w w:val="100"/>
                <w:position w:val="0"/>
              </w:rPr>
              <w:t>元，</w:t>
            </w:r>
            <w:r>
              <w:rPr>
                <w:color w:val="000000"/>
                <w:spacing w:val="0"/>
                <w:w w:val="100"/>
                <w:position w:val="0"/>
              </w:rPr>
              <w:t xml:space="preserve">2-3 </w:t>
            </w:r>
            <w:r>
              <w:rPr>
                <w:rFonts w:ascii="SimSun" w:eastAsia="SimSun" w:hAnsi="SimSun" w:cs="SimSun"/>
                <w:color w:val="000000"/>
                <w:spacing w:val="0"/>
                <w:w w:val="100"/>
                <w:position w:val="0"/>
              </w:rPr>
              <w:t xml:space="preserve">年 </w:t>
            </w:r>
            <w:r>
              <w:rPr>
                <w:color w:val="000000"/>
                <w:spacing w:val="0"/>
                <w:w w:val="100"/>
                <w:position w:val="0"/>
              </w:rPr>
              <w:t xml:space="preserve">718,383.07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375,311.65</w:t>
            </w:r>
          </w:p>
        </w:tc>
      </w:tr>
    </w:tbl>
    <w:p>
      <w:pPr>
        <w:sectPr>
          <w:footnotePr>
            <w:pos w:val="pageBottom"/>
            <w:numFmt w:val="decimal"/>
            <w:numRestart w:val="continuous"/>
          </w:footnotePr>
          <w:pgSz w:w="11900" w:h="16840"/>
          <w:pgMar w:top="1378" w:right="1060" w:bottom="1354" w:left="1063"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626,397.05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386,481.26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19,324.06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297,280.00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29,728.00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2,398,627.17</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434,363.71</w:t>
            </w:r>
          </w:p>
        </w:tc>
      </w:tr>
    </w:tbl>
    <w:p>
      <w:pPr>
        <w:widowControl w:val="0"/>
        <w:spacing w:after="339" w:line="1" w:lineRule="exact"/>
      </w:pPr>
    </w:p>
    <w:p>
      <w:pPr>
        <w:pStyle w:val="Style65"/>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6</w:t>
      </w:r>
      <w:bookmarkEnd w:id="1118"/>
      <w:r>
        <w:rPr>
          <w:color w:val="000000"/>
          <w:spacing w:val="0"/>
          <w:w w:val="100"/>
          <w:position w:val="0"/>
        </w:rPr>
        <w:t>）涉及政府补助的应收款项</w:t>
      </w:r>
      <w:bookmarkEnd w:id="1116"/>
      <w:bookmarkEnd w:id="1117"/>
      <w:bookmarkEnd w:id="11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政府补助项目名称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预计收取的时间、金额</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及依据</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国家税务局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软件增值税退税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626,397.05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bl>
    <w:p>
      <w:pPr>
        <w:widowControl w:val="0"/>
        <w:spacing w:after="339" w:line="1" w:lineRule="exact"/>
      </w:pPr>
    </w:p>
    <w:p>
      <w:pPr>
        <w:pStyle w:val="Style65"/>
        <w:keepNext/>
        <w:keepLines/>
        <w:widowControl w:val="0"/>
        <w:shd w:val="clear" w:color="auto" w:fill="auto"/>
        <w:tabs>
          <w:tab w:pos="387" w:val="left"/>
        </w:tabs>
        <w:bidi w:val="0"/>
        <w:spacing w:before="0" w:after="34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7</w:t>
      </w:r>
      <w:bookmarkEnd w:id="1122"/>
      <w:r>
        <w:rPr>
          <w:color w:val="000000"/>
          <w:spacing w:val="0"/>
          <w:w w:val="100"/>
          <w:position w:val="0"/>
        </w:rPr>
        <w:t>）</w:t>
        <w:tab/>
        <w:t>本报告期无因金融资产转移而终止确认的其他应收款</w:t>
      </w:r>
      <w:bookmarkEnd w:id="1120"/>
      <w:bookmarkEnd w:id="1121"/>
      <w:bookmarkEnd w:id="1123"/>
    </w:p>
    <w:p>
      <w:pPr>
        <w:pStyle w:val="Style65"/>
        <w:keepNext/>
        <w:keepLines/>
        <w:widowControl w:val="0"/>
        <w:shd w:val="clear" w:color="auto" w:fill="auto"/>
        <w:tabs>
          <w:tab w:pos="392" w:val="left"/>
        </w:tabs>
        <w:bidi w:val="0"/>
        <w:spacing w:before="0" w:after="34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8</w:t>
      </w:r>
      <w:bookmarkEnd w:id="1126"/>
      <w:r>
        <w:rPr>
          <w:color w:val="000000"/>
          <w:spacing w:val="0"/>
          <w:w w:val="100"/>
          <w:position w:val="0"/>
        </w:rPr>
        <w:t>）</w:t>
        <w:tab/>
        <w:t>本报告期无转移其他应收款且继续涉入形成的资产、负债金额</w:t>
      </w:r>
      <w:bookmarkEnd w:id="1124"/>
      <w:bookmarkEnd w:id="1125"/>
      <w:bookmarkEnd w:id="1127"/>
    </w:p>
    <w:p>
      <w:pPr>
        <w:pStyle w:val="Style38"/>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6</w:t>
      </w:r>
      <w:bookmarkEnd w:id="1130"/>
      <w:r>
        <w:rPr>
          <w:color w:val="000000"/>
          <w:spacing w:val="0"/>
          <w:w w:val="100"/>
          <w:position w:val="0"/>
        </w:rPr>
        <w:t>、存货</w:t>
      </w:r>
      <w:bookmarkEnd w:id="1128"/>
      <w:bookmarkEnd w:id="1129"/>
      <w:bookmarkEnd w:id="1131"/>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2"/>
      <w:bookmarkEnd w:id="1133"/>
      <w:bookmarkEnd w:id="11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18,231,358.74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11,709,429.58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6,521,929.16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26,698,216.21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11,089,497.13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15,608,719.08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943,803.71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943,803.71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1,985,435.69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1,985,435.69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983,902.96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410,109.14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573,793.82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1,493,638.79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166,597.91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1,327,040.88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4,476,227.68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4,476,227.68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16,847,525.42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16,847,525.42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辅助材料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216,821.22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276,504.42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119,267.90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157,236.52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2,398,463.10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1,080,828.33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1,317,634.77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2,088,436.31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1,993,787.16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27,250,577.41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13,417,188.27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13,833,389.14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49,389,756.84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11,470,012.09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37,919,744.75</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136" w:name="bookmark1136"/>
      <w:bookmarkStart w:id="1137" w:name="bookmark1137"/>
      <w:bookmarkStart w:id="1138" w:name="bookmark1138"/>
      <w:bookmarkStart w:id="1139" w:name="bookmark1139"/>
      <w:r>
        <w:rPr>
          <w:color w:val="000000"/>
          <w:spacing w:val="0"/>
          <w:w w:val="100"/>
          <w:position w:val="0"/>
        </w:rPr>
        <w:t>（</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36"/>
      <w:bookmarkEnd w:id="1137"/>
      <w:bookmarkEnd w:id="1139"/>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11,089,497.13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4,987,606.58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4,367,674.13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11,709,429.58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166,597.91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336,600.18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410,109.14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辅助材料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119,267.90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107,091.41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216,821.22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94,649.15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986,259.15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1,080,828.33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11,470,012.09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6,417,557.32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4,470,381.14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13,417,188.27</w:t>
            </w:r>
          </w:p>
        </w:tc>
      </w:tr>
    </w:tbl>
    <w:p>
      <w:pPr>
        <w:widowControl w:val="0"/>
        <w:spacing w:after="79" w:line="1" w:lineRule="exact"/>
      </w:pPr>
    </w:p>
    <w:p>
      <w:pPr>
        <w:pStyle w:val="Style41"/>
        <w:keepNext/>
        <w:keepLines/>
        <w:widowControl w:val="0"/>
        <w:shd w:val="clear" w:color="auto" w:fill="auto"/>
        <w:bidi w:val="0"/>
        <w:spacing w:before="0" w:line="240" w:lineRule="auto"/>
        <w:ind w:left="0" w:right="0" w:firstLine="0"/>
        <w:jc w:val="center"/>
        <w:rPr>
          <w:sz w:val="18"/>
          <w:szCs w:val="18"/>
        </w:rPr>
      </w:pPr>
      <w:bookmarkStart w:id="1140" w:name="bookmark1140"/>
      <w:bookmarkStart w:id="1141" w:name="bookmark1141"/>
      <w:bookmarkStart w:id="1142" w:name="bookmark1142"/>
      <w:r>
        <w:rPr>
          <w:b w:val="0"/>
          <w:bCs w:val="0"/>
          <w:color w:val="000000"/>
          <w:spacing w:val="0"/>
          <w:w w:val="100"/>
          <w:position w:val="0"/>
          <w:sz w:val="18"/>
          <w:szCs w:val="18"/>
        </w:rPr>
        <w:t>计提存货跌价准备的依据：存货的成本明显高于可变现净值，按账面价值与市场公允价值孰低原则计提跌价准备。</w:t>
      </w:r>
      <w:bookmarkEnd w:id="1140"/>
      <w:bookmarkEnd w:id="1141"/>
      <w:bookmarkEnd w:id="1142"/>
    </w:p>
    <w:p>
      <w:pPr>
        <w:pStyle w:val="Style41"/>
        <w:keepNext/>
        <w:keepLines/>
        <w:widowControl w:val="0"/>
        <w:shd w:val="clear" w:color="auto" w:fill="auto"/>
        <w:tabs>
          <w:tab w:pos="488"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存货期末余额无含有借款费用资本化金额</w:t>
      </w:r>
      <w:bookmarkEnd w:id="1143"/>
      <w:bookmarkEnd w:id="1144"/>
      <w:bookmarkEnd w:id="1146"/>
    </w:p>
    <w:p>
      <w:pPr>
        <w:pStyle w:val="Style41"/>
        <w:keepNext/>
        <w:keepLines/>
        <w:widowControl w:val="0"/>
        <w:shd w:val="clear" w:color="auto" w:fill="auto"/>
        <w:tabs>
          <w:tab w:pos="488"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4</w:t>
      </w:r>
      <w:r>
        <w:rPr>
          <w:color w:val="000000"/>
          <w:spacing w:val="0"/>
          <w:w w:val="100"/>
          <w:position w:val="0"/>
        </w:rPr>
        <w:t>）</w:t>
        <w:tab/>
        <w:t>本报告期无合同履约成本本期摊销金额</w:t>
      </w:r>
      <w:bookmarkEnd w:id="1147"/>
      <w:bookmarkEnd w:id="1148"/>
      <w:bookmarkEnd w:id="1150"/>
    </w:p>
    <w:p>
      <w:pPr>
        <w:pStyle w:val="Style38"/>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7</w:t>
      </w:r>
      <w:bookmarkEnd w:id="1153"/>
      <w:r>
        <w:rPr>
          <w:color w:val="000000"/>
          <w:spacing w:val="0"/>
          <w:w w:val="100"/>
          <w:position w:val="0"/>
        </w:rPr>
        <w:t>、一年内到期的非流动资产</w:t>
      </w:r>
      <w:bookmarkEnd w:id="1151"/>
      <w:bookmarkEnd w:id="1152"/>
      <w:bookmarkEnd w:id="115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9,640,779.78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10,010,147.42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9,640,779.78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10,010,147.42</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8</w:t>
      </w:r>
      <w:bookmarkEnd w:id="1157"/>
      <w:r>
        <w:rPr>
          <w:color w:val="000000"/>
          <w:spacing w:val="0"/>
          <w:w w:val="100"/>
          <w:position w:val="0"/>
        </w:rPr>
        <w:t>、其他流动资产</w:t>
      </w:r>
      <w:bookmarkEnd w:id="1155"/>
      <w:bookmarkEnd w:id="1156"/>
      <w:bookmarkEnd w:id="115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6,544,321.01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4,528,458.04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6,546,851.78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4,530,988.81</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9</w:t>
      </w:r>
      <w:bookmarkEnd w:id="1161"/>
      <w:r>
        <w:rPr>
          <w:color w:val="000000"/>
          <w:spacing w:val="0"/>
          <w:w w:val="100"/>
          <w:position w:val="0"/>
        </w:rPr>
        <w:t>、长期应收款</w:t>
      </w:r>
      <w:bookmarkEnd w:id="1159"/>
      <w:bookmarkEnd w:id="1160"/>
      <w:bookmarkEnd w:id="1162"/>
    </w:p>
    <w:p>
      <w:pPr>
        <w:pStyle w:val="Style41"/>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3"/>
      <w:bookmarkEnd w:id="1164"/>
      <w:bookmarkEnd w:id="11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15,810,573.46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7,321,617.05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8,488,956.41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10%-48.5%</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其中：未实</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现融资收益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6,508,162.57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6,508,162.57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11"/>
        <w:gridCol w:w="1166"/>
        <w:gridCol w:w="1166"/>
        <w:gridCol w:w="1166"/>
        <w:gridCol w:w="1166"/>
        <w:gridCol w:w="1166"/>
        <w:gridCol w:w="1166"/>
        <w:gridCol w:w="1171"/>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15,810,573.46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7,321,617.05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8,488,956.41</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41"/>
        <w:keepNext/>
        <w:keepLines/>
        <w:widowControl w:val="0"/>
        <w:numPr>
          <w:ilvl w:val="0"/>
          <w:numId w:val="39"/>
        </w:numPr>
        <w:shd w:val="clear" w:color="auto" w:fill="auto"/>
        <w:tabs>
          <w:tab w:pos="488" w:val="left"/>
        </w:tabs>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本报告期无因金融资产转移而终止确认的长期应收款</w:t>
      </w:r>
      <w:bookmarkEnd w:id="1167"/>
      <w:bookmarkEnd w:id="1168"/>
      <w:bookmarkEnd w:id="1170"/>
    </w:p>
    <w:p>
      <w:pPr>
        <w:pStyle w:val="Style41"/>
        <w:keepNext/>
        <w:keepLines/>
        <w:widowControl w:val="0"/>
        <w:numPr>
          <w:ilvl w:val="0"/>
          <w:numId w:val="39"/>
        </w:numPr>
        <w:shd w:val="clear" w:color="auto" w:fill="auto"/>
        <w:tabs>
          <w:tab w:pos="488" w:val="left"/>
        </w:tabs>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本报告期无转移长期应收款且继续涉入形成的资产、负债金额</w:t>
      </w:r>
      <w:bookmarkEnd w:id="1171"/>
      <w:bookmarkEnd w:id="1172"/>
      <w:bookmarkEnd w:id="1174"/>
    </w:p>
    <w:p>
      <w:pPr>
        <w:pStyle w:val="Style38"/>
        <w:keepNext/>
        <w:keepLines/>
        <w:widowControl w:val="0"/>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1</w:t>
      </w:r>
      <w:bookmarkEnd w:id="1177"/>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175"/>
      <w:bookmarkEnd w:id="1176"/>
      <w:bookmarkEnd w:id="11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377,570,619.87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386,885,702.47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377,570,619.87</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79"/>
      <w:bookmarkEnd w:id="1180"/>
      <w:bookmarkEnd w:id="1182"/>
    </w:p>
    <w:p>
      <w:pPr>
        <w:pStyle w:val="Style41"/>
        <w:keepNext/>
        <w:keepLines/>
        <w:widowControl w:val="0"/>
        <w:numPr>
          <w:ilvl w:val="0"/>
          <w:numId w:val="41"/>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采用成本计量模式的投资性房地产</w:t>
      </w:r>
      <w:bookmarkEnd w:id="1183"/>
      <w:bookmarkEnd w:id="1184"/>
      <w:bookmarkEnd w:id="1186"/>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472,165,968.46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472,165,968.46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4,772,339.85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4,772,339.85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1,530,000.00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3,242,339.85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3,242,339.85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476,938,308.31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476,938,308.31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41,577,349.93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41,577,349.93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11,224,667.29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11,224,667.29</w:t>
            </w: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404" w:right="1110" w:bottom="1707" w:left="1108" w:header="0" w:footer="3" w:gutter="0"/>
          <w:cols w:space="720"/>
          <w:noEndnote/>
          <w:titlePg/>
          <w:rtlGutter w:val="0"/>
          <w:docGrid w:linePitch="360"/>
        </w:sectPr>
      </w:pP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11,224,667.29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11,224,667.29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52,802,017.22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52,802,017.22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424,136,291.09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424,136,291.09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430,588,618.53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430,588,618.53</w:t>
            </w:r>
          </w:p>
        </w:tc>
      </w:tr>
    </w:tbl>
    <w:p>
      <w:pPr>
        <w:widowControl w:val="0"/>
        <w:spacing w:after="319" w:line="1" w:lineRule="exact"/>
      </w:pPr>
    </w:p>
    <w:p>
      <w:pPr>
        <w:pStyle w:val="Style41"/>
        <w:keepNext/>
        <w:keepLines/>
        <w:widowControl w:val="0"/>
        <w:shd w:val="clear" w:color="auto" w:fill="auto"/>
        <w:tabs>
          <w:tab w:pos="488" w:val="left"/>
        </w:tabs>
        <w:bidi w:val="0"/>
        <w:spacing w:before="0" w:after="36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87"/>
      <w:bookmarkEnd w:id="1188"/>
      <w:bookmarkEnd w:id="1190"/>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88" w:val="left"/>
        </w:tabs>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t>本报告期无未办妥产权证书的投资性房地产情况</w:t>
      </w:r>
      <w:bookmarkEnd w:id="1191"/>
      <w:bookmarkEnd w:id="1192"/>
      <w:bookmarkEnd w:id="1194"/>
    </w:p>
    <w:p>
      <w:pPr>
        <w:pStyle w:val="Style38"/>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95"/>
      <w:bookmarkEnd w:id="1196"/>
      <w:bookmarkEnd w:id="119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127,558,631.76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136,495,601.12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127,558,631.76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136,495,601.12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220"/>
        <w:jc w:val="left"/>
        <w:sectPr>
          <w:headerReference w:type="default" r:id="rId17"/>
          <w:footerReference w:type="default" r:id="rId18"/>
          <w:footnotePr>
            <w:pos w:val="pageBottom"/>
            <w:numFmt w:val="decimal"/>
            <w:numRestart w:val="continuous"/>
          </w:footnotePr>
          <w:pgSz w:w="11900" w:h="16840"/>
          <w:pgMar w:top="1441" w:right="1111" w:bottom="2046" w:left="1116" w:header="0" w:footer="3" w:gutter="0"/>
          <w:cols w:space="720"/>
          <w:noEndnote/>
          <w:rtlGutter w:val="0"/>
          <w:docGrid w:linePitch="360"/>
        </w:sectPr>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）固定资产情况</w:t>
      </w:r>
      <w:bookmarkEnd w:id="1199"/>
      <w:bookmarkEnd w:id="1200"/>
      <w:bookmarkEnd w:id="1202"/>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ATM</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50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139,740,870.55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22,101,131.22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116,408,058.73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17,720,998.50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5,118,388.23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301,089,447.23</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3,969,190.75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1,263,253.04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33,125.93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5,265,569.72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1,263,253.04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33,125.93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1,296,378.97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3,969,190.75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3,969,190.75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3,242,339.85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32,259,111.29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1,084,022.90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59,760.78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36,645,234.82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32,259,111.29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1,084,022.90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59,760.78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33,402,894.97</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6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）其</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3,242,339.85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3,242,339.85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140,467,721.45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22,101,131.22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84,148,947.44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17,900,228.64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5,091,753.38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269,709,782.13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18,498,568.71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18,079,334.59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89,611,790.31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15,590,988.91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4,207,862.18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145,988,544.70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3,356,994.28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1,567,920.33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2,665,203.39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583,633.98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226,869.26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8,400,621.24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3,356,994.28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1,567,920.33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2,665,203.39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583,633.98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226,869.26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8,400,621.24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26,580,384.63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772,781.36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36,208.91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27,389,374.90</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26,580,384.63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772,781.36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36,208.91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27,389,374.90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21,855,562.99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19,647,254.92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65,696,609.07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15,401,841.53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4,398,522.53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126,999,791.04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18,605,301.41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18,605,301.41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both"/>
            </w:pPr>
            <w:r>
              <w:rPr>
                <w:color w:val="000000"/>
                <w:spacing w:val="0"/>
                <w:w w:val="100"/>
                <w:position w:val="0"/>
              </w:rPr>
              <w:t>2.</w:t>
            </w:r>
            <w:r>
              <w:rPr>
                <w:rFonts w:ascii="SimSun" w:eastAsia="SimSun" w:hAnsi="SimSun" w:cs="SimSun"/>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1,539,112.34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1,539,112.34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1,539,112.34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1,539,112.34</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4,993,054.42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4,993,054.42</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36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4,993,054.42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4,993,054.42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1,539,112.34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13,612,246.99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15,151,359.33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 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118,612,158.46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914,763.96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4,840,091.38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2,498,387.11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693,230.85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127,558,631.76</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121,242,301.84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4,021,796.63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8,190,967.01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2,130,009.59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910,526.05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136,495,601.12</w:t>
            </w:r>
          </w:p>
        </w:tc>
      </w:tr>
    </w:tbl>
    <w:p>
      <w:pPr>
        <w:widowControl w:val="0"/>
        <w:spacing w:after="339" w:line="1" w:lineRule="exact"/>
      </w:pPr>
    </w:p>
    <w:p>
      <w:pPr>
        <w:pStyle w:val="Style41"/>
        <w:keepNext/>
        <w:keepLines/>
        <w:widowControl w:val="0"/>
        <w:numPr>
          <w:ilvl w:val="0"/>
          <w:numId w:val="41"/>
        </w:numPr>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期末无暂时闲置的固定资产情况</w:t>
      </w:r>
      <w:bookmarkEnd w:id="1203"/>
      <w:bookmarkEnd w:id="1204"/>
      <w:bookmarkEnd w:id="1206"/>
    </w:p>
    <w:p>
      <w:pPr>
        <w:pStyle w:val="Style41"/>
        <w:keepNext/>
        <w:keepLines/>
        <w:widowControl w:val="0"/>
        <w:numPr>
          <w:ilvl w:val="0"/>
          <w:numId w:val="41"/>
        </w:numPr>
        <w:shd w:val="clear" w:color="auto" w:fill="auto"/>
        <w:tabs>
          <w:tab w:pos="488"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期末无通过融资租赁租入的固定资产情况</w:t>
      </w:r>
      <w:bookmarkEnd w:id="1207"/>
      <w:bookmarkEnd w:id="1208"/>
      <w:bookmarkEnd w:id="1210"/>
    </w:p>
    <w:p>
      <w:pPr>
        <w:pStyle w:val="Style41"/>
        <w:keepNext/>
        <w:keepLines/>
        <w:widowControl w:val="0"/>
        <w:numPr>
          <w:ilvl w:val="0"/>
          <w:numId w:val="41"/>
        </w:numPr>
        <w:shd w:val="clear" w:color="auto" w:fill="auto"/>
        <w:tabs>
          <w:tab w:pos="488"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通过经营租赁租出的固定资产</w:t>
      </w:r>
      <w:bookmarkEnd w:id="1211"/>
      <w:bookmarkEnd w:id="1212"/>
      <w:bookmarkEnd w:id="121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1,362,974.16</w:t>
            </w:r>
          </w:p>
        </w:tc>
      </w:tr>
    </w:tbl>
    <w:p>
      <w:pPr>
        <w:widowControl w:val="0"/>
        <w:spacing w:after="339" w:line="1" w:lineRule="exact"/>
      </w:pPr>
    </w:p>
    <w:p>
      <w:pPr>
        <w:pStyle w:val="Style41"/>
        <w:keepNext/>
        <w:keepLines/>
        <w:widowControl w:val="0"/>
        <w:numPr>
          <w:ilvl w:val="0"/>
          <w:numId w:val="41"/>
        </w:numPr>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期末无未办妥产权证书的固定资产情况</w:t>
      </w:r>
      <w:bookmarkEnd w:id="1215"/>
      <w:bookmarkEnd w:id="1216"/>
      <w:bookmarkEnd w:id="1218"/>
    </w:p>
    <w:p>
      <w:pPr>
        <w:pStyle w:val="Style38"/>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19"/>
      <w:bookmarkEnd w:id="1220"/>
      <w:bookmarkEnd w:id="12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114,466,368.42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36,408,272.65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114,466,368.42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36,408,272.65</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200"/>
        <w:jc w:val="left"/>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23"/>
      <w:bookmarkEnd w:id="1224"/>
      <w:bookmarkEnd w:id="122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御银金融电子高 新科技园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114,466,368.42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114,466,368.42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36,408,272.65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36,408,272.65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114,466,368.42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114,466,368.42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36,408,272.65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36,408,272.65</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26"/>
      <w:bookmarkEnd w:id="1227"/>
      <w:bookmarkEnd w:id="1228"/>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御银金 融电子 高新科 技园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323,655,</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36,408,2</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78,058,0</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114,466,</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323,655,</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36,408,2</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78,058,0</w:t>
            </w:r>
          </w:p>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114,466,</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368.42</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229"/>
      <w:bookmarkEnd w:id="1230"/>
      <w:bookmarkEnd w:id="1232"/>
    </w:p>
    <w:p>
      <w:pPr>
        <w:pStyle w:val="Style41"/>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33"/>
      <w:bookmarkEnd w:id="1234"/>
      <w:bookmarkEnd w:id="123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软件系统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高尔夫球会籍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60,824,708.58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40,990,667.78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106,581,376.36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）企业</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60,824,708.58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40,990,667.78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4,766,000.00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106,581,376.36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8,004,971.96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26,541,407.44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34,546,379.40</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1,232,796.60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1,374,762.60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2,607,559.20</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1,232,796.60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1,374,762.60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2,607,559.20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9,237,768.56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27,916,170.04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37,153,938.60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9,957,677.14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1,447,698.11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11,405,375.25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2,718,311.52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2,718,311.52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2,718,311.52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2,718,311.52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12,675,988.66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1,447,698.11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14,123,686.77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380"/>
              <w:jc w:val="both"/>
            </w:pPr>
            <w:r>
              <w:rPr>
                <w:color w:val="000000"/>
                <w:spacing w:val="0"/>
                <w:w w:val="100"/>
                <w:position w:val="0"/>
              </w:rPr>
              <w:t>1.</w:t>
            </w:r>
            <w:r>
              <w:rPr>
                <w:rFonts w:ascii="SimSun" w:eastAsia="SimSun" w:hAnsi="SimSun" w:cs="SimSun"/>
                <w:color w:val="000000"/>
                <w:spacing w:val="0"/>
                <w:w w:val="100"/>
                <w:position w:val="0"/>
              </w:rPr>
              <w:t>期末账面 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51,586,940.02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398,509.08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3,318,301.89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55,303,750.99</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380"/>
              <w:jc w:val="both"/>
            </w:pPr>
            <w:r>
              <w:rPr>
                <w:color w:val="000000"/>
                <w:spacing w:val="0"/>
                <w:w w:val="100"/>
                <w:position w:val="0"/>
              </w:rPr>
              <w:t>2.</w:t>
            </w:r>
            <w:r>
              <w:rPr>
                <w:rFonts w:ascii="SimSun" w:eastAsia="SimSun" w:hAnsi="SimSun" w:cs="SimSun"/>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52,819,736.62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4,491,583.20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3,318,301.89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pPr>
            <w:r>
              <w:rPr>
                <w:color w:val="000000"/>
                <w:spacing w:val="0"/>
                <w:w w:val="100"/>
                <w:position w:val="0"/>
              </w:rPr>
              <w:t>60,629,621.71</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）本期无未办妥产权证书的土地使用权情况</w:t>
      </w:r>
      <w:bookmarkEnd w:id="1237"/>
      <w:bookmarkEnd w:id="1238"/>
      <w:bookmarkEnd w:id="1240"/>
    </w:p>
    <w:p>
      <w:pPr>
        <w:pStyle w:val="Style38"/>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1</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41"/>
      <w:bookmarkEnd w:id="1242"/>
      <w:bookmarkEnd w:id="1244"/>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办公楼装修费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281,102.89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224,882.35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56,220.54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办公室装修工程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1,483,009.71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456,310.68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1,026,699.03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空调安装工程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434,848.18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113,438.66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321,409.52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水电安装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209,375.21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125,625.13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83,750.08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防水补漏工程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139,848.48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55,939.39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83,909.09</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研究院东西侧空调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84,581.47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50,748.88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33,832.59</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598"/>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土建维修改造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212,449.74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74,982.26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137,467.48</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海外部厂房改造项</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43,063.65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北京广粤房屋装修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7,206,666.76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6,266,666.80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防水补漏工程款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297,944.35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115,867.25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182,077.10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科研楼双电源供电 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1,222,138.69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977,710.95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科研楼酒店应急用</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105,000.50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105,000.50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10,127,243.82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1,625,083.54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2,434,520.03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9,317,807.33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5"/>
      <w:bookmarkEnd w:id="1246"/>
      <w:bookmarkEnd w:id="1248"/>
    </w:p>
    <w:p>
      <w:pPr>
        <w:pStyle w:val="Style41"/>
        <w:keepNext/>
        <w:keepLines/>
        <w:widowControl w:val="0"/>
        <w:numPr>
          <w:ilvl w:val="0"/>
          <w:numId w:val="43"/>
        </w:numPr>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未经抵销的递延所得税资产</w:t>
      </w:r>
      <w:bookmarkEnd w:id="1249"/>
      <w:bookmarkEnd w:id="1250"/>
      <w:bookmarkEnd w:id="12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50,245,906.09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12,561,022.45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61,627,663.70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15,406,915.90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127,594.47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31,898.62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1,463,572.64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365,893.16</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非流动金融资产公允价 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15,905,297.53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3,976,324.38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25,220,380.13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6,305,095.03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1,123,141.70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280,785.44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810,178.43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202,544.61</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交易性金融资产公允价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2,733,584.03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683,396.11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6,773,800.00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1,693,450.00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67,401,939.79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16,850,030.89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98,629,178.93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24,657,294.81</w:t>
            </w:r>
          </w:p>
        </w:tc>
      </w:tr>
    </w:tbl>
    <w:p>
      <w:pPr>
        <w:widowControl w:val="0"/>
        <w:spacing w:after="319" w:line="1" w:lineRule="exact"/>
      </w:pPr>
    </w:p>
    <w:p>
      <w:pPr>
        <w:pStyle w:val="Style41"/>
        <w:keepNext/>
        <w:keepLines/>
        <w:widowControl w:val="0"/>
        <w:numPr>
          <w:ilvl w:val="0"/>
          <w:numId w:val="43"/>
        </w:numPr>
        <w:shd w:val="clear" w:color="auto" w:fill="auto"/>
        <w:bidi w:val="0"/>
        <w:spacing w:before="0" w:after="36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未经抵销的递延所得税负债</w:t>
      </w:r>
      <w:bookmarkEnd w:id="1253"/>
      <w:bookmarkEnd w:id="1254"/>
      <w:bookmarkEnd w:id="12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4,077,631.21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795,248.87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融资租出固定资产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379,989.40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94,997.34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562,063.65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4,457,620.61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890,246.21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562,063.65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57"/>
      <w:bookmarkEnd w:id="1258"/>
      <w:bookmarkEnd w:id="12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24,657,294.81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890,246.21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1</w:t>
      </w:r>
      <w:bookmarkEnd w:id="126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61"/>
      <w:bookmarkEnd w:id="1262"/>
      <w:bookmarkEnd w:id="12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汽车牌照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1,794,241.34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1,794,241.34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1,790,941.74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1,790,941.74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1,834,241.34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1,834,241.34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1,893,141.74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1,893,141.74</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1</w:t>
      </w:r>
      <w:bookmarkEnd w:id="1267"/>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265"/>
      <w:bookmarkEnd w:id="1266"/>
      <w:bookmarkEnd w:id="1268"/>
    </w:p>
    <w:p>
      <w:pPr>
        <w:pStyle w:val="Style41"/>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9"/>
      <w:bookmarkEnd w:id="1270"/>
      <w:bookmarkEnd w:id="12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22,151,333.43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20,535,260.60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1,728,654.60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1,955,120.00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239,680.02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378,229.17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2,162,782.99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1,821,632.13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26,282,451.04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24,690,241.90</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）本期无账龄超过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73"/>
      <w:bookmarkEnd w:id="1274"/>
      <w:bookmarkEnd w:id="1276"/>
    </w:p>
    <w:p>
      <w:pPr>
        <w:pStyle w:val="Style38"/>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1</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277"/>
      <w:bookmarkEnd w:id="1278"/>
      <w:bookmarkEnd w:id="1280"/>
    </w:p>
    <w:p>
      <w:pPr>
        <w:pStyle w:val="Style41"/>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81"/>
      <w:bookmarkEnd w:id="1282"/>
      <w:bookmarkEnd w:id="128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285"/>
      <w:bookmarkEnd w:id="1286"/>
      <w:bookmarkEnd w:id="128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预收货款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10,715,839.39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39,768,573.43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10,715,839.39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39,768,573.43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89"/>
      <w:bookmarkEnd w:id="1290"/>
      <w:bookmarkEnd w:id="1292"/>
    </w:p>
    <w:p>
      <w:pPr>
        <w:pStyle w:val="Style41"/>
        <w:keepNext/>
        <w:keepLines/>
        <w:widowControl w:val="0"/>
        <w:numPr>
          <w:ilvl w:val="0"/>
          <w:numId w:val="45"/>
        </w:numPr>
        <w:shd w:val="clear" w:color="auto" w:fill="auto"/>
        <w:bidi w:val="0"/>
        <w:spacing w:before="0" w:after="36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应付职工薪酬列示</w:t>
      </w:r>
      <w:bookmarkEnd w:id="1293"/>
      <w:bookmarkEnd w:id="1294"/>
      <w:bookmarkEnd w:id="129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4,505,977.04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43,437,889.96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45,867,242.00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2,076,625.00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 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266,347.83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909,131.91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1,101,768.91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73,710.83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345,996.00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4,906,305.50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5,110,201.50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142,100.00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5,118,320.87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49,253,327.37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52,079,212.41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2,292,435.83</w:t>
            </w:r>
          </w:p>
        </w:tc>
      </w:tr>
    </w:tbl>
    <w:p>
      <w:pPr>
        <w:widowControl w:val="0"/>
        <w:spacing w:after="319" w:line="1" w:lineRule="exact"/>
      </w:pPr>
    </w:p>
    <w:p>
      <w:pPr>
        <w:pStyle w:val="Style41"/>
        <w:keepNext/>
        <w:keepLines/>
        <w:widowControl w:val="0"/>
        <w:numPr>
          <w:ilvl w:val="0"/>
          <w:numId w:val="45"/>
        </w:numPr>
        <w:shd w:val="clear" w:color="auto" w:fill="auto"/>
        <w:bidi w:val="0"/>
        <w:spacing w:before="0" w:after="360" w:line="240" w:lineRule="auto"/>
        <w:ind w:left="0" w:right="0" w:firstLine="14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短期薪酬列示</w:t>
      </w:r>
      <w:bookmarkEnd w:id="1297"/>
      <w:bookmarkEnd w:id="1298"/>
      <w:bookmarkEnd w:id="130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 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4,334,368.71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39,930,917.35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42,327,763.85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1,937,522.21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1,363,788.07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1,363,788.07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157,491.05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1,278,766.47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1,306,805.73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129,451.79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129,953.56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952,870.47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976,143.17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106,680.86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8,563.34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13,433.48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201,598.45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201,394.33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13,637.60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1560" w:right="0" w:firstLine="0"/>
              <w:jc w:val="left"/>
            </w:pPr>
            <w:r>
              <w:rPr>
                <w:rFonts w:ascii="SimSun" w:eastAsia="SimSun" w:hAnsi="SimSun" w:cs="SimSun"/>
                <w:color w:val="000000"/>
                <w:spacing w:val="0"/>
                <w:w w:val="100"/>
                <w:position w:val="0"/>
              </w:rPr>
              <w:t>重</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大疾病医疗补助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10,881.47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118,296.37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120,704.89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8,472.95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14,117.28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702,095.00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706,561.28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9,651.00</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162,323.07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162,323.07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4,505,977.04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43,437,889.96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45,867,242.00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2,076,625.00</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01"/>
      <w:bookmarkEnd w:id="1302"/>
      <w:bookmarkEnd w:id="13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257,535.46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883,936.36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1,069,780.45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71,691.37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8,812.37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25,195.55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31,988.46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2,019.46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266,347.83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909,131.91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1,101,768.91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73,710.83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305"/>
      <w:bookmarkEnd w:id="1306"/>
      <w:bookmarkEnd w:id="13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2,611,882.57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2,722,304.68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77,347.55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62,567.23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104,581.30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127,365.89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教育费附加及地方教育附加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90,725.65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8,159.44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16,443.63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2,885,483.59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3,027,566.52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09"/>
      <w:bookmarkEnd w:id="1310"/>
      <w:bookmarkEnd w:id="131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45,244,596.58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45,244,596.58</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13"/>
      <w:bookmarkEnd w:id="1314"/>
      <w:bookmarkEnd w:id="1315"/>
    </w:p>
    <w:p>
      <w:pPr>
        <w:pStyle w:val="Style65"/>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16"/>
      <w:bookmarkEnd w:id="1317"/>
      <w:bookmarkEnd w:id="131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552,895.84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22,387,278.23</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8,498,184.31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11,783,925.16</w:t>
            </w:r>
          </w:p>
        </w:tc>
      </w:tr>
    </w:tbl>
    <w:p>
      <w:pPr>
        <w:sectPr>
          <w:headerReference w:type="default" r:id="rId19"/>
          <w:footerReference w:type="default" r:id="rId20"/>
          <w:footnotePr>
            <w:pos w:val="pageBottom"/>
            <w:numFmt w:val="decimal"/>
            <w:numRestart w:val="continuous"/>
          </w:footnotePr>
          <w:pgSz w:w="11900" w:h="16840"/>
          <w:pgMar w:top="1421" w:right="1112" w:bottom="1465" w:left="1106" w:header="0" w:footer="3" w:gutter="0"/>
          <w:cols w:space="720"/>
          <w:noEndnote/>
          <w:rtlGutter w:val="0"/>
          <w:docGrid w:linePitch="360"/>
        </w:sectPr>
      </w:pP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5,010,222.63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6,342,059.76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暂估费用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2,007,750.86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2,235,772.24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1,829,037.31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2,495,561.19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45,244,596.58</w:t>
            </w:r>
          </w:p>
        </w:tc>
      </w:tr>
    </w:tbl>
    <w:p>
      <w:pPr>
        <w:widowControl w:val="0"/>
        <w:spacing w:after="319" w:line="1" w:lineRule="exact"/>
      </w:pPr>
    </w:p>
    <w:p>
      <w:pPr>
        <w:pStyle w:val="Style65"/>
        <w:keepNext/>
        <w:keepLines/>
        <w:widowControl w:val="0"/>
        <w:shd w:val="clear" w:color="auto" w:fill="auto"/>
        <w:bidi w:val="0"/>
        <w:spacing w:before="0" w:after="32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color w:val="000000"/>
          <w:spacing w:val="0"/>
          <w:w w:val="100"/>
          <w:position w:val="0"/>
        </w:rPr>
        <w:t>）本期无账龄超过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19"/>
      <w:bookmarkEnd w:id="1320"/>
      <w:bookmarkEnd w:id="1322"/>
    </w:p>
    <w:p>
      <w:pPr>
        <w:pStyle w:val="Style38"/>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2</w:t>
      </w:r>
      <w:bookmarkEnd w:id="1325"/>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23"/>
      <w:bookmarkEnd w:id="1324"/>
      <w:bookmarkEnd w:id="132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8,336,694.54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4,410,404.98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8,336,694.54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4,410,404.98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27"/>
      <w:bookmarkEnd w:id="1328"/>
      <w:bookmarkEnd w:id="133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4,759,425.37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11,400,829.88</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4,759,425.37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11,400,829.88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31"/>
      <w:bookmarkEnd w:id="1332"/>
      <w:bookmarkEnd w:id="1334"/>
    </w:p>
    <w:p>
      <w:pPr>
        <w:pStyle w:val="Style41"/>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35"/>
      <w:bookmarkEnd w:id="1336"/>
      <w:bookmarkEnd w:id="133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抵押并保证借款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bookmarkEnd w:id="1340"/>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38"/>
      <w:bookmarkEnd w:id="1339"/>
      <w:bookmarkEnd w:id="134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8,657,564.96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8,657,564.96</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140"/>
        <w:jc w:val="left"/>
      </w:pPr>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42"/>
      <w:bookmarkEnd w:id="1343"/>
      <w:bookmarkEnd w:id="1344"/>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8,657,564.96</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bookmarkEnd w:id="1347"/>
      <w:r>
        <w:rPr>
          <w:rFonts w:ascii="Times New Roman" w:eastAsia="Times New Roman" w:hAnsi="Times New Roman" w:cs="Times New Roman"/>
          <w:color w:val="000000"/>
          <w:spacing w:val="0"/>
          <w:w w:val="100"/>
          <w:position w:val="0"/>
        </w:rPr>
        <w:t>8</w:t>
      </w:r>
      <w:r>
        <w:rPr>
          <w:color w:val="000000"/>
          <w:spacing w:val="0"/>
          <w:w w:val="100"/>
          <w:position w:val="0"/>
        </w:rPr>
        <w:t>、预计负债</w:t>
      </w:r>
      <w:bookmarkEnd w:id="1345"/>
      <w:bookmarkEnd w:id="1346"/>
      <w:bookmarkEnd w:id="13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维护费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维护</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w:t>
      </w:r>
      <w:bookmarkEnd w:id="1351"/>
      <w:r>
        <w:rPr>
          <w:rFonts w:ascii="Times New Roman" w:eastAsia="Times New Roman" w:hAnsi="Times New Roman" w:cs="Times New Roman"/>
          <w:color w:val="000000"/>
          <w:spacing w:val="0"/>
          <w:w w:val="100"/>
          <w:position w:val="0"/>
        </w:rPr>
        <w:t>9</w:t>
      </w:r>
      <w:r>
        <w:rPr>
          <w:color w:val="000000"/>
          <w:spacing w:val="0"/>
          <w:w w:val="100"/>
          <w:position w:val="0"/>
        </w:rPr>
        <w:t>、股本</w:t>
      </w:r>
      <w:bookmarkEnd w:id="1349"/>
      <w:bookmarkEnd w:id="1350"/>
      <w:bookmarkEnd w:id="13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761,191,294.00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3</w:t>
      </w:r>
      <w:bookmarkEnd w:id="1355"/>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353"/>
      <w:bookmarkEnd w:id="1354"/>
      <w:bookmarkEnd w:id="13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29,845,003.28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28,845,003.28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30,679,547.28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29,679,547.28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其他说明：本期资本公积减少系同一控制下企业合并形成的股本溢价，详见本财务报告“八、</w:t>
      </w:r>
      <w:r>
        <w:rPr>
          <w:color w:val="000000"/>
          <w:spacing w:val="0"/>
          <w:w w:val="100"/>
          <w:position w:val="0"/>
        </w:rPr>
        <w:t>2</w:t>
      </w:r>
      <w:r>
        <w:rPr>
          <w:color w:val="000000"/>
          <w:spacing w:val="0"/>
          <w:w w:val="100"/>
          <w:position w:val="0"/>
        </w:rPr>
        <w:t>同一控制下企业合并”。</w:t>
      </w:r>
    </w:p>
    <w:p>
      <w:pPr>
        <w:pStyle w:val="Style38"/>
        <w:keepNext/>
        <w:keepLines/>
        <w:widowControl w:val="0"/>
        <w:shd w:val="clear" w:color="auto" w:fill="auto"/>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3</w:t>
      </w:r>
      <w:bookmarkEnd w:id="1359"/>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57"/>
      <w:bookmarkEnd w:id="1358"/>
      <w:bookmarkEnd w:id="1360"/>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本期所得 税前发生</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减:前期计入</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 益当期转入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减：所得</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税后归属 于母公司</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139,545.03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124,817.84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-124,817.8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14,727.1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139,545.03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124,817.84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-124,817.8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14,727.1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139,545.03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-124,817.8</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14,727.1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both"/>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3</w:t>
      </w:r>
      <w:bookmarkEnd w:id="1363"/>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61"/>
      <w:bookmarkEnd w:id="1362"/>
      <w:bookmarkEnd w:id="136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63,249,379.74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21,330,948.48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84,580,328.22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1,322,286.97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1,322,286.97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64,571,666.71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21,330,948.48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85,902,615.19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both"/>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3</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65"/>
      <w:bookmarkEnd w:id="1366"/>
      <w:bookmarkEnd w:id="1368"/>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777,926,028.96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730,787,815.14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-14,433,934.93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777,926,028.96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716,353,880.21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65,651,712.07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21,330,948.48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4,079,563.32</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828,351,976.86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777,926,028.96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both"/>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69"/>
      <w:bookmarkEnd w:id="1370"/>
      <w:bookmarkEnd w:id="137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150,434,908.11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78,708,216.02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195,879,312.65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104,409,105.90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31,915,023.03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6,275,601.17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18,182,666.67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4,604,698.59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182,349,931.14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84,983,817.19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214,061,979.32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109,013,804.49</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经审计扣除非经常损益前后净利润孰低是否为负值</w:t>
      </w:r>
    </w:p>
    <w:p>
      <w:pPr>
        <w:pStyle w:val="Style34"/>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00" w:line="240" w:lineRule="auto"/>
        <w:ind w:left="0" w:right="0" w:firstLine="0"/>
        <w:jc w:val="both"/>
      </w:pPr>
      <w:bookmarkStart w:id="1373" w:name="bookmark1373"/>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）业务分产品明细</w:t>
      </w:r>
    </w:p>
    <w:p>
      <w:pPr>
        <w:pStyle w:val="Style3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43"/>
        <w:gridCol w:w="1838"/>
        <w:gridCol w:w="1987"/>
        <w:gridCol w:w="1853"/>
      </w:tblGrid>
      <w:tr>
        <w:trPr>
          <w:trHeight w:val="4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150,434,908.11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78,708,216.02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195,879,312.65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104,409,105.90</w:t>
            </w:r>
          </w:p>
        </w:tc>
      </w:tr>
    </w:tbl>
    <w:p>
      <w:pPr>
        <w:spacing w:lineRule="exact" w:line="1"/>
        <w:rPr>
          <w:sz w:val="2"/>
          <w:szCs w:val="2"/>
        </w:rPr>
      </w:pPr>
      <w:r>
        <w:br w:type="page"/>
      </w:r>
    </w:p>
    <w:tbl>
      <w:tblPr>
        <w:tblOverlap w:val="never"/>
        <w:jc w:val="center"/>
        <w:tblLayout w:type="fixed"/>
      </w:tblPr>
      <w:tblGrid>
        <w:gridCol w:w="1997"/>
        <w:gridCol w:w="1843"/>
        <w:gridCol w:w="1838"/>
        <w:gridCol w:w="1987"/>
        <w:gridCol w:w="1853"/>
      </w:tblGrid>
      <w:tr>
        <w:trPr>
          <w:trHeight w:val="470"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15,013,130.76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13,883,553.60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16,913,099.22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13,025,419.30</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7,053,749.68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5,704,728.33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13,569,443.29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7,380,987.39</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5,957,145.20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7,094,762.57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89,317,581.78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44,373,192.17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124,492,773.38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68,726,714.07</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33,093,300.69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14,746,741.92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33,809,234.19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15,275,985.14</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31,915,023.03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6,275,601.17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18,182,666.67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4,604,698.59</w:t>
            </w:r>
          </w:p>
        </w:tc>
      </w:tr>
      <w:tr>
        <w:trPr>
          <w:trHeight w:val="4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182,349,931.14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84,983,817.19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214,061,979.32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109,013,804.49</w:t>
            </w:r>
          </w:p>
        </w:tc>
      </w:tr>
    </w:tbl>
    <w:p>
      <w:pPr>
        <w:widowControl w:val="0"/>
        <w:spacing w:after="159" w:line="1" w:lineRule="exact"/>
      </w:pPr>
    </w:p>
    <w:p>
      <w:pPr>
        <w:pStyle w:val="Style34"/>
        <w:keepNext w:val="0"/>
        <w:keepLines w:val="0"/>
        <w:widowControl w:val="0"/>
        <w:numPr>
          <w:ilvl w:val="0"/>
          <w:numId w:val="47"/>
        </w:numPr>
        <w:shd w:val="clear" w:color="auto" w:fill="auto"/>
        <w:bidi w:val="0"/>
        <w:spacing w:before="0" w:after="80" w:line="240" w:lineRule="auto"/>
        <w:ind w:left="0" w:right="0" w:firstLine="0"/>
        <w:jc w:val="left"/>
      </w:pPr>
      <w:bookmarkStart w:id="1374" w:name="bookmark1374"/>
      <w:bookmarkEnd w:id="1374"/>
      <w:r>
        <w:rPr>
          <w:color w:val="000000"/>
          <w:spacing w:val="0"/>
          <w:w w:val="100"/>
          <w:position w:val="0"/>
        </w:rPr>
        <w:t>业务分地区</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1843"/>
        <w:gridCol w:w="1843"/>
        <w:gridCol w:w="1982"/>
        <w:gridCol w:w="1858"/>
      </w:tblGrid>
      <w:tr>
        <w:trPr>
          <w:trHeight w:val="427"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33,537,940.20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13,077,237.28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41,033,100.01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13,357,348.04</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color w:val="000000"/>
                <w:spacing w:val="0"/>
                <w:w w:val="100"/>
                <w:position w:val="0"/>
              </w:rPr>
              <w:t>)</w:t>
            </w: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43,279,595.08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21,796,357.13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42,935,588.94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21,480,782.40</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105,532,395.86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50,110,222.78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130,093,290.37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74,175,674.05</w:t>
            </w:r>
          </w:p>
        </w:tc>
      </w:tr>
      <w:tr>
        <w:trPr>
          <w:trHeight w:val="4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182,349,931.14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84,983,817.19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214,061,979.32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109,013,804.49</w:t>
            </w:r>
          </w:p>
        </w:tc>
      </w:tr>
    </w:tbl>
    <w:p>
      <w:pPr>
        <w:widowControl w:val="0"/>
        <w:spacing w:after="159" w:line="1" w:lineRule="exact"/>
      </w:pPr>
    </w:p>
    <w:p>
      <w:pPr>
        <w:pStyle w:val="Style34"/>
        <w:keepNext w:val="0"/>
        <w:keepLines w:val="0"/>
        <w:widowControl w:val="0"/>
        <w:numPr>
          <w:ilvl w:val="0"/>
          <w:numId w:val="47"/>
        </w:numPr>
        <w:shd w:val="clear" w:color="auto" w:fill="auto"/>
        <w:bidi w:val="0"/>
        <w:spacing w:before="0" w:after="80" w:line="240" w:lineRule="auto"/>
        <w:ind w:left="0" w:right="0" w:firstLine="0"/>
        <w:jc w:val="left"/>
      </w:pPr>
      <w:bookmarkStart w:id="1375" w:name="bookmark1375"/>
      <w:bookmarkEnd w:id="1375"/>
      <w:r>
        <w:rPr>
          <w:color w:val="000000"/>
          <w:spacing w:val="0"/>
          <w:w w:val="100"/>
          <w:position w:val="0"/>
        </w:rPr>
        <w:t>公司前五名客户的营业收入情况</w:t>
      </w:r>
    </w:p>
    <w:p>
      <w:pPr>
        <w:pStyle w:val="Style3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7"/>
        <w:gridCol w:w="3686"/>
        <w:gridCol w:w="3840"/>
      </w:tblGrid>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20,842,550.38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11.43%</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12,386,404.19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6.79%</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7,229,323.91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3.96%</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5,791,308.74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w:t>
            </w:r>
          </w:p>
        </w:tc>
      </w:tr>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5,523,073.41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3.03%</w:t>
            </w:r>
          </w:p>
        </w:tc>
      </w:tr>
      <w:tr>
        <w:trPr>
          <w:trHeight w:val="42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51,772,660.62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3</w:t>
      </w:r>
      <w:bookmarkEnd w:id="1378"/>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76"/>
      <w:bookmarkEnd w:id="1377"/>
      <w:bookmarkEnd w:id="137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688,574.60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1,166,926.91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463,712.25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832,822.36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4,451,215.65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5,540,165.84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150,049.16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260,449.16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33,570.00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190,997.13</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5,886,512.53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8,024,931.40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3</w:t>
      </w:r>
      <w:bookmarkEnd w:id="1382"/>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80"/>
      <w:bookmarkEnd w:id="1381"/>
      <w:bookmarkEnd w:id="138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2,379,686.55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3,730,427.28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459,521.01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796,891.83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both"/>
            </w:pPr>
            <w:r>
              <w:rPr>
                <w:color w:val="000000"/>
                <w:spacing w:val="0"/>
                <w:w w:val="100"/>
                <w:position w:val="0"/>
              </w:rPr>
              <w:t>1,356.80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12,367,988.63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13,984,937.43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306,624.18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558,743.12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维护费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79,009.92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7,532,487.68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1,368,832.42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1,601,819.32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958,913.45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53,356.25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404,736.76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712,374.46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1,539,960.69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17,728,625.40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31,110,274.36</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84"/>
      <w:bookmarkEnd w:id="1385"/>
      <w:bookmarkEnd w:id="138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11,834,317.16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13,561,582.07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3,769,889.72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3,442,314.11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2,816,882.45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4,523,915.42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2,543,402.31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2,756,453.02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2,109,220.47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2,680,342.20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水电费及物业管理费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2,050,031.90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2,723,029.73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1,452,212.33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1,011,874.90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1,282,801.52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1,727,358.12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458,036.46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753,469.99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196,943.13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208,103.40</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40" w:right="0" w:firstLine="0"/>
              <w:jc w:val="both"/>
            </w:pPr>
            <w:r>
              <w:rPr>
                <w:color w:val="000000"/>
                <w:spacing w:val="0"/>
                <w:w w:val="100"/>
                <w:position w:val="0"/>
              </w:rPr>
              <w:t>91,523.21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194,767.21</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2,403,171.36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2,201,683.30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31,008,432.02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35,784,893.47</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88"/>
      <w:bookmarkEnd w:id="1389"/>
      <w:bookmarkEnd w:id="139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工资福利及劳务费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15,340,734.26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24,108,759.46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机物料消耗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168,732.83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845,150.70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3,070,163.28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3,254,984.56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693,741.63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2,267,641.71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19,273,372.00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30,476,536.43</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92"/>
      <w:bookmarkEnd w:id="1393"/>
      <w:bookmarkEnd w:id="139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1,756,014.97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3,289,589.15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290,698.74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698,223.56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-542,939.18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93,429.27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123,175.64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2,289,465.14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2,579,126.87</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96"/>
      <w:bookmarkEnd w:id="1397"/>
      <w:bookmarkEnd w:id="139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3,717,308.15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5,936,918.40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代扣个人所得税手续费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进项税加计抵减</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11,330.02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00"/>
      <w:bookmarkEnd w:id="1401"/>
      <w:bookmarkEnd w:id="140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912,168.62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3,398,439.95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29,279,673.54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90,068,030.45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9,592,569.61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2,365,670.85</w:t>
            </w: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421" w:right="1112" w:bottom="1465" w:left="1106" w:header="0" w:footer="3" w:gutter="0"/>
          <w:cols w:space="720"/>
          <w:noEndnote/>
          <w:titlePg/>
          <w:rtlGutter w:val="0"/>
          <w:docGrid w:linePitch="360"/>
        </w:sectPr>
      </w:pPr>
    </w:p>
    <w:p>
      <w:pPr>
        <w:widowControl w:val="0"/>
        <w:spacing w:after="379" w:line="1" w:lineRule="exact"/>
      </w:pPr>
    </w:p>
    <w:tbl>
      <w:tblPr>
        <w:tblOverlap w:val="never"/>
        <w:jc w:val="center"/>
        <w:tblLayout w:type="fixed"/>
      </w:tblPr>
      <w:tblGrid>
        <w:gridCol w:w="3466"/>
        <w:gridCol w:w="3192"/>
        <w:gridCol w:w="2923"/>
      </w:tblGrid>
      <w:tr>
        <w:trPr>
          <w:trHeight w:val="36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39,784,411.77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95,832,141.25</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404"/>
      <w:bookmarkEnd w:id="1405"/>
      <w:bookmarkEnd w:id="14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6,811,215.24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3,576,363.58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9,315,082.60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-5,975,133.56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16,126,297.84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-2,398,769.98</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08"/>
      <w:bookmarkEnd w:id="1409"/>
      <w:bookmarkEnd w:id="1411"/>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178,082.83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-632,552.46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1,140,248.92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11,018,874.59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-8,964,668.41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11,196,957.42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-8,456,971.95</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12"/>
      <w:bookmarkEnd w:id="1413"/>
      <w:bookmarkEnd w:id="141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-6,417,557.32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-8,087,967.17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-1,539,112.34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-4,239,035.58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-2,718,311.52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-10,674,981.18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-12,327,002.75</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16"/>
      <w:bookmarkEnd w:id="1417"/>
      <w:bookmarkEnd w:id="141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-4,765,903.19</w:t>
            </w:r>
          </w:p>
        </w:tc>
      </w:tr>
    </w:tbl>
    <w:p>
      <w:pPr>
        <w:widowControl w:val="0"/>
        <w:spacing w:after="299" w:line="1" w:lineRule="exact"/>
      </w:pPr>
    </w:p>
    <w:p>
      <w:pPr>
        <w:pStyle w:val="Style38"/>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4</w:t>
      </w:r>
      <w:bookmarkEnd w:id="1422"/>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20"/>
      <w:bookmarkEnd w:id="1421"/>
      <w:bookmarkEnd w:id="1423"/>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546,651.07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342,276.41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234,412.42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342,276.41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342,276.41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781,063.49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342,276.41</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4</w:t>
      </w:r>
      <w:bookmarkEnd w:id="1426"/>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24"/>
      <w:bookmarkEnd w:id="1425"/>
      <w:bookmarkEnd w:id="142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材料、旧机报废损失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840,149.97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50,300.23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840,149.97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滞纳金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4,312.94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补缴税金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806,011.11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1,225,138.84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806,011.11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1,674,112.60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1,284,342.87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1,674,112.60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4</w:t>
      </w:r>
      <w:bookmarkEnd w:id="1430"/>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28"/>
      <w:bookmarkEnd w:id="1429"/>
      <w:bookmarkEnd w:id="1431"/>
    </w:p>
    <w:p>
      <w:pPr>
        <w:pStyle w:val="Style41"/>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32"/>
      <w:bookmarkEnd w:id="1433"/>
      <w:bookmarkEnd w:id="14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2,868,175.51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8,556,994.22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1,869,657.12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8,556,994.22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4,737,832.63</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14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35"/>
      <w:bookmarkEnd w:id="1436"/>
      <w:bookmarkEnd w:id="143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80,313,890.60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20,078,472.65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-5,649,376.00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-2,392,604.55</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-2,398,142.40</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974,927.56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-4,981,003.86</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7,629,434.60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-4,913,042.22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对期初递延所得税的调整影响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208,328.44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8,556,994.22</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4</w:t>
      </w:r>
      <w:bookmarkEnd w:id="1441"/>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439"/>
      <w:bookmarkEnd w:id="1440"/>
      <w:bookmarkEnd w:id="1442"/>
    </w:p>
    <w:p>
      <w:pPr>
        <w:pStyle w:val="Style41"/>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43"/>
      <w:bookmarkEnd w:id="1444"/>
      <w:bookmarkEnd w:id="144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3,743,009.65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6,360,000.29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290,698.74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10,320,378.84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44,871,963.60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14,321,591.15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51,522,662.63</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46"/>
      <w:bookmarkEnd w:id="1447"/>
      <w:bookmarkEnd w:id="14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22,481,701.36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31,993,018.37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799,324.05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1,234,042.64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42,498,232.53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64,933,566.11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65,779,257.94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98,160,627.12</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449" w:name="bookmark1449"/>
      <w:bookmarkStart w:id="1450" w:name="bookmark1450"/>
      <w:bookmarkStart w:id="1451" w:name="bookmark1451"/>
      <w:bookmarkStart w:id="1452" w:name="bookmark1452"/>
      <w:r>
        <w:rPr>
          <w:color w:val="000000"/>
          <w:spacing w:val="0"/>
          <w:w w:val="100"/>
          <w:position w:val="0"/>
        </w:rPr>
        <w:t>（</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449"/>
      <w:bookmarkEnd w:id="1450"/>
      <w:bookmarkEnd w:id="145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6,005,706.05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3,012,716.66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偿还借款手续费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27,994.05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同一控制下企业合并支付的现金对价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7,005,706.05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3,040,710.71</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5</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53"/>
      <w:bookmarkEnd w:id="1454"/>
      <w:bookmarkEnd w:id="1456"/>
    </w:p>
    <w:p>
      <w:pPr>
        <w:pStyle w:val="Style41"/>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7"/>
      <w:bookmarkEnd w:id="1458"/>
      <w:bookmarkEnd w:id="145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71,756,896.38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65,651,712.07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10,674,981.18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12,327,002.75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-11,196,957.42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8,456,971.95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740"/>
              <w:jc w:val="left"/>
            </w:pPr>
            <w:r>
              <w:rPr>
                <w:rFonts w:ascii="SimSun" w:eastAsia="SimSun" w:hAnsi="SimSun" w:cs="SimSun"/>
                <w:color w:val="000000"/>
                <w:spacing w:val="0"/>
                <w:w w:val="100"/>
                <w:position w:val="0"/>
              </w:rPr>
              <w:t>固定资产折旧、油气资产折耗、</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19,625,288.53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23,183,576.12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2,607,559.20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2,653,392.17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2,434,520.03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2,629,688.25</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处置固定资产、无形资产和其他 长期资产的损失（收益以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4,765,903.19</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74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-16,126,297.84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2,398,769.98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1,756,014.97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3,289,589.15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-39,784,411.77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-95,832,141.25</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递延所得税资产减少（增加以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7,807,263.92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1,729,141.21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740"/>
              <w:jc w:val="left"/>
            </w:pPr>
            <w:r>
              <w:rPr>
                <w:rFonts w:ascii="SimSun" w:eastAsia="SimSun" w:hAnsi="SimSun" w:cs="SimSun"/>
                <w:color w:val="000000"/>
                <w:spacing w:val="0"/>
                <w:w w:val="100"/>
                <w:position w:val="0"/>
              </w:rPr>
              <w:t>递延所得税负债增加（减少以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749,730.30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140,515.91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22,139,179.43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29,345,677.39</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both"/>
            </w:pPr>
            <w:r>
              <w:rPr>
                <w:rFonts w:ascii="SimSun" w:eastAsia="SimSun" w:hAnsi="SimSun" w:cs="SimSun"/>
                <w:color w:val="000000"/>
                <w:spacing w:val="0"/>
                <w:w w:val="100"/>
                <w:position w:val="0"/>
              </w:rPr>
              <w:t xml:space="preserve">经营性应收项目的减少（增加以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56,510,704.90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46,473,799.44</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83" w:lineRule="exact"/>
              <w:ind w:left="0" w:right="0" w:firstLine="740"/>
              <w:jc w:val="both"/>
            </w:pPr>
            <w:r>
              <w:rPr>
                <w:rFonts w:ascii="SimSun" w:eastAsia="SimSun" w:hAnsi="SimSun" w:cs="SimSun"/>
                <w:color w:val="000000"/>
                <w:spacing w:val="0"/>
                <w:w w:val="100"/>
                <w:position w:val="0"/>
              </w:rPr>
              <w:t xml:space="preserve">经营性应付项目的增加（减少以 </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-70,053,896.87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-4,825,127.39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58,629,917.61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102,388,470.94</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119,679,333.06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159,750,082.59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159,750,082.59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86,022,653.33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-40,070,749.53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73,727,429.26</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60"/>
      <w:bookmarkEnd w:id="1461"/>
      <w:bookmarkEnd w:id="146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997,838.21</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463"/>
      <w:bookmarkEnd w:id="1464"/>
      <w:bookmarkEnd w:id="146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119,679,333.06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159,750,082.59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390,162.86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96,478.49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96,827,568.35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132,114,977.26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22,461,601.85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27,538,626.84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119,679,333.06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159,750,082.59</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66"/>
      <w:bookmarkEnd w:id="1467"/>
      <w:bookmarkEnd w:id="1469"/>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13,487,506.80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196,259,134.86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r>
              <w:rPr>
                <w:color w:val="000000"/>
                <w:spacing w:val="0"/>
                <w:w w:val="100"/>
                <w:position w:val="0"/>
              </w:rPr>
              <w:t>*1</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209,801,442.66</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w:t>
      </w:r>
    </w:p>
    <w:p>
      <w:pPr>
        <w:pStyle w:val="Style3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日，公司与中国工商银行股份有限公司广州工业大道支行签订了最高额抵押合同，将广州市天河区高唐路 的部分房屋建筑物作为抵押，截至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rPr>
        <w:t>196,259,134.86</w:t>
      </w:r>
      <w:r>
        <w:rPr>
          <w:color w:val="000000"/>
          <w:spacing w:val="0"/>
          <w:w w:val="100"/>
          <w:position w:val="0"/>
        </w:rPr>
        <w:t>元，该抵押担保合同项下的借款已还清。</w:t>
      </w:r>
    </w:p>
    <w:p>
      <w:pPr>
        <w:pStyle w:val="Style3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、子公司广州御银金融电子设备有限公司与中国工商银行股份有限公司广州工业大道支行签订了最高额抵押合同（编号为 工业支行</w:t>
      </w:r>
      <w:r>
        <w:rPr>
          <w:rFonts w:ascii="Times New Roman" w:eastAsia="Times New Roman" w:hAnsi="Times New Roman" w:cs="Times New Roman"/>
          <w:color w:val="000000"/>
          <w:spacing w:val="0"/>
          <w:w w:val="100"/>
          <w:position w:val="0"/>
        </w:rPr>
        <w:t>2020</w:t>
      </w:r>
      <w:r>
        <w:rPr>
          <w:color w:val="000000"/>
          <w:spacing w:val="0"/>
          <w:w w:val="100"/>
          <w:position w:val="0"/>
        </w:rPr>
        <w:t>年最高抵字第</w:t>
      </w:r>
      <w:r>
        <w:rPr>
          <w:rFonts w:ascii="Times New Roman" w:eastAsia="Times New Roman" w:hAnsi="Times New Roman" w:cs="Times New Roman"/>
          <w:color w:val="000000"/>
          <w:spacing w:val="0"/>
          <w:w w:val="100"/>
          <w:position w:val="0"/>
        </w:rPr>
        <w:t>022</w:t>
      </w:r>
      <w:r>
        <w:rPr>
          <w:color w:val="000000"/>
          <w:spacing w:val="0"/>
          <w:w w:val="100"/>
          <w:position w:val="0"/>
        </w:rPr>
        <w:t>号），将广州市黄埔区永和开发区禾丰路以南、春分路以东、地块编号为</w:t>
      </w:r>
      <w:r>
        <w:rPr>
          <w:rFonts w:ascii="Times New Roman" w:eastAsia="Times New Roman" w:hAnsi="Times New Roman" w:cs="Times New Roman"/>
          <w:color w:val="000000"/>
          <w:spacing w:val="0"/>
          <w:w w:val="100"/>
          <w:position w:val="0"/>
        </w:rPr>
        <w:t>YH-I7-8</w:t>
      </w:r>
      <w:r>
        <w:rPr>
          <w:color w:val="000000"/>
          <w:spacing w:val="0"/>
          <w:w w:val="100"/>
          <w:position w:val="0"/>
        </w:rPr>
        <w:t>的国有建设 用地使用权（编号为粤（</w:t>
      </w:r>
      <w:r>
        <w:rPr>
          <w:rFonts w:ascii="Times New Roman" w:eastAsia="Times New Roman" w:hAnsi="Times New Roman" w:cs="Times New Roman"/>
          <w:color w:val="000000"/>
          <w:spacing w:val="0"/>
          <w:w w:val="100"/>
          <w:position w:val="0"/>
        </w:rPr>
        <w:t>2018</w:t>
      </w:r>
      <w:r>
        <w:rPr>
          <w:color w:val="000000"/>
          <w:spacing w:val="0"/>
          <w:w w:val="100"/>
          <w:position w:val="0"/>
        </w:rPr>
        <w:t>）广州不动产权第</w:t>
      </w:r>
      <w:r>
        <w:rPr>
          <w:rFonts w:ascii="Times New Roman" w:eastAsia="Times New Roman" w:hAnsi="Times New Roman" w:cs="Times New Roman"/>
          <w:color w:val="000000"/>
          <w:spacing w:val="0"/>
          <w:w w:val="100"/>
          <w:position w:val="0"/>
        </w:rPr>
        <w:t>06860122</w:t>
      </w:r>
      <w:r>
        <w:rPr>
          <w:color w:val="000000"/>
          <w:spacing w:val="0"/>
          <w:w w:val="100"/>
          <w:position w:val="0"/>
        </w:rPr>
        <w:t>号）作为抵押物，抵押担保最高余额为</w:t>
      </w:r>
      <w:r>
        <w:rPr>
          <w:rFonts w:ascii="Times New Roman" w:eastAsia="Times New Roman" w:hAnsi="Times New Roman" w:cs="Times New Roman"/>
          <w:color w:val="000000"/>
          <w:spacing w:val="0"/>
          <w:w w:val="100"/>
          <w:position w:val="0"/>
        </w:rPr>
        <w:t>20,034,000.00</w:t>
      </w:r>
      <w:r>
        <w:rPr>
          <w:color w:val="000000"/>
          <w:spacing w:val="0"/>
          <w:w w:val="100"/>
          <w:position w:val="0"/>
        </w:rPr>
        <w:t>元。截止</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日，该抵押担保合同项下的借款余额为</w:t>
      </w:r>
      <w:r>
        <w:rPr>
          <w:rFonts w:ascii="Times New Roman" w:eastAsia="Times New Roman" w:hAnsi="Times New Roman" w:cs="Times New Roman"/>
          <w:color w:val="000000"/>
          <w:spacing w:val="0"/>
          <w:w w:val="100"/>
          <w:position w:val="0"/>
        </w:rPr>
        <w:t>1,000,000.00</w:t>
      </w:r>
      <w:r>
        <w:rPr>
          <w:color w:val="000000"/>
          <w:spacing w:val="0"/>
          <w:w w:val="100"/>
          <w:position w:val="0"/>
        </w:rPr>
        <w:t>元，详见本财务报告“七、</w:t>
      </w:r>
      <w:r>
        <w:rPr>
          <w:color w:val="000000"/>
          <w:spacing w:val="0"/>
          <w:w w:val="100"/>
          <w:position w:val="0"/>
        </w:rPr>
        <w:t>26</w:t>
      </w:r>
      <w:r>
        <w:rPr>
          <w:color w:val="000000"/>
          <w:spacing w:val="0"/>
          <w:w w:val="100"/>
          <w:position w:val="0"/>
        </w:rPr>
        <w:t>长期借款”。</w:t>
      </w:r>
    </w:p>
    <w:p>
      <w:pPr>
        <w:pStyle w:val="Style38"/>
        <w:keepNext/>
        <w:keepLines/>
        <w:widowControl w:val="0"/>
        <w:shd w:val="clear" w:color="auto" w:fill="auto"/>
        <w:bidi w:val="0"/>
        <w:spacing w:before="0" w:after="36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470"/>
      <w:bookmarkEnd w:id="1471"/>
      <w:bookmarkEnd w:id="1473"/>
    </w:p>
    <w:p>
      <w:pPr>
        <w:pStyle w:val="Style41"/>
        <w:keepNext/>
        <w:keepLines/>
        <w:widowControl w:val="0"/>
        <w:shd w:val="clear" w:color="auto" w:fill="auto"/>
        <w:bidi w:val="0"/>
        <w:spacing w:before="0" w:after="360" w:line="240" w:lineRule="auto"/>
        <w:ind w:left="0" w:right="0" w:firstLine="0"/>
        <w:jc w:val="both"/>
      </w:pPr>
      <w:bookmarkStart w:id="1474" w:name="bookmark1474"/>
      <w:bookmarkStart w:id="1475" w:name="bookmark1475"/>
      <w:bookmarkStart w:id="1476" w:name="bookmark14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74"/>
      <w:bookmarkEnd w:id="1475"/>
      <w:bookmarkEnd w:id="147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11,742,993.86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1,799,326.49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6.5249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11,740,425.41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3,051.72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0.84164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2,568.45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1"/>
        <w:keepNext/>
        <w:keepLines/>
        <w:widowControl w:val="0"/>
        <w:shd w:val="clear" w:color="auto" w:fill="auto"/>
        <w:bidi w:val="0"/>
        <w:spacing w:before="0" w:after="360" w:line="322" w:lineRule="exact"/>
        <w:ind w:left="0" w:right="0" w:firstLine="0"/>
        <w:jc w:val="both"/>
      </w:pPr>
      <w:bookmarkStart w:id="1477" w:name="bookmark1477"/>
      <w:bookmarkStart w:id="1478" w:name="bookmark1478"/>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7"/>
      <w:bookmarkEnd w:id="1478"/>
      <w:bookmarkEnd w:id="1479"/>
    </w:p>
    <w:p>
      <w:pPr>
        <w:pStyle w:val="Style3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8"/>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480"/>
      <w:bookmarkEnd w:id="1481"/>
      <w:bookmarkEnd w:id="1483"/>
    </w:p>
    <w:p>
      <w:pPr>
        <w:pStyle w:val="Style41"/>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84"/>
      <w:bookmarkEnd w:id="1485"/>
      <w:bookmarkEnd w:id="14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增值税退税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2,661,254.99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2,661,254.99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广州开发区知识产权局(黄埔 区知识产权局)专利资助款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8,955.00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8,955.00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2017</w:t>
            </w:r>
            <w:r>
              <w:rPr>
                <w:rFonts w:ascii="SimSun" w:eastAsia="SimSun" w:hAnsi="SimSun" w:cs="SimSun"/>
                <w:color w:val="000000"/>
                <w:spacing w:val="0"/>
                <w:w w:val="100"/>
                <w:position w:val="0"/>
              </w:rPr>
              <w:t>年度高新技术企业认定 奖补项目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广州市社会保险基金管理中 心失业费用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16,156.34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16,156.34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年广州市专利资助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13,900.00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年度天河区专利资助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10,050.00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10,050.00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天河区</w:t>
            </w:r>
            <w:r>
              <w:rPr>
                <w:color w:val="000000"/>
                <w:spacing w:val="0"/>
                <w:w w:val="100"/>
                <w:position w:val="0"/>
              </w:rPr>
              <w:t>2020</w:t>
            </w:r>
            <w:r>
              <w:rPr>
                <w:rFonts w:ascii="SimSun" w:eastAsia="SimSun" w:hAnsi="SimSun" w:cs="SimSun"/>
                <w:color w:val="000000"/>
                <w:spacing w:val="0"/>
                <w:w w:val="100"/>
                <w:position w:val="0"/>
              </w:rPr>
              <w:t>年工业企业高新</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技术产品补贴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天河科技园软件著作权奖励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7,000.00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天河区</w:t>
            </w:r>
            <w:r>
              <w:rPr>
                <w:color w:val="000000"/>
                <w:spacing w:val="0"/>
                <w:w w:val="100"/>
                <w:position w:val="0"/>
              </w:rPr>
              <w:t>2020</w:t>
            </w:r>
            <w:r>
              <w:rPr>
                <w:rFonts w:ascii="SimSun" w:eastAsia="SimSun" w:hAnsi="SimSun" w:cs="SimSun"/>
                <w:color w:val="000000"/>
                <w:spacing w:val="0"/>
                <w:w w:val="100"/>
                <w:position w:val="0"/>
              </w:rPr>
              <w:t>年工业企业高新 技术产品产值补贴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1,020.00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广州市社会保险基金管理中 心失业稳岗补贴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14,030.68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14,030.68</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广州市科学技术局</w:t>
            </w:r>
            <w:r>
              <w:rPr>
                <w:color w:val="000000"/>
                <w:spacing w:val="0"/>
                <w:w w:val="100"/>
                <w:position w:val="0"/>
              </w:rPr>
              <w:t>2016</w:t>
            </w:r>
            <w:r>
              <w:rPr>
                <w:rFonts w:ascii="SimSun" w:eastAsia="SimSun" w:hAnsi="SimSun" w:cs="SimSun"/>
                <w:color w:val="000000"/>
                <w:spacing w:val="0"/>
                <w:w w:val="100"/>
                <w:position w:val="0"/>
              </w:rPr>
              <w:t>年度 高新技术企业认定通过奖励</w:t>
            </w:r>
          </w:p>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(第三笔)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广州开发区财政国库集中支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付中心</w:t>
            </w:r>
            <w:r>
              <w:rPr>
                <w:color w:val="000000"/>
                <w:spacing w:val="0"/>
                <w:w w:val="100"/>
                <w:position w:val="0"/>
              </w:rPr>
              <w:t>-</w:t>
            </w:r>
            <w:r>
              <w:rPr>
                <w:rFonts w:ascii="SimSun" w:eastAsia="SimSun" w:hAnsi="SimSun" w:cs="SimSun"/>
                <w:color w:val="000000"/>
                <w:spacing w:val="0"/>
                <w:w w:val="100"/>
                <w:position w:val="0"/>
              </w:rPr>
              <w:t>专利资助款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25,450.00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25,450.00</w:t>
            </w:r>
          </w:p>
        </w:tc>
      </w:tr>
      <w:tr>
        <w:trPr>
          <w:trHeight w:val="102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广州市社会保险基金管理中 心广州御银自动柜员机科技 有限公司失业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9,491.14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9,491.14</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87"/>
      <w:bookmarkEnd w:id="1488"/>
      <w:bookmarkEnd w:id="1489"/>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sz w:val="24"/>
          <w:szCs w:val="24"/>
        </w:rPr>
        <w:t>八</w:t>
      </w:r>
      <w:bookmarkEnd w:id="1492"/>
      <w:r>
        <w:rPr>
          <w:color w:val="000000"/>
          <w:spacing w:val="0"/>
          <w:w w:val="100"/>
          <w:position w:val="0"/>
          <w:sz w:val="24"/>
          <w:szCs w:val="24"/>
        </w:rPr>
        <w:t>、合并范围的变更</w:t>
      </w:r>
      <w:bookmarkEnd w:id="1490"/>
      <w:bookmarkEnd w:id="1491"/>
      <w:bookmarkEnd w:id="1493"/>
    </w:p>
    <w:p>
      <w:pPr>
        <w:pStyle w:val="Style38"/>
        <w:keepNext/>
        <w:keepLines/>
        <w:widowControl w:val="0"/>
        <w:shd w:val="clear" w:color="auto" w:fill="auto"/>
        <w:tabs>
          <w:tab w:pos="368" w:val="left"/>
        </w:tabs>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bookmarkEnd w:id="1496"/>
      <w:r>
        <w:rPr>
          <w:color w:val="000000"/>
          <w:spacing w:val="0"/>
          <w:w w:val="100"/>
          <w:position w:val="0"/>
        </w:rPr>
        <w:t>、</w:t>
        <w:tab/>
        <w:t>本报告期未发生非同一控制下企业合并</w:t>
      </w:r>
      <w:bookmarkEnd w:id="1494"/>
      <w:bookmarkEnd w:id="1495"/>
      <w:bookmarkEnd w:id="1497"/>
    </w:p>
    <w:p>
      <w:pPr>
        <w:pStyle w:val="Style38"/>
        <w:keepNext/>
        <w:keepLines/>
        <w:widowControl w:val="0"/>
        <w:shd w:val="clear" w:color="auto" w:fill="auto"/>
        <w:tabs>
          <w:tab w:pos="378" w:val="left"/>
        </w:tabs>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2</w:t>
      </w:r>
      <w:bookmarkEnd w:id="1500"/>
      <w:r>
        <w:rPr>
          <w:color w:val="000000"/>
          <w:spacing w:val="0"/>
          <w:w w:val="100"/>
          <w:position w:val="0"/>
        </w:rPr>
        <w:t>、</w:t>
        <w:tab/>
        <w:t>同一控制下企业合并</w:t>
      </w:r>
      <w:bookmarkEnd w:id="1498"/>
      <w:bookmarkEnd w:id="1499"/>
      <w:bookmarkEnd w:id="1501"/>
    </w:p>
    <w:p>
      <w:pPr>
        <w:pStyle w:val="Style4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502"/>
      <w:bookmarkEnd w:id="1503"/>
      <w:bookmarkEnd w:id="15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被合并方名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企业合并中 取得的权益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构成同一控 制下企业合 并的依据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合并日的确 定依据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合并当期期 初至合并日 被合并方的</w:t>
            </w:r>
          </w:p>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合并当期期 初至合并日 被合并方的 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比较期间被 合并方的收 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比较期间被 合并方的净 利润</w:t>
            </w:r>
          </w:p>
        </w:tc>
      </w:tr>
      <w:tr>
        <w:trPr>
          <w:trHeight w:val="134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北京广粤科 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从成立开始 受同一方控 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取得对被合 并方的财务、 经营政策的 控制权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-1,269,015.62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-1,625,999.47</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北京广粤科技有限公司（以下简称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北京广粤</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日注册成立，目前主要从事管理软件的开发和房屋租赁业务, 注册资本为人民币</w:t>
      </w:r>
      <w:r>
        <w:rPr>
          <w:rFonts w:ascii="Times New Roman" w:eastAsia="Times New Roman" w:hAnsi="Times New Roman" w:cs="Times New Roman"/>
          <w:color w:val="000000"/>
          <w:spacing w:val="0"/>
          <w:w w:val="100"/>
          <w:position w:val="0"/>
        </w:rPr>
        <w:t>100.00</w:t>
      </w:r>
      <w:r>
        <w:rPr>
          <w:color w:val="000000"/>
          <w:spacing w:val="0"/>
          <w:w w:val="100"/>
          <w:position w:val="0"/>
        </w:rPr>
        <w:t>万元，其中，罗灿裕认缴出资</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.05</w:t>
      </w:r>
      <w:r>
        <w:rPr>
          <w:color w:val="000000"/>
          <w:spacing w:val="0"/>
          <w:w w:val="100"/>
          <w:position w:val="0"/>
        </w:rPr>
        <w:t>万元，持有北京广粤</w:t>
      </w:r>
      <w:r>
        <w:rPr>
          <w:rFonts w:ascii="Times New Roman" w:eastAsia="Times New Roman" w:hAnsi="Times New Roman" w:cs="Times New Roman"/>
          <w:color w:val="000000"/>
          <w:spacing w:val="0"/>
          <w:w w:val="100"/>
          <w:position w:val="0"/>
        </w:rPr>
        <w:t>0.05%</w:t>
      </w:r>
      <w:r>
        <w:rPr>
          <w:color w:val="000000"/>
          <w:spacing w:val="0"/>
          <w:w w:val="100"/>
          <w:position w:val="0"/>
        </w:rPr>
        <w:t>的股权，广州杰萃投资有限公司（以 下简称</w:t>
      </w:r>
      <w:r>
        <w:rPr>
          <w:rFonts w:ascii="Times New Roman" w:eastAsia="Times New Roman" w:hAnsi="Times New Roman" w:cs="Times New Roman"/>
          <w:color w:val="000000"/>
          <w:spacing w:val="0"/>
          <w:w w:val="100"/>
          <w:position w:val="0"/>
        </w:rPr>
        <w:t>“</w:t>
      </w:r>
      <w:r>
        <w:rPr>
          <w:color w:val="000000"/>
          <w:spacing w:val="0"/>
          <w:w w:val="100"/>
          <w:position w:val="0"/>
        </w:rPr>
        <w:t>杰萃</w:t>
      </w:r>
      <w:r>
        <w:rPr>
          <w:rFonts w:ascii="Times New Roman" w:eastAsia="Times New Roman" w:hAnsi="Times New Roman" w:cs="Times New Roman"/>
          <w:color w:val="000000"/>
          <w:spacing w:val="0"/>
          <w:w w:val="100"/>
          <w:position w:val="0"/>
        </w:rPr>
        <w:t>”</w:t>
      </w:r>
      <w:r>
        <w:rPr>
          <w:color w:val="000000"/>
          <w:spacing w:val="0"/>
          <w:w w:val="100"/>
          <w:position w:val="0"/>
        </w:rPr>
        <w:t>）认缴出资</w:t>
      </w:r>
      <w:r>
        <w:rPr>
          <w:rFonts w:ascii="Times New Roman" w:eastAsia="Times New Roman" w:hAnsi="Times New Roman" w:cs="Times New Roman"/>
          <w:color w:val="000000"/>
          <w:spacing w:val="0"/>
          <w:w w:val="100"/>
          <w:position w:val="0"/>
        </w:rPr>
        <w:t>99.95</w:t>
      </w:r>
      <w:r>
        <w:rPr>
          <w:color w:val="000000"/>
          <w:spacing w:val="0"/>
          <w:w w:val="100"/>
          <w:position w:val="0"/>
        </w:rPr>
        <w:t>万元，持有北京广粤</w:t>
      </w:r>
      <w:r>
        <w:rPr>
          <w:rFonts w:ascii="Times New Roman" w:eastAsia="Times New Roman" w:hAnsi="Times New Roman" w:cs="Times New Roman"/>
          <w:color w:val="000000"/>
          <w:spacing w:val="0"/>
          <w:w w:val="100"/>
          <w:position w:val="0"/>
        </w:rPr>
        <w:t>99.95%</w:t>
      </w:r>
      <w:r>
        <w:rPr>
          <w:color w:val="000000"/>
          <w:spacing w:val="0"/>
          <w:w w:val="100"/>
          <w:position w:val="0"/>
        </w:rPr>
        <w:t>的股权。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日，原股东杰萃、罗灿裕与本公司签订股权 转让合同，同意杰萃将其持有北京广粤</w:t>
      </w:r>
      <w:r>
        <w:rPr>
          <w:rFonts w:ascii="Times New Roman" w:eastAsia="Times New Roman" w:hAnsi="Times New Roman" w:cs="Times New Roman"/>
          <w:color w:val="000000"/>
          <w:spacing w:val="0"/>
          <w:w w:val="100"/>
          <w:position w:val="0"/>
        </w:rPr>
        <w:t>99.95%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999,500.00</w:t>
      </w:r>
      <w:r>
        <w:rPr>
          <w:color w:val="000000"/>
          <w:spacing w:val="0"/>
          <w:w w:val="100"/>
          <w:position w:val="0"/>
        </w:rPr>
        <w:t xml:space="preserve">元的价格转让给本公司，罗灿裕将其持有北京广粤 </w:t>
      </w:r>
      <w:r>
        <w:rPr>
          <w:rFonts w:ascii="Times New Roman" w:eastAsia="Times New Roman" w:hAnsi="Times New Roman" w:cs="Times New Roman"/>
          <w:color w:val="000000"/>
          <w:spacing w:val="0"/>
          <w:w w:val="100"/>
          <w:position w:val="0"/>
        </w:rPr>
        <w:t>0.05%</w:t>
      </w:r>
      <w:r>
        <w:rPr>
          <w:color w:val="000000"/>
          <w:spacing w:val="0"/>
          <w:w w:val="100"/>
          <w:position w:val="0"/>
        </w:rPr>
        <w:t>的股权以人民币</w:t>
      </w:r>
      <w:r>
        <w:rPr>
          <w:rFonts w:ascii="Times New Roman" w:eastAsia="Times New Roman" w:hAnsi="Times New Roman" w:cs="Times New Roman"/>
          <w:color w:val="000000"/>
          <w:spacing w:val="0"/>
          <w:w w:val="100"/>
          <w:position w:val="0"/>
        </w:rPr>
        <w:t>500.00</w:t>
      </w:r>
      <w:r>
        <w:rPr>
          <w:color w:val="000000"/>
          <w:spacing w:val="0"/>
          <w:w w:val="100"/>
          <w:position w:val="0"/>
        </w:rPr>
        <w:t>元的价格转让给本公司，本公司已于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日支付上述全部股权转让款。按照合同约定， 上述股权转让款支付完成后本公司即可取得北京广粤</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1"/>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505"/>
      <w:bookmarkEnd w:id="1506"/>
      <w:bookmarkEnd w:id="150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08"/>
      <w:bookmarkEnd w:id="1509"/>
      <w:bookmarkEnd w:id="1511"/>
    </w:p>
    <w:p>
      <w:pPr>
        <w:pStyle w:val="Style32"/>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48,827.20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4,184.48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45,120.00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11,173,300.24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11,443,144.21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6,324,785.09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7,206,666.76</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21,490,001.00</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-4,015,258.45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-2,746,242.83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-2,746,242.83</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-4,015,258.45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color w:val="000000"/>
          <w:spacing w:val="0"/>
          <w:w w:val="100"/>
          <w:position w:val="0"/>
        </w:rPr>
        <w:t>、</w:t>
        <w:tab/>
        <w:t>本报告期未发生反向购买</w:t>
      </w:r>
      <w:bookmarkEnd w:id="1512"/>
      <w:bookmarkEnd w:id="1513"/>
      <w:bookmarkEnd w:id="1515"/>
    </w:p>
    <w:p>
      <w:pPr>
        <w:pStyle w:val="Style38"/>
        <w:keepNext/>
        <w:keepLines/>
        <w:widowControl w:val="0"/>
        <w:shd w:val="clear" w:color="auto" w:fill="auto"/>
        <w:tabs>
          <w:tab w:pos="378" w:val="left"/>
        </w:tabs>
        <w:bidi w:val="0"/>
        <w:spacing w:before="0" w:after="24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color w:val="000000"/>
          <w:spacing w:val="0"/>
          <w:w w:val="100"/>
          <w:position w:val="0"/>
        </w:rPr>
        <w:t>、</w:t>
        <w:tab/>
        <w:t>本报告期未发生处置子公司情况</w:t>
      </w:r>
      <w:bookmarkEnd w:id="1516"/>
      <w:bookmarkEnd w:id="1517"/>
      <w:bookmarkEnd w:id="1519"/>
    </w:p>
    <w:p>
      <w:pPr>
        <w:pStyle w:val="Style34"/>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是否存在单次处置对子公司投资即丧失控制权的情形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color w:val="000000"/>
          <w:spacing w:val="0"/>
          <w:w w:val="100"/>
          <w:position w:val="0"/>
        </w:rPr>
        <w:t>、</w:t>
        <w:tab/>
        <w:t>其他原因的合并范围变动</w:t>
      </w:r>
      <w:bookmarkEnd w:id="1520"/>
      <w:bookmarkEnd w:id="1521"/>
      <w:bookmarkEnd w:id="1523"/>
    </w:p>
    <w:p>
      <w:pPr>
        <w:pStyle w:val="Style34"/>
        <w:keepNext w:val="0"/>
        <w:keepLines w:val="0"/>
        <w:widowControl w:val="0"/>
        <w:shd w:val="clear" w:color="auto" w:fill="auto"/>
        <w:bidi w:val="0"/>
        <w:spacing w:before="0" w:after="380" w:line="343"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sz w:val="24"/>
          <w:szCs w:val="24"/>
        </w:rPr>
        <w:t>九</w:t>
      </w:r>
      <w:bookmarkEnd w:id="1526"/>
      <w:r>
        <w:rPr>
          <w:color w:val="000000"/>
          <w:spacing w:val="0"/>
          <w:w w:val="100"/>
          <w:position w:val="0"/>
          <w:sz w:val="24"/>
          <w:szCs w:val="24"/>
        </w:rPr>
        <w:t>、在其他主体中的权益</w:t>
      </w:r>
      <w:bookmarkEnd w:id="1524"/>
      <w:bookmarkEnd w:id="1525"/>
      <w:bookmarkEnd w:id="1527"/>
    </w:p>
    <w:p>
      <w:pPr>
        <w:pStyle w:val="Style38"/>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8"/>
      <w:bookmarkEnd w:id="1529"/>
      <w:bookmarkEnd w:id="1530"/>
    </w:p>
    <w:p>
      <w:pPr>
        <w:pStyle w:val="Style41"/>
        <w:keepNext/>
        <w:keepLines/>
        <w:widowControl w:val="0"/>
        <w:shd w:val="clear" w:color="auto" w:fill="auto"/>
        <w:bidi w:val="0"/>
        <w:spacing w:before="0" w:line="240" w:lineRule="auto"/>
        <w:ind w:left="0" w:right="0" w:firstLine="14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1"/>
      <w:bookmarkEnd w:id="1532"/>
      <w:bookmarkEnd w:id="1533"/>
    </w:p>
    <w:tbl>
      <w:tblPr>
        <w:tblOverlap w:val="never"/>
        <w:jc w:val="center"/>
        <w:tblLayout w:type="fixed"/>
      </w:tblPr>
      <w:tblGrid>
        <w:gridCol w:w="1378"/>
        <w:gridCol w:w="1368"/>
        <w:gridCol w:w="136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广州御新软件有</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广州御银自动柜 员机技术有限公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广州御银智能科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安徽御银电子科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批发业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非同一控制下企</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御银（中国）科 技国际有限公司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维尔京群岛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维尔京群岛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御银科技（香港）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广州御银自动柜 员机科技有限公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信息传输、软件 和信息技术服务 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广州御银信息科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北京御新赢创科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北京御新科技有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北京天成智合科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广东小炬人创业 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北京御新智合科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广州同位素智能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广州十方软件科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广州御银金融电</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子设备有限公司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专业设备制造业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广州御联软件有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广州御商信息科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广州御泰信息科 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软件和信息技术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北京广粤科技有</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科技推广和应用</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同一控制下企业 合并</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、本报告期无在子公司的所有者权益份额发生变化且仍控制子公司的交易</w:t>
      </w:r>
      <w:bookmarkEnd w:id="1534"/>
      <w:bookmarkEnd w:id="1535"/>
      <w:bookmarkEnd w:id="1536"/>
    </w:p>
    <w:p>
      <w:pPr>
        <w:pStyle w:val="Style38"/>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color w:val="000000"/>
          <w:spacing w:val="0"/>
          <w:w w:val="100"/>
          <w:position w:val="0"/>
        </w:rPr>
        <w:t>、在合营安排或联营企业中的权益</w:t>
      </w:r>
      <w:bookmarkEnd w:id="1537"/>
      <w:bookmarkEnd w:id="1538"/>
      <w:bookmarkEnd w:id="1540"/>
    </w:p>
    <w:p>
      <w:pPr>
        <w:pStyle w:val="Style41"/>
        <w:keepNext/>
        <w:keepLines/>
        <w:widowControl w:val="0"/>
        <w:numPr>
          <w:ilvl w:val="0"/>
          <w:numId w:val="49"/>
        </w:numPr>
        <w:shd w:val="clear" w:color="auto" w:fill="auto"/>
        <w:tabs>
          <w:tab w:pos="488" w:val="left"/>
        </w:tabs>
        <w:bidi w:val="0"/>
        <w:spacing w:before="0" w:line="240" w:lineRule="auto"/>
        <w:ind w:left="0" w:right="0" w:firstLine="0"/>
        <w:jc w:val="left"/>
      </w:pPr>
      <w:bookmarkStart w:id="1541" w:name="bookmark1541"/>
      <w:bookmarkStart w:id="1542" w:name="bookmark1542"/>
      <w:bookmarkStart w:id="1543" w:name="bookmark1543"/>
      <w:bookmarkStart w:id="1544" w:name="bookmark1544"/>
      <w:bookmarkEnd w:id="1543"/>
      <w:r>
        <w:rPr>
          <w:color w:val="000000"/>
          <w:spacing w:val="0"/>
          <w:w w:val="100"/>
          <w:position w:val="0"/>
        </w:rPr>
        <w:t>本报告期无重要的合营企业或联营企业</w:t>
      </w:r>
      <w:bookmarkEnd w:id="1541"/>
      <w:bookmarkEnd w:id="1542"/>
      <w:bookmarkEnd w:id="1544"/>
    </w:p>
    <w:p>
      <w:pPr>
        <w:pStyle w:val="Style41"/>
        <w:keepNext/>
        <w:keepLines/>
        <w:widowControl w:val="0"/>
        <w:numPr>
          <w:ilvl w:val="0"/>
          <w:numId w:val="49"/>
        </w:numPr>
        <w:shd w:val="clear" w:color="auto" w:fill="auto"/>
        <w:tabs>
          <w:tab w:pos="488" w:val="left"/>
        </w:tabs>
        <w:bidi w:val="0"/>
        <w:spacing w:before="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不重要的合营企业和联营企业的汇总财务信息</w:t>
      </w:r>
      <w:bookmarkEnd w:id="1545"/>
      <w:bookmarkEnd w:id="1546"/>
      <w:bookmarkEnd w:id="154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-26,745.65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-26,745.65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1,927.14</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1"/>
        <w:keepNext/>
        <w:keepLines/>
        <w:widowControl w:val="0"/>
        <w:shd w:val="clear" w:color="auto" w:fill="auto"/>
        <w:tabs>
          <w:tab w:pos="628" w:val="left"/>
        </w:tabs>
        <w:bidi w:val="0"/>
        <w:spacing w:before="0" w:line="240" w:lineRule="auto"/>
        <w:ind w:left="0" w:right="0" w:firstLine="14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w:t>
      </w:r>
      <w:bookmarkEnd w:id="1551"/>
      <w:r>
        <w:rPr>
          <w:rFonts w:ascii="Times New Roman" w:eastAsia="Times New Roman" w:hAnsi="Times New Roman" w:cs="Times New Roman"/>
          <w:color w:val="000000"/>
          <w:spacing w:val="0"/>
          <w:w w:val="100"/>
          <w:position w:val="0"/>
        </w:rPr>
        <w:t>3</w:t>
      </w:r>
      <w:r>
        <w:rPr>
          <w:color w:val="000000"/>
          <w:spacing w:val="0"/>
          <w:w w:val="100"/>
          <w:position w:val="0"/>
        </w:rPr>
        <w:t>）</w:t>
        <w:tab/>
        <w:t>本报告期不存在合营企业或联营企业向本公司转移资金的能力存在重大限制的情况</w:t>
      </w:r>
      <w:bookmarkEnd w:id="1549"/>
      <w:bookmarkEnd w:id="1550"/>
      <w:bookmarkEnd w:id="1552"/>
    </w:p>
    <w:p>
      <w:pPr>
        <w:pStyle w:val="Style41"/>
        <w:keepNext/>
        <w:keepLines/>
        <w:widowControl w:val="0"/>
        <w:shd w:val="clear" w:color="auto" w:fill="auto"/>
        <w:tabs>
          <w:tab w:pos="628" w:val="left"/>
        </w:tabs>
        <w:bidi w:val="0"/>
        <w:spacing w:before="0" w:line="240" w:lineRule="auto"/>
        <w:ind w:left="0" w:right="0" w:firstLine="14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w:t>
        <w:tab/>
        <w:t>合营企业或联营企业发生的超额亏损</w:t>
      </w:r>
      <w:bookmarkEnd w:id="1553"/>
      <w:bookmarkEnd w:id="1554"/>
      <w:bookmarkEnd w:id="155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合营企业或联营企业名称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本期未确认的损失（或本期分</w:t>
            </w:r>
          </w:p>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本期末累积未确认的损失</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广州青创科技企业孵化器有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11,808.67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26,745.65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38,554.32</w:t>
            </w:r>
          </w:p>
        </w:tc>
      </w:tr>
    </w:tbl>
    <w:p>
      <w:pPr>
        <w:widowControl w:val="0"/>
        <w:spacing w:after="339" w:line="1" w:lineRule="exact"/>
      </w:pPr>
    </w:p>
    <w:p>
      <w:pPr>
        <w:pStyle w:val="Style41"/>
        <w:keepNext/>
        <w:keepLines/>
        <w:widowControl w:val="0"/>
        <w:shd w:val="clear" w:color="auto" w:fill="auto"/>
        <w:tabs>
          <w:tab w:pos="488" w:val="left"/>
        </w:tabs>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5</w:t>
      </w:r>
      <w:r>
        <w:rPr>
          <w:color w:val="000000"/>
          <w:spacing w:val="0"/>
          <w:w w:val="100"/>
          <w:position w:val="0"/>
        </w:rPr>
        <w:t>）</w:t>
        <w:tab/>
        <w:t>本报告期不存在与合营企业投资相关的未确认承诺</w:t>
      </w:r>
      <w:bookmarkEnd w:id="1557"/>
      <w:bookmarkEnd w:id="1558"/>
      <w:bookmarkEnd w:id="1560"/>
    </w:p>
    <w:p>
      <w:pPr>
        <w:pStyle w:val="Style41"/>
        <w:keepNext/>
        <w:keepLines/>
        <w:widowControl w:val="0"/>
        <w:shd w:val="clear" w:color="auto" w:fill="auto"/>
        <w:tabs>
          <w:tab w:pos="488" w:val="left"/>
        </w:tabs>
        <w:bidi w:val="0"/>
        <w:spacing w:before="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6</w:t>
      </w:r>
      <w:r>
        <w:rPr>
          <w:color w:val="000000"/>
          <w:spacing w:val="0"/>
          <w:w w:val="100"/>
          <w:position w:val="0"/>
        </w:rPr>
        <w:t>）</w:t>
        <w:tab/>
        <w:t>本报告期不存在与合营企业或联营企业投资相关的或有负债</w:t>
      </w:r>
      <w:bookmarkEnd w:id="1561"/>
      <w:bookmarkEnd w:id="1562"/>
      <w:bookmarkEnd w:id="1564"/>
    </w:p>
    <w:p>
      <w:pPr>
        <w:pStyle w:val="Style38"/>
        <w:keepNext/>
        <w:keepLines/>
        <w:widowControl w:val="0"/>
        <w:shd w:val="clear" w:color="auto" w:fill="auto"/>
        <w:tabs>
          <w:tab w:pos="427"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color w:val="000000"/>
          <w:spacing w:val="0"/>
          <w:w w:val="100"/>
          <w:position w:val="0"/>
        </w:rPr>
        <w:t>、</w:t>
        <w:tab/>
        <w:t>本报告期无重要的共同经营</w:t>
      </w:r>
      <w:bookmarkEnd w:id="1565"/>
      <w:bookmarkEnd w:id="1566"/>
      <w:bookmarkEnd w:id="1568"/>
    </w:p>
    <w:p>
      <w:pPr>
        <w:pStyle w:val="Style38"/>
        <w:keepNext/>
        <w:keepLines/>
        <w:widowControl w:val="0"/>
        <w:shd w:val="clear" w:color="auto" w:fill="auto"/>
        <w:tabs>
          <w:tab w:pos="427" w:val="left"/>
        </w:tabs>
        <w:bidi w:val="0"/>
        <w:spacing w:before="0" w:after="96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5</w:t>
      </w:r>
      <w:bookmarkEnd w:id="1571"/>
      <w:r>
        <w:rPr>
          <w:color w:val="000000"/>
          <w:spacing w:val="0"/>
          <w:w w:val="100"/>
          <w:position w:val="0"/>
        </w:rPr>
        <w:t>、</w:t>
        <w:tab/>
        <w:t>本报告期无未纳入合并财务报表范围的结构化主体中的权益</w:t>
      </w:r>
      <w:bookmarkEnd w:id="1569"/>
      <w:bookmarkEnd w:id="1570"/>
      <w:bookmarkEnd w:id="1572"/>
    </w:p>
    <w:p>
      <w:pPr>
        <w:pStyle w:val="Style30"/>
        <w:keepNext/>
        <w:keepLines/>
        <w:widowControl w:val="0"/>
        <w:shd w:val="clear" w:color="auto" w:fill="auto"/>
        <w:bidi w:val="0"/>
        <w:spacing w:before="0" w:after="240" w:line="240" w:lineRule="auto"/>
        <w:ind w:left="0" w:right="0" w:firstLine="0"/>
        <w:jc w:val="left"/>
      </w:pPr>
      <w:bookmarkStart w:id="1573" w:name="bookmark1573"/>
      <w:bookmarkStart w:id="1574" w:name="bookmark1574"/>
      <w:bookmarkStart w:id="1575" w:name="bookmark1575"/>
      <w:r>
        <w:rPr>
          <w:color w:val="000000"/>
          <w:spacing w:val="0"/>
          <w:w w:val="100"/>
          <w:position w:val="0"/>
          <w:sz w:val="24"/>
          <w:szCs w:val="24"/>
        </w:rPr>
        <w:t>十、与金融工具相关的风险</w:t>
      </w:r>
      <w:bookmarkEnd w:id="1573"/>
      <w:bookmarkEnd w:id="1574"/>
      <w:bookmarkEnd w:id="1575"/>
    </w:p>
    <w:p>
      <w:pPr>
        <w:pStyle w:val="Style34"/>
        <w:keepNext w:val="0"/>
        <w:keepLines w:val="0"/>
        <w:widowControl w:val="0"/>
        <w:shd w:val="clear" w:color="auto" w:fill="auto"/>
        <w:bidi w:val="0"/>
        <w:spacing w:before="0" w:after="0" w:line="312" w:lineRule="exact"/>
        <w:ind w:left="0" w:right="0"/>
        <w:jc w:val="left"/>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34"/>
        <w:keepNext w:val="0"/>
        <w:keepLines w:val="0"/>
        <w:widowControl w:val="0"/>
        <w:shd w:val="clear" w:color="auto" w:fill="auto"/>
        <w:bidi w:val="0"/>
        <w:spacing w:before="0" w:after="0" w:line="312" w:lineRule="exact"/>
        <w:ind w:left="0" w:right="0" w:firstLine="0"/>
        <w:jc w:val="left"/>
      </w:pPr>
      <w:bookmarkStart w:id="1576" w:name="bookmark1576"/>
      <w:r>
        <w:rPr>
          <w:b/>
          <w:bCs/>
          <w:color w:val="000000"/>
          <w:spacing w:val="0"/>
          <w:w w:val="100"/>
          <w:position w:val="0"/>
        </w:rPr>
        <w:t>（</w:t>
      </w:r>
      <w:bookmarkEnd w:id="1576"/>
      <w:r>
        <w:rPr>
          <w:b/>
          <w:bCs/>
          <w:color w:val="000000"/>
          <w:spacing w:val="0"/>
          <w:w w:val="100"/>
          <w:position w:val="0"/>
        </w:rPr>
        <w:t>一）信用风险</w:t>
      </w:r>
    </w:p>
    <w:p>
      <w:pPr>
        <w:pStyle w:val="Style34"/>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信用风险是指交易对手未能履行合同义务而导致本公司发生财务损失的风险。</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本公信用风险主要产生于货币资金、应收账款和其他应收款等，于资产负债表日，本公司金融资产的账面价值已代表 其最大信用风险敞口；</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本公司货币资金主要为存放于声誉良好并拥有较高信用评级的国有银行和其他大中型上市银行的银行存款，本公司认为 </w:t>
      </w:r>
      <w:r>
        <w:rPr>
          <w:color w:val="000000"/>
          <w:spacing w:val="0"/>
          <w:w w:val="100"/>
          <w:position w:val="0"/>
        </w:rPr>
        <w:t>其不存在重大的信用风险，几乎不会产生因银行违约而导致的重大损失。</w:t>
      </w:r>
    </w:p>
    <w:p>
      <w:pPr>
        <w:pStyle w:val="Style34"/>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此外，对于应收账款、其他应收款等，本公司设定相关政策以控制信用风险敞口。本公司基于对客户的财务状况、从 第三方获取担保的可能性、信用记录及其他因素诸如目前市场状况等评估客户的信用资质并设置相应信用期。本公司会定期 对客户信用记录进行监控，对于信用记录不良的客户，本公司会采用书面催款、缩短信用期或取消信用期等方式，以确保本 公司的整体信用风险在可控的范围内。</w:t>
      </w:r>
    </w:p>
    <w:p>
      <w:pPr>
        <w:pStyle w:val="Style34"/>
        <w:keepNext w:val="0"/>
        <w:keepLines w:val="0"/>
        <w:widowControl w:val="0"/>
        <w:shd w:val="clear" w:color="auto" w:fill="auto"/>
        <w:tabs>
          <w:tab w:pos="522" w:val="left"/>
        </w:tabs>
        <w:bidi w:val="0"/>
        <w:spacing w:before="0" w:after="0" w:line="311" w:lineRule="exact"/>
        <w:ind w:left="0" w:right="0" w:firstLine="0"/>
        <w:jc w:val="left"/>
      </w:pPr>
      <w:bookmarkStart w:id="1577" w:name="bookmark1577"/>
      <w:r>
        <w:rPr>
          <w:b/>
          <w:bCs/>
          <w:color w:val="000000"/>
          <w:spacing w:val="0"/>
          <w:w w:val="100"/>
          <w:position w:val="0"/>
        </w:rPr>
        <w:t>（</w:t>
      </w:r>
      <w:bookmarkEnd w:id="1577"/>
      <w:r>
        <w:rPr>
          <w:b/>
          <w:bCs/>
          <w:color w:val="000000"/>
          <w:spacing w:val="0"/>
          <w:w w:val="100"/>
          <w:position w:val="0"/>
        </w:rPr>
        <w:t>二）</w:t>
        <w:tab/>
        <w:t>流动性风险</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流动性风险是指企业在履行以交付现金或其他金融资产的方式结算的义务时发生资金短缺的风险。</w:t>
      </w:r>
    </w:p>
    <w:p>
      <w:pPr>
        <w:pStyle w:val="Style34"/>
        <w:keepNext w:val="0"/>
        <w:keepLines w:val="0"/>
        <w:widowControl w:val="0"/>
        <w:shd w:val="clear" w:color="auto" w:fill="auto"/>
        <w:bidi w:val="0"/>
        <w:spacing w:before="0" w:after="0" w:line="311" w:lineRule="exact"/>
        <w:ind w:left="0" w:right="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34"/>
        <w:keepNext w:val="0"/>
        <w:keepLines w:val="0"/>
        <w:widowControl w:val="0"/>
        <w:shd w:val="clear" w:color="auto" w:fill="auto"/>
        <w:tabs>
          <w:tab w:pos="522" w:val="left"/>
        </w:tabs>
        <w:bidi w:val="0"/>
        <w:spacing w:before="0" w:after="0" w:line="311" w:lineRule="exact"/>
        <w:ind w:left="0" w:right="0" w:firstLine="0"/>
        <w:jc w:val="left"/>
      </w:pPr>
      <w:bookmarkStart w:id="1578" w:name="bookmark1578"/>
      <w:r>
        <w:rPr>
          <w:b/>
          <w:bCs/>
          <w:color w:val="000000"/>
          <w:spacing w:val="0"/>
          <w:w w:val="100"/>
          <w:position w:val="0"/>
        </w:rPr>
        <w:t>（</w:t>
      </w:r>
      <w:bookmarkEnd w:id="1578"/>
      <w:r>
        <w:rPr>
          <w:b/>
          <w:bCs/>
          <w:color w:val="000000"/>
          <w:spacing w:val="0"/>
          <w:w w:val="100"/>
          <w:position w:val="0"/>
        </w:rPr>
        <w:t>三）</w:t>
        <w:tab/>
        <w:t>市场风险</w:t>
      </w:r>
    </w:p>
    <w:p>
      <w:pPr>
        <w:pStyle w:val="Style34"/>
        <w:keepNext w:val="0"/>
        <w:keepLines w:val="0"/>
        <w:widowControl w:val="0"/>
        <w:shd w:val="clear" w:color="auto" w:fill="auto"/>
        <w:bidi w:val="0"/>
        <w:spacing w:before="0" w:after="60" w:line="311" w:lineRule="exact"/>
        <w:ind w:left="0" w:right="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34"/>
        <w:keepNext w:val="0"/>
        <w:keepLines w:val="0"/>
        <w:widowControl w:val="0"/>
        <w:shd w:val="clear" w:color="auto" w:fill="auto"/>
        <w:tabs>
          <w:tab w:pos="780" w:val="left"/>
        </w:tabs>
        <w:bidi w:val="0"/>
        <w:spacing w:before="0" w:after="0"/>
        <w:ind w:left="0" w:right="0" w:firstLine="460"/>
        <w:jc w:val="left"/>
      </w:pPr>
      <w:bookmarkStart w:id="1579" w:name="bookmark1579"/>
      <w:r>
        <w:rPr>
          <w:rFonts w:ascii="Times New Roman" w:eastAsia="Times New Roman" w:hAnsi="Times New Roman" w:cs="Times New Roman"/>
          <w:b/>
          <w:bCs/>
          <w:color w:val="000000"/>
          <w:spacing w:val="0"/>
          <w:w w:val="100"/>
          <w:position w:val="0"/>
        </w:rPr>
        <w:t>1</w:t>
      </w:r>
      <w:bookmarkEnd w:id="1579"/>
      <w:r>
        <w:rPr>
          <w:b/>
          <w:bCs/>
          <w:color w:val="000000"/>
          <w:spacing w:val="0"/>
          <w:w w:val="100"/>
          <w:position w:val="0"/>
        </w:rPr>
        <w:t>、</w:t>
        <w:tab/>
        <w:t>利率风险</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利率风险是指金融工具的公允价值或未来现金流量因市场利率变动而发生波动的风险。</w:t>
      </w:r>
    </w:p>
    <w:p>
      <w:pPr>
        <w:pStyle w:val="Style34"/>
        <w:keepNext w:val="0"/>
        <w:keepLines w:val="0"/>
        <w:widowControl w:val="0"/>
        <w:shd w:val="clear" w:color="auto" w:fill="auto"/>
        <w:bidi w:val="0"/>
        <w:spacing w:before="0" w:after="60" w:line="311" w:lineRule="exact"/>
        <w:ind w:left="0" w:right="0"/>
        <w:jc w:val="both"/>
      </w:pPr>
      <w:r>
        <w:rPr>
          <w:color w:val="000000"/>
          <w:spacing w:val="0"/>
          <w:w w:val="100"/>
          <w:position w:val="0"/>
        </w:rPr>
        <w:t>利率风险，是指金融工具的公允价值或未来现金流量因市场利率变动而发生波动的风险。本公司面临的利率风险主要来 源于银行长短期借款。公司通过建立良好的银企关系，对授信额度、授信品种以及授信期限进行合理的设计，保障银行授信 额度充足，满足公司各类融资需求。并且通过缩短单笔借款的期限，特别约定提前还款条款，合理降低利率波动风险。</w:t>
      </w:r>
    </w:p>
    <w:p>
      <w:pPr>
        <w:pStyle w:val="Style34"/>
        <w:keepNext w:val="0"/>
        <w:keepLines w:val="0"/>
        <w:widowControl w:val="0"/>
        <w:shd w:val="clear" w:color="auto" w:fill="auto"/>
        <w:tabs>
          <w:tab w:pos="795" w:val="left"/>
        </w:tabs>
        <w:bidi w:val="0"/>
        <w:spacing w:before="0" w:after="0"/>
        <w:ind w:left="0" w:right="0" w:firstLine="460"/>
        <w:jc w:val="left"/>
      </w:pPr>
      <w:bookmarkStart w:id="1580" w:name="bookmark1580"/>
      <w:r>
        <w:rPr>
          <w:rFonts w:ascii="Times New Roman" w:eastAsia="Times New Roman" w:hAnsi="Times New Roman" w:cs="Times New Roman"/>
          <w:b/>
          <w:bCs/>
          <w:color w:val="000000"/>
          <w:spacing w:val="0"/>
          <w:w w:val="100"/>
          <w:position w:val="0"/>
        </w:rPr>
        <w:t>2</w:t>
      </w:r>
      <w:bookmarkEnd w:id="1580"/>
      <w:r>
        <w:rPr>
          <w:b/>
          <w:bCs/>
          <w:color w:val="000000"/>
          <w:spacing w:val="0"/>
          <w:w w:val="100"/>
          <w:position w:val="0"/>
        </w:rPr>
        <w:t>、</w:t>
        <w:tab/>
        <w:t>汇率风险</w:t>
      </w:r>
    </w:p>
    <w:p>
      <w:pPr>
        <w:pStyle w:val="Style34"/>
        <w:keepNext w:val="0"/>
        <w:keepLines w:val="0"/>
        <w:widowControl w:val="0"/>
        <w:shd w:val="clear" w:color="auto" w:fill="auto"/>
        <w:bidi w:val="0"/>
        <w:spacing w:before="0" w:after="0" w:line="311" w:lineRule="exact"/>
        <w:ind w:left="0" w:right="0" w:firstLine="360"/>
        <w:jc w:val="left"/>
      </w:pPr>
      <w:r>
        <w:rPr>
          <w:color w:val="000000"/>
          <w:spacing w:val="0"/>
          <w:w w:val="100"/>
          <w:position w:val="0"/>
        </w:rPr>
        <w:t>汇率风险是指金融工具的公允价值或未来现金流量因外汇汇率变动而发生波动的风险。</w:t>
      </w:r>
    </w:p>
    <w:p>
      <w:pPr>
        <w:pStyle w:val="Style34"/>
        <w:keepNext w:val="0"/>
        <w:keepLines w:val="0"/>
        <w:widowControl w:val="0"/>
        <w:shd w:val="clear" w:color="auto" w:fill="auto"/>
        <w:bidi w:val="0"/>
        <w:spacing w:before="0" w:after="360" w:line="311" w:lineRule="exact"/>
        <w:ind w:left="0" w:right="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 本公司面临的汇率风险主要来源于以美元计价的金融资产和金融负债，外币金融资产和外币金融负债折算成人民币的金额列 示如下：</w:t>
      </w:r>
    </w:p>
    <w:tbl>
      <w:tblPr>
        <w:tblOverlap w:val="never"/>
        <w:jc w:val="center"/>
        <w:tblLayout w:type="fixed"/>
      </w:tblPr>
      <w:tblGrid>
        <w:gridCol w:w="1080"/>
        <w:gridCol w:w="1128"/>
        <w:gridCol w:w="1210"/>
        <w:gridCol w:w="1219"/>
        <w:gridCol w:w="1133"/>
        <w:gridCol w:w="1138"/>
        <w:gridCol w:w="1147"/>
      </w:tblGrid>
      <w:tr>
        <w:trPr>
          <w:trHeight w:val="355"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其他外币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合计</w:t>
            </w:r>
          </w:p>
        </w:tc>
      </w:tr>
      <w:tr>
        <w:trPr>
          <w:trHeight w:val="346"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11,740,425.41</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2,568.45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11,742,993.86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18,172,786.27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3,378.63</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18,176,164.90</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交易性金融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117,946,015.65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117,946,015.65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38,354,612.26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38,354,612.26</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137,206.51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1,336.29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138,542.80</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11,740,425.41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117,948,584.10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129,689,009.51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18,309,992.78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38,359,327.18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56,669,319.96</w:t>
            </w:r>
          </w:p>
        </w:tc>
      </w:tr>
    </w:tbl>
    <w:p>
      <w:pPr>
        <w:pStyle w:val="Style3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、其他价格风险</w:t>
      </w:r>
    </w:p>
    <w:p>
      <w:pPr>
        <w:pStyle w:val="Style34"/>
        <w:keepNext w:val="0"/>
        <w:keepLines w:val="0"/>
        <w:widowControl w:val="0"/>
        <w:shd w:val="clear" w:color="auto" w:fill="auto"/>
        <w:bidi w:val="0"/>
        <w:spacing w:before="0" w:after="0" w:line="312" w:lineRule="exact"/>
        <w:ind w:left="0" w:right="0"/>
        <w:jc w:val="both"/>
      </w:pPr>
      <w:r>
        <w:rPr>
          <w:color w:val="000000"/>
          <w:spacing w:val="0"/>
          <w:w w:val="100"/>
          <w:position w:val="0"/>
        </w:rPr>
        <w:t>其他价格风险是指金融工具的公允价值或未来现金流量因汇率风险和利率风险以外的市场价格变动而发生波动的风险。 本公司其他价格风险主要产生于各类权益工具投资，存在权益工具价格变动的风险。</w:t>
      </w:r>
    </w:p>
    <w:p>
      <w:pPr>
        <w:pStyle w:val="Style34"/>
        <w:keepNext w:val="0"/>
        <w:keepLines w:val="0"/>
        <w:widowControl w:val="0"/>
        <w:shd w:val="clear" w:color="auto" w:fill="auto"/>
        <w:bidi w:val="0"/>
        <w:spacing w:before="0" w:after="60" w:line="312" w:lineRule="exact"/>
        <w:ind w:left="0" w:right="0"/>
        <w:jc w:val="both"/>
      </w:pPr>
      <w:r>
        <w:rPr>
          <w:color w:val="000000"/>
          <w:spacing w:val="0"/>
          <w:w w:val="100"/>
          <w:position w:val="0"/>
        </w:rPr>
        <w:t>本公司持有的上市公司权益投资列示如下：</w:t>
      </w:r>
    </w:p>
    <w:tbl>
      <w:tblPr>
        <w:tblOverlap w:val="never"/>
        <w:jc w:val="center"/>
        <w:tblLayout w:type="fixed"/>
      </w:tblPr>
      <w:tblGrid>
        <w:gridCol w:w="3370"/>
        <w:gridCol w:w="2410"/>
        <w:gridCol w:w="2280"/>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445,420,274.66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328,941,689.76</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445,420,274.66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328,941,689.76</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color w:val="000000"/>
          <w:spacing w:val="0"/>
          <w:w w:val="100"/>
          <w:position w:val="0"/>
          <w:sz w:val="24"/>
          <w:szCs w:val="24"/>
        </w:rPr>
        <w:t>十一、公允价值的披露</w:t>
      </w:r>
      <w:bookmarkEnd w:id="1581"/>
      <w:bookmarkEnd w:id="1582"/>
      <w:bookmarkEnd w:id="1583"/>
    </w:p>
    <w:p>
      <w:pPr>
        <w:pStyle w:val="Style38"/>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4"/>
      <w:bookmarkEnd w:id="1585"/>
      <w:bookmarkEnd w:id="158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第一层次公允价值计</w:t>
            </w:r>
          </w:p>
          <w:p>
            <w:pPr>
              <w:pStyle w:val="Style27"/>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445,420,274.66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17,771,180.38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463,191,455.04</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以公允价值计量且其变 动计入当期损益的金融 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445,420,274.66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17,771,180.38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463,191,455.04</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6,100,564.88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445,420,274.66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445,420,274.66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11,670,615.50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11,670,615.50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（二）其他非流动金融资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386,885,702.47</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 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386,885,702.47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386,885,702.47</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445,420,274.66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17,771,180.38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386,885,702.47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pPr>
            <w:r>
              <w:rPr>
                <w:color w:val="000000"/>
                <w:spacing w:val="0"/>
                <w:w w:val="100"/>
                <w:position w:val="0"/>
              </w:rPr>
              <w:t>850,077,157.51</w:t>
            </w: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87"/>
      <w:bookmarkEnd w:id="1588"/>
      <w:bookmarkEnd w:id="1589"/>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公司持有的交易性金融资产中的上市公司股票投资，年末公允价值按资产负债表日公开交易市场的收盘价确定。</w:t>
      </w:r>
    </w:p>
    <w:p>
      <w:pPr>
        <w:pStyle w:val="Style38"/>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3</w:t>
      </w:r>
      <w:bookmarkEnd w:id="1592"/>
      <w:r>
        <w:rPr>
          <w:color w:val="000000"/>
          <w:spacing w:val="0"/>
          <w:w w:val="100"/>
          <w:position w:val="0"/>
        </w:rPr>
        <w:t>、持续和非持续第二层次公允价值计量项目，采用的估值技术和重要参数的定性及定量信息</w:t>
      </w:r>
      <w:bookmarkEnd w:id="1590"/>
      <w:bookmarkEnd w:id="1591"/>
      <w:bookmarkEnd w:id="1593"/>
    </w:p>
    <w:tbl>
      <w:tblPr>
        <w:tblOverlap w:val="never"/>
        <w:jc w:val="center"/>
        <w:tblLayout w:type="fixed"/>
      </w:tblPr>
      <w:tblGrid>
        <w:gridCol w:w="3269"/>
        <w:gridCol w:w="1450"/>
        <w:gridCol w:w="1243"/>
        <w:gridCol w:w="1560"/>
        <w:gridCol w:w="1997"/>
      </w:tblGrid>
      <w:tr>
        <w:trPr>
          <w:trHeight w:val="35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180"/>
              <w:jc w:val="left"/>
            </w:pPr>
            <w:r>
              <w:rPr>
                <w:rFonts w:ascii="SimSun" w:eastAsia="SimSun" w:hAnsi="SimSun" w:cs="SimSun"/>
                <w:color w:val="000000"/>
                <w:spacing w:val="0"/>
                <w:w w:val="100"/>
                <w:position w:val="0"/>
              </w:rPr>
              <w:t>期末公允价值</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260"/>
              <w:jc w:val="left"/>
            </w:pPr>
            <w:r>
              <w:rPr>
                <w:rFonts w:ascii="SimSun" w:eastAsia="SimSun" w:hAnsi="SimSun" w:cs="SimSun"/>
                <w:color w:val="000000"/>
                <w:spacing w:val="0"/>
                <w:w w:val="100"/>
                <w:position w:val="0"/>
              </w:rPr>
              <w:t>估值技术</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重要参数</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定性信息</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定量信息</w:t>
            </w:r>
          </w:p>
        </w:tc>
      </w:tr>
      <w:tr>
        <w:trPr>
          <w:trHeight w:val="128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交易性金融资产 以公允价值计量且其变动计入当期损益的 金融资产：</w:t>
            </w:r>
          </w:p>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债务工具投资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6,100,564.88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市场法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类似资产的报价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风险低、票面利率计价</w:t>
            </w:r>
          </w:p>
        </w:tc>
      </w:tr>
    </w:tbl>
    <w:tbl>
      <w:tblPr>
        <w:tblOverlap w:val="never"/>
        <w:jc w:val="center"/>
        <w:tblLayout w:type="fixed"/>
      </w:tblPr>
      <w:tblGrid>
        <w:gridCol w:w="3269"/>
        <w:gridCol w:w="1450"/>
        <w:gridCol w:w="1243"/>
        <w:gridCol w:w="1560"/>
        <w:gridCol w:w="1997"/>
      </w:tblGrid>
      <w:tr>
        <w:trPr>
          <w:trHeight w:val="130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交易性金融资产</w:t>
            </w:r>
          </w:p>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以公允价值计量且其变动计入当期损益的</w:t>
            </w:r>
          </w:p>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金融资产：</w:t>
            </w:r>
          </w:p>
          <w:p>
            <w:pPr>
              <w:pStyle w:val="Style2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理财产品、可转债、货币基金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11,670,615.50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市场法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类似资产的报价</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风险低、票面利率计价</w:t>
            </w:r>
          </w:p>
        </w:tc>
      </w:tr>
    </w:tbl>
    <w:p>
      <w:pPr>
        <w:widowControl w:val="0"/>
        <w:spacing w:after="339" w:line="1" w:lineRule="exact"/>
      </w:pPr>
    </w:p>
    <w:p>
      <w:pPr>
        <w:pStyle w:val="Style38"/>
        <w:keepNext/>
        <w:keepLines/>
        <w:widowControl w:val="0"/>
        <w:shd w:val="clear" w:color="auto" w:fill="auto"/>
        <w:bidi w:val="0"/>
        <w:spacing w:before="0" w:after="26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color w:val="000000"/>
          <w:spacing w:val="0"/>
          <w:w w:val="100"/>
          <w:position w:val="0"/>
        </w:rPr>
        <w:t>、持续和非持续第三层次公允价值计量项目，采用的估值技术和重要参数的定性及定量信息</w:t>
      </w:r>
      <w:bookmarkEnd w:id="1594"/>
      <w:bookmarkEnd w:id="1595"/>
      <w:bookmarkEnd w:id="1597"/>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持续第三层次公允价值计量的其他非流动金融资产系本公司持有的非上市公司权益投资。</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本公司获取被投资企业的年度审计报告，考虑被投资企业经营环境和经营情况、财务状况，以公司的期末净资产为基础确定 期末公允价值。</w:t>
      </w:r>
    </w:p>
    <w:p>
      <w:pPr>
        <w:pStyle w:val="Style34"/>
        <w:keepNext w:val="0"/>
        <w:keepLines w:val="0"/>
        <w:widowControl w:val="0"/>
        <w:shd w:val="clear" w:color="auto" w:fill="auto"/>
        <w:bidi w:val="0"/>
        <w:spacing w:before="0" w:after="340" w:line="312" w:lineRule="exact"/>
        <w:ind w:left="0" w:right="0" w:firstLine="0"/>
        <w:jc w:val="both"/>
      </w:pPr>
      <w:r>
        <w:rPr>
          <w:color w:val="000000"/>
          <w:spacing w:val="0"/>
          <w:w w:val="100"/>
          <w:position w:val="0"/>
        </w:rPr>
        <w:t>部分金额比较小的其他非流动金融资产，因被投资企业经营环境和经营情况、财务状况未发生重大变化，本公司以投资成本 作为公允价值的合理估计进行计量。</w:t>
      </w:r>
    </w:p>
    <w:p>
      <w:pPr>
        <w:pStyle w:val="Style30"/>
        <w:keepNext/>
        <w:keepLines/>
        <w:widowControl w:val="0"/>
        <w:shd w:val="clear" w:color="auto" w:fill="auto"/>
        <w:bidi w:val="0"/>
        <w:spacing w:before="0" w:line="240" w:lineRule="auto"/>
        <w:ind w:left="0" w:right="0" w:firstLine="0"/>
        <w:jc w:val="both"/>
      </w:pPr>
      <w:bookmarkStart w:id="1598" w:name="bookmark1598"/>
      <w:bookmarkStart w:id="1599" w:name="bookmark1599"/>
      <w:bookmarkStart w:id="1600" w:name="bookmark1600"/>
      <w:r>
        <w:rPr>
          <w:color w:val="000000"/>
          <w:spacing w:val="0"/>
          <w:w w:val="100"/>
          <w:position w:val="0"/>
          <w:sz w:val="24"/>
          <w:szCs w:val="24"/>
        </w:rPr>
        <w:t>十二、关联方及关联交易</w:t>
      </w:r>
      <w:bookmarkEnd w:id="1598"/>
      <w:bookmarkEnd w:id="1599"/>
      <w:bookmarkEnd w:id="1600"/>
    </w:p>
    <w:p>
      <w:pPr>
        <w:pStyle w:val="Style38"/>
        <w:keepNext/>
        <w:keepLines/>
        <w:widowControl w:val="0"/>
        <w:shd w:val="clear" w:color="auto" w:fill="auto"/>
        <w:tabs>
          <w:tab w:pos="368" w:val="left"/>
        </w:tabs>
        <w:bidi w:val="0"/>
        <w:spacing w:before="0" w:after="26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bookmarkEnd w:id="1603"/>
      <w:r>
        <w:rPr>
          <w:color w:val="000000"/>
          <w:spacing w:val="0"/>
          <w:w w:val="100"/>
          <w:position w:val="0"/>
        </w:rPr>
        <w:t>、</w:t>
        <w:tab/>
        <w:t>本企业的母公司情况</w:t>
      </w:r>
      <w:bookmarkEnd w:id="1601"/>
      <w:bookmarkEnd w:id="1602"/>
      <w:bookmarkEnd w:id="1604"/>
    </w:p>
    <w:p>
      <w:pPr>
        <w:pStyle w:val="Style34"/>
        <w:keepNext w:val="0"/>
        <w:keepLines w:val="0"/>
        <w:widowControl w:val="0"/>
        <w:shd w:val="clear" w:color="auto" w:fill="auto"/>
        <w:bidi w:val="0"/>
        <w:spacing w:before="0" w:after="0" w:line="310" w:lineRule="exact"/>
        <w:ind w:left="0" w:right="0"/>
        <w:jc w:val="left"/>
      </w:pPr>
      <w:r>
        <w:rPr>
          <w:color w:val="000000"/>
          <w:spacing w:val="0"/>
          <w:w w:val="100"/>
          <w:position w:val="0"/>
        </w:rPr>
        <w:t>公司无母公司，公司实际控制人为杨文江。截止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日，杨文江持有公司股份</w:t>
      </w:r>
      <w:r>
        <w:rPr>
          <w:rFonts w:ascii="Times New Roman" w:eastAsia="Times New Roman" w:hAnsi="Times New Roman" w:cs="Times New Roman"/>
          <w:color w:val="000000"/>
          <w:spacing w:val="0"/>
          <w:w w:val="100"/>
          <w:position w:val="0"/>
        </w:rPr>
        <w:t>145,192,825.00</w:t>
      </w:r>
      <w:r>
        <w:rPr>
          <w:color w:val="000000"/>
          <w:spacing w:val="0"/>
          <w:w w:val="100"/>
          <w:position w:val="0"/>
        </w:rPr>
        <w:t xml:space="preserve">股，持股比例为 </w:t>
      </w:r>
      <w:r>
        <w:rPr>
          <w:rFonts w:ascii="Times New Roman" w:eastAsia="Times New Roman" w:hAnsi="Times New Roman" w:cs="Times New Roman"/>
          <w:color w:val="000000"/>
          <w:spacing w:val="0"/>
          <w:w w:val="100"/>
          <w:position w:val="0"/>
        </w:rPr>
        <w:t>19.07%</w:t>
      </w:r>
      <w:r>
        <w:rPr>
          <w:color w:val="000000"/>
          <w:spacing w:val="0"/>
          <w:w w:val="100"/>
          <w:position w:val="0"/>
        </w:rPr>
        <w:t>，其中累计存放于华安证券客户信用交易担保证券账户的公司股份为</w:t>
      </w:r>
      <w:r>
        <w:rPr>
          <w:rFonts w:ascii="Times New Roman" w:eastAsia="Times New Roman" w:hAnsi="Times New Roman" w:cs="Times New Roman"/>
          <w:color w:val="000000"/>
          <w:spacing w:val="0"/>
          <w:w w:val="100"/>
          <w:position w:val="0"/>
        </w:rPr>
        <w:t>118,279,426.00</w:t>
      </w:r>
      <w:r>
        <w:rPr>
          <w:color w:val="000000"/>
          <w:spacing w:val="0"/>
          <w:w w:val="100"/>
          <w:position w:val="0"/>
        </w:rPr>
        <w:t xml:space="preserve">股，占其持有公司股份总数的 </w:t>
      </w:r>
      <w:r>
        <w:rPr>
          <w:rFonts w:ascii="Times New Roman" w:eastAsia="Times New Roman" w:hAnsi="Times New Roman" w:cs="Times New Roman"/>
          <w:color w:val="000000"/>
          <w:spacing w:val="0"/>
          <w:w w:val="100"/>
          <w:position w:val="0"/>
        </w:rPr>
        <w:t>81.46%</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15.54%</w:t>
      </w:r>
      <w:r>
        <w:rPr>
          <w:color w:val="000000"/>
          <w:spacing w:val="0"/>
          <w:w w:val="100"/>
          <w:position w:val="0"/>
        </w:rPr>
        <w:t>；累计已质押的公司股份为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10.46%</w:t>
      </w:r>
      <w:r>
        <w:rPr>
          <w:color w:val="000000"/>
          <w:spacing w:val="0"/>
          <w:w w:val="100"/>
          <w:position w:val="0"/>
        </w:rPr>
        <w:t>,占公司总股 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34"/>
        <w:keepNext w:val="0"/>
        <w:keepLines w:val="0"/>
        <w:widowControl w:val="0"/>
        <w:shd w:val="clear" w:color="auto" w:fill="auto"/>
        <w:bidi w:val="0"/>
        <w:spacing w:before="0" w:after="340" w:line="312" w:lineRule="exact"/>
        <w:ind w:left="0" w:right="0"/>
        <w:jc w:val="both"/>
      </w:pPr>
      <w:r>
        <w:rPr>
          <w:color w:val="000000"/>
          <w:spacing w:val="0"/>
          <w:w w:val="100"/>
          <w:position w:val="0"/>
        </w:rPr>
        <w:t>本企业最终控制方是杨文江。</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color w:val="000000"/>
          <w:spacing w:val="0"/>
          <w:w w:val="100"/>
          <w:position w:val="0"/>
        </w:rPr>
        <w:t>、</w:t>
        <w:tab/>
        <w:t>本企业的子公司情况</w:t>
      </w:r>
      <w:bookmarkEnd w:id="1605"/>
      <w:bookmarkEnd w:id="1606"/>
      <w:bookmarkEnd w:id="1608"/>
    </w:p>
    <w:p>
      <w:pPr>
        <w:pStyle w:val="Style34"/>
        <w:keepNext w:val="0"/>
        <w:keepLines w:val="0"/>
        <w:widowControl w:val="0"/>
        <w:shd w:val="clear" w:color="auto" w:fill="auto"/>
        <w:bidi w:val="0"/>
        <w:spacing w:before="0" w:after="340" w:line="312" w:lineRule="exact"/>
        <w:ind w:left="0" w:right="0"/>
        <w:jc w:val="both"/>
      </w:pPr>
      <w:r>
        <w:rPr>
          <w:color w:val="000000"/>
          <w:spacing w:val="0"/>
          <w:w w:val="100"/>
          <w:position w:val="0"/>
        </w:rPr>
        <w:t>本企业子公司的情况详见本财务报告“九、在其他主体中的权益”。</w:t>
      </w:r>
    </w:p>
    <w:p>
      <w:pPr>
        <w:pStyle w:val="Style38"/>
        <w:keepNext/>
        <w:keepLines/>
        <w:widowControl w:val="0"/>
        <w:shd w:val="clear" w:color="auto" w:fill="auto"/>
        <w:tabs>
          <w:tab w:pos="378" w:val="left"/>
        </w:tabs>
        <w:bidi w:val="0"/>
        <w:spacing w:before="0" w:after="2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3</w:t>
      </w:r>
      <w:bookmarkEnd w:id="1611"/>
      <w:r>
        <w:rPr>
          <w:color w:val="000000"/>
          <w:spacing w:val="0"/>
          <w:w w:val="100"/>
          <w:position w:val="0"/>
        </w:rPr>
        <w:t>、</w:t>
        <w:tab/>
        <w:t>本企业合营和联营企业情况</w:t>
      </w:r>
      <w:bookmarkEnd w:id="1609"/>
      <w:bookmarkEnd w:id="1610"/>
      <w:bookmarkEnd w:id="1612"/>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本企业重要的合营或联营企业详见本财务报告“九、在其他主体中的权益”。</w:t>
      </w:r>
    </w:p>
    <w:p>
      <w:pPr>
        <w:pStyle w:val="Style3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本公司参股的企业</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4</w:t>
      </w:r>
      <w:bookmarkEnd w:id="1615"/>
      <w:r>
        <w:rPr>
          <w:color w:val="000000"/>
          <w:spacing w:val="0"/>
          <w:w w:val="100"/>
          <w:position w:val="0"/>
        </w:rPr>
        <w:t>、其他关联方情况</w:t>
      </w:r>
      <w:bookmarkEnd w:id="1613"/>
      <w:bookmarkEnd w:id="1614"/>
      <w:bookmarkEnd w:id="161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本公司控股股东控股</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广州七一一电子信息科技有限公司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佛山盛普达汽车租赁有限公司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深圳安易达商务汽车服务有限公司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本公司控股股东控股</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广州一贯机电设备有限公司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本公司控股股东亲属控制的企业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广州粤心安物业管理有限公司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本公司控股股东控股公司的控股子公司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北京二加一汽车租赁有限公司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本公司参股的企业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公司控股股东</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color w:val="000000"/>
          <w:spacing w:val="0"/>
          <w:w w:val="100"/>
          <w:position w:val="0"/>
        </w:rPr>
        <w:t>、关联交易情况</w:t>
      </w:r>
      <w:bookmarkEnd w:id="1617"/>
      <w:bookmarkEnd w:id="1618"/>
      <w:bookmarkEnd w:id="1620"/>
    </w:p>
    <w:p>
      <w:pPr>
        <w:pStyle w:val="Style41"/>
        <w:keepNext/>
        <w:keepLines/>
        <w:widowControl w:val="0"/>
        <w:shd w:val="clear" w:color="auto" w:fill="auto"/>
        <w:bidi w:val="0"/>
        <w:spacing w:before="0" w:after="320" w:line="240" w:lineRule="auto"/>
        <w:ind w:left="0" w:right="0" w:firstLine="0"/>
        <w:jc w:val="left"/>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21"/>
      <w:bookmarkEnd w:id="1622"/>
      <w:bookmarkEnd w:id="1623"/>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广州智萃电子科技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1,446,221.72</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广州粤心安物业管 理有限公司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805,179.11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30"/>
                <w:szCs w:val="30"/>
              </w:rPr>
            </w:pPr>
            <w:r>
              <w:rPr>
                <w:rFonts w:ascii="SimSun" w:eastAsia="SimSun" w:hAnsi="SimSun" w:cs="SimSun"/>
                <w:color w:val="000000"/>
                <w:spacing w:val="0"/>
                <w:w w:val="100"/>
                <w:position w:val="0"/>
                <w:sz w:val="30"/>
                <w:szCs w:val="30"/>
                <w:vertAlign w:val="subscript"/>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836,355.99</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256,098.47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24"/>
      <w:bookmarkEnd w:id="1625"/>
      <w:bookmarkEnd w:id="1626"/>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131,212.92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370,727.76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306,546.51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284,241.41</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广州青创科技企业孵化器有 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646,200.20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620,867.92</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w:t>
      </w:r>
      <w:bookmarkEnd w:id="1629"/>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27"/>
      <w:bookmarkEnd w:id="1628"/>
      <w:bookmarkEnd w:id="1630"/>
    </w:p>
    <w:p>
      <w:pPr>
        <w:pStyle w:val="Style3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广州七一一电子信息科</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技有限公司</w:t>
            </w:r>
            <w:r>
              <w:rPr>
                <w:color w:val="000000"/>
                <w:spacing w:val="0"/>
                <w:w w:val="100"/>
                <w:position w:val="0"/>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担保是否已经履行完毕</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r>
              <w:rPr>
                <w:color w:val="000000"/>
                <w:spacing w:val="0"/>
                <w:w w:val="100"/>
                <w:position w:val="0"/>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231,000,000.00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2033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19" w:line="1" w:lineRule="exact"/>
      </w:pPr>
    </w:p>
    <w:p>
      <w:pPr>
        <w:pStyle w:val="Style3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日，子公司北京广粤科技有限公司与广发银行股份有限公司广州分行签订了编号为（</w:t>
      </w:r>
      <w:r>
        <w:rPr>
          <w:rFonts w:ascii="Times New Roman" w:eastAsia="Times New Roman" w:hAnsi="Times New Roman" w:cs="Times New Roman"/>
          <w:color w:val="000000"/>
          <w:spacing w:val="0"/>
          <w:w w:val="100"/>
          <w:position w:val="0"/>
        </w:rPr>
        <w:t>2019</w:t>
      </w:r>
      <w:r>
        <w:rPr>
          <w:color w:val="000000"/>
          <w:spacing w:val="0"/>
          <w:w w:val="100"/>
          <w:position w:val="0"/>
        </w:rPr>
        <w:t>）穗银综授额字 第</w:t>
      </w:r>
      <w:r>
        <w:rPr>
          <w:rFonts w:ascii="Times New Roman" w:eastAsia="Times New Roman" w:hAnsi="Times New Roman" w:cs="Times New Roman"/>
          <w:color w:val="000000"/>
          <w:spacing w:val="0"/>
          <w:w w:val="100"/>
          <w:position w:val="0"/>
        </w:rPr>
        <w:t>000552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担保</w:t>
      </w:r>
      <w:r>
        <w:rPr>
          <w:rFonts w:ascii="Times New Roman" w:eastAsia="Times New Roman" w:hAnsi="Times New Roman" w:cs="Times New Roman"/>
          <w:color w:val="000000"/>
          <w:spacing w:val="0"/>
          <w:w w:val="100"/>
          <w:position w:val="0"/>
        </w:rPr>
        <w:t>01</w:t>
      </w:r>
      <w:r>
        <w:rPr>
          <w:color w:val="000000"/>
          <w:spacing w:val="0"/>
          <w:w w:val="100"/>
          <w:position w:val="0"/>
        </w:rPr>
        <w:t>的最高额抵押合同，为广州七一一电子信息科技有限公司与广发银行股份有限公司广州分行签订的编号 为（</w:t>
      </w:r>
      <w:r>
        <w:rPr>
          <w:rFonts w:ascii="Times New Roman" w:eastAsia="Times New Roman" w:hAnsi="Times New Roman" w:cs="Times New Roman"/>
          <w:color w:val="000000"/>
          <w:spacing w:val="0"/>
          <w:w w:val="100"/>
          <w:position w:val="0"/>
        </w:rPr>
        <w:t>2019</w:t>
      </w:r>
      <w:r>
        <w:rPr>
          <w:color w:val="000000"/>
          <w:spacing w:val="0"/>
          <w:w w:val="100"/>
          <w:position w:val="0"/>
        </w:rPr>
        <w:t>）穗银综授额字第</w:t>
      </w:r>
      <w:r>
        <w:rPr>
          <w:rFonts w:ascii="Times New Roman" w:eastAsia="Times New Roman" w:hAnsi="Times New Roman" w:cs="Times New Roman"/>
          <w:color w:val="000000"/>
          <w:spacing w:val="0"/>
          <w:w w:val="100"/>
          <w:position w:val="0"/>
        </w:rPr>
        <w:t>000552</w:t>
      </w:r>
      <w:r>
        <w:rPr>
          <w:color w:val="000000"/>
          <w:spacing w:val="0"/>
          <w:w w:val="100"/>
          <w:position w:val="0"/>
        </w:rPr>
        <w:t>号的《授信额度合同》提供最高额为</w:t>
      </w:r>
      <w:r>
        <w:rPr>
          <w:rFonts w:ascii="Times New Roman" w:eastAsia="Times New Roman" w:hAnsi="Times New Roman" w:cs="Times New Roman"/>
          <w:color w:val="000000"/>
          <w:spacing w:val="0"/>
          <w:w w:val="100"/>
          <w:position w:val="0"/>
        </w:rPr>
        <w:t>17,000,000.00</w:t>
      </w:r>
      <w:r>
        <w:rPr>
          <w:color w:val="000000"/>
          <w:spacing w:val="0"/>
          <w:w w:val="100"/>
          <w:position w:val="0"/>
        </w:rPr>
        <w:t>元的抵押担保，抵押物为北京市朝阳区 建国路乙</w:t>
      </w:r>
      <w:r>
        <w:rPr>
          <w:rFonts w:ascii="Times New Roman" w:eastAsia="Times New Roman" w:hAnsi="Times New Roman" w:cs="Times New Roman"/>
          <w:color w:val="000000"/>
          <w:spacing w:val="0"/>
          <w:w w:val="100"/>
          <w:position w:val="0"/>
        </w:rPr>
        <w:t>108</w:t>
      </w:r>
      <w:r>
        <w:rPr>
          <w:color w:val="000000"/>
          <w:spacing w:val="0"/>
          <w:w w:val="100"/>
          <w:position w:val="0"/>
        </w:rPr>
        <w:t>号</w:t>
      </w:r>
      <w:r>
        <w:rPr>
          <w:rFonts w:ascii="Times New Roman" w:eastAsia="Times New Roman" w:hAnsi="Times New Roman" w:cs="Times New Roman"/>
          <w:color w:val="000000"/>
          <w:spacing w:val="0"/>
          <w:w w:val="100"/>
          <w:position w:val="0"/>
        </w:rPr>
        <w:t>9</w:t>
      </w:r>
      <w:r>
        <w:rPr>
          <w:color w:val="000000"/>
          <w:spacing w:val="0"/>
          <w:w w:val="100"/>
          <w:position w:val="0"/>
        </w:rPr>
        <w:t>层</w:t>
      </w:r>
      <w:r>
        <w:rPr>
          <w:rFonts w:ascii="Times New Roman" w:eastAsia="Times New Roman" w:hAnsi="Times New Roman" w:cs="Times New Roman"/>
          <w:color w:val="000000"/>
          <w:spacing w:val="0"/>
          <w:w w:val="100"/>
          <w:position w:val="0"/>
        </w:rPr>
        <w:t>2</w:t>
      </w:r>
      <w:r>
        <w:rPr>
          <w:color w:val="000000"/>
          <w:spacing w:val="0"/>
          <w:w w:val="100"/>
          <w:position w:val="0"/>
        </w:rPr>
        <w:t>单元</w:t>
      </w:r>
      <w:r>
        <w:rPr>
          <w:rFonts w:ascii="Times New Roman" w:eastAsia="Times New Roman" w:hAnsi="Times New Roman" w:cs="Times New Roman"/>
          <w:color w:val="000000"/>
          <w:spacing w:val="0"/>
          <w:w w:val="100"/>
          <w:position w:val="0"/>
        </w:rPr>
        <w:t>905</w:t>
      </w:r>
      <w:r>
        <w:rPr>
          <w:color w:val="000000"/>
          <w:spacing w:val="0"/>
          <w:w w:val="100"/>
          <w:position w:val="0"/>
        </w:rPr>
        <w:t>的房屋建筑物，权证编号为京（</w:t>
      </w:r>
      <w:r>
        <w:rPr>
          <w:rFonts w:ascii="Times New Roman" w:eastAsia="Times New Roman" w:hAnsi="Times New Roman" w:cs="Times New Roman"/>
          <w:color w:val="000000"/>
          <w:spacing w:val="0"/>
          <w:w w:val="100"/>
          <w:position w:val="0"/>
        </w:rPr>
        <w:t>2018</w:t>
      </w:r>
      <w:r>
        <w:rPr>
          <w:color w:val="000000"/>
          <w:spacing w:val="0"/>
          <w:w w:val="100"/>
          <w:position w:val="0"/>
        </w:rPr>
        <w:t>）朝不动产权第</w:t>
      </w:r>
      <w:r>
        <w:rPr>
          <w:rFonts w:ascii="Times New Roman" w:eastAsia="Times New Roman" w:hAnsi="Times New Roman" w:cs="Times New Roman"/>
          <w:color w:val="000000"/>
          <w:spacing w:val="0"/>
          <w:w w:val="100"/>
          <w:position w:val="0"/>
        </w:rPr>
        <w:t>0026692</w:t>
      </w:r>
      <w:r>
        <w:rPr>
          <w:color w:val="000000"/>
          <w:spacing w:val="0"/>
          <w:w w:val="100"/>
          <w:position w:val="0"/>
        </w:rPr>
        <w:t>号。截止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 担保项下的借款余额为</w:t>
      </w:r>
      <w:r>
        <w:rPr>
          <w:rFonts w:ascii="Times New Roman" w:eastAsia="Times New Roman" w:hAnsi="Times New Roman" w:cs="Times New Roman"/>
          <w:color w:val="000000"/>
          <w:spacing w:val="0"/>
          <w:w w:val="100"/>
          <w:position w:val="0"/>
        </w:rPr>
        <w:t>0.00</w:t>
      </w:r>
      <w:r>
        <w:rPr>
          <w:color w:val="000000"/>
          <w:spacing w:val="0"/>
          <w:w w:val="100"/>
          <w:position w:val="0"/>
        </w:rPr>
        <w:t>元，抵押的房屋建筑物已完成注销抵押登记。</w:t>
      </w:r>
    </w:p>
    <w:p>
      <w:pPr>
        <w:pStyle w:val="Style34"/>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日，杨文江与中国工商银行股份有限公司广州工业大道支行签订了编号为工业支行</w:t>
      </w:r>
      <w:r>
        <w:rPr>
          <w:rFonts w:ascii="Times New Roman" w:eastAsia="Times New Roman" w:hAnsi="Times New Roman" w:cs="Times New Roman"/>
          <w:color w:val="000000"/>
          <w:spacing w:val="0"/>
          <w:w w:val="100"/>
          <w:position w:val="0"/>
        </w:rPr>
        <w:t>2018</w:t>
      </w:r>
      <w:r>
        <w:rPr>
          <w:color w:val="000000"/>
          <w:spacing w:val="0"/>
          <w:w w:val="100"/>
          <w:position w:val="0"/>
        </w:rPr>
        <w:t>年最高保字第</w:t>
      </w:r>
      <w:r>
        <w:rPr>
          <w:rFonts w:ascii="Times New Roman" w:eastAsia="Times New Roman" w:hAnsi="Times New Roman" w:cs="Times New Roman"/>
          <w:color w:val="000000"/>
          <w:spacing w:val="0"/>
          <w:w w:val="100"/>
          <w:position w:val="0"/>
        </w:rPr>
        <w:t xml:space="preserve">099 </w:t>
      </w:r>
      <w:r>
        <w:rPr>
          <w:color w:val="000000"/>
          <w:spacing w:val="0"/>
          <w:w w:val="100"/>
          <w:position w:val="0"/>
        </w:rPr>
        <w:t>号的最高额保证合同，为公司在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2033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日期间所欠中国工商银行股份有限公司广州工业大道支行的债 务提供最高额为</w:t>
      </w:r>
      <w:r>
        <w:rPr>
          <w:rFonts w:ascii="Times New Roman" w:eastAsia="Times New Roman" w:hAnsi="Times New Roman" w:cs="Times New Roman"/>
          <w:color w:val="000000"/>
          <w:spacing w:val="0"/>
          <w:w w:val="100"/>
          <w:position w:val="0"/>
        </w:rPr>
        <w:t>231,000,000.00</w:t>
      </w:r>
      <w:r>
        <w:rPr>
          <w:color w:val="000000"/>
          <w:spacing w:val="0"/>
          <w:w w:val="100"/>
          <w:position w:val="0"/>
        </w:rPr>
        <w:t>元的连带责任担保，上述保证合同的保证期间为：自主合同项下的借款期限届满之次日起两 年；中国工商银行股份有限公司广州工业大道支行根据主合同之约定宣布借款提前到期的，则保证期间为借款提前到期日之 次日起两年。截止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日，本担保合同项下的借款余额为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41"/>
        <w:keepNext/>
        <w:keepLines/>
        <w:widowControl w:val="0"/>
        <w:shd w:val="clear" w:color="auto" w:fill="auto"/>
        <w:bidi w:val="0"/>
        <w:spacing w:before="0" w:after="360" w:line="240" w:lineRule="auto"/>
        <w:ind w:left="0" w:right="0" w:firstLine="0"/>
        <w:jc w:val="both"/>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31"/>
      <w:bookmarkEnd w:id="1632"/>
      <w:bookmarkEnd w:id="163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2,427,338.80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2,396,764.00</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color w:val="000000"/>
          <w:spacing w:val="0"/>
          <w:w w:val="100"/>
          <w:position w:val="0"/>
        </w:rPr>
        <w:t>、关联方应收应付款项</w:t>
      </w:r>
      <w:bookmarkEnd w:id="1635"/>
      <w:bookmarkEnd w:id="1636"/>
      <w:bookmarkEnd w:id="1638"/>
    </w:p>
    <w:p>
      <w:pPr>
        <w:pStyle w:val="Style41"/>
        <w:keepNext/>
        <w:keepLines/>
        <w:widowControl w:val="0"/>
        <w:shd w:val="clear" w:color="auto" w:fill="auto"/>
        <w:bidi w:val="0"/>
        <w:spacing w:before="0" w:after="360" w:line="240" w:lineRule="auto"/>
        <w:ind w:left="0" w:right="0" w:firstLine="0"/>
        <w:jc w:val="both"/>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39"/>
      <w:bookmarkEnd w:id="1640"/>
      <w:bookmarkEnd w:id="1641"/>
    </w:p>
    <w:p>
      <w:pPr>
        <w:pStyle w:val="Style3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广州杰萃投资有限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1,618.36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广州青创科技企业 孵化器有限公司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pPr>
            <w:r>
              <w:rPr>
                <w:color w:val="000000"/>
                <w:spacing w:val="0"/>
                <w:w w:val="100"/>
                <w:position w:val="0"/>
              </w:rPr>
              <w:t>2,498.71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83.32</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广州智萃电子科技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27,030.86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27,030.86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24,327.77</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42"/>
      <w:bookmarkEnd w:id="1643"/>
      <w:bookmarkEnd w:id="164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1,282,051.95</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广州粤心安物业管理有限公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61,862.57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佛山盛普达汽车租赁有限公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150.22</w:t>
            </w:r>
          </w:p>
        </w:tc>
      </w:tr>
      <w:tr>
        <w:trPr>
          <w:trHeight w:val="71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广州粤心安物业管理有限公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22,344.00</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7</w:t>
      </w:r>
      <w:bookmarkEnd w:id="1647"/>
      <w:r>
        <w:rPr>
          <w:color w:val="000000"/>
          <w:spacing w:val="0"/>
          <w:w w:val="100"/>
          <w:position w:val="0"/>
        </w:rPr>
        <w:t>、关联方承诺</w:t>
      </w:r>
      <w:bookmarkEnd w:id="1645"/>
      <w:bookmarkEnd w:id="1646"/>
      <w:bookmarkEnd w:id="1648"/>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与关联方相关的承诺事项明细详见本财务报告“十二、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)关联担保情况”。</w:t>
      </w:r>
    </w:p>
    <w:p>
      <w:pPr>
        <w:pStyle w:val="Style30"/>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color w:val="000000"/>
          <w:spacing w:val="0"/>
          <w:w w:val="100"/>
          <w:position w:val="0"/>
          <w:sz w:val="24"/>
          <w:szCs w:val="24"/>
        </w:rPr>
        <w:t>十三、股份支付</w:t>
      </w:r>
      <w:bookmarkEnd w:id="1649"/>
      <w:bookmarkEnd w:id="1650"/>
      <w:bookmarkEnd w:id="1651"/>
    </w:p>
    <w:p>
      <w:pPr>
        <w:pStyle w:val="Style38"/>
        <w:keepNext/>
        <w:keepLines/>
        <w:widowControl w:val="0"/>
        <w:shd w:val="clear" w:color="auto" w:fill="auto"/>
        <w:tabs>
          <w:tab w:pos="368" w:val="left"/>
        </w:tabs>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bookmarkEnd w:id="1654"/>
      <w:r>
        <w:rPr>
          <w:color w:val="000000"/>
          <w:spacing w:val="0"/>
          <w:w w:val="100"/>
          <w:position w:val="0"/>
        </w:rPr>
        <w:t>、</w:t>
        <w:tab/>
        <w:t>股份支付总体情况</w:t>
      </w:r>
      <w:bookmarkEnd w:id="1652"/>
      <w:bookmarkEnd w:id="1653"/>
      <w:bookmarkEnd w:id="1655"/>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both"/>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2</w:t>
      </w:r>
      <w:bookmarkEnd w:id="1658"/>
      <w:r>
        <w:rPr>
          <w:color w:val="000000"/>
          <w:spacing w:val="0"/>
          <w:w w:val="100"/>
          <w:position w:val="0"/>
        </w:rPr>
        <w:t>、</w:t>
        <w:tab/>
        <w:t>以权益结算的股份支付情况</w:t>
      </w:r>
      <w:bookmarkEnd w:id="1656"/>
      <w:bookmarkEnd w:id="1657"/>
      <w:bookmarkEnd w:id="1659"/>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tabs>
          <w:tab w:pos="378" w:val="left"/>
        </w:tabs>
        <w:bidi w:val="0"/>
        <w:spacing w:before="0" w:line="240" w:lineRule="auto"/>
        <w:ind w:left="0" w:right="0" w:firstLine="0"/>
        <w:jc w:val="both"/>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3</w:t>
      </w:r>
      <w:bookmarkEnd w:id="1662"/>
      <w:r>
        <w:rPr>
          <w:color w:val="000000"/>
          <w:spacing w:val="0"/>
          <w:w w:val="100"/>
          <w:position w:val="0"/>
        </w:rPr>
        <w:t>、</w:t>
        <w:tab/>
        <w:t>以现金结算的股份支付情况</w:t>
      </w:r>
      <w:bookmarkEnd w:id="1660"/>
      <w:bookmarkEnd w:id="1661"/>
      <w:bookmarkEnd w:id="1663"/>
    </w:p>
    <w:p>
      <w:pPr>
        <w:pStyle w:val="Style3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4</w:t>
      </w:r>
      <w:bookmarkEnd w:id="1666"/>
      <w:r>
        <w:rPr>
          <w:color w:val="000000"/>
          <w:spacing w:val="0"/>
          <w:w w:val="100"/>
          <w:position w:val="0"/>
        </w:rPr>
        <w:t>、本报告期无股份支付的修改、终止情况</w:t>
      </w:r>
      <w:bookmarkEnd w:id="1664"/>
      <w:bookmarkEnd w:id="1665"/>
      <w:bookmarkEnd w:id="1667"/>
    </w:p>
    <w:p>
      <w:pPr>
        <w:pStyle w:val="Style30"/>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r>
        <w:rPr>
          <w:color w:val="000000"/>
          <w:spacing w:val="0"/>
          <w:w w:val="100"/>
          <w:position w:val="0"/>
          <w:sz w:val="24"/>
          <w:szCs w:val="24"/>
        </w:rPr>
        <w:t>十四、承诺及或有事项</w:t>
      </w:r>
      <w:bookmarkEnd w:id="1668"/>
      <w:bookmarkEnd w:id="1669"/>
      <w:bookmarkEnd w:id="1670"/>
    </w:p>
    <w:p>
      <w:pPr>
        <w:pStyle w:val="Style38"/>
        <w:keepNext/>
        <w:keepLines/>
        <w:widowControl w:val="0"/>
        <w:shd w:val="clear" w:color="auto" w:fill="auto"/>
        <w:tabs>
          <w:tab w:pos="368" w:val="left"/>
        </w:tabs>
        <w:bidi w:val="0"/>
        <w:spacing w:before="0" w:after="36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1</w:t>
      </w:r>
      <w:bookmarkEnd w:id="1673"/>
      <w:r>
        <w:rPr>
          <w:color w:val="000000"/>
          <w:spacing w:val="0"/>
          <w:w w:val="100"/>
          <w:position w:val="0"/>
        </w:rPr>
        <w:t>、</w:t>
        <w:tab/>
        <w:t>重要承诺事项</w:t>
      </w:r>
      <w:bookmarkEnd w:id="1671"/>
      <w:bookmarkEnd w:id="1672"/>
      <w:bookmarkEnd w:id="1674"/>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与关联方相关的承诺事项明细详见本财务报告“十二、</w:t>
      </w:r>
      <w:r>
        <w:rPr>
          <w:rFonts w:ascii="Times New Roman" w:eastAsia="Times New Roman" w:hAnsi="Times New Roman" w:cs="Times New Roman"/>
          <w:color w:val="000000"/>
          <w:spacing w:val="0"/>
          <w:w w:val="100"/>
          <w:position w:val="0"/>
        </w:rPr>
        <w:t xml:space="preserve">5 </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）关联担保情况”。</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bookmarkEnd w:id="1677"/>
      <w:r>
        <w:rPr>
          <w:color w:val="000000"/>
          <w:spacing w:val="0"/>
          <w:w w:val="100"/>
          <w:position w:val="0"/>
        </w:rPr>
        <w:t>、</w:t>
        <w:tab/>
        <w:t>或有事项</w:t>
      </w:r>
      <w:bookmarkEnd w:id="1675"/>
      <w:bookmarkEnd w:id="1676"/>
      <w:bookmarkEnd w:id="1678"/>
    </w:p>
    <w:p>
      <w:pPr>
        <w:pStyle w:val="Style41"/>
        <w:keepNext/>
        <w:keepLines/>
        <w:widowControl w:val="0"/>
        <w:shd w:val="clear" w:color="auto" w:fill="auto"/>
        <w:tabs>
          <w:tab w:pos="488" w:val="left"/>
        </w:tabs>
        <w:bidi w:val="0"/>
        <w:spacing w:before="0" w:after="400" w:line="240" w:lineRule="auto"/>
        <w:ind w:left="0" w:right="0" w:firstLine="0"/>
        <w:jc w:val="left"/>
      </w:pPr>
      <w:bookmarkStart w:id="1679" w:name="bookmark1679"/>
      <w:bookmarkStart w:id="1680" w:name="bookmark1680"/>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79"/>
      <w:bookmarkEnd w:id="1680"/>
      <w:bookmarkEnd w:id="1682"/>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本报告期公司无资产负债日存在的重要或有事项。</w:t>
      </w:r>
    </w:p>
    <w:p>
      <w:pPr>
        <w:pStyle w:val="Style41"/>
        <w:keepNext/>
        <w:keepLines/>
        <w:widowControl w:val="0"/>
        <w:shd w:val="clear" w:color="auto" w:fill="auto"/>
        <w:tabs>
          <w:tab w:pos="488" w:val="left"/>
        </w:tabs>
        <w:bidi w:val="0"/>
        <w:spacing w:before="0" w:after="40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83"/>
      <w:bookmarkEnd w:id="1684"/>
      <w:bookmarkEnd w:id="168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60" w:line="240" w:lineRule="auto"/>
        <w:ind w:left="0" w:right="0" w:firstLine="0"/>
        <w:jc w:val="left"/>
      </w:pPr>
      <w:bookmarkStart w:id="1687" w:name="bookmark1687"/>
      <w:bookmarkStart w:id="1688" w:name="bookmark1688"/>
      <w:bookmarkStart w:id="1689" w:name="bookmark1689"/>
      <w:r>
        <w:rPr>
          <w:color w:val="000000"/>
          <w:spacing w:val="0"/>
          <w:w w:val="100"/>
          <w:position w:val="0"/>
          <w:sz w:val="24"/>
          <w:szCs w:val="24"/>
        </w:rPr>
        <w:t>十五、资产负债表日后事项</w:t>
      </w:r>
      <w:bookmarkEnd w:id="1687"/>
      <w:bookmarkEnd w:id="1688"/>
      <w:bookmarkEnd w:id="1689"/>
    </w:p>
    <w:p>
      <w:pPr>
        <w:pStyle w:val="Style38"/>
        <w:keepNext/>
        <w:keepLines/>
        <w:widowControl w:val="0"/>
        <w:shd w:val="clear" w:color="auto" w:fill="auto"/>
        <w:bidi w:val="0"/>
        <w:spacing w:before="0" w:after="360" w:line="240" w:lineRule="auto"/>
        <w:ind w:left="0" w:right="0" w:firstLine="0"/>
        <w:jc w:val="left"/>
      </w:pPr>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90"/>
      <w:bookmarkEnd w:id="1691"/>
      <w:bookmarkEnd w:id="169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bl>
    <w:p>
      <w:pPr>
        <w:widowControl w:val="0"/>
        <w:spacing w:after="279" w:line="1" w:lineRule="exact"/>
      </w:pPr>
    </w:p>
    <w:p>
      <w:pPr>
        <w:pStyle w:val="Style38"/>
        <w:keepNext/>
        <w:keepLines/>
        <w:widowControl w:val="0"/>
        <w:shd w:val="clear" w:color="auto" w:fill="auto"/>
        <w:bidi w:val="0"/>
        <w:spacing w:before="0" w:after="280" w:line="240" w:lineRule="auto"/>
        <w:ind w:left="0" w:right="0" w:firstLine="0"/>
        <w:jc w:val="left"/>
      </w:pPr>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93"/>
      <w:bookmarkEnd w:id="1694"/>
      <w:bookmarkEnd w:id="1695"/>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0</w:t>
      </w:r>
      <w:r>
        <w:rPr>
          <w:rFonts w:ascii="Times New Roman" w:eastAsia="Times New Roman" w:hAnsi="Times New Roman" w:cs="Times New Roman"/>
          <w:color w:val="000000"/>
          <w:spacing w:val="0"/>
          <w:w w:val="100"/>
          <w:position w:val="0"/>
        </w:rPr>
        <w:t>-202</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日期间，杨文江先生通过集中竞价的方式合计减持公司股份</w:t>
      </w:r>
      <w:r>
        <w:rPr>
          <w:rFonts w:ascii="Times New Roman" w:eastAsia="Times New Roman" w:hAnsi="Times New Roman" w:cs="Times New Roman"/>
          <w:color w:val="000000"/>
          <w:spacing w:val="0"/>
          <w:w w:val="100"/>
          <w:position w:val="0"/>
        </w:rPr>
        <w:t>7,577,120.00</w:t>
      </w:r>
      <w:r>
        <w:rPr>
          <w:color w:val="000000"/>
          <w:spacing w:val="0"/>
          <w:w w:val="100"/>
          <w:position w:val="0"/>
        </w:rPr>
        <w:t>股，其中通过信用 账户减持的股份</w:t>
      </w:r>
      <w:r>
        <w:rPr>
          <w:rFonts w:ascii="Times New Roman" w:eastAsia="Times New Roman" w:hAnsi="Times New Roman" w:cs="Times New Roman"/>
          <w:color w:val="000000"/>
          <w:spacing w:val="0"/>
          <w:w w:val="100"/>
          <w:position w:val="0"/>
        </w:rPr>
        <w:t>6,706,605.00</w:t>
      </w:r>
      <w:r>
        <w:rPr>
          <w:color w:val="000000"/>
          <w:spacing w:val="0"/>
          <w:w w:val="100"/>
          <w:position w:val="0"/>
        </w:rPr>
        <w:t>股，合计减持股份占公司总股本的</w:t>
      </w:r>
      <w:r>
        <w:rPr>
          <w:rFonts w:ascii="Times New Roman" w:eastAsia="Times New Roman" w:hAnsi="Times New Roman" w:cs="Times New Roman"/>
          <w:color w:val="000000"/>
          <w:spacing w:val="0"/>
          <w:w w:val="100"/>
          <w:position w:val="0"/>
        </w:rPr>
        <w:t>0.9954%</w:t>
      </w:r>
      <w:r>
        <w:rPr>
          <w:color w:val="000000"/>
          <w:spacing w:val="0"/>
          <w:w w:val="100"/>
          <w:position w:val="0"/>
        </w:rPr>
        <w:t>。上述减持后，杨文江持有公司股份</w:t>
      </w:r>
      <w:r>
        <w:rPr>
          <w:rFonts w:ascii="Times New Roman" w:eastAsia="Times New Roman" w:hAnsi="Times New Roman" w:cs="Times New Roman"/>
          <w:color w:val="000000"/>
          <w:spacing w:val="0"/>
          <w:w w:val="100"/>
          <w:position w:val="0"/>
        </w:rPr>
        <w:t xml:space="preserve">137,615,705.00 </w:t>
      </w:r>
      <w:r>
        <w:rPr>
          <w:color w:val="000000"/>
          <w:spacing w:val="0"/>
          <w:w w:val="100"/>
          <w:position w:val="0"/>
        </w:rPr>
        <w:t>股，持股比例为</w:t>
      </w:r>
      <w:r>
        <w:rPr>
          <w:rFonts w:ascii="Times New Roman" w:eastAsia="Times New Roman" w:hAnsi="Times New Roman" w:cs="Times New Roman"/>
          <w:color w:val="000000"/>
          <w:spacing w:val="0"/>
          <w:w w:val="100"/>
          <w:position w:val="0"/>
        </w:rPr>
        <w:t>18.08%</w:t>
      </w:r>
      <w:r>
        <w:rPr>
          <w:color w:val="000000"/>
          <w:spacing w:val="0"/>
          <w:w w:val="100"/>
          <w:position w:val="0"/>
        </w:rPr>
        <w:t>,其中累计存放于华安证券客户信用交易担保证券账户的公司股份为</w:t>
      </w:r>
      <w:r>
        <w:rPr>
          <w:rFonts w:ascii="Times New Roman" w:eastAsia="Times New Roman" w:hAnsi="Times New Roman" w:cs="Times New Roman"/>
          <w:color w:val="000000"/>
          <w:spacing w:val="0"/>
          <w:w w:val="100"/>
          <w:position w:val="0"/>
        </w:rPr>
        <w:t>111,572,821.00</w:t>
      </w:r>
      <w:r>
        <w:rPr>
          <w:color w:val="000000"/>
          <w:spacing w:val="0"/>
          <w:w w:val="100"/>
          <w:position w:val="0"/>
        </w:rPr>
        <w:t>股，占其持有公 司股份总数的</w:t>
      </w:r>
      <w:r>
        <w:rPr>
          <w:rFonts w:ascii="Times New Roman" w:eastAsia="Times New Roman" w:hAnsi="Times New Roman" w:cs="Times New Roman"/>
          <w:color w:val="000000"/>
          <w:spacing w:val="0"/>
          <w:w w:val="100"/>
          <w:position w:val="0"/>
        </w:rPr>
        <w:t>81.08%</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14.66%</w:t>
      </w:r>
      <w:r>
        <w:rPr>
          <w:color w:val="000000"/>
          <w:spacing w:val="0"/>
          <w:w w:val="100"/>
          <w:position w:val="0"/>
        </w:rPr>
        <w:t>；存放于华安证券普通账户的公司股份为</w:t>
      </w:r>
      <w:r>
        <w:rPr>
          <w:rFonts w:ascii="Times New Roman" w:eastAsia="Times New Roman" w:hAnsi="Times New Roman" w:cs="Times New Roman"/>
          <w:color w:val="000000"/>
          <w:spacing w:val="0"/>
          <w:w w:val="100"/>
          <w:position w:val="0"/>
        </w:rPr>
        <w:t>10,852,884.00</w:t>
      </w:r>
      <w:r>
        <w:rPr>
          <w:color w:val="000000"/>
          <w:spacing w:val="0"/>
          <w:w w:val="100"/>
          <w:position w:val="0"/>
        </w:rPr>
        <w:t>股，占其持有公司股份 总数的</w:t>
      </w:r>
      <w:r>
        <w:rPr>
          <w:rFonts w:ascii="Times New Roman" w:eastAsia="Times New Roman" w:hAnsi="Times New Roman" w:cs="Times New Roman"/>
          <w:color w:val="000000"/>
          <w:spacing w:val="0"/>
          <w:w w:val="100"/>
          <w:position w:val="0"/>
        </w:rPr>
        <w:t>7.89%</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1.43%</w:t>
      </w:r>
      <w:r>
        <w:rPr>
          <w:color w:val="000000"/>
          <w:spacing w:val="0"/>
          <w:w w:val="100"/>
          <w:position w:val="0"/>
        </w:rPr>
        <w:t>；累计已质押的公司股份为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11.04%</w:t>
      </w:r>
      <w:r>
        <w:rPr>
          <w:color w:val="000000"/>
          <w:spacing w:val="0"/>
          <w:w w:val="100"/>
          <w:position w:val="0"/>
        </w:rPr>
        <w:t>,占公司 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日，杨文江先生将其所持有的公司部分股份进行解除质押，解除质押的股份为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股，本次解除 质押后，杨文江先生继续将其所持有的公司部分股份进行质押，质押的股份为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股，质押期限为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日。本次质押后，杨文江先生累计已质押的公司股份为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11.04%</w:t>
      </w:r>
      <w:r>
        <w:rPr>
          <w:color w:val="000000"/>
          <w:spacing w:val="0"/>
          <w:w w:val="100"/>
          <w:position w:val="0"/>
        </w:rPr>
        <w:t>, 占公司总股本的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（3）</w:t>
      </w:r>
      <w:r>
        <w:rPr>
          <w:color w:val="000000"/>
          <w:spacing w:val="0"/>
          <w:w w:val="100"/>
          <w:position w:val="0"/>
        </w:rPr>
        <w:t>根据公司未来发展战略的需要，公司拟设立全资子公司海南御银投资控股有限公司（暂定名，最终以国家相关部门审 批及核准的名称为准），注册资本为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万元人民币。</w:t>
      </w:r>
    </w:p>
    <w:p>
      <w:pPr>
        <w:pStyle w:val="Style30"/>
        <w:keepNext/>
        <w:keepLines/>
        <w:widowControl w:val="0"/>
        <w:shd w:val="clear" w:color="auto" w:fill="auto"/>
        <w:bidi w:val="0"/>
        <w:spacing w:before="0" w:after="360" w:line="240" w:lineRule="auto"/>
        <w:ind w:left="0" w:right="0" w:firstLine="0"/>
        <w:jc w:val="left"/>
      </w:pPr>
      <w:bookmarkStart w:id="1696" w:name="bookmark1696"/>
      <w:bookmarkStart w:id="1697" w:name="bookmark1697"/>
      <w:bookmarkStart w:id="1698" w:name="bookmark1698"/>
      <w:r>
        <w:rPr>
          <w:color w:val="000000"/>
          <w:spacing w:val="0"/>
          <w:w w:val="100"/>
          <w:position w:val="0"/>
          <w:sz w:val="24"/>
          <w:szCs w:val="24"/>
        </w:rPr>
        <w:t>十六、其他重要事项</w:t>
      </w:r>
      <w:bookmarkEnd w:id="1696"/>
      <w:bookmarkEnd w:id="1697"/>
      <w:bookmarkEnd w:id="1698"/>
    </w:p>
    <w:p>
      <w:pPr>
        <w:pStyle w:val="Style38"/>
        <w:keepNext/>
        <w:keepLines/>
        <w:widowControl w:val="0"/>
        <w:shd w:val="clear" w:color="auto" w:fill="auto"/>
        <w:tabs>
          <w:tab w:pos="368" w:val="left"/>
        </w:tabs>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1</w:t>
      </w:r>
      <w:bookmarkEnd w:id="1701"/>
      <w:r>
        <w:rPr>
          <w:color w:val="000000"/>
          <w:spacing w:val="0"/>
          <w:w w:val="100"/>
          <w:position w:val="0"/>
        </w:rPr>
        <w:t>、</w:t>
        <w:tab/>
        <w:t>前期会计差错更正</w:t>
      </w:r>
      <w:bookmarkEnd w:id="1699"/>
      <w:bookmarkEnd w:id="1700"/>
      <w:bookmarkEnd w:id="1702"/>
    </w:p>
    <w:p>
      <w:pPr>
        <w:pStyle w:val="Style38"/>
        <w:keepNext/>
        <w:keepLines/>
        <w:widowControl w:val="0"/>
        <w:numPr>
          <w:ilvl w:val="0"/>
          <w:numId w:val="51"/>
        </w:numPr>
        <w:shd w:val="clear" w:color="auto" w:fill="auto"/>
        <w:tabs>
          <w:tab w:pos="488" w:val="left"/>
        </w:tabs>
        <w:bidi w:val="0"/>
        <w:spacing w:before="0" w:after="360" w:line="240" w:lineRule="auto"/>
        <w:ind w:left="0" w:right="0" w:firstLine="0"/>
        <w:jc w:val="left"/>
      </w:pPr>
      <w:bookmarkStart w:id="1699" w:name="bookmark1699"/>
      <w:bookmarkStart w:id="1700" w:name="bookmark1700"/>
      <w:bookmarkStart w:id="1703" w:name="bookmark1703"/>
      <w:bookmarkStart w:id="1704" w:name="bookmark1704"/>
      <w:bookmarkEnd w:id="1703"/>
      <w:r>
        <w:rPr>
          <w:color w:val="000000"/>
          <w:spacing w:val="0"/>
          <w:w w:val="100"/>
          <w:position w:val="0"/>
        </w:rPr>
        <w:t>追溯重述法</w:t>
      </w:r>
      <w:bookmarkEnd w:id="1699"/>
      <w:bookmarkEnd w:id="1700"/>
      <w:bookmarkEnd w:id="170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本报告期未发生采用追溯重述法的前期会计差错更正事项。</w:t>
      </w:r>
    </w:p>
    <w:p>
      <w:pPr>
        <w:pStyle w:val="Style27"/>
        <w:keepNext w:val="0"/>
        <w:keepLines w:val="0"/>
        <w:widowControl w:val="0"/>
        <w:numPr>
          <w:ilvl w:val="0"/>
          <w:numId w:val="51"/>
        </w:numPr>
        <w:shd w:val="clear" w:color="auto" w:fill="auto"/>
        <w:tabs>
          <w:tab w:pos="488" w:val="left"/>
        </w:tabs>
        <w:bidi w:val="0"/>
        <w:spacing w:before="0" w:after="360" w:line="240" w:lineRule="auto"/>
        <w:ind w:left="0" w:right="0" w:firstLine="0"/>
        <w:jc w:val="left"/>
        <w:rPr>
          <w:sz w:val="20"/>
          <w:szCs w:val="20"/>
        </w:rPr>
      </w:pPr>
      <w:bookmarkStart w:id="1705" w:name="bookmark1705"/>
      <w:bookmarkStart w:id="1706" w:name="bookmark1706"/>
      <w:bookmarkEnd w:id="1705"/>
      <w:r>
        <w:rPr>
          <w:rFonts w:ascii="SimSun" w:eastAsia="SimSun" w:hAnsi="SimSun" w:cs="SimSun"/>
          <w:b/>
          <w:bCs/>
          <w:color w:val="000000"/>
          <w:spacing w:val="0"/>
          <w:w w:val="100"/>
          <w:position w:val="0"/>
          <w:sz w:val="20"/>
          <w:szCs w:val="20"/>
        </w:rPr>
        <w:t>未来适用法</w:t>
      </w:r>
      <w:bookmarkEnd w:id="170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本报告期未发生采用未来适用法的前期会计差错更正事项</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债务重组</w:t>
      </w:r>
      <w:bookmarkEnd w:id="1707"/>
      <w:bookmarkEnd w:id="1708"/>
      <w:bookmarkEnd w:id="1710"/>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本报告期公司未发生债务重组。</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资产置换</w:t>
      </w:r>
      <w:bookmarkEnd w:id="1711"/>
      <w:bookmarkEnd w:id="1712"/>
      <w:bookmarkEnd w:id="1714"/>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本报告期公司未发生资产置换。</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w:t>
        <w:tab/>
        <w:t>年金计划</w:t>
      </w:r>
      <w:bookmarkEnd w:id="1715"/>
      <w:bookmarkEnd w:id="1716"/>
      <w:bookmarkEnd w:id="1718"/>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本报告期公司未发生年金计划。</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color w:val="000000"/>
          <w:spacing w:val="0"/>
          <w:w w:val="100"/>
          <w:position w:val="0"/>
        </w:rPr>
        <w:t>、</w:t>
        <w:tab/>
        <w:t>终止经营</w:t>
      </w:r>
      <w:bookmarkEnd w:id="1719"/>
      <w:bookmarkEnd w:id="1720"/>
      <w:bookmarkEnd w:id="172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所得税费用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净利润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归属于母公司所 有者的终止经营 利润</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归属于母公司所 有者的持续经营 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182,349,931.14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161,170,224.28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80,313,890.60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8,556,994.22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71,756,896.38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归属于母公司所 有者的终止经营 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6</w:t>
      </w:r>
      <w:bookmarkEnd w:id="1725"/>
      <w:r>
        <w:rPr>
          <w:color w:val="000000"/>
          <w:spacing w:val="0"/>
          <w:w w:val="100"/>
          <w:position w:val="0"/>
        </w:rPr>
        <w:t>、分部信息</w:t>
      </w:r>
      <w:bookmarkEnd w:id="1723"/>
      <w:bookmarkEnd w:id="1724"/>
      <w:bookmarkEnd w:id="1726"/>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公司无报告分部。</w:t>
      </w:r>
      <w:r>
        <w:br w:type="page"/>
      </w:r>
    </w:p>
    <w:p>
      <w:pPr>
        <w:pStyle w:val="Style30"/>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r>
        <w:rPr>
          <w:color w:val="000000"/>
          <w:spacing w:val="0"/>
          <w:w w:val="100"/>
          <w:position w:val="0"/>
          <w:sz w:val="24"/>
          <w:szCs w:val="24"/>
        </w:rPr>
        <w:t>十七、母公司财务报表主要项目注释</w:t>
      </w:r>
      <w:bookmarkEnd w:id="1727"/>
      <w:bookmarkEnd w:id="1728"/>
      <w:bookmarkEnd w:id="1729"/>
    </w:p>
    <w:p>
      <w:pPr>
        <w:pStyle w:val="Style38"/>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0"/>
      <w:bookmarkEnd w:id="1731"/>
      <w:bookmarkEnd w:id="1732"/>
    </w:p>
    <w:p>
      <w:pPr>
        <w:pStyle w:val="Style41"/>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33"/>
      <w:bookmarkEnd w:id="1734"/>
      <w:bookmarkEnd w:id="1735"/>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按单项计提坏账准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573,572.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573,572.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5,756,314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备的应收账款</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573,572.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573,572.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5,756,314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5,756,314</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28,829,2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613,070.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28,216,19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76,622,22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4,062,010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72,560,212.</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62.55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7,602,49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613,070.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6,989,421</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33,017,42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4,062,010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28,955,411.</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25.86%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8.06%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288" w:hRule="exact"/>
        </w:trPr>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21,226,76</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43,604,800.</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72.19%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37" w:hRule="exact"/>
        </w:trPr>
        <w:tc>
          <w:tcPr>
            <w:tcBorders>
              <w:top w:val="single" w:sz="4"/>
              <w:left w:val="single" w:sz="4"/>
            </w:tcBorders>
            <w:shd w:val="clear" w:color="auto" w:fill="D3D3D3"/>
            <w:vAlign w:val="bottom"/>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29,402,8</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28,216,19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82,378,53</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9,818,324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72,560,212.</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34.79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573,572.24</w:t>
      </w:r>
      <w:r>
        <w:rPr>
          <w:color w:val="000000"/>
          <w:spacing w:val="0"/>
          <w:w w:val="100"/>
          <w:position w:val="0"/>
        </w:rPr>
        <w:t>元</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573,572.24</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613,070.87</w:t>
      </w:r>
      <w:r>
        <w:rPr>
          <w:color w:val="000000"/>
          <w:spacing w:val="0"/>
          <w:w w:val="100"/>
          <w:position w:val="0"/>
        </w:rPr>
        <w:t>元</w:t>
      </w:r>
    </w:p>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7,602,492.73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613,070.87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21,226,769.82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28,829,262.55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613,070.87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按组合计提坏账的确认标准及说明：详见本财务报告“五、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13,624,874.69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8,931,574.64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2,792,682.59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4,053,702.87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4,053,702.87</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29,402,834.79</w:t>
            </w:r>
          </w:p>
        </w:tc>
      </w:tr>
    </w:tbl>
    <w:p>
      <w:pPr>
        <w:widowControl w:val="0"/>
        <w:spacing w:after="299" w:line="1" w:lineRule="exact"/>
      </w:pPr>
    </w:p>
    <w:p>
      <w:pPr>
        <w:pStyle w:val="Style41"/>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36"/>
      <w:bookmarkEnd w:id="1737"/>
      <w:bookmarkEnd w:id="1738"/>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9,818,324.78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-10,763,987.69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4,673,058.73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2,540,752.71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1,186,643.11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9,818,324.78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-10,763,987.69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4,673,058.73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2,540,752.71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1,186,643.11</w:t>
            </w:r>
          </w:p>
        </w:tc>
      </w:tr>
    </w:tbl>
    <w:p>
      <w:pPr>
        <w:widowControl w:val="0"/>
        <w:spacing w:after="299" w:line="1" w:lineRule="exact"/>
      </w:pPr>
    </w:p>
    <w:p>
      <w:pPr>
        <w:pStyle w:val="Style41"/>
        <w:keepNext/>
        <w:keepLines/>
        <w:widowControl w:val="0"/>
        <w:numPr>
          <w:ilvl w:val="0"/>
          <w:numId w:val="51"/>
        </w:numPr>
        <w:shd w:val="clear" w:color="auto" w:fill="auto"/>
        <w:bidi w:val="0"/>
        <w:spacing w:before="0" w:after="360" w:line="240" w:lineRule="auto"/>
        <w:ind w:left="0" w:right="0" w:firstLine="0"/>
        <w:jc w:val="left"/>
      </w:pPr>
      <w:bookmarkStart w:id="1739" w:name="bookmark1739"/>
      <w:bookmarkStart w:id="1740" w:name="bookmark1740"/>
      <w:bookmarkStart w:id="1741" w:name="bookmark1741"/>
      <w:bookmarkStart w:id="1742" w:name="bookmark1742"/>
      <w:bookmarkEnd w:id="1741"/>
      <w:r>
        <w:rPr>
          <w:color w:val="000000"/>
          <w:spacing w:val="0"/>
          <w:w w:val="100"/>
          <w:position w:val="0"/>
        </w:rPr>
        <w:t>本期实际核销的应收账款情况</w:t>
      </w:r>
      <w:bookmarkEnd w:id="1739"/>
      <w:bookmarkEnd w:id="1740"/>
      <w:bookmarkEnd w:id="1742"/>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2,540,752.71</w:t>
            </w:r>
          </w:p>
        </w:tc>
      </w:tr>
    </w:tbl>
    <w:p>
      <w:pPr>
        <w:widowControl w:val="0"/>
        <w:spacing w:after="299" w:line="1" w:lineRule="exact"/>
      </w:pPr>
    </w:p>
    <w:p>
      <w:pPr>
        <w:pStyle w:val="Style41"/>
        <w:keepNext/>
        <w:keepLines/>
        <w:widowControl w:val="0"/>
        <w:numPr>
          <w:ilvl w:val="0"/>
          <w:numId w:val="51"/>
        </w:numPr>
        <w:shd w:val="clear" w:color="auto" w:fill="auto"/>
        <w:bidi w:val="0"/>
        <w:spacing w:before="0" w:after="360" w:line="240" w:lineRule="auto"/>
        <w:ind w:left="0" w:right="0" w:firstLine="0"/>
        <w:jc w:val="left"/>
      </w:pPr>
      <w:bookmarkStart w:id="1743" w:name="bookmark1743"/>
      <w:bookmarkStart w:id="1744" w:name="bookmark1744"/>
      <w:bookmarkStart w:id="1745" w:name="bookmark1745"/>
      <w:bookmarkStart w:id="1746" w:name="bookmark1746"/>
      <w:bookmarkEnd w:id="1745"/>
      <w:r>
        <w:rPr>
          <w:color w:val="000000"/>
          <w:spacing w:val="0"/>
          <w:w w:val="100"/>
          <w:position w:val="0"/>
        </w:rPr>
        <w:t>按欠款方归集的期末余额前五名的应收账款情况</w:t>
      </w:r>
      <w:bookmarkEnd w:id="1743"/>
      <w:bookmarkEnd w:id="1744"/>
      <w:bookmarkEnd w:id="174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11,170,086.59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4,183,799.11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2,829,747.00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2,253,600.00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782,501.25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39,125.06</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21,219,733.95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tabs>
          <w:tab w:pos="488" w:val="left"/>
        </w:tabs>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5</w:t>
      </w:r>
      <w:r>
        <w:rPr>
          <w:color w:val="000000"/>
          <w:spacing w:val="0"/>
          <w:w w:val="100"/>
          <w:position w:val="0"/>
        </w:rPr>
        <w:t>）</w:t>
        <w:tab/>
        <w:t>本期无因金融资产转移而终止确认的应收账款</w:t>
      </w:r>
      <w:bookmarkEnd w:id="1747"/>
      <w:bookmarkEnd w:id="1748"/>
      <w:bookmarkEnd w:id="1750"/>
    </w:p>
    <w:p>
      <w:pPr>
        <w:pStyle w:val="Style41"/>
        <w:keepNext/>
        <w:keepLines/>
        <w:widowControl w:val="0"/>
        <w:shd w:val="clear" w:color="auto" w:fill="auto"/>
        <w:tabs>
          <w:tab w:pos="488"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6</w:t>
      </w:r>
      <w:r>
        <w:rPr>
          <w:color w:val="000000"/>
          <w:spacing w:val="0"/>
          <w:w w:val="100"/>
          <w:position w:val="0"/>
        </w:rPr>
        <w:t>）</w:t>
        <w:tab/>
        <w:t>本期无转移应收账款且继续涉入形成的资产、负债金额</w:t>
      </w:r>
      <w:bookmarkEnd w:id="1751"/>
      <w:bookmarkEnd w:id="1752"/>
      <w:bookmarkEnd w:id="1754"/>
    </w:p>
    <w:p>
      <w:pPr>
        <w:pStyle w:val="Style38"/>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5"/>
      <w:bookmarkEnd w:id="1756"/>
      <w:bookmarkEnd w:id="175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72,837,492.47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113,602,176.99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72,837,492.47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113,602,176.99</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58"/>
      <w:bookmarkEnd w:id="1759"/>
      <w:bookmarkEnd w:id="1760"/>
    </w:p>
    <w:p>
      <w:pPr>
        <w:pStyle w:val="Style65"/>
        <w:keepNext/>
        <w:keepLines/>
        <w:widowControl w:val="0"/>
        <w:shd w:val="clear" w:color="auto" w:fill="auto"/>
        <w:bidi w:val="0"/>
        <w:spacing w:before="0" w:after="340" w:line="240" w:lineRule="auto"/>
        <w:ind w:left="0" w:right="0" w:firstLine="0"/>
        <w:jc w:val="left"/>
      </w:pPr>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61"/>
      <w:bookmarkEnd w:id="1762"/>
      <w:bookmarkEnd w:id="1763"/>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72,108,817.68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112,477,407.31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1,470,062.74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1,363,790.38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638,585.00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73,806,956.42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114,555,858.69</w:t>
            </w:r>
          </w:p>
        </w:tc>
      </w:tr>
    </w:tbl>
    <w:p>
      <w:pPr>
        <w:widowControl w:val="0"/>
        <w:spacing w:after="339" w:line="1" w:lineRule="exact"/>
      </w:pPr>
    </w:p>
    <w:p>
      <w:pPr>
        <w:pStyle w:val="Style65"/>
        <w:keepNext/>
        <w:keepLines/>
        <w:widowControl w:val="0"/>
        <w:shd w:val="clear" w:color="auto" w:fill="auto"/>
        <w:bidi w:val="0"/>
        <w:spacing w:before="0" w:after="340" w:line="240" w:lineRule="auto"/>
        <w:ind w:left="0" w:right="0" w:firstLine="0"/>
        <w:jc w:val="left"/>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64"/>
      <w:bookmarkEnd w:id="1765"/>
      <w:bookmarkEnd w:id="1766"/>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 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953,681.70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953,681.70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 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15,782.25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969,463.95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969,463.95</w:t>
            </w:r>
          </w:p>
        </w:tc>
      </w:tr>
    </w:tbl>
    <w:p>
      <w:pPr>
        <w:widowControl w:val="0"/>
        <w:spacing w:after="7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68,090,371.52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300,098.97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1,162,587.71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4,253,898.22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800" w:right="0" w:firstLine="0"/>
              <w:jc w:val="left"/>
            </w:pPr>
            <w:r>
              <w:rPr>
                <w:color w:val="000000"/>
                <w:spacing w:val="0"/>
                <w:w w:val="100"/>
                <w:position w:val="0"/>
              </w:rPr>
              <w:t>4,253,898.22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73,806,956.42</w:t>
            </w:r>
          </w:p>
        </w:tc>
      </w:tr>
    </w:tbl>
    <w:p>
      <w:pPr>
        <w:widowControl w:val="0"/>
        <w:spacing w:after="319" w:line="1" w:lineRule="exact"/>
      </w:pPr>
    </w:p>
    <w:p>
      <w:pPr>
        <w:pStyle w:val="Style65"/>
        <w:keepNext/>
        <w:keepLines/>
        <w:widowControl w:val="0"/>
        <w:shd w:val="clear" w:color="auto" w:fill="auto"/>
        <w:bidi w:val="0"/>
        <w:spacing w:before="0" w:after="380" w:line="240" w:lineRule="auto"/>
        <w:ind w:left="0" w:right="0" w:firstLine="0"/>
        <w:jc w:val="left"/>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3</w:t>
      </w:r>
      <w:bookmarkEnd w:id="1769"/>
      <w:r>
        <w:rPr>
          <w:color w:val="000000"/>
          <w:spacing w:val="0"/>
          <w:w w:val="100"/>
          <w:position w:val="0"/>
        </w:rPr>
        <w:t>）本期计提、收回或转回的坏账准备情况</w:t>
      </w:r>
      <w:bookmarkEnd w:id="1767"/>
      <w:bookmarkEnd w:id="1768"/>
      <w:bookmarkEnd w:id="1770"/>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7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953,681.70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969,463.95</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953,681.70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15,782.25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969,463.95</w:t>
            </w:r>
          </w:p>
        </w:tc>
      </w:tr>
    </w:tbl>
    <w:p>
      <w:pPr>
        <w:widowControl w:val="0"/>
        <w:spacing w:after="319" w:line="1" w:lineRule="exact"/>
      </w:pPr>
    </w:p>
    <w:p>
      <w:pPr>
        <w:pStyle w:val="Style65"/>
        <w:keepNext/>
        <w:keepLines/>
        <w:widowControl w:val="0"/>
        <w:shd w:val="clear" w:color="auto" w:fill="auto"/>
        <w:tabs>
          <w:tab w:pos="392" w:val="left"/>
        </w:tabs>
        <w:bidi w:val="0"/>
        <w:spacing w:before="0" w:after="320" w:line="240" w:lineRule="auto"/>
        <w:ind w:left="0" w:right="0" w:firstLine="0"/>
        <w:jc w:val="left"/>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4</w:t>
      </w:r>
      <w:bookmarkEnd w:id="1773"/>
      <w:r>
        <w:rPr>
          <w:color w:val="000000"/>
          <w:spacing w:val="0"/>
          <w:w w:val="100"/>
          <w:position w:val="0"/>
        </w:rPr>
        <w:t>）</w:t>
        <w:tab/>
        <w:t>本期无实际核销的其他应收款情况</w:t>
      </w:r>
      <w:bookmarkEnd w:id="1771"/>
      <w:bookmarkEnd w:id="1772"/>
      <w:bookmarkEnd w:id="1774"/>
    </w:p>
    <w:p>
      <w:pPr>
        <w:pStyle w:val="Style65"/>
        <w:keepNext/>
        <w:keepLines/>
        <w:widowControl w:val="0"/>
        <w:shd w:val="clear" w:color="auto" w:fill="auto"/>
        <w:tabs>
          <w:tab w:pos="392" w:val="left"/>
        </w:tabs>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5</w:t>
      </w:r>
      <w:bookmarkEnd w:id="1777"/>
      <w:r>
        <w:rPr>
          <w:color w:val="000000"/>
          <w:spacing w:val="0"/>
          <w:w w:val="100"/>
          <w:position w:val="0"/>
        </w:rPr>
        <w:t>）</w:t>
        <w:tab/>
        <w:t>按欠款方归集的期末余额前五名的其他应收款情况</w:t>
      </w:r>
      <w:bookmarkEnd w:id="1775"/>
      <w:bookmarkEnd w:id="1776"/>
      <w:bookmarkEnd w:id="177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21,520,000.00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11,372,479.86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4,148,462.87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年以内 </w:t>
            </w:r>
            <w:r>
              <w:rPr>
                <w:color w:val="000000"/>
                <w:spacing w:val="0"/>
                <w:w w:val="100"/>
                <w:position w:val="0"/>
              </w:rPr>
              <w:t xml:space="preserve">39,951.83 </w:t>
            </w:r>
            <w:r>
              <w:rPr>
                <w:rFonts w:ascii="SimSun" w:eastAsia="SimSun" w:hAnsi="SimSun" w:cs="SimSun"/>
                <w:color w:val="000000"/>
                <w:spacing w:val="0"/>
                <w:w w:val="100"/>
                <w:position w:val="0"/>
              </w:rPr>
              <w:t>元，</w:t>
            </w:r>
            <w:r>
              <w:rPr>
                <w:color w:val="000000"/>
                <w:spacing w:val="0"/>
                <w:w w:val="100"/>
                <w:position w:val="0"/>
              </w:rPr>
              <w:t>1-2</w:t>
            </w:r>
            <w:r>
              <w:rPr>
                <w:rFonts w:ascii="SimSun" w:eastAsia="SimSun" w:hAnsi="SimSun" w:cs="SimSun"/>
                <w:color w:val="000000"/>
                <w:spacing w:val="0"/>
                <w:w w:val="100"/>
                <w:position w:val="0"/>
              </w:rPr>
              <w:t xml:space="preserve">年 </w:t>
            </w:r>
            <w:r>
              <w:rPr>
                <w:color w:val="000000"/>
                <w:spacing w:val="0"/>
                <w:w w:val="100"/>
                <w:position w:val="0"/>
              </w:rPr>
              <w:t xml:space="preserve">112,695.11 </w:t>
            </w:r>
            <w:r>
              <w:rPr>
                <w:rFonts w:ascii="SimSun" w:eastAsia="SimSun" w:hAnsi="SimSun" w:cs="SimSun"/>
                <w:color w:val="000000"/>
                <w:spacing w:val="0"/>
                <w:w w:val="100"/>
                <w:position w:val="0"/>
              </w:rPr>
              <w:t>元，</w:t>
            </w:r>
            <w:r>
              <w:rPr>
                <w:color w:val="000000"/>
                <w:spacing w:val="0"/>
                <w:w w:val="100"/>
                <w:position w:val="0"/>
              </w:rPr>
              <w:t xml:space="preserve">2-3 </w:t>
            </w:r>
            <w:r>
              <w:rPr>
                <w:rFonts w:ascii="SimSun" w:eastAsia="SimSun" w:hAnsi="SimSun" w:cs="SimSun"/>
                <w:color w:val="000000"/>
                <w:spacing w:val="0"/>
                <w:w w:val="100"/>
                <w:position w:val="0"/>
              </w:rPr>
              <w:t xml:space="preserve">年 </w:t>
            </w:r>
            <w:r>
              <w:rPr>
                <w:color w:val="000000"/>
                <w:spacing w:val="0"/>
                <w:w w:val="100"/>
                <w:position w:val="0"/>
              </w:rPr>
              <w:t xml:space="preserve">374,137.22 </w:t>
            </w:r>
            <w:r>
              <w:rPr>
                <w:rFonts w:ascii="SimSun" w:eastAsia="SimSun" w:hAnsi="SimSun" w:cs="SimSun"/>
                <w:color w:val="000000"/>
                <w:spacing w:val="0"/>
                <w:w w:val="100"/>
                <w:position w:val="0"/>
              </w:rPr>
              <w:t>元，</w:t>
            </w:r>
            <w:r>
              <w:rPr>
                <w:color w:val="000000"/>
                <w:spacing w:val="0"/>
                <w:w w:val="100"/>
                <w:position w:val="0"/>
              </w:rPr>
              <w:t xml:space="preserve">3 </w:t>
            </w:r>
            <w:r>
              <w:rPr>
                <w:rFonts w:ascii="SimSun" w:eastAsia="SimSun" w:hAnsi="SimSun" w:cs="SimSun"/>
                <w:color w:val="000000"/>
                <w:spacing w:val="0"/>
                <w:w w:val="100"/>
                <w:position w:val="0"/>
              </w:rPr>
              <w:t xml:space="preserve">年以上 </w:t>
            </w:r>
            <w:r>
              <w:rPr>
                <w:color w:val="000000"/>
                <w:spacing w:val="0"/>
                <w:w w:val="100"/>
                <w:position w:val="0"/>
              </w:rPr>
              <w:t xml:space="preserve">3,621,678.71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888,468.86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年以内 </w:t>
            </w:r>
            <w:r>
              <w:rPr>
                <w:color w:val="000000"/>
                <w:spacing w:val="0"/>
                <w:w w:val="100"/>
                <w:position w:val="0"/>
              </w:rPr>
              <w:t xml:space="preserve">17,769.35 </w:t>
            </w:r>
            <w:r>
              <w:rPr>
                <w:rFonts w:ascii="SimSun" w:eastAsia="SimSun" w:hAnsi="SimSun" w:cs="SimSun"/>
                <w:color w:val="000000"/>
                <w:spacing w:val="0"/>
                <w:w w:val="100"/>
                <w:position w:val="0"/>
              </w:rPr>
              <w:t>元，</w:t>
            </w:r>
            <w:r>
              <w:rPr>
                <w:color w:val="000000"/>
                <w:spacing w:val="0"/>
                <w:w w:val="100"/>
                <w:position w:val="0"/>
              </w:rPr>
              <w:t>1-2</w:t>
            </w:r>
            <w:r>
              <w:rPr>
                <w:rFonts w:ascii="SimSun" w:eastAsia="SimSun" w:hAnsi="SimSun" w:cs="SimSun"/>
                <w:color w:val="000000"/>
                <w:spacing w:val="0"/>
                <w:w w:val="100"/>
                <w:position w:val="0"/>
              </w:rPr>
              <w:t xml:space="preserve">年 </w:t>
            </w:r>
            <w:r>
              <w:rPr>
                <w:color w:val="000000"/>
                <w:spacing w:val="0"/>
                <w:w w:val="100"/>
                <w:position w:val="0"/>
              </w:rPr>
              <w:t xml:space="preserve">152,316.44 </w:t>
            </w:r>
            <w:r>
              <w:rPr>
                <w:rFonts w:ascii="SimSun" w:eastAsia="SimSun" w:hAnsi="SimSun" w:cs="SimSun"/>
                <w:color w:val="000000"/>
                <w:spacing w:val="0"/>
                <w:w w:val="100"/>
                <w:position w:val="0"/>
              </w:rPr>
              <w:t>元，</w:t>
            </w:r>
            <w:r>
              <w:rPr>
                <w:color w:val="000000"/>
                <w:spacing w:val="0"/>
                <w:w w:val="100"/>
                <w:position w:val="0"/>
              </w:rPr>
              <w:t xml:space="preserve">2-3 </w:t>
            </w:r>
            <w:r>
              <w:rPr>
                <w:rFonts w:ascii="SimSun" w:eastAsia="SimSun" w:hAnsi="SimSun" w:cs="SimSun"/>
                <w:color w:val="000000"/>
                <w:spacing w:val="0"/>
                <w:w w:val="100"/>
                <w:position w:val="0"/>
              </w:rPr>
              <w:t xml:space="preserve">年 </w:t>
            </w:r>
            <w:r>
              <w:rPr>
                <w:color w:val="000000"/>
                <w:spacing w:val="0"/>
                <w:w w:val="100"/>
                <w:position w:val="0"/>
              </w:rPr>
              <w:t xml:space="preserve">718,383.07 </w:t>
            </w: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375,311.65</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2"/>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71,929,411.59</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375,311.65</w:t>
            </w:r>
          </w:p>
        </w:tc>
      </w:tr>
    </w:tbl>
    <w:p>
      <w:pPr>
        <w:widowControl w:val="0"/>
        <w:spacing w:after="339" w:line="1" w:lineRule="exact"/>
      </w:pPr>
    </w:p>
    <w:p>
      <w:pPr>
        <w:pStyle w:val="Style65"/>
        <w:keepNext/>
        <w:keepLines/>
        <w:widowControl w:val="0"/>
        <w:shd w:val="clear" w:color="auto" w:fill="auto"/>
        <w:tabs>
          <w:tab w:pos="392" w:val="left"/>
        </w:tabs>
        <w:bidi w:val="0"/>
        <w:spacing w:before="0" w:after="34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6</w:t>
      </w:r>
      <w:bookmarkEnd w:id="1781"/>
      <w:r>
        <w:rPr>
          <w:color w:val="000000"/>
          <w:spacing w:val="0"/>
          <w:w w:val="100"/>
          <w:position w:val="0"/>
        </w:rPr>
        <w:t>）</w:t>
        <w:tab/>
        <w:t>本期无涉及政府补助的应收款项</w:t>
      </w:r>
      <w:bookmarkEnd w:id="1779"/>
      <w:bookmarkEnd w:id="1780"/>
      <w:bookmarkEnd w:id="1782"/>
    </w:p>
    <w:p>
      <w:pPr>
        <w:pStyle w:val="Style65"/>
        <w:keepNext/>
        <w:keepLines/>
        <w:widowControl w:val="0"/>
        <w:shd w:val="clear" w:color="auto" w:fill="auto"/>
        <w:tabs>
          <w:tab w:pos="392" w:val="left"/>
        </w:tabs>
        <w:bidi w:val="0"/>
        <w:spacing w:before="0" w:after="34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color w:val="000000"/>
          <w:spacing w:val="0"/>
          <w:w w:val="100"/>
          <w:position w:val="0"/>
        </w:rPr>
        <w:t>）</w:t>
        <w:tab/>
        <w:t>本期无因金融资产转移而终止确认的其他应收款</w:t>
      </w:r>
      <w:bookmarkEnd w:id="1783"/>
      <w:bookmarkEnd w:id="1784"/>
      <w:bookmarkEnd w:id="1786"/>
    </w:p>
    <w:p>
      <w:pPr>
        <w:pStyle w:val="Style65"/>
        <w:keepNext/>
        <w:keepLines/>
        <w:widowControl w:val="0"/>
        <w:shd w:val="clear" w:color="auto" w:fill="auto"/>
        <w:tabs>
          <w:tab w:pos="392" w:val="left"/>
        </w:tabs>
        <w:bidi w:val="0"/>
        <w:spacing w:before="0" w:after="34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color w:val="000000"/>
          <w:spacing w:val="0"/>
          <w:w w:val="100"/>
          <w:position w:val="0"/>
        </w:rPr>
        <w:t>）</w:t>
        <w:tab/>
        <w:t>本期无转移其他应收款且继续涉入形成的资产、负债金额</w:t>
      </w:r>
      <w:bookmarkEnd w:id="1787"/>
      <w:bookmarkEnd w:id="1788"/>
      <w:bookmarkEnd w:id="1790"/>
    </w:p>
    <w:p>
      <w:pPr>
        <w:pStyle w:val="Style38"/>
        <w:keepNext/>
        <w:keepLines/>
        <w:widowControl w:val="0"/>
        <w:shd w:val="clear" w:color="auto" w:fill="auto"/>
        <w:bidi w:val="0"/>
        <w:spacing w:before="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、长期股权投资</w:t>
      </w:r>
      <w:bookmarkEnd w:id="1791"/>
      <w:bookmarkEnd w:id="1792"/>
      <w:bookmarkEnd w:id="179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363,384,897.19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363,384,897.19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455,384,897.19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455,384,897.19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363,384,897.19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363,384,897.19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455,384,897.19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455,384,897.19</w:t>
            </w:r>
          </w:p>
        </w:tc>
      </w:tr>
    </w:tbl>
    <w:p>
      <w:pPr>
        <w:widowControl w:val="0"/>
        <w:spacing w:after="339" w:line="1" w:lineRule="exact"/>
      </w:pPr>
    </w:p>
    <w:p>
      <w:pPr>
        <w:pStyle w:val="Style41"/>
        <w:keepNext/>
        <w:keepLines/>
        <w:widowControl w:val="0"/>
        <w:shd w:val="clear" w:color="auto" w:fill="auto"/>
        <w:bidi w:val="0"/>
        <w:spacing w:before="0" w:line="240" w:lineRule="auto"/>
        <w:ind w:left="0" w:right="0" w:firstLine="14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95"/>
      <w:bookmarkEnd w:id="1796"/>
      <w:bookmarkEnd w:id="1797"/>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广州御新软件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安徽御银电子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4,992,258.86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4,992,258.86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广州御银智能</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御银（中国）科 技国际有限公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670,460.00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广州御银自动 柜员机科技有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200,000,000.0</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广州御银信息</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100,000,000.0</w:t>
            </w:r>
          </w:p>
          <w:p>
            <w:pPr>
              <w:pStyle w:val="Style2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北京御新赢创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北京御新科技</w:t>
            </w:r>
          </w:p>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36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广东小炬人创</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北京御新智合 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广州御联软件 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广州十方软件</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25,049,750.00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25,049,750.00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广州同位素智 能科技有限公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23,349,750.00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23,349,750.00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广州御商信息</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22,322,678.33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22,322,678.33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北京广粤科技</w:t>
            </w:r>
          </w:p>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455,384,897.1</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98,000,000.00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190,000,000.0</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363,384,897.19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140"/>
        <w:jc w:val="left"/>
      </w:pPr>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798"/>
      <w:bookmarkEnd w:id="1799"/>
      <w:bookmarkEnd w:id="1800"/>
    </w:p>
    <w:p>
      <w:pPr>
        <w:pStyle w:val="Style34"/>
        <w:keepNext w:val="0"/>
        <w:keepLines w:val="0"/>
        <w:widowControl w:val="0"/>
        <w:shd w:val="clear" w:color="auto" w:fill="auto"/>
        <w:bidi w:val="0"/>
        <w:spacing w:before="0" w:after="380" w:line="298" w:lineRule="exact"/>
        <w:ind w:left="0" w:right="0" w:firstLine="0"/>
        <w:jc w:val="left"/>
      </w:pPr>
      <w:r>
        <w:rPr>
          <w:color w:val="000000"/>
          <w:spacing w:val="0"/>
          <w:w w:val="100"/>
          <w:position w:val="0"/>
        </w:rPr>
        <w:t>本期通过同一控制下企业合并新增子公司北京广粤科技有限公司，确定的长期股权投资初始投资成本为</w:t>
      </w:r>
      <w:r>
        <w:rPr>
          <w:rFonts w:ascii="Times New Roman" w:eastAsia="Times New Roman" w:hAnsi="Times New Roman" w:cs="Times New Roman"/>
          <w:color w:val="000000"/>
          <w:spacing w:val="0"/>
          <w:w w:val="100"/>
          <w:position w:val="0"/>
        </w:rPr>
        <w:t>0.00</w:t>
      </w:r>
      <w:r>
        <w:rPr>
          <w:color w:val="000000"/>
          <w:spacing w:val="0"/>
          <w:w w:val="100"/>
          <w:position w:val="0"/>
        </w:rPr>
        <w:t>元。详见本财务 报告“八、</w:t>
      </w:r>
      <w:r>
        <w:rPr>
          <w:color w:val="000000"/>
          <w:spacing w:val="0"/>
          <w:w w:val="100"/>
          <w:position w:val="0"/>
        </w:rPr>
        <w:t>2</w:t>
      </w:r>
      <w:r>
        <w:rPr>
          <w:color w:val="000000"/>
          <w:spacing w:val="0"/>
          <w:w w:val="100"/>
          <w:position w:val="0"/>
        </w:rPr>
        <w:t>同一控制下企业合并”。</w:t>
      </w:r>
    </w:p>
    <w:p>
      <w:pPr>
        <w:pStyle w:val="Style38"/>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4</w:t>
      </w:r>
      <w:bookmarkEnd w:id="1803"/>
      <w:r>
        <w:rPr>
          <w:color w:val="000000"/>
          <w:spacing w:val="0"/>
          <w:w w:val="100"/>
          <w:position w:val="0"/>
        </w:rPr>
        <w:t>、营业收入和营业成本</w:t>
      </w:r>
      <w:bookmarkEnd w:id="1801"/>
      <w:bookmarkEnd w:id="1802"/>
      <w:bookmarkEnd w:id="1804"/>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87,983,635.41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50,952,660.67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112,714,705.21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55,372,185.85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36,855,394.38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9,054,860.03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24,118,634.20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11,019,483.21</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124,839,029.79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60,007,520.70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136,833,339.41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66,391,669.06</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5</w:t>
      </w:r>
      <w:bookmarkEnd w:id="1807"/>
      <w:r>
        <w:rPr>
          <w:color w:val="000000"/>
          <w:spacing w:val="0"/>
          <w:w w:val="100"/>
          <w:position w:val="0"/>
        </w:rPr>
        <w:t>、投资收益</w:t>
      </w:r>
      <w:bookmarkEnd w:id="1805"/>
      <w:bookmarkEnd w:id="1806"/>
      <w:bookmarkEnd w:id="1808"/>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820,359.87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3,314,826.49</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14,515,674.71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81,392,258.71</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9,592,569.61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2,365,670.85</w:t>
            </w:r>
          </w:p>
        </w:tc>
      </w:tr>
      <w:tr>
        <w:trPr>
          <w:trHeight w:val="40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174,928,604.19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87,072,756.05</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809" w:name="bookmark1809"/>
      <w:bookmarkStart w:id="1810" w:name="bookmark1810"/>
      <w:bookmarkStart w:id="1811" w:name="bookmark1811"/>
      <w:r>
        <w:rPr>
          <w:color w:val="000000"/>
          <w:spacing w:val="0"/>
          <w:w w:val="100"/>
          <w:position w:val="0"/>
          <w:sz w:val="24"/>
          <w:szCs w:val="24"/>
        </w:rPr>
        <w:t>十八、补充资料</w:t>
      </w:r>
      <w:bookmarkEnd w:id="1809"/>
      <w:bookmarkEnd w:id="1810"/>
      <w:bookmarkEnd w:id="1811"/>
    </w:p>
    <w:p>
      <w:pPr>
        <w:pStyle w:val="Style38"/>
        <w:keepNext/>
        <w:keepLines/>
        <w:widowControl w:val="0"/>
        <w:shd w:val="clear" w:color="auto" w:fill="auto"/>
        <w:bidi w:val="0"/>
        <w:spacing w:before="0" w:after="320" w:line="240" w:lineRule="auto"/>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12"/>
      <w:bookmarkEnd w:id="1813"/>
      <w:bookmarkEnd w:id="1814"/>
    </w:p>
    <w:p>
      <w:pPr>
        <w:pStyle w:val="Style3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270,657.33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1,082,783.18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-1,269,015.62</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55,910,709.61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-1,313,198.61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4,669,090.22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50,012,845.67</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4"/>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both"/>
      </w:pPr>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15"/>
      <w:bookmarkEnd w:id="1816"/>
      <w:bookmarkEnd w:id="1817"/>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4.30%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r>
      <w:tr>
        <w:trPr>
          <w:trHeight w:val="41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1.30%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0.0286</w:t>
            </w:r>
          </w:p>
        </w:tc>
      </w:tr>
    </w:tbl>
    <w:tbl>
      <w:tblPr>
        <w:tblOverlap w:val="never"/>
        <w:jc w:val="center"/>
        <w:tblLayout w:type="fixed"/>
      </w:tblPr>
      <w:tblGrid>
        <w:gridCol w:w="2669"/>
        <w:gridCol w:w="3082"/>
        <w:gridCol w:w="1910"/>
        <w:gridCol w:w="1920"/>
      </w:tblGrid>
      <w:tr>
        <w:trPr>
          <w:trHeight w:val="37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普通股股东的净利润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3</w:t>
      </w:r>
      <w:bookmarkEnd w:id="1820"/>
      <w:r>
        <w:rPr>
          <w:color w:val="000000"/>
          <w:spacing w:val="0"/>
          <w:w w:val="100"/>
          <w:position w:val="0"/>
        </w:rPr>
        <w:t>、境内外会计准则下会计数据差异</w:t>
      </w:r>
      <w:bookmarkEnd w:id="1818"/>
      <w:bookmarkEnd w:id="1819"/>
      <w:bookmarkEnd w:id="1821"/>
    </w:p>
    <w:p>
      <w:pPr>
        <w:pStyle w:val="Style41"/>
        <w:keepNext/>
        <w:keepLines/>
        <w:widowControl w:val="0"/>
        <w:numPr>
          <w:ilvl w:val="0"/>
          <w:numId w:val="53"/>
        </w:numPr>
        <w:shd w:val="clear" w:color="auto" w:fill="auto"/>
        <w:tabs>
          <w:tab w:pos="488" w:val="left"/>
        </w:tabs>
        <w:bidi w:val="0"/>
        <w:spacing w:before="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同时按照国际会计准则与按中国会计准则披露的财务报告中净利润和净资产差异情况</w:t>
      </w:r>
      <w:bookmarkEnd w:id="1822"/>
      <w:bookmarkEnd w:id="1823"/>
      <w:bookmarkEnd w:id="1825"/>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53"/>
        </w:numPr>
        <w:shd w:val="clear" w:color="auto" w:fill="auto"/>
        <w:tabs>
          <w:tab w:pos="488" w:val="left"/>
        </w:tabs>
        <w:bidi w:val="0"/>
        <w:spacing w:before="0" w:line="240" w:lineRule="auto"/>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同时按照境外会计准则与按中国会计准则披露的财务报告中净利润和净资产差异情况</w:t>
      </w:r>
      <w:bookmarkEnd w:id="1826"/>
      <w:bookmarkEnd w:id="1827"/>
      <w:bookmarkEnd w:id="1829"/>
    </w:p>
    <w:p>
      <w:pPr>
        <w:pStyle w:val="Style3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1"/>
        <w:keepNext/>
        <w:keepLines/>
        <w:widowControl w:val="0"/>
        <w:numPr>
          <w:ilvl w:val="0"/>
          <w:numId w:val="53"/>
        </w:numPr>
        <w:shd w:val="clear" w:color="auto" w:fill="auto"/>
        <w:tabs>
          <w:tab w:pos="488" w:val="left"/>
        </w:tabs>
        <w:bidi w:val="0"/>
        <w:spacing w:before="0" w:line="240" w:lineRule="auto"/>
        <w:ind w:left="0" w:right="0" w:firstLine="0"/>
        <w:jc w:val="left"/>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343" w:right="1054" w:bottom="1461" w:left="1068" w:header="0" w:footer="3" w:gutter="0"/>
          <w:cols w:space="720"/>
          <w:noEndnote/>
          <w:titlePg/>
          <w:rtlGutter w:val="0"/>
          <w:docGrid w:linePitch="360"/>
        </w:sectPr>
      </w:pPr>
      <w:bookmarkStart w:id="1830" w:name="bookmark1830"/>
      <w:bookmarkStart w:id="1831" w:name="bookmark1831"/>
      <w:bookmarkStart w:id="1832" w:name="bookmark1832"/>
      <w:bookmarkStart w:id="1833" w:name="bookmark1833"/>
      <w:bookmarkEnd w:id="1832"/>
      <w:r>
        <w:rPr>
          <w:color w:val="000000"/>
          <w:spacing w:val="0"/>
          <w:w w:val="100"/>
          <w:position w:val="0"/>
        </w:rPr>
        <w:t>本期无境内外会计准则下会计数据差异情况</w:t>
      </w:r>
      <w:bookmarkEnd w:id="1830"/>
      <w:bookmarkEnd w:id="1831"/>
      <w:bookmarkEnd w:id="1833"/>
    </w:p>
    <w:p>
      <w:pPr>
        <w:pStyle w:val="Style16"/>
        <w:keepNext/>
        <w:keepLines/>
        <w:widowControl w:val="0"/>
        <w:shd w:val="clear" w:color="auto" w:fill="auto"/>
        <w:bidi w:val="0"/>
        <w:spacing w:before="0" w:after="580" w:line="240" w:lineRule="auto"/>
        <w:ind w:left="0" w:right="0" w:firstLine="0"/>
        <w:jc w:val="center"/>
      </w:pPr>
      <w:bookmarkStart w:id="1834" w:name="bookmark1834"/>
      <w:bookmarkStart w:id="1835" w:name="bookmark1835"/>
      <w:bookmarkStart w:id="1836" w:name="bookmark1836"/>
      <w:r>
        <w:rPr>
          <w:color w:val="000000"/>
          <w:spacing w:val="0"/>
          <w:w w:val="100"/>
          <w:position w:val="0"/>
        </w:rPr>
        <w:t>第十三节备查文件目录</w:t>
      </w:r>
      <w:bookmarkEnd w:id="1834"/>
      <w:bookmarkEnd w:id="1835"/>
      <w:bookmarkEnd w:id="1836"/>
    </w:p>
    <w:p>
      <w:pPr>
        <w:pStyle w:val="Style34"/>
        <w:keepNext w:val="0"/>
        <w:keepLines w:val="0"/>
        <w:widowControl w:val="0"/>
        <w:shd w:val="clear" w:color="auto" w:fill="auto"/>
        <w:tabs>
          <w:tab w:pos="430" w:val="left"/>
        </w:tabs>
        <w:bidi w:val="0"/>
        <w:spacing w:before="0" w:after="80" w:line="240" w:lineRule="auto"/>
        <w:ind w:left="0" w:right="0" w:firstLine="0"/>
        <w:jc w:val="left"/>
      </w:pPr>
      <w:bookmarkStart w:id="1837" w:name="bookmark1837"/>
      <w:r>
        <w:rPr>
          <w:color w:val="000000"/>
          <w:spacing w:val="0"/>
          <w:w w:val="100"/>
          <w:position w:val="0"/>
        </w:rPr>
        <w:t>一</w:t>
      </w:r>
      <w:bookmarkEnd w:id="1837"/>
      <w:r>
        <w:rPr>
          <w:color w:val="000000"/>
          <w:spacing w:val="0"/>
          <w:w w:val="100"/>
          <w:position w:val="0"/>
        </w:rPr>
        <w:t>、</w:t>
        <w:tab/>
        <w:t>载有法定代表人、主管会计负责人、会计机构负责人签名并盖章的会计报表。</w:t>
      </w:r>
    </w:p>
    <w:p>
      <w:pPr>
        <w:pStyle w:val="Style34"/>
        <w:keepNext w:val="0"/>
        <w:keepLines w:val="0"/>
        <w:widowControl w:val="0"/>
        <w:shd w:val="clear" w:color="auto" w:fill="auto"/>
        <w:tabs>
          <w:tab w:pos="430" w:val="left"/>
        </w:tabs>
        <w:bidi w:val="0"/>
        <w:spacing w:before="0" w:after="80" w:line="240" w:lineRule="auto"/>
        <w:ind w:left="0" w:right="0" w:firstLine="0"/>
        <w:jc w:val="left"/>
      </w:pPr>
      <w:bookmarkStart w:id="1838" w:name="bookmark1838"/>
      <w:r>
        <w:rPr>
          <w:color w:val="000000"/>
          <w:spacing w:val="0"/>
          <w:w w:val="100"/>
          <w:position w:val="0"/>
        </w:rPr>
        <w:t>二</w:t>
      </w:r>
      <w:bookmarkEnd w:id="1838"/>
      <w:r>
        <w:rPr>
          <w:color w:val="000000"/>
          <w:spacing w:val="0"/>
          <w:w w:val="100"/>
          <w:position w:val="0"/>
        </w:rPr>
        <w:t>、</w:t>
        <w:tab/>
        <w:t>载有会计师事务所盖章、注册会计师签名并盖章的审计报告原件。</w:t>
      </w:r>
    </w:p>
    <w:p>
      <w:pPr>
        <w:pStyle w:val="Style34"/>
        <w:keepNext w:val="0"/>
        <w:keepLines w:val="0"/>
        <w:widowControl w:val="0"/>
        <w:shd w:val="clear" w:color="auto" w:fill="auto"/>
        <w:tabs>
          <w:tab w:pos="430" w:val="left"/>
        </w:tabs>
        <w:bidi w:val="0"/>
        <w:spacing w:before="0" w:after="80" w:line="240" w:lineRule="auto"/>
        <w:ind w:left="0" w:right="0" w:firstLine="0"/>
        <w:jc w:val="left"/>
      </w:pPr>
      <w:bookmarkStart w:id="1839" w:name="bookmark1839"/>
      <w:r>
        <w:rPr>
          <w:color w:val="000000"/>
          <w:spacing w:val="0"/>
          <w:w w:val="100"/>
          <w:position w:val="0"/>
        </w:rPr>
        <w:t>三</w:t>
      </w:r>
      <w:bookmarkEnd w:id="1839"/>
      <w:r>
        <w:rPr>
          <w:color w:val="000000"/>
          <w:spacing w:val="0"/>
          <w:w w:val="100"/>
          <w:position w:val="0"/>
        </w:rPr>
        <w:t>、</w:t>
        <w:tab/>
        <w:t>报告期内在中国证监会指定报纸上公开披露过的所有公司文件的正本及公告的原稿。</w:t>
      </w:r>
    </w:p>
    <w:p>
      <w:pPr>
        <w:pStyle w:val="Style34"/>
        <w:keepNext w:val="0"/>
        <w:keepLines w:val="0"/>
        <w:widowControl w:val="0"/>
        <w:shd w:val="clear" w:color="auto" w:fill="auto"/>
        <w:tabs>
          <w:tab w:pos="430" w:val="left"/>
        </w:tabs>
        <w:bidi w:val="0"/>
        <w:spacing w:before="0" w:after="80" w:line="240" w:lineRule="auto"/>
        <w:ind w:left="0" w:right="0" w:firstLine="0"/>
        <w:jc w:val="left"/>
      </w:pPr>
      <w:bookmarkStart w:id="1840" w:name="bookmark1840"/>
      <w:r>
        <w:rPr>
          <w:color w:val="000000"/>
          <w:spacing w:val="0"/>
          <w:w w:val="100"/>
          <w:position w:val="0"/>
        </w:rPr>
        <w:t>四</w:t>
      </w:r>
      <w:bookmarkEnd w:id="1840"/>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w:t>
      </w:r>
    </w:p>
    <w:p>
      <w:pPr>
        <w:pStyle w:val="Style34"/>
        <w:keepNext w:val="0"/>
        <w:keepLines w:val="0"/>
        <w:widowControl w:val="0"/>
        <w:shd w:val="clear" w:color="auto" w:fill="auto"/>
        <w:tabs>
          <w:tab w:pos="430" w:val="left"/>
        </w:tabs>
        <w:bidi w:val="0"/>
        <w:spacing w:before="0" w:after="80" w:line="240" w:lineRule="auto"/>
        <w:ind w:left="0" w:right="0" w:firstLine="0"/>
        <w:jc w:val="left"/>
      </w:pPr>
      <w:bookmarkStart w:id="1841" w:name="bookmark1841"/>
      <w:r>
        <w:rPr>
          <w:color w:val="000000"/>
          <w:spacing w:val="0"/>
          <w:w w:val="100"/>
          <w:position w:val="0"/>
        </w:rPr>
        <w:t>五</w:t>
      </w:r>
      <w:bookmarkEnd w:id="1841"/>
      <w:r>
        <w:rPr>
          <w:color w:val="000000"/>
          <w:spacing w:val="0"/>
          <w:w w:val="100"/>
          <w:position w:val="0"/>
        </w:rPr>
        <w:t>、</w:t>
        <w:tab/>
        <w:t>以上备查文件的备置地点：公司证券部、深圳证券交易所。</w:t>
      </w:r>
    </w:p>
    <w:sectPr>
      <w:footnotePr>
        <w:pos w:val="pageBottom"/>
        <w:numFmt w:val="decimal"/>
        <w:numRestart w:val="continuous"/>
      </w:footnotePr>
      <w:pgSz w:w="11900" w:h="16840"/>
      <w:pgMar w:top="1671" w:right="1193" w:bottom="1671"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744220</wp:posOffset>
              </wp:positionH>
              <wp:positionV relativeFrom="page">
                <wp:posOffset>9933940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8.600000000000001pt;margin-top:782.20000000000005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6396355</wp:posOffset>
              </wp:positionH>
              <wp:positionV relativeFrom="page">
                <wp:posOffset>9737725</wp:posOffset>
              </wp:positionV>
              <wp:extent cx="441960" cy="106680"/>
              <wp:wrapNone/>
              <wp:docPr id="69" name="Shape 69"/>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5" type="#_x0000_t202" style="position:absolute;margin-left:503.65000000000003pt;margin-top:766.75pt;width:34.80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735965</wp:posOffset>
              </wp:positionH>
              <wp:positionV relativeFrom="page">
                <wp:posOffset>10118725</wp:posOffset>
              </wp:positionV>
              <wp:extent cx="152400" cy="79375"/>
              <wp:wrapNone/>
              <wp:docPr id="71" name="Shape 7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7" type="#_x0000_t202" style="position:absolute;margin-left:57.950000000000003pt;margin-top:796.75pt;width:12.pt;height:6.25pt;z-index:-18874401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10104755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7.5pt;margin-top:795.64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744220</wp:posOffset>
              </wp:positionH>
              <wp:positionV relativeFrom="page">
                <wp:posOffset>9933940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8.600000000000001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6391275</wp:posOffset>
              </wp:positionH>
              <wp:positionV relativeFrom="page">
                <wp:posOffset>9672320</wp:posOffset>
              </wp:positionV>
              <wp:extent cx="441960" cy="106680"/>
              <wp:wrapNone/>
              <wp:docPr id="33" name="Shape 33"/>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9" type="#_x0000_t202" style="position:absolute;margin-left:503.25pt;margin-top:761.60000000000002pt;width:34.80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731520</wp:posOffset>
              </wp:positionH>
              <wp:positionV relativeFrom="page">
                <wp:posOffset>9980295</wp:posOffset>
              </wp:positionV>
              <wp:extent cx="149225" cy="79375"/>
              <wp:wrapNone/>
              <wp:docPr id="35" name="Shape 35"/>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57.600000000000001pt;margin-top:785.85000000000002pt;width:11.75pt;height:6.25pt;z-index:-18874404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6390640</wp:posOffset>
              </wp:positionH>
              <wp:positionV relativeFrom="page">
                <wp:posOffset>9394190</wp:posOffset>
              </wp:positionV>
              <wp:extent cx="441960" cy="106680"/>
              <wp:wrapNone/>
              <wp:docPr id="40" name="Shape 40"/>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6" type="#_x0000_t202" style="position:absolute;margin-left:503.19999999999999pt;margin-top:739.70000000000005pt;width:34.80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730250</wp:posOffset>
              </wp:positionH>
              <wp:positionV relativeFrom="page">
                <wp:posOffset>9933940</wp:posOffset>
              </wp:positionV>
              <wp:extent cx="143510" cy="79375"/>
              <wp:wrapNone/>
              <wp:docPr id="42" name="Shape 42"/>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57.5pt;margin-top:782.20000000000005pt;width:11.300000000000001pt;height:6.25pt;z-index:-18874404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744220</wp:posOffset>
              </wp:positionH>
              <wp:positionV relativeFrom="page">
                <wp:posOffset>9933940</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8.600000000000001pt;margin-top:782.20000000000005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744220</wp:posOffset>
              </wp:positionH>
              <wp:positionV relativeFrom="page">
                <wp:posOffset>9933940</wp:posOffset>
              </wp:positionV>
              <wp:extent cx="97790" cy="79375"/>
              <wp:wrapNone/>
              <wp:docPr id="52" name="Shape 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8.600000000000001pt;margin-top:782.2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6396355</wp:posOffset>
              </wp:positionH>
              <wp:positionV relativeFrom="page">
                <wp:posOffset>9737725</wp:posOffset>
              </wp:positionV>
              <wp:extent cx="441960" cy="106680"/>
              <wp:wrapNone/>
              <wp:docPr id="57" name="Shape 57"/>
              <a:graphic xmlns:a="http://schemas.openxmlformats.org/drawingml/2006/main">
                <a:graphicData uri="http://schemas.microsoft.com/office/word/2010/wordprocessingShape">
                  <wps:wsp>
                    <wps:cNvSpPr txBox="1"/>
                    <wps:spPr>
                      <a:xfrm>
                        <a:ext cx="44196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3" type="#_x0000_t202" style="position:absolute;margin-left:503.65000000000003pt;margin-top:766.75pt;width:34.80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735965</wp:posOffset>
              </wp:positionH>
              <wp:positionV relativeFrom="page">
                <wp:posOffset>10118725</wp:posOffset>
              </wp:positionV>
              <wp:extent cx="152400" cy="79375"/>
              <wp:wrapNone/>
              <wp:docPr id="59" name="Shape 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5" type="#_x0000_t202" style="position:absolute;margin-left:57.950000000000003pt;margin-top:796.75pt;width:12.pt;height:6.25pt;z-index:-188744027;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744220</wp:posOffset>
              </wp:positionH>
              <wp:positionV relativeFrom="page">
                <wp:posOffset>9933940</wp:posOffset>
              </wp:positionV>
              <wp:extent cx="97790" cy="79375"/>
              <wp:wrapNone/>
              <wp:docPr id="64" name="Shape 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8.600000000000001pt;margin-top:782.20000000000005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2555875</wp:posOffset>
              </wp:positionH>
              <wp:positionV relativeFrom="page">
                <wp:posOffset>565785</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01.25pt;margin-top:44.550000000000004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4" name="Shape 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2561590</wp:posOffset>
              </wp:positionH>
              <wp:positionV relativeFrom="page">
                <wp:posOffset>749935</wp:posOffset>
              </wp:positionV>
              <wp:extent cx="2447290" cy="106680"/>
              <wp:wrapNone/>
              <wp:docPr id="66" name="Shape 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2" type="#_x0000_t202" style="position:absolute;margin-left:201.70000000000002pt;margin-top:59.050000000000004pt;width:192.70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916305</wp:posOffset>
              </wp:positionV>
              <wp:extent cx="6123305" cy="0"/>
              <wp:wrapNone/>
              <wp:docPr id="68" name="Shape 6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72.150000000000006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2555875</wp:posOffset>
              </wp:positionH>
              <wp:positionV relativeFrom="page">
                <wp:posOffset>503555</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201.25pt;margin-top:39.649999999999999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649605</wp:posOffset>
              </wp:positionV>
              <wp:extent cx="6123305" cy="0"/>
              <wp:wrapNone/>
              <wp:docPr id="9" name="Shape 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1.149999999999999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2555875</wp:posOffset>
              </wp:positionH>
              <wp:positionV relativeFrom="page">
                <wp:posOffset>565785</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1" type="#_x0000_t202" style="position:absolute;margin-left:201.25pt;margin-top:44.550000000000004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27" name="Shape 2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2557145</wp:posOffset>
              </wp:positionH>
              <wp:positionV relativeFrom="page">
                <wp:posOffset>635000</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6" type="#_x0000_t202" style="position:absolute;margin-left:201.34999999999999pt;margin-top:50.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777875</wp:posOffset>
              </wp:positionV>
              <wp:extent cx="6123305" cy="0"/>
              <wp:wrapNone/>
              <wp:docPr id="32" name="Shape 3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1.25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2555875</wp:posOffset>
              </wp:positionH>
              <wp:positionV relativeFrom="page">
                <wp:posOffset>588645</wp:posOffset>
              </wp:positionV>
              <wp:extent cx="2447290" cy="106680"/>
              <wp:wrapNone/>
              <wp:docPr id="37" name="Shape 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201.25pt;margin-top:46.350000000000001pt;width:192.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39" name="Shape 3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2555875</wp:posOffset>
              </wp:positionH>
              <wp:positionV relativeFrom="page">
                <wp:posOffset>565785</wp:posOffset>
              </wp:positionV>
              <wp:extent cx="2447290" cy="106680"/>
              <wp:wrapNone/>
              <wp:docPr id="44" name="Shape 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0" type="#_x0000_t202" style="position:absolute;margin-left:201.25pt;margin-top:44.550000000000004pt;width:192.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46" name="Shape 4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2555875</wp:posOffset>
              </wp:positionH>
              <wp:positionV relativeFrom="page">
                <wp:posOffset>565785</wp:posOffset>
              </wp:positionV>
              <wp:extent cx="2447290" cy="106680"/>
              <wp:wrapNone/>
              <wp:docPr id="49" name="Shape 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5" type="#_x0000_t202" style="position:absolute;margin-left:201.25pt;margin-top:44.550000000000004pt;width:192.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51" name="Shape 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2561590</wp:posOffset>
              </wp:positionH>
              <wp:positionV relativeFrom="page">
                <wp:posOffset>749935</wp:posOffset>
              </wp:positionV>
              <wp:extent cx="2447290" cy="106680"/>
              <wp:wrapNone/>
              <wp:docPr id="54" name="Shape 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201.70000000000002pt;margin-top:59.050000000000004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广州御银科技股份有限公司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916305</wp:posOffset>
              </wp:positionV>
              <wp:extent cx="6123305" cy="0"/>
              <wp:wrapNone/>
              <wp:docPr id="56" name="Shape 5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72.150000000000006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2555875</wp:posOffset>
              </wp:positionH>
              <wp:positionV relativeFrom="page">
                <wp:posOffset>565785</wp:posOffset>
              </wp:positionV>
              <wp:extent cx="2447290" cy="106680"/>
              <wp:wrapNone/>
              <wp:docPr id="61" name="Shape 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7" type="#_x0000_t202" style="position:absolute;margin-left:201.25pt;margin-top:44.550000000000004pt;width:192.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广州御银科技股份有限公司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731520</wp:posOffset>
              </wp:positionV>
              <wp:extent cx="6123305" cy="0"/>
              <wp:wrapNone/>
              <wp:docPr id="63" name="Shape 6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57.60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52"/>
      <w:szCs w:val="5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6)_"/>
    <w:basedOn w:val="DefaultParagraphFont"/>
    <w:link w:val="Style19"/>
    <w:rPr>
      <w:rFonts w:ascii="SimSun" w:eastAsia="SimSun" w:hAnsi="SimSun" w:cs="SimSun"/>
      <w:b/>
      <w:bCs/>
      <w:i w:val="0"/>
      <w:iCs w:val="0"/>
      <w:smallCaps w:val="0"/>
      <w:strike w:val="0"/>
      <w:sz w:val="36"/>
      <w:szCs w:val="3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6">
    <w:name w:val="正文文本 (5)_"/>
    <w:basedOn w:val="DefaultParagraphFont"/>
    <w:link w:val="Style25"/>
    <w:rPr>
      <w:rFonts w:ascii="SimSun" w:eastAsia="SimSun" w:hAnsi="SimSun" w:cs="SimSun"/>
      <w:b/>
      <w:bCs/>
      <w:i w:val="0"/>
      <w:iCs w:val="0"/>
      <w:smallCaps w:val="0"/>
      <w:strike w:val="0"/>
      <w:sz w:val="32"/>
      <w:szCs w:val="32"/>
      <w:u w:val="none"/>
      <w:shd w:val="clear" w:color="auto" w:fill="auto"/>
    </w:rPr>
  </w:style>
  <w:style w:type="character" w:customStyle="1" w:styleId="CharStyle28">
    <w:name w:val="其他_"/>
    <w:basedOn w:val="DefaultParagraphFont"/>
    <w:link w:val="Style2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1">
    <w:name w:val="标题 #2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表格标题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3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66">
    <w:name w:val="标题 #5_"/>
    <w:basedOn w:val="DefaultParagraphFont"/>
    <w:link w:val="Style65"/>
    <w:rPr>
      <w:rFonts w:ascii="SimSun" w:eastAsia="SimSun" w:hAnsi="SimSun" w:cs="SimSun"/>
      <w:b/>
      <w:bCs/>
      <w:i w:val="0"/>
      <w:iCs w:val="0"/>
      <w:smallCaps w:val="0"/>
      <w:strike w:val="0"/>
      <w:sz w:val="20"/>
      <w:szCs w:val="20"/>
      <w:u w:val="none"/>
      <w:shd w:val="clear" w:color="auto" w:fill="auto"/>
    </w:rPr>
  </w:style>
  <w:style w:type="character" w:customStyle="1" w:styleId="CharStyle69">
    <w:name w:val="页眉或页脚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2)"/>
    <w:basedOn w:val="Normal"/>
    <w:link w:val="CharStyle3"/>
    <w:pPr>
      <w:widowControl w:val="0"/>
      <w:shd w:val="clear" w:color="auto" w:fill="auto"/>
      <w:spacing w:after="100" w:line="622"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3)"/>
    <w:basedOn w:val="Normal"/>
    <w:link w:val="CharStyle11"/>
    <w:pPr>
      <w:widowControl w:val="0"/>
      <w:shd w:val="clear" w:color="auto" w:fill="auto"/>
      <w:spacing w:after="440"/>
      <w:jc w:val="center"/>
    </w:pPr>
    <w:rPr>
      <w:rFonts w:ascii="SimSun" w:eastAsia="SimSun" w:hAnsi="SimSun" w:cs="SimSun"/>
      <w:b/>
      <w:bCs/>
      <w:i w:val="0"/>
      <w:iCs w:val="0"/>
      <w:smallCaps w:val="0"/>
      <w:strike w:val="0"/>
      <w:sz w:val="52"/>
      <w:szCs w:val="52"/>
      <w:u w:val="none"/>
      <w:shd w:val="clear" w:color="auto" w:fill="auto"/>
    </w:rPr>
  </w:style>
  <w:style w:type="paragraph" w:customStyle="1" w:styleId="Style13">
    <w:name w:val="正文文本 (4)"/>
    <w:basedOn w:val="Normal"/>
    <w:link w:val="CharStyle14"/>
    <w:pPr>
      <w:widowControl w:val="0"/>
      <w:shd w:val="clear" w:color="auto" w:fill="auto"/>
      <w:spacing w:after="9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before="4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6)"/>
    <w:basedOn w:val="Normal"/>
    <w:link w:val="CharStyle20"/>
    <w:pPr>
      <w:widowControl w:val="0"/>
      <w:shd w:val="clear" w:color="auto" w:fill="auto"/>
      <w:spacing w:before="1400" w:after="14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21">
    <w:name w:val="目录"/>
    <w:basedOn w:val="Normal"/>
    <w:link w:val="CharStyle22"/>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5">
    <w:name w:val="正文文本 (5)"/>
    <w:basedOn w:val="Normal"/>
    <w:link w:val="CharStyle26"/>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7">
    <w:name w:val="其他"/>
    <w:basedOn w:val="Normal"/>
    <w:link w:val="CharStyle28"/>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0">
    <w:name w:val="标题 #2"/>
    <w:basedOn w:val="Normal"/>
    <w:link w:val="CharStyle31"/>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32">
    <w:name w:val="表格标题"/>
    <w:basedOn w:val="Normal"/>
    <w:link w:val="CharStyle33"/>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4">
    <w:name w:val="正文文本"/>
    <w:basedOn w:val="Normal"/>
    <w:link w:val="CharStyle35"/>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3"/>
    <w:basedOn w:val="Normal"/>
    <w:link w:val="CharStyle39"/>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标题 #4"/>
    <w:basedOn w:val="Normal"/>
    <w:link w:val="CharStyle42"/>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5">
    <w:name w:val="标题 #5"/>
    <w:basedOn w:val="Normal"/>
    <w:link w:val="CharStyle66"/>
    <w:pPr>
      <w:widowControl w:val="0"/>
      <w:shd w:val="clear" w:color="auto" w:fill="auto"/>
      <w:spacing w:after="35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8">
    <w:name w:val="页眉或页脚"/>
    <w:basedOn w:val="Normal"/>
    <w:link w:val="CharStyle6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s>
</file>